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4"/>
          <w:szCs w:val="24"/>
          <w:color w:val="auto"/>
        </w:rPr>
      </w:pPr>
    </w:p>
    <w:p>
      <w:pPr>
        <w:jc w:val="center"/>
        <w:ind w:right="-179"/>
        <w:spacing w:after="0"/>
        <w:rPr>
          <w:sz w:val="20"/>
          <w:szCs w:val="20"/>
          <w:color w:val="auto"/>
        </w:rPr>
      </w:pPr>
      <w:r>
        <w:rPr>
          <w:rFonts w:ascii="Arial" w:cs="Arial" w:eastAsia="Arial" w:hAnsi="Arial"/>
          <w:sz w:val="18"/>
          <w:szCs w:val="18"/>
          <w:b w:val="1"/>
          <w:bCs w:val="1"/>
          <w:color w:val="auto"/>
        </w:rPr>
        <w:t>As filed with the Securities and Exchange Commission on September 25, 2019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133985</wp:posOffset>
            </wp:positionH>
            <wp:positionV relativeFrom="paragraph">
              <wp:posOffset>154940</wp:posOffset>
            </wp:positionV>
            <wp:extent cx="699770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7700" cy="8890"/>
                    </a:xfrm>
                    <a:prstGeom prst="rect">
                      <a:avLst/>
                    </a:prstGeom>
                    <a:noFill/>
                  </pic:spPr>
                </pic:pic>
              </a:graphicData>
            </a:graphic>
          </wp:anchor>
        </w:drawing>
        <w:drawing>
          <wp:anchor simplePos="0" relativeHeight="251657728" behindDoc="1" locked="0" layoutInCell="0" allowOverlap="1">
            <wp:simplePos x="0" y="0"/>
            <wp:positionH relativeFrom="column">
              <wp:posOffset>133985</wp:posOffset>
            </wp:positionH>
            <wp:positionV relativeFrom="paragraph">
              <wp:posOffset>197485</wp:posOffset>
            </wp:positionV>
            <wp:extent cx="699770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7700" cy="8890"/>
                    </a:xfrm>
                    <a:prstGeom prst="rect">
                      <a:avLst/>
                    </a:prstGeom>
                    <a:noFill/>
                  </pic:spPr>
                </pic:pic>
              </a:graphicData>
            </a:graphic>
          </wp:anchor>
        </w:drawing>
      </w:r>
    </w:p>
    <w:p>
      <w:pPr>
        <w:spacing w:after="0" w:line="318" w:lineRule="exact"/>
        <w:rPr>
          <w:sz w:val="24"/>
          <w:szCs w:val="24"/>
          <w:color w:val="auto"/>
        </w:rPr>
      </w:pPr>
    </w:p>
    <w:p>
      <w:pPr>
        <w:jc w:val="center"/>
        <w:ind w:right="-179"/>
        <w:spacing w:after="0"/>
        <w:rPr>
          <w:sz w:val="20"/>
          <w:szCs w:val="20"/>
          <w:color w:val="auto"/>
        </w:rPr>
      </w:pPr>
      <w:r>
        <w:rPr>
          <w:rFonts w:ascii="Arial" w:cs="Arial" w:eastAsia="Arial" w:hAnsi="Arial"/>
          <w:sz w:val="27"/>
          <w:szCs w:val="27"/>
          <w:b w:val="1"/>
          <w:bCs w:val="1"/>
          <w:color w:val="auto"/>
        </w:rPr>
        <w:t>UNITED STATES</w:t>
      </w:r>
    </w:p>
    <w:p>
      <w:pPr>
        <w:spacing w:after="0" w:line="30" w:lineRule="exact"/>
        <w:rPr>
          <w:sz w:val="24"/>
          <w:szCs w:val="24"/>
          <w:color w:val="auto"/>
        </w:rPr>
      </w:pPr>
    </w:p>
    <w:p>
      <w:pPr>
        <w:jc w:val="center"/>
        <w:ind w:right="-179"/>
        <w:spacing w:after="0"/>
        <w:rPr>
          <w:sz w:val="20"/>
          <w:szCs w:val="20"/>
          <w:color w:val="auto"/>
        </w:rPr>
      </w:pPr>
      <w:r>
        <w:rPr>
          <w:rFonts w:ascii="Arial" w:cs="Arial" w:eastAsia="Arial" w:hAnsi="Arial"/>
          <w:sz w:val="27"/>
          <w:szCs w:val="27"/>
          <w:b w:val="1"/>
          <w:bCs w:val="1"/>
          <w:color w:val="auto"/>
        </w:rPr>
        <w:t>SECURITIES AND EXCHANGE COMMISSION</w:t>
      </w:r>
    </w:p>
    <w:p>
      <w:pPr>
        <w:jc w:val="center"/>
        <w:ind w:right="-179"/>
        <w:spacing w:after="0"/>
        <w:rPr>
          <w:sz w:val="20"/>
          <w:szCs w:val="20"/>
          <w:color w:val="auto"/>
        </w:rPr>
      </w:pPr>
      <w:r>
        <w:rPr>
          <w:rFonts w:ascii="Arial" w:cs="Arial" w:eastAsia="Arial" w:hAnsi="Arial"/>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2894965</wp:posOffset>
            </wp:positionH>
            <wp:positionV relativeFrom="paragraph">
              <wp:posOffset>64770</wp:posOffset>
            </wp:positionV>
            <wp:extent cx="146621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pacing w:after="0" w:line="108" w:lineRule="exact"/>
        <w:rPr>
          <w:sz w:val="24"/>
          <w:szCs w:val="24"/>
          <w:color w:val="auto"/>
        </w:rPr>
      </w:pPr>
    </w:p>
    <w:p>
      <w:pPr>
        <w:jc w:val="center"/>
        <w:ind w:right="-179"/>
        <w:spacing w:after="0"/>
        <w:rPr>
          <w:sz w:val="20"/>
          <w:szCs w:val="20"/>
          <w:color w:val="auto"/>
        </w:rPr>
      </w:pPr>
      <w:r>
        <w:rPr>
          <w:rFonts w:ascii="Arial" w:cs="Arial" w:eastAsia="Arial" w:hAnsi="Arial"/>
          <w:sz w:val="27"/>
          <w:szCs w:val="27"/>
          <w:b w:val="1"/>
          <w:bCs w:val="1"/>
          <w:color w:val="auto"/>
        </w:rPr>
        <w:t>FORM 20-F/A</w:t>
      </w:r>
    </w:p>
    <w:p>
      <w:pPr>
        <w:spacing w:after="0" w:line="40" w:lineRule="exact"/>
        <w:rPr>
          <w:sz w:val="24"/>
          <w:szCs w:val="24"/>
          <w:color w:val="auto"/>
        </w:rPr>
      </w:pPr>
    </w:p>
    <w:p>
      <w:pPr>
        <w:jc w:val="center"/>
        <w:ind w:right="-179"/>
        <w:spacing w:after="0"/>
        <w:rPr>
          <w:sz w:val="20"/>
          <w:szCs w:val="20"/>
          <w:color w:val="auto"/>
        </w:rPr>
      </w:pPr>
      <w:r>
        <w:rPr>
          <w:rFonts w:ascii="Arial" w:cs="Arial" w:eastAsia="Arial" w:hAnsi="Arial"/>
          <w:sz w:val="27"/>
          <w:szCs w:val="27"/>
          <w:b w:val="1"/>
          <w:bCs w:val="1"/>
          <w:color w:val="auto"/>
        </w:rPr>
        <w:t>(Amendment No. 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2894965</wp:posOffset>
            </wp:positionH>
            <wp:positionV relativeFrom="paragraph">
              <wp:posOffset>78105</wp:posOffset>
            </wp:positionV>
            <wp:extent cx="146621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pacing w:after="0" w:line="121" w:lineRule="exact"/>
        <w:rPr>
          <w:sz w:val="24"/>
          <w:szCs w:val="24"/>
          <w:color w:val="auto"/>
        </w:rPr>
      </w:pPr>
    </w:p>
    <w:p>
      <w:pPr>
        <w:ind w:left="200"/>
        <w:spacing w:after="0"/>
        <w:rPr>
          <w:sz w:val="20"/>
          <w:szCs w:val="20"/>
          <w:color w:val="auto"/>
        </w:rPr>
      </w:pPr>
      <w:r>
        <w:rPr>
          <w:rFonts w:ascii="Arial" w:cs="Arial" w:eastAsia="Arial" w:hAnsi="Arial"/>
          <w:sz w:val="14"/>
          <w:szCs w:val="14"/>
          <w:b w:val="1"/>
          <w:bCs w:val="1"/>
          <w:color w:val="auto"/>
        </w:rPr>
        <w:t>(Mark One)</w:t>
      </w:r>
    </w:p>
    <w:p>
      <w:pPr>
        <w:spacing w:after="0" w:line="32" w:lineRule="exact"/>
        <w:rPr>
          <w:sz w:val="24"/>
          <w:szCs w:val="24"/>
          <w:color w:val="auto"/>
        </w:rPr>
      </w:pPr>
    </w:p>
    <w:p>
      <w:pPr>
        <w:ind w:left="640" w:hanging="436"/>
        <w:spacing w:after="0"/>
        <w:tabs>
          <w:tab w:leader="none" w:pos="640" w:val="left"/>
        </w:tabs>
        <w:numPr>
          <w:ilvl w:val="0"/>
          <w:numId w:val="1"/>
        </w:numPr>
        <w:rPr>
          <w:rFonts w:ascii="MS PGothic" w:cs="MS PGothic" w:eastAsia="MS PGothic" w:hAnsi="MS PGothic"/>
          <w:sz w:val="18"/>
          <w:szCs w:val="18"/>
          <w:color w:val="auto"/>
        </w:rPr>
      </w:pPr>
      <w:r>
        <w:rPr>
          <w:rFonts w:ascii="Arial" w:cs="Arial" w:eastAsia="Arial" w:hAnsi="Arial"/>
          <w:sz w:val="18"/>
          <w:szCs w:val="18"/>
          <w:b w:val="1"/>
          <w:bCs w:val="1"/>
          <w:color w:val="auto"/>
        </w:rPr>
        <w:t>REGISTRATION STATEMENT PURSUANT TO SECTION 12(b) OR (g) OF THE SECURITIES EXCHANGE ACT OF 1934</w:t>
      </w:r>
    </w:p>
    <w:p>
      <w:pPr>
        <w:spacing w:after="0" w:line="47" w:lineRule="exact"/>
        <w:rPr>
          <w:sz w:val="24"/>
          <w:szCs w:val="24"/>
          <w:color w:val="auto"/>
        </w:rPr>
      </w:pPr>
    </w:p>
    <w:p>
      <w:pPr>
        <w:jc w:val="center"/>
        <w:ind w:right="-179"/>
        <w:spacing w:after="0"/>
        <w:rPr>
          <w:sz w:val="20"/>
          <w:szCs w:val="20"/>
          <w:color w:val="auto"/>
        </w:rPr>
      </w:pPr>
      <w:r>
        <w:rPr>
          <w:rFonts w:ascii="Arial" w:cs="Arial" w:eastAsia="Arial" w:hAnsi="Arial"/>
          <w:sz w:val="14"/>
          <w:szCs w:val="14"/>
          <w:b w:val="1"/>
          <w:bCs w:val="1"/>
          <w:color w:val="auto"/>
        </w:rPr>
        <w:t>OR</w:t>
      </w:r>
    </w:p>
    <w:p>
      <w:pPr>
        <w:spacing w:after="0" w:line="30" w:lineRule="exact"/>
        <w:rPr>
          <w:sz w:val="24"/>
          <w:szCs w:val="24"/>
          <w:color w:val="auto"/>
        </w:rPr>
      </w:pPr>
    </w:p>
    <w:p>
      <w:pPr>
        <w:ind w:left="640" w:hanging="436"/>
        <w:spacing w:after="0"/>
        <w:tabs>
          <w:tab w:leader="none" w:pos="640" w:val="left"/>
        </w:tabs>
        <w:numPr>
          <w:ilvl w:val="0"/>
          <w:numId w:val="2"/>
        </w:numPr>
        <w:rPr>
          <w:rFonts w:ascii="MS PGothic" w:cs="MS PGothic" w:eastAsia="MS PGothic" w:hAnsi="MS PGothic"/>
          <w:sz w:val="18"/>
          <w:szCs w:val="18"/>
          <w:color w:val="auto"/>
        </w:rPr>
      </w:pPr>
      <w:r>
        <w:rPr>
          <w:rFonts w:ascii="Arial" w:cs="Arial" w:eastAsia="Arial" w:hAnsi="Arial"/>
          <w:sz w:val="18"/>
          <w:szCs w:val="18"/>
          <w:b w:val="1"/>
          <w:bCs w:val="1"/>
          <w:color w:val="auto"/>
        </w:rPr>
        <w:t>ANNUAL REPORT PURSUANT TO SECTION 13 OR 15(d) OF THE SECURITIES EXCHANGE ACT OF 1934</w:t>
      </w:r>
    </w:p>
    <w:p>
      <w:pPr>
        <w:spacing w:after="0" w:line="47" w:lineRule="exact"/>
        <w:rPr>
          <w:sz w:val="24"/>
          <w:szCs w:val="24"/>
          <w:color w:val="auto"/>
        </w:rPr>
      </w:pPr>
    </w:p>
    <w:p>
      <w:pPr>
        <w:ind w:left="4580"/>
        <w:spacing w:after="0"/>
        <w:rPr>
          <w:sz w:val="20"/>
          <w:szCs w:val="20"/>
          <w:color w:val="auto"/>
        </w:rPr>
      </w:pPr>
      <w:r>
        <w:rPr>
          <w:rFonts w:ascii="Arial" w:cs="Arial" w:eastAsia="Arial" w:hAnsi="Arial"/>
          <w:sz w:val="14"/>
          <w:szCs w:val="14"/>
          <w:b w:val="1"/>
          <w:bCs w:val="1"/>
          <w:color w:val="auto"/>
        </w:rPr>
        <w:t>For the fiscal year ended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3893185</wp:posOffset>
            </wp:positionH>
            <wp:positionV relativeFrom="paragraph">
              <wp:posOffset>-2540</wp:posOffset>
            </wp:positionV>
            <wp:extent cx="45720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457200" cy="8890"/>
                    </a:xfrm>
                    <a:prstGeom prst="rect">
                      <a:avLst/>
                    </a:prstGeom>
                    <a:noFill/>
                  </pic:spPr>
                </pic:pic>
              </a:graphicData>
            </a:graphic>
          </wp:anchor>
        </w:drawing>
      </w:r>
    </w:p>
    <w:p>
      <w:pPr>
        <w:spacing w:after="0" w:line="3" w:lineRule="exact"/>
        <w:rPr>
          <w:sz w:val="24"/>
          <w:szCs w:val="24"/>
          <w:color w:val="auto"/>
        </w:rPr>
      </w:pPr>
    </w:p>
    <w:p>
      <w:pPr>
        <w:ind w:left="5600"/>
        <w:spacing w:after="0"/>
        <w:rPr>
          <w:sz w:val="20"/>
          <w:szCs w:val="20"/>
          <w:color w:val="auto"/>
        </w:rPr>
      </w:pPr>
      <w:r>
        <w:rPr>
          <w:rFonts w:ascii="Arial" w:cs="Arial" w:eastAsia="Arial" w:hAnsi="Arial"/>
          <w:sz w:val="14"/>
          <w:szCs w:val="14"/>
          <w:b w:val="1"/>
          <w:bCs w:val="1"/>
          <w:color w:val="auto"/>
        </w:rPr>
        <w:t>OR</w:t>
      </w:r>
    </w:p>
    <w:p>
      <w:pPr>
        <w:spacing w:after="0" w:line="22" w:lineRule="exact"/>
        <w:rPr>
          <w:sz w:val="24"/>
          <w:szCs w:val="24"/>
          <w:color w:val="auto"/>
        </w:rPr>
      </w:pPr>
    </w:p>
    <w:p>
      <w:pPr>
        <w:ind w:left="640" w:hanging="436"/>
        <w:spacing w:after="0"/>
        <w:tabs>
          <w:tab w:leader="none" w:pos="640" w:val="left"/>
        </w:tabs>
        <w:numPr>
          <w:ilvl w:val="0"/>
          <w:numId w:val="3"/>
        </w:numPr>
        <w:rPr>
          <w:rFonts w:ascii="MS PGothic" w:cs="MS PGothic" w:eastAsia="MS PGothic" w:hAnsi="MS PGothic"/>
          <w:sz w:val="18"/>
          <w:szCs w:val="18"/>
          <w:color w:val="auto"/>
        </w:rPr>
      </w:pPr>
      <w:r>
        <w:rPr>
          <w:rFonts w:ascii="Arial" w:cs="Arial" w:eastAsia="Arial" w:hAnsi="Arial"/>
          <w:sz w:val="18"/>
          <w:szCs w:val="18"/>
          <w:b w:val="1"/>
          <w:bCs w:val="1"/>
          <w:color w:val="auto"/>
        </w:rPr>
        <w:t>TRANSITION REPORT PURSUANT TO SECTION 13 OR 15(d) OF THE SECURITIES EXCHANGE ACT OF 1934</w:t>
      </w:r>
    </w:p>
    <w:p>
      <w:pPr>
        <w:spacing w:after="0" w:line="42" w:lineRule="exact"/>
        <w:rPr>
          <w:sz w:val="24"/>
          <w:szCs w:val="24"/>
          <w:color w:val="auto"/>
        </w:rPr>
      </w:pPr>
    </w:p>
    <w:tbl>
      <w:tblPr>
        <w:tblLayout w:type="fixed"/>
        <w:tblInd w:w="4100" w:type="dxa"/>
        <w:tblCellMar>
          <w:top w:w="0" w:type="dxa"/>
          <w:left w:w="0" w:type="dxa"/>
          <w:bottom w:w="0" w:type="dxa"/>
          <w:right w:w="0" w:type="dxa"/>
        </w:tblCellMar>
      </w:tblPr>
      <w:tr>
        <w:trPr>
          <w:trHeight w:val="161"/>
        </w:trPr>
        <w:tc>
          <w:tcPr>
            <w:tcW w:w="1900" w:type="dxa"/>
            <w:vAlign w:val="bottom"/>
          </w:tcPr>
          <w:p>
            <w:pPr>
              <w:spacing w:after="0"/>
              <w:rPr>
                <w:sz w:val="20"/>
                <w:szCs w:val="20"/>
                <w:color w:val="auto"/>
              </w:rPr>
            </w:pPr>
            <w:r>
              <w:rPr>
                <w:rFonts w:ascii="Arial" w:cs="Arial" w:eastAsia="Arial" w:hAnsi="Arial"/>
                <w:sz w:val="14"/>
                <w:szCs w:val="14"/>
                <w:b w:val="1"/>
                <w:bCs w:val="1"/>
                <w:color w:val="auto"/>
                <w:w w:val="95"/>
              </w:rPr>
              <w:t>For the transition period from</w:t>
            </w:r>
          </w:p>
        </w:tc>
        <w:tc>
          <w:tcPr>
            <w:tcW w:w="560" w:type="dxa"/>
            <w:vAlign w:val="bottom"/>
            <w:tcBorders>
              <w:bottom w:val="single" w:sz="8" w:color="auto"/>
            </w:tcBorders>
          </w:tcPr>
          <w:p>
            <w:pPr>
              <w:spacing w:after="0"/>
              <w:rPr>
                <w:sz w:val="14"/>
                <w:szCs w:val="14"/>
                <w:color w:val="auto"/>
              </w:rPr>
            </w:pPr>
          </w:p>
        </w:tc>
        <w:tc>
          <w:tcPr>
            <w:tcW w:w="160" w:type="dxa"/>
            <w:vAlign w:val="bottom"/>
          </w:tcPr>
          <w:p>
            <w:pPr>
              <w:ind w:left="40"/>
              <w:spacing w:after="0"/>
              <w:rPr>
                <w:sz w:val="20"/>
                <w:szCs w:val="20"/>
                <w:color w:val="auto"/>
              </w:rPr>
            </w:pPr>
            <w:r>
              <w:rPr>
                <w:rFonts w:ascii="Arial" w:cs="Arial" w:eastAsia="Arial" w:hAnsi="Arial"/>
                <w:sz w:val="14"/>
                <w:szCs w:val="14"/>
                <w:b w:val="1"/>
                <w:bCs w:val="1"/>
                <w:color w:val="auto"/>
                <w:w w:val="75"/>
              </w:rPr>
              <w:t>to</w:t>
            </w:r>
          </w:p>
        </w:tc>
      </w:tr>
      <w:tr>
        <w:trPr>
          <w:trHeight w:val="198"/>
        </w:trPr>
        <w:tc>
          <w:tcPr>
            <w:tcW w:w="1900" w:type="dxa"/>
            <w:vAlign w:val="bottom"/>
          </w:tcPr>
          <w:p>
            <w:pPr>
              <w:ind w:left="1500"/>
              <w:spacing w:after="0"/>
              <w:rPr>
                <w:sz w:val="20"/>
                <w:szCs w:val="20"/>
                <w:color w:val="auto"/>
              </w:rPr>
            </w:pPr>
            <w:r>
              <w:rPr>
                <w:rFonts w:ascii="Arial" w:cs="Arial" w:eastAsia="Arial" w:hAnsi="Arial"/>
                <w:sz w:val="14"/>
                <w:szCs w:val="14"/>
                <w:b w:val="1"/>
                <w:bCs w:val="1"/>
                <w:color w:val="auto"/>
              </w:rPr>
              <w:t>OR</w:t>
            </w:r>
          </w:p>
        </w:tc>
        <w:tc>
          <w:tcPr>
            <w:tcW w:w="560" w:type="dxa"/>
            <w:vAlign w:val="bottom"/>
          </w:tcPr>
          <w:p>
            <w:pPr>
              <w:spacing w:after="0"/>
              <w:rPr>
                <w:sz w:val="17"/>
                <w:szCs w:val="17"/>
                <w:color w:val="auto"/>
              </w:rPr>
            </w:pPr>
          </w:p>
        </w:tc>
        <w:tc>
          <w:tcPr>
            <w:tcW w:w="160" w:type="dxa"/>
            <w:vAlign w:val="bottom"/>
          </w:tcPr>
          <w:p>
            <w:pPr>
              <w:spacing w:after="0"/>
              <w:rPr>
                <w:sz w:val="17"/>
                <w:szCs w:val="17"/>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4291330</wp:posOffset>
            </wp:positionH>
            <wp:positionV relativeFrom="paragraph">
              <wp:posOffset>-137795</wp:posOffset>
            </wp:positionV>
            <wp:extent cx="36576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65760" cy="8890"/>
                    </a:xfrm>
                    <a:prstGeom prst="rect">
                      <a:avLst/>
                    </a:prstGeom>
                    <a:noFill/>
                  </pic:spPr>
                </pic:pic>
              </a:graphicData>
            </a:graphic>
          </wp:anchor>
        </w:drawing>
      </w:r>
    </w:p>
    <w:p>
      <w:pPr>
        <w:ind w:left="640" w:hanging="436"/>
        <w:spacing w:after="0"/>
        <w:tabs>
          <w:tab w:leader="none" w:pos="640" w:val="left"/>
        </w:tabs>
        <w:numPr>
          <w:ilvl w:val="0"/>
          <w:numId w:val="4"/>
        </w:numPr>
        <w:rPr>
          <w:rFonts w:ascii="MS PGothic" w:cs="MS PGothic" w:eastAsia="MS PGothic" w:hAnsi="MS PGothic"/>
          <w:sz w:val="18"/>
          <w:szCs w:val="18"/>
          <w:color w:val="auto"/>
        </w:rPr>
      </w:pPr>
      <w:r>
        <w:rPr>
          <w:rFonts w:ascii="Arial" w:cs="Arial" w:eastAsia="Arial" w:hAnsi="Arial"/>
          <w:sz w:val="18"/>
          <w:szCs w:val="18"/>
          <w:b w:val="1"/>
          <w:bCs w:val="1"/>
          <w:color w:val="auto"/>
        </w:rPr>
        <w:t>SHELL COMPANY REPORT PURSUANT TO SECTION 13 OR 15(d) OF THE SECURITIES EXCHANGE ACT OF 1934</w:t>
      </w:r>
    </w:p>
    <w:p>
      <w:pPr>
        <w:spacing w:after="0" w:line="47" w:lineRule="exact"/>
        <w:rPr>
          <w:sz w:val="24"/>
          <w:szCs w:val="24"/>
          <w:color w:val="auto"/>
        </w:rPr>
      </w:pPr>
    </w:p>
    <w:p>
      <w:pPr>
        <w:jc w:val="center"/>
        <w:ind w:right="-179"/>
        <w:spacing w:after="0"/>
        <w:rPr>
          <w:sz w:val="20"/>
          <w:szCs w:val="20"/>
          <w:color w:val="auto"/>
        </w:rPr>
      </w:pPr>
      <w:r>
        <w:rPr>
          <w:rFonts w:ascii="Arial" w:cs="Arial" w:eastAsia="Arial" w:hAnsi="Arial"/>
          <w:sz w:val="14"/>
          <w:szCs w:val="14"/>
          <w:b w:val="1"/>
          <w:bCs w:val="1"/>
          <w:color w:val="auto"/>
        </w:rPr>
        <w:t>Date of event requiring this shell company report</w:t>
      </w:r>
    </w:p>
    <w:p>
      <w:pPr>
        <w:spacing w:after="0" w:line="12" w:lineRule="exact"/>
        <w:rPr>
          <w:sz w:val="24"/>
          <w:szCs w:val="24"/>
          <w:color w:val="auto"/>
        </w:rPr>
      </w:pPr>
    </w:p>
    <w:p>
      <w:pPr>
        <w:jc w:val="center"/>
        <w:ind w:right="-179"/>
        <w:spacing w:after="0"/>
        <w:rPr>
          <w:sz w:val="20"/>
          <w:szCs w:val="20"/>
          <w:color w:val="auto"/>
        </w:rPr>
      </w:pPr>
      <w:r>
        <w:rPr>
          <w:rFonts w:ascii="Arial" w:cs="Arial" w:eastAsia="Arial" w:hAnsi="Arial"/>
          <w:sz w:val="14"/>
          <w:szCs w:val="14"/>
          <w:b w:val="1"/>
          <w:bCs w:val="1"/>
          <w:color w:val="auto"/>
        </w:rPr>
        <w:t>Commission file number 001-39059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2894965</wp:posOffset>
            </wp:positionH>
            <wp:positionV relativeFrom="paragraph">
              <wp:posOffset>100965</wp:posOffset>
            </wp:positionV>
            <wp:extent cx="146621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66215" cy="8890"/>
                    </a:xfrm>
                    <a:prstGeom prst="rect">
                      <a:avLst/>
                    </a:prstGeom>
                    <a:noFill/>
                  </pic:spPr>
                </pic:pic>
              </a:graphicData>
            </a:graphic>
          </wp:anchor>
        </w:drawing>
        <w:drawing>
          <wp:anchor simplePos="0" relativeHeight="251657728" behindDoc="1" locked="0" layoutInCell="0" allowOverlap="1">
            <wp:simplePos x="0" y="0"/>
            <wp:positionH relativeFrom="column">
              <wp:posOffset>3023870</wp:posOffset>
            </wp:positionH>
            <wp:positionV relativeFrom="paragraph">
              <wp:posOffset>238125</wp:posOffset>
            </wp:positionV>
            <wp:extent cx="1209040" cy="53149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09040" cy="53149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85" w:lineRule="exact"/>
        <w:rPr>
          <w:sz w:val="24"/>
          <w:szCs w:val="24"/>
          <w:color w:val="auto"/>
        </w:rPr>
      </w:pPr>
    </w:p>
    <w:p>
      <w:pPr>
        <w:jc w:val="center"/>
        <w:ind w:right="-179"/>
        <w:spacing w:after="0"/>
        <w:rPr>
          <w:sz w:val="20"/>
          <w:szCs w:val="20"/>
          <w:color w:val="auto"/>
        </w:rPr>
      </w:pPr>
      <w:r>
        <w:rPr>
          <w:rFonts w:ascii="Arial" w:cs="Arial" w:eastAsia="Arial" w:hAnsi="Arial"/>
          <w:sz w:val="40"/>
          <w:szCs w:val="40"/>
          <w:b w:val="1"/>
          <w:bCs w:val="1"/>
          <w:color w:val="auto"/>
        </w:rPr>
        <w:t>Avita Medical Limited</w:t>
      </w:r>
    </w:p>
    <w:p>
      <w:pPr>
        <w:spacing w:after="0" w:line="14" w:lineRule="exact"/>
        <w:rPr>
          <w:sz w:val="24"/>
          <w:szCs w:val="24"/>
          <w:color w:val="auto"/>
        </w:rPr>
      </w:pPr>
    </w:p>
    <w:p>
      <w:pPr>
        <w:ind w:left="4120"/>
        <w:spacing w:after="0"/>
        <w:rPr>
          <w:sz w:val="20"/>
          <w:szCs w:val="20"/>
          <w:color w:val="auto"/>
        </w:rPr>
      </w:pPr>
      <w:r>
        <w:rPr>
          <w:rFonts w:ascii="Arial" w:cs="Arial" w:eastAsia="Arial" w:hAnsi="Arial"/>
          <w:sz w:val="14"/>
          <w:szCs w:val="14"/>
          <w:b w:val="1"/>
          <w:bCs w:val="1"/>
          <w:color w:val="auto"/>
        </w:rPr>
        <w:t>(Exact name of Registrant as specified in its charter</w:t>
      </w:r>
    </w:p>
    <w:p>
      <w:pPr>
        <w:ind w:left="4180"/>
        <w:spacing w:after="0"/>
        <w:rPr>
          <w:sz w:val="20"/>
          <w:szCs w:val="20"/>
          <w:color w:val="auto"/>
        </w:rPr>
      </w:pPr>
      <w:r>
        <w:rPr>
          <w:rFonts w:ascii="Arial" w:cs="Arial" w:eastAsia="Arial" w:hAnsi="Arial"/>
          <w:sz w:val="14"/>
          <w:szCs w:val="14"/>
          <w:b w:val="1"/>
          <w:bCs w:val="1"/>
          <w:color w:val="auto"/>
        </w:rPr>
        <w:t>and translation of Registrant’s name into English)</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2894965</wp:posOffset>
            </wp:positionH>
            <wp:positionV relativeFrom="paragraph">
              <wp:posOffset>56515</wp:posOffset>
            </wp:positionV>
            <wp:extent cx="1466215"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pacing w:after="0" w:line="100" w:lineRule="exact"/>
        <w:rPr>
          <w:sz w:val="24"/>
          <w:szCs w:val="24"/>
          <w:color w:val="auto"/>
        </w:rPr>
      </w:pPr>
    </w:p>
    <w:p>
      <w:pPr>
        <w:jc w:val="center"/>
        <w:ind w:right="-179"/>
        <w:spacing w:after="0"/>
        <w:rPr>
          <w:sz w:val="20"/>
          <w:szCs w:val="20"/>
          <w:color w:val="auto"/>
        </w:rPr>
      </w:pPr>
      <w:r>
        <w:rPr>
          <w:rFonts w:ascii="Arial" w:cs="Arial" w:eastAsia="Arial" w:hAnsi="Arial"/>
          <w:sz w:val="14"/>
          <w:szCs w:val="14"/>
          <w:b w:val="1"/>
          <w:bCs w:val="1"/>
          <w:color w:val="auto"/>
        </w:rPr>
        <w:t>Australia</w:t>
      </w:r>
    </w:p>
    <w:p>
      <w:pPr>
        <w:spacing w:after="0" w:line="4" w:lineRule="exact"/>
        <w:rPr>
          <w:sz w:val="24"/>
          <w:szCs w:val="24"/>
          <w:color w:val="auto"/>
        </w:rPr>
      </w:pPr>
    </w:p>
    <w:p>
      <w:pPr>
        <w:jc w:val="center"/>
        <w:ind w:right="-179"/>
        <w:spacing w:after="0"/>
        <w:rPr>
          <w:sz w:val="20"/>
          <w:szCs w:val="20"/>
          <w:color w:val="auto"/>
        </w:rPr>
      </w:pPr>
      <w:r>
        <w:rPr>
          <w:rFonts w:ascii="Arial" w:cs="Arial" w:eastAsia="Arial" w:hAnsi="Arial"/>
          <w:sz w:val="14"/>
          <w:szCs w:val="14"/>
          <w:b w:val="1"/>
          <w:bCs w:val="1"/>
          <w:color w:val="auto"/>
        </w:rPr>
        <w:t>(Jurisdiction of incorporation or organization)</w:t>
      </w:r>
    </w:p>
    <w:p>
      <w:pPr>
        <w:spacing w:after="0" w:line="2" w:lineRule="exact"/>
        <w:rPr>
          <w:sz w:val="24"/>
          <w:szCs w:val="24"/>
          <w:color w:val="auto"/>
        </w:rPr>
      </w:pPr>
    </w:p>
    <w:p>
      <w:pPr>
        <w:jc w:val="center"/>
        <w:ind w:right="-179"/>
        <w:spacing w:after="0"/>
        <w:rPr>
          <w:sz w:val="20"/>
          <w:szCs w:val="20"/>
          <w:color w:val="auto"/>
        </w:rPr>
      </w:pPr>
      <w:r>
        <w:rPr>
          <w:rFonts w:ascii="Arial" w:cs="Arial" w:eastAsia="Arial" w:hAnsi="Arial"/>
          <w:sz w:val="14"/>
          <w:szCs w:val="14"/>
          <w:b w:val="1"/>
          <w:bCs w:val="1"/>
          <w:color w:val="auto"/>
        </w:rPr>
        <w:t>Level 7, 330 Collins Street</w:t>
      </w:r>
    </w:p>
    <w:p>
      <w:pPr>
        <w:jc w:val="center"/>
        <w:ind w:right="-179"/>
        <w:spacing w:after="0" w:line="221" w:lineRule="auto"/>
        <w:rPr>
          <w:sz w:val="20"/>
          <w:szCs w:val="20"/>
          <w:color w:val="auto"/>
        </w:rPr>
      </w:pPr>
      <w:r>
        <w:rPr>
          <w:rFonts w:ascii="Arial" w:cs="Arial" w:eastAsia="Arial" w:hAnsi="Arial"/>
          <w:sz w:val="14"/>
          <w:szCs w:val="14"/>
          <w:b w:val="1"/>
          <w:bCs w:val="1"/>
          <w:color w:val="auto"/>
        </w:rPr>
        <w:t>Melbourne VIC 3000 Australia</w:t>
      </w:r>
    </w:p>
    <w:p>
      <w:pPr>
        <w:jc w:val="center"/>
        <w:ind w:right="-179"/>
        <w:spacing w:after="0" w:line="221" w:lineRule="auto"/>
        <w:rPr>
          <w:sz w:val="20"/>
          <w:szCs w:val="20"/>
          <w:color w:val="auto"/>
        </w:rPr>
      </w:pPr>
      <w:r>
        <w:rPr>
          <w:rFonts w:ascii="Arial" w:cs="Arial" w:eastAsia="Arial" w:hAnsi="Arial"/>
          <w:sz w:val="14"/>
          <w:szCs w:val="14"/>
          <w:b w:val="1"/>
          <w:bCs w:val="1"/>
          <w:color w:val="auto"/>
        </w:rPr>
        <w:t>Tel: +61 (0) 3 8689 9997</w:t>
      </w:r>
    </w:p>
    <w:p>
      <w:pPr>
        <w:spacing w:after="0" w:line="1" w:lineRule="exact"/>
        <w:rPr>
          <w:sz w:val="24"/>
          <w:szCs w:val="24"/>
          <w:color w:val="auto"/>
        </w:rPr>
      </w:pPr>
    </w:p>
    <w:p>
      <w:pPr>
        <w:jc w:val="center"/>
        <w:ind w:right="-179"/>
        <w:spacing w:after="0"/>
        <w:rPr>
          <w:sz w:val="20"/>
          <w:szCs w:val="20"/>
          <w:color w:val="auto"/>
        </w:rPr>
      </w:pPr>
      <w:r>
        <w:rPr>
          <w:rFonts w:ascii="Arial" w:cs="Arial" w:eastAsia="Arial" w:hAnsi="Arial"/>
          <w:sz w:val="14"/>
          <w:szCs w:val="14"/>
          <w:b w:val="1"/>
          <w:bCs w:val="1"/>
          <w:color w:val="auto"/>
        </w:rPr>
        <w:t>Fax: +61 (0) 8 9474 7742</w:t>
      </w:r>
    </w:p>
    <w:p>
      <w:pPr>
        <w:spacing w:after="0" w:line="12" w:lineRule="exact"/>
        <w:rPr>
          <w:sz w:val="24"/>
          <w:szCs w:val="24"/>
          <w:color w:val="auto"/>
        </w:rPr>
      </w:pPr>
    </w:p>
    <w:tbl>
      <w:tblPr>
        <w:tblLayout w:type="fixed"/>
        <w:tblInd w:w="220" w:type="dxa"/>
        <w:tblCellMar>
          <w:top w:w="0" w:type="dxa"/>
          <w:left w:w="0" w:type="dxa"/>
          <w:bottom w:w="0" w:type="dxa"/>
          <w:right w:w="0" w:type="dxa"/>
        </w:tblCellMar>
      </w:tblPr>
      <w:tr>
        <w:trPr>
          <w:trHeight w:val="186"/>
        </w:trPr>
        <w:tc>
          <w:tcPr>
            <w:tcW w:w="304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000" w:type="dxa"/>
            <w:vAlign w:val="bottom"/>
            <w:gridSpan w:val="3"/>
          </w:tcPr>
          <w:p>
            <w:pPr>
              <w:jc w:val="center"/>
              <w:ind w:right="740"/>
              <w:spacing w:after="0"/>
              <w:rPr>
                <w:sz w:val="20"/>
                <w:szCs w:val="20"/>
                <w:color w:val="auto"/>
              </w:rPr>
            </w:pPr>
            <w:r>
              <w:rPr>
                <w:rFonts w:ascii="Arial" w:cs="Arial" w:eastAsia="Arial" w:hAnsi="Arial"/>
                <w:sz w:val="14"/>
                <w:szCs w:val="14"/>
                <w:b w:val="1"/>
                <w:bCs w:val="1"/>
                <w:color w:val="auto"/>
                <w:w w:val="91"/>
              </w:rPr>
              <w:t>(Address of principal executive offices)</w:t>
            </w:r>
          </w:p>
        </w:tc>
        <w:tc>
          <w:tcPr>
            <w:tcW w:w="3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3040" w:type="dxa"/>
            <w:vAlign w:val="bottom"/>
          </w:tcPr>
          <w:p>
            <w:pPr>
              <w:spacing w:after="0"/>
              <w:rPr>
                <w:sz w:val="16"/>
                <w:szCs w:val="16"/>
                <w:color w:val="auto"/>
              </w:rPr>
            </w:pPr>
          </w:p>
        </w:tc>
        <w:tc>
          <w:tcPr>
            <w:tcW w:w="4820" w:type="dxa"/>
            <w:vAlign w:val="bottom"/>
            <w:gridSpan w:val="5"/>
          </w:tcPr>
          <w:p>
            <w:pPr>
              <w:jc w:val="center"/>
              <w:ind w:left="8"/>
              <w:spacing w:after="0"/>
              <w:rPr>
                <w:sz w:val="20"/>
                <w:szCs w:val="20"/>
                <w:color w:val="auto"/>
              </w:rPr>
            </w:pPr>
            <w:r>
              <w:rPr>
                <w:rFonts w:ascii="Arial" w:cs="Arial" w:eastAsia="Arial" w:hAnsi="Arial"/>
                <w:sz w:val="14"/>
                <w:szCs w:val="14"/>
                <w:b w:val="1"/>
                <w:bCs w:val="1"/>
                <w:color w:val="auto"/>
                <w:w w:val="91"/>
              </w:rPr>
              <w:t>Securities registered or to be registered pursuant to Section 12(b) of the Act.</w:t>
            </w:r>
          </w:p>
        </w:tc>
        <w:tc>
          <w:tcPr>
            <w:tcW w:w="3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51"/>
        </w:trPr>
        <w:tc>
          <w:tcPr>
            <w:tcW w:w="3040" w:type="dxa"/>
            <w:vAlign w:val="bottom"/>
            <w:vMerge w:val="restart"/>
          </w:tcPr>
          <w:p>
            <w:pPr>
              <w:jc w:val="center"/>
              <w:ind w:left="610"/>
              <w:spacing w:after="0"/>
              <w:rPr>
                <w:sz w:val="20"/>
                <w:szCs w:val="20"/>
                <w:color w:val="auto"/>
              </w:rPr>
            </w:pPr>
            <w:r>
              <w:rPr>
                <w:rFonts w:ascii="Arial" w:cs="Arial" w:eastAsia="Arial" w:hAnsi="Arial"/>
                <w:sz w:val="14"/>
                <w:szCs w:val="14"/>
                <w:b w:val="1"/>
                <w:bCs w:val="1"/>
                <w:color w:val="auto"/>
                <w:w w:val="89"/>
              </w:rPr>
              <w:t>Title of each class</w:t>
            </w:r>
          </w:p>
        </w:tc>
        <w:tc>
          <w:tcPr>
            <w:tcW w:w="7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000" w:type="dxa"/>
            <w:vAlign w:val="bottom"/>
            <w:gridSpan w:val="3"/>
          </w:tcPr>
          <w:p>
            <w:pPr>
              <w:jc w:val="center"/>
              <w:ind w:right="500"/>
              <w:spacing w:after="0" w:line="151" w:lineRule="exact"/>
              <w:rPr>
                <w:sz w:val="20"/>
                <w:szCs w:val="20"/>
                <w:color w:val="auto"/>
              </w:rPr>
            </w:pPr>
            <w:r>
              <w:rPr>
                <w:rFonts w:ascii="Arial" w:cs="Arial" w:eastAsia="Arial" w:hAnsi="Arial"/>
                <w:sz w:val="14"/>
                <w:szCs w:val="14"/>
                <w:b w:val="1"/>
                <w:bCs w:val="1"/>
                <w:color w:val="auto"/>
                <w:w w:val="97"/>
              </w:rPr>
              <w:t>Trading</w:t>
            </w:r>
          </w:p>
        </w:tc>
        <w:tc>
          <w:tcPr>
            <w:tcW w:w="3160" w:type="dxa"/>
            <w:vAlign w:val="bottom"/>
          </w:tcPr>
          <w:p>
            <w:pPr>
              <w:jc w:val="center"/>
              <w:ind w:right="330"/>
              <w:spacing w:after="0" w:line="151" w:lineRule="exact"/>
              <w:rPr>
                <w:sz w:val="20"/>
                <w:szCs w:val="20"/>
                <w:color w:val="auto"/>
              </w:rPr>
            </w:pPr>
            <w:r>
              <w:rPr>
                <w:rFonts w:ascii="Arial" w:cs="Arial" w:eastAsia="Arial" w:hAnsi="Arial"/>
                <w:sz w:val="14"/>
                <w:szCs w:val="14"/>
                <w:b w:val="1"/>
                <w:bCs w:val="1"/>
                <w:color w:val="auto"/>
                <w:w w:val="90"/>
              </w:rPr>
              <w:t>Name of each exchange on which registered</w:t>
            </w:r>
          </w:p>
        </w:tc>
        <w:tc>
          <w:tcPr>
            <w:tcW w:w="0" w:type="dxa"/>
            <w:vAlign w:val="bottom"/>
          </w:tcPr>
          <w:p>
            <w:pPr>
              <w:spacing w:after="0"/>
              <w:rPr>
                <w:sz w:val="1"/>
                <w:szCs w:val="1"/>
                <w:color w:val="auto"/>
              </w:rPr>
            </w:pPr>
          </w:p>
        </w:tc>
      </w:tr>
      <w:tr>
        <w:trPr>
          <w:trHeight w:val="185"/>
        </w:trPr>
        <w:tc>
          <w:tcPr>
            <w:tcW w:w="3040" w:type="dxa"/>
            <w:vAlign w:val="bottom"/>
            <w:vMerge w:val="continue"/>
          </w:tcPr>
          <w:p>
            <w:pPr>
              <w:spacing w:after="0"/>
              <w:rPr>
                <w:sz w:val="16"/>
                <w:szCs w:val="16"/>
                <w:color w:val="auto"/>
              </w:rPr>
            </w:pPr>
          </w:p>
        </w:tc>
        <w:tc>
          <w:tcPr>
            <w:tcW w:w="7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000" w:type="dxa"/>
            <w:vAlign w:val="bottom"/>
            <w:gridSpan w:val="3"/>
          </w:tcPr>
          <w:p>
            <w:pPr>
              <w:jc w:val="center"/>
              <w:ind w:right="500"/>
              <w:spacing w:after="0"/>
              <w:rPr>
                <w:sz w:val="20"/>
                <w:szCs w:val="20"/>
                <w:color w:val="auto"/>
              </w:rPr>
            </w:pPr>
            <w:r>
              <w:rPr>
                <w:rFonts w:ascii="Arial" w:cs="Arial" w:eastAsia="Arial" w:hAnsi="Arial"/>
                <w:sz w:val="14"/>
                <w:szCs w:val="14"/>
                <w:b w:val="1"/>
                <w:bCs w:val="1"/>
                <w:color w:val="auto"/>
                <w:w w:val="91"/>
              </w:rPr>
              <w:t>Symbol(s)</w:t>
            </w:r>
          </w:p>
        </w:tc>
        <w:tc>
          <w:tcPr>
            <w:tcW w:w="3160" w:type="dxa"/>
            <w:vAlign w:val="bottom"/>
          </w:tcPr>
          <w:p>
            <w:pPr>
              <w:jc w:val="center"/>
              <w:ind w:right="330"/>
              <w:spacing w:after="0"/>
              <w:rPr>
                <w:sz w:val="20"/>
                <w:szCs w:val="20"/>
                <w:color w:val="auto"/>
              </w:rPr>
            </w:pPr>
            <w:r>
              <w:rPr>
                <w:rFonts w:ascii="Arial" w:cs="Arial" w:eastAsia="Arial" w:hAnsi="Arial"/>
                <w:sz w:val="14"/>
                <w:szCs w:val="14"/>
                <w:b w:val="1"/>
                <w:bCs w:val="1"/>
                <w:color w:val="auto"/>
                <w:w w:val="91"/>
              </w:rPr>
              <w:t>or to be registered</w:t>
            </w:r>
          </w:p>
        </w:tc>
        <w:tc>
          <w:tcPr>
            <w:tcW w:w="0" w:type="dxa"/>
            <w:vAlign w:val="bottom"/>
          </w:tcPr>
          <w:p>
            <w:pPr>
              <w:spacing w:after="0"/>
              <w:rPr>
                <w:sz w:val="1"/>
                <w:szCs w:val="1"/>
                <w:color w:val="auto"/>
              </w:rPr>
            </w:pPr>
          </w:p>
        </w:tc>
      </w:tr>
      <w:tr>
        <w:trPr>
          <w:trHeight w:val="119"/>
        </w:trPr>
        <w:tc>
          <w:tcPr>
            <w:tcW w:w="3040" w:type="dxa"/>
            <w:vAlign w:val="bottom"/>
            <w:tcBorders>
              <w:top w:val="single" w:sz="8" w:color="auto"/>
            </w:tcBorders>
          </w:tcPr>
          <w:p>
            <w:pPr>
              <w:jc w:val="center"/>
              <w:ind w:left="610"/>
              <w:spacing w:after="0" w:line="119" w:lineRule="exact"/>
              <w:rPr>
                <w:sz w:val="20"/>
                <w:szCs w:val="20"/>
                <w:color w:val="auto"/>
              </w:rPr>
            </w:pPr>
            <w:r>
              <w:rPr>
                <w:rFonts w:ascii="Arial" w:cs="Arial" w:eastAsia="Arial" w:hAnsi="Arial"/>
                <w:sz w:val="13"/>
                <w:szCs w:val="13"/>
                <w:b w:val="1"/>
                <w:bCs w:val="1"/>
                <w:color w:val="auto"/>
                <w:w w:val="98"/>
              </w:rPr>
              <w:t>American Depositary Shares (each</w:t>
            </w:r>
          </w:p>
        </w:tc>
        <w:tc>
          <w:tcPr>
            <w:tcW w:w="700" w:type="dxa"/>
            <w:vAlign w:val="bottom"/>
            <w:tcBorders>
              <w:top w:val="single" w:sz="8" w:color="auto"/>
            </w:tcBorders>
          </w:tcPr>
          <w:p>
            <w:pPr>
              <w:spacing w:after="0"/>
              <w:rPr>
                <w:sz w:val="10"/>
                <w:szCs w:val="10"/>
                <w:color w:val="auto"/>
              </w:rPr>
            </w:pPr>
          </w:p>
        </w:tc>
        <w:tc>
          <w:tcPr>
            <w:tcW w:w="120" w:type="dxa"/>
            <w:vAlign w:val="bottom"/>
          </w:tcPr>
          <w:p>
            <w:pPr>
              <w:spacing w:after="0"/>
              <w:rPr>
                <w:sz w:val="10"/>
                <w:szCs w:val="10"/>
                <w:color w:val="auto"/>
              </w:rPr>
            </w:pPr>
          </w:p>
        </w:tc>
        <w:tc>
          <w:tcPr>
            <w:tcW w:w="3520" w:type="dxa"/>
            <w:vAlign w:val="bottom"/>
            <w:tcBorders>
              <w:top w:val="single" w:sz="8" w:color="auto"/>
            </w:tcBorders>
          </w:tcPr>
          <w:p>
            <w:pPr>
              <w:jc w:val="center"/>
              <w:spacing w:after="0" w:line="119" w:lineRule="exact"/>
              <w:rPr>
                <w:sz w:val="20"/>
                <w:szCs w:val="20"/>
                <w:color w:val="auto"/>
              </w:rPr>
            </w:pPr>
            <w:r>
              <w:rPr>
                <w:rFonts w:ascii="Arial" w:cs="Arial" w:eastAsia="Arial" w:hAnsi="Arial"/>
                <w:sz w:val="13"/>
                <w:szCs w:val="13"/>
                <w:b w:val="1"/>
                <w:bCs w:val="1"/>
                <w:color w:val="auto"/>
              </w:rPr>
              <w:t>CELS</w:t>
            </w:r>
          </w:p>
        </w:tc>
        <w:tc>
          <w:tcPr>
            <w:tcW w:w="100" w:type="dxa"/>
            <w:vAlign w:val="bottom"/>
          </w:tcPr>
          <w:p>
            <w:pPr>
              <w:spacing w:after="0"/>
              <w:rPr>
                <w:sz w:val="10"/>
                <w:szCs w:val="10"/>
                <w:color w:val="auto"/>
              </w:rPr>
            </w:pPr>
          </w:p>
        </w:tc>
        <w:tc>
          <w:tcPr>
            <w:tcW w:w="380" w:type="dxa"/>
            <w:vAlign w:val="bottom"/>
            <w:tcBorders>
              <w:top w:val="single" w:sz="8" w:color="auto"/>
            </w:tcBorders>
          </w:tcPr>
          <w:p>
            <w:pPr>
              <w:spacing w:after="0"/>
              <w:rPr>
                <w:sz w:val="10"/>
                <w:szCs w:val="10"/>
                <w:color w:val="auto"/>
              </w:rPr>
            </w:pPr>
          </w:p>
        </w:tc>
        <w:tc>
          <w:tcPr>
            <w:tcW w:w="3160" w:type="dxa"/>
            <w:vAlign w:val="bottom"/>
            <w:tcBorders>
              <w:top w:val="single" w:sz="8" w:color="auto"/>
            </w:tcBorders>
          </w:tcPr>
          <w:p>
            <w:pPr>
              <w:jc w:val="center"/>
              <w:ind w:right="330"/>
              <w:spacing w:after="0" w:line="119" w:lineRule="exact"/>
              <w:rPr>
                <w:sz w:val="20"/>
                <w:szCs w:val="20"/>
                <w:color w:val="auto"/>
              </w:rPr>
            </w:pPr>
            <w:r>
              <w:rPr>
                <w:rFonts w:ascii="Arial" w:cs="Arial" w:eastAsia="Arial" w:hAnsi="Arial"/>
                <w:sz w:val="13"/>
                <w:szCs w:val="13"/>
                <w:b w:val="1"/>
                <w:bCs w:val="1"/>
                <w:color w:val="auto"/>
              </w:rPr>
              <w:t>The NASDAQ Stock Market LLC</w:t>
            </w:r>
          </w:p>
        </w:tc>
        <w:tc>
          <w:tcPr>
            <w:tcW w:w="0" w:type="dxa"/>
            <w:vAlign w:val="bottom"/>
          </w:tcPr>
          <w:p>
            <w:pPr>
              <w:spacing w:after="0"/>
              <w:rPr>
                <w:sz w:val="1"/>
                <w:szCs w:val="1"/>
                <w:color w:val="auto"/>
              </w:rPr>
            </w:pPr>
          </w:p>
        </w:tc>
      </w:tr>
      <w:tr>
        <w:trPr>
          <w:trHeight w:val="186"/>
        </w:trPr>
        <w:tc>
          <w:tcPr>
            <w:tcW w:w="3040" w:type="dxa"/>
            <w:vAlign w:val="bottom"/>
          </w:tcPr>
          <w:p>
            <w:pPr>
              <w:jc w:val="center"/>
              <w:ind w:left="590"/>
              <w:spacing w:after="0"/>
              <w:rPr>
                <w:sz w:val="20"/>
                <w:szCs w:val="20"/>
                <w:color w:val="auto"/>
              </w:rPr>
            </w:pPr>
            <w:r>
              <w:rPr>
                <w:rFonts w:ascii="Arial" w:cs="Arial" w:eastAsia="Arial" w:hAnsi="Arial"/>
                <w:sz w:val="14"/>
                <w:szCs w:val="14"/>
                <w:b w:val="1"/>
                <w:bCs w:val="1"/>
                <w:color w:val="auto"/>
                <w:w w:val="92"/>
              </w:rPr>
              <w:t>representing 20 Ordinary Shares)</w:t>
            </w:r>
          </w:p>
        </w:tc>
        <w:tc>
          <w:tcPr>
            <w:tcW w:w="7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5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3160" w:type="dxa"/>
            <w:vAlign w:val="bottom"/>
          </w:tcPr>
          <w:p>
            <w:pPr>
              <w:spacing w:after="0"/>
              <w:rPr>
                <w:sz w:val="16"/>
                <w:szCs w:val="16"/>
                <w:color w:val="auto"/>
              </w:rPr>
            </w:pPr>
          </w:p>
        </w:tc>
        <w:tc>
          <w:tcPr>
            <w:tcW w:w="0" w:type="dxa"/>
            <w:vAlign w:val="bottom"/>
          </w:tcPr>
          <w:p>
            <w:pPr>
              <w:spacing w:after="0"/>
              <w:rPr>
                <w:sz w:val="1"/>
                <w:szCs w:val="1"/>
                <w:color w:val="auto"/>
              </w:rPr>
            </w:pPr>
          </w:p>
        </w:tc>
      </w:tr>
    </w:tbl>
    <w:p>
      <w:pPr>
        <w:spacing w:after="0" w:line="3" w:lineRule="exact"/>
        <w:rPr>
          <w:sz w:val="24"/>
          <w:szCs w:val="24"/>
          <w:color w:val="auto"/>
        </w:rPr>
      </w:pPr>
    </w:p>
    <w:p>
      <w:pPr>
        <w:jc w:val="center"/>
        <w:ind w:right="-179"/>
        <w:spacing w:after="0"/>
        <w:rPr>
          <w:sz w:val="20"/>
          <w:szCs w:val="20"/>
          <w:color w:val="auto"/>
        </w:rPr>
      </w:pPr>
      <w:r>
        <w:rPr>
          <w:rFonts w:ascii="Arial" w:cs="Arial" w:eastAsia="Arial" w:hAnsi="Arial"/>
          <w:sz w:val="14"/>
          <w:szCs w:val="14"/>
          <w:b w:val="1"/>
          <w:bCs w:val="1"/>
          <w:color w:val="auto"/>
        </w:rPr>
        <w:t>Securities registered or to be registered pursuant to Section 12(g) of the Act. None</w:t>
      </w:r>
    </w:p>
    <w:p>
      <w:pPr>
        <w:spacing w:after="0" w:line="28" w:lineRule="exact"/>
        <w:rPr>
          <w:sz w:val="24"/>
          <w:szCs w:val="24"/>
          <w:color w:val="auto"/>
        </w:rPr>
      </w:pPr>
    </w:p>
    <w:p>
      <w:pPr>
        <w:jc w:val="center"/>
        <w:ind w:right="-179"/>
        <w:spacing w:after="0"/>
        <w:rPr>
          <w:sz w:val="20"/>
          <w:szCs w:val="20"/>
          <w:color w:val="auto"/>
        </w:rPr>
      </w:pPr>
      <w:r>
        <w:rPr>
          <w:rFonts w:ascii="Arial" w:cs="Arial" w:eastAsia="Arial" w:hAnsi="Arial"/>
          <w:sz w:val="14"/>
          <w:szCs w:val="14"/>
          <w:b w:val="1"/>
          <w:bCs w:val="1"/>
          <w:color w:val="auto"/>
        </w:rPr>
        <w:t>Securities for which there is a reporting obligation pursuant to Section 15(d) of the Act. None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2894965</wp:posOffset>
            </wp:positionH>
            <wp:positionV relativeFrom="paragraph">
              <wp:posOffset>100965</wp:posOffset>
            </wp:positionV>
            <wp:extent cx="1466215"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pacing w:after="0" w:line="174" w:lineRule="exact"/>
        <w:rPr>
          <w:sz w:val="24"/>
          <w:szCs w:val="24"/>
          <w:color w:val="auto"/>
        </w:rPr>
      </w:pPr>
    </w:p>
    <w:p>
      <w:pPr>
        <w:ind w:left="200"/>
        <w:spacing w:after="0"/>
        <w:rPr>
          <w:sz w:val="20"/>
          <w:szCs w:val="20"/>
          <w:color w:val="auto"/>
        </w:rPr>
      </w:pPr>
      <w:r>
        <w:rPr>
          <w:rFonts w:ascii="Arial" w:cs="Arial" w:eastAsia="Arial" w:hAnsi="Arial"/>
          <w:sz w:val="14"/>
          <w:szCs w:val="14"/>
          <w:color w:val="auto"/>
        </w:rPr>
        <w:t>Indicate the number of outstanding shares of each of the issuer’s classes of capital or common stock as of the close of the period covered by the annual report.</w:t>
      </w:r>
    </w:p>
    <w:p>
      <w:pPr>
        <w:spacing w:after="0" w:line="24" w:lineRule="exact"/>
        <w:rPr>
          <w:sz w:val="24"/>
          <w:szCs w:val="24"/>
          <w:color w:val="auto"/>
        </w:rPr>
      </w:pPr>
    </w:p>
    <w:p>
      <w:pPr>
        <w:ind w:left="3500"/>
        <w:spacing w:after="0"/>
        <w:rPr>
          <w:sz w:val="20"/>
          <w:szCs w:val="20"/>
          <w:color w:val="auto"/>
        </w:rPr>
      </w:pPr>
      <w:r>
        <w:rPr>
          <w:rFonts w:ascii="Arial" w:cs="Arial" w:eastAsia="Arial" w:hAnsi="Arial"/>
          <w:sz w:val="14"/>
          <w:szCs w:val="14"/>
          <w:b w:val="1"/>
          <w:bCs w:val="1"/>
          <w:color w:val="auto"/>
        </w:rPr>
        <w:t>The number of ordinary shares, as of September 9, 2019 is 1,872,884,836</w:t>
      </w:r>
    </w:p>
    <w:p>
      <w:pPr>
        <w:spacing w:after="0" w:line="25" w:lineRule="exact"/>
        <w:rPr>
          <w:sz w:val="24"/>
          <w:szCs w:val="24"/>
          <w:color w:val="auto"/>
        </w:rPr>
      </w:pPr>
    </w:p>
    <w:p>
      <w:pPr>
        <w:ind w:left="200" w:right="3000" w:firstLine="2981"/>
        <w:spacing w:after="0" w:line="197" w:lineRule="exact"/>
        <w:rPr>
          <w:sz w:val="20"/>
          <w:szCs w:val="20"/>
          <w:color w:val="auto"/>
        </w:rPr>
      </w:pPr>
      <w:r>
        <w:rPr>
          <w:rFonts w:ascii="Arial" w:cs="Arial" w:eastAsia="Arial" w:hAnsi="Arial"/>
          <w:sz w:val="12"/>
          <w:szCs w:val="12"/>
          <w:b w:val="1"/>
          <w:bCs w:val="1"/>
          <w:color w:val="auto"/>
        </w:rPr>
        <w:t xml:space="preserve">The number of American Depositary Shares, as of September 9, 2019 is 25,598,816 </w:t>
      </w:r>
      <w:r>
        <w:rPr>
          <w:rFonts w:ascii="Arial" w:cs="Arial" w:eastAsia="Arial" w:hAnsi="Arial"/>
          <w:sz w:val="12"/>
          <w:szCs w:val="12"/>
          <w:color w:val="auto"/>
        </w:rPr>
        <w:t xml:space="preserve">Indicate by check mark if the registrant is a well-known seasoned issuer, as defined in Rule 405 of the Securities Act. Yes </w:t>
      </w:r>
      <w:r>
        <w:rPr>
          <w:rFonts w:ascii="MS PGothic" w:cs="MS PGothic" w:eastAsia="MS PGothic" w:hAnsi="MS PGothic"/>
          <w:sz w:val="12"/>
          <w:szCs w:val="12"/>
          <w:color w:val="auto"/>
        </w:rPr>
        <w:t>☐</w:t>
      </w:r>
      <w:r>
        <w:rPr>
          <w:rFonts w:ascii="Arial" w:cs="Arial" w:eastAsia="Arial" w:hAnsi="Arial"/>
          <w:sz w:val="12"/>
          <w:szCs w:val="12"/>
          <w:color w:val="auto"/>
        </w:rPr>
        <w:t xml:space="preserve"> No </w:t>
      </w:r>
      <w:r>
        <w:rPr>
          <w:rFonts w:ascii="MS PGothic" w:cs="MS PGothic" w:eastAsia="MS PGothic" w:hAnsi="MS PGothic"/>
          <w:sz w:val="12"/>
          <w:szCs w:val="12"/>
          <w:color w:val="auto"/>
        </w:rPr>
        <w:t>☒</w:t>
      </w:r>
    </w:p>
    <w:p>
      <w:pPr>
        <w:spacing w:after="0" w:line="5" w:lineRule="exact"/>
        <w:rPr>
          <w:sz w:val="24"/>
          <w:szCs w:val="24"/>
          <w:color w:val="auto"/>
        </w:rPr>
      </w:pPr>
    </w:p>
    <w:p>
      <w:pPr>
        <w:ind w:left="200" w:right="660"/>
        <w:spacing w:after="0" w:line="180" w:lineRule="exact"/>
        <w:rPr>
          <w:sz w:val="20"/>
          <w:szCs w:val="20"/>
          <w:color w:val="auto"/>
        </w:rPr>
      </w:pPr>
      <w:r>
        <w:rPr>
          <w:rFonts w:ascii="Arial" w:cs="Arial" w:eastAsia="Arial" w:hAnsi="Arial"/>
          <w:sz w:val="14"/>
          <w:szCs w:val="14"/>
          <w:color w:val="auto"/>
        </w:rPr>
        <w:t xml:space="preserve">If this report is an annual or transition report, indicate by check mark if the registrant is not required to file reports pursuant to Section 13 or 15(d) of the Securities Exchange Act of 1934. Yes </w:t>
      </w:r>
      <w:r>
        <w:rPr>
          <w:rFonts w:ascii="MS PGothic" w:cs="MS PGothic" w:eastAsia="MS PGothic" w:hAnsi="MS PGothic"/>
          <w:sz w:val="14"/>
          <w:szCs w:val="14"/>
          <w:color w:val="auto"/>
        </w:rPr>
        <w:t>☐</w:t>
      </w:r>
      <w:r>
        <w:rPr>
          <w:rFonts w:ascii="Arial" w:cs="Arial" w:eastAsia="Arial" w:hAnsi="Arial"/>
          <w:sz w:val="14"/>
          <w:szCs w:val="14"/>
          <w:color w:val="auto"/>
        </w:rPr>
        <w:t xml:space="preserve"> No </w:t>
      </w:r>
      <w:r>
        <w:rPr>
          <w:rFonts w:ascii="MS PGothic" w:cs="MS PGothic" w:eastAsia="MS PGothic" w:hAnsi="MS PGothic"/>
          <w:sz w:val="14"/>
          <w:szCs w:val="14"/>
          <w:color w:val="auto"/>
        </w:rPr>
        <w:t>☐</w:t>
      </w:r>
    </w:p>
    <w:p>
      <w:pPr>
        <w:spacing w:after="0" w:line="1" w:lineRule="exact"/>
        <w:rPr>
          <w:sz w:val="24"/>
          <w:szCs w:val="24"/>
          <w:color w:val="auto"/>
        </w:rPr>
      </w:pPr>
    </w:p>
    <w:p>
      <w:pPr>
        <w:ind w:left="200" w:right="220"/>
        <w:spacing w:after="0" w:line="176" w:lineRule="exact"/>
        <w:rPr>
          <w:sz w:val="20"/>
          <w:szCs w:val="20"/>
          <w:color w:val="auto"/>
        </w:rPr>
      </w:pPr>
      <w:r>
        <w:rPr>
          <w:rFonts w:ascii="Arial" w:cs="Arial" w:eastAsia="Arial" w:hAnsi="Arial"/>
          <w:sz w:val="13"/>
          <w:szCs w:val="13"/>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3"/>
          <w:szCs w:val="13"/>
          <w:color w:val="auto"/>
        </w:rPr>
        <w:t>☐</w:t>
      </w:r>
      <w:r>
        <w:rPr>
          <w:rFonts w:ascii="Arial" w:cs="Arial" w:eastAsia="Arial" w:hAnsi="Arial"/>
          <w:sz w:val="13"/>
          <w:szCs w:val="13"/>
          <w:color w:val="auto"/>
        </w:rPr>
        <w:t xml:space="preserve"> No </w:t>
      </w:r>
      <w:r>
        <w:rPr>
          <w:rFonts w:ascii="MS PGothic" w:cs="MS PGothic" w:eastAsia="MS PGothic" w:hAnsi="MS PGothic"/>
          <w:sz w:val="13"/>
          <w:szCs w:val="13"/>
          <w:color w:val="auto"/>
        </w:rPr>
        <w:t>☐</w:t>
      </w:r>
    </w:p>
    <w:p>
      <w:pPr>
        <w:spacing w:after="0" w:line="5" w:lineRule="exact"/>
        <w:rPr>
          <w:sz w:val="24"/>
          <w:szCs w:val="24"/>
          <w:color w:val="auto"/>
        </w:rPr>
      </w:pPr>
    </w:p>
    <w:p>
      <w:pPr>
        <w:ind w:left="200" w:right="540"/>
        <w:spacing w:after="0" w:line="254" w:lineRule="auto"/>
        <w:rPr>
          <w:sz w:val="20"/>
          <w:szCs w:val="20"/>
          <w:color w:val="auto"/>
        </w:rPr>
      </w:pPr>
      <w:r>
        <w:rPr>
          <w:rFonts w:ascii="Arial" w:cs="Arial" w:eastAsia="Arial" w:hAnsi="Arial"/>
          <w:sz w:val="13"/>
          <w:szCs w:val="13"/>
          <w:color w:val="auto"/>
        </w:rPr>
        <w:t>Indicate by check mark whether the registrant has submitted electronically and posted on its corporate Web site, if any, every Interactive Data File required to be submitted and posted pursuant to Rule 405 of Regulation S-T (§232.405 of this chapter) during the preceding 12 months (or for such shorter period that the registrant was required to submit and post such</w:t>
      </w:r>
    </w:p>
    <w:p>
      <w:pPr>
        <w:spacing w:after="0" w:line="1" w:lineRule="exact"/>
        <w:rPr>
          <w:sz w:val="24"/>
          <w:szCs w:val="24"/>
          <w:color w:val="auto"/>
        </w:rPr>
      </w:pPr>
    </w:p>
    <w:p>
      <w:pPr>
        <w:ind w:left="200"/>
        <w:spacing w:after="0" w:line="161" w:lineRule="exact"/>
        <w:tabs>
          <w:tab w:leader="none" w:pos="660" w:val="left"/>
          <w:tab w:leader="none" w:pos="1220" w:val="left"/>
        </w:tabs>
        <w:rPr>
          <w:sz w:val="20"/>
          <w:szCs w:val="20"/>
          <w:color w:val="auto"/>
        </w:rPr>
      </w:pPr>
      <w:r>
        <w:rPr>
          <w:rFonts w:ascii="Arial" w:cs="Arial" w:eastAsia="Arial" w:hAnsi="Arial"/>
          <w:sz w:val="14"/>
          <w:szCs w:val="14"/>
          <w:color w:val="auto"/>
        </w:rPr>
        <w:t>files).</w:t>
        <w:tab/>
        <w:t xml:space="preserve">Yes </w:t>
      </w:r>
      <w:r>
        <w:rPr>
          <w:rFonts w:ascii="MS PGothic" w:cs="MS PGothic" w:eastAsia="MS PGothic" w:hAnsi="MS PGothic"/>
          <w:sz w:val="14"/>
          <w:szCs w:val="14"/>
          <w:color w:val="auto"/>
        </w:rPr>
        <w:t>☐</w:t>
      </w:r>
      <w:r>
        <w:rPr>
          <w:rFonts w:ascii="Arial" w:cs="Arial" w:eastAsia="Arial" w:hAnsi="Arial"/>
          <w:sz w:val="14"/>
          <w:szCs w:val="14"/>
          <w:color w:val="auto"/>
        </w:rPr>
        <w:tab/>
        <w:t xml:space="preserve">No </w:t>
      </w:r>
      <w:r>
        <w:rPr>
          <w:rFonts w:ascii="MS PGothic" w:cs="MS PGothic" w:eastAsia="MS PGothic" w:hAnsi="MS PGothic"/>
          <w:sz w:val="14"/>
          <w:szCs w:val="14"/>
          <w:color w:val="auto"/>
        </w:rPr>
        <w:t>☐</w:t>
      </w:r>
    </w:p>
    <w:p>
      <w:pPr>
        <w:spacing w:after="0" w:line="35" w:lineRule="exact"/>
        <w:rPr>
          <w:sz w:val="24"/>
          <w:szCs w:val="24"/>
          <w:color w:val="auto"/>
        </w:rPr>
      </w:pPr>
    </w:p>
    <w:p>
      <w:pPr>
        <w:ind w:left="200"/>
        <w:spacing w:after="0"/>
        <w:rPr>
          <w:sz w:val="20"/>
          <w:szCs w:val="20"/>
          <w:color w:val="auto"/>
        </w:rPr>
      </w:pPr>
      <w:r>
        <w:rPr>
          <w:rFonts w:ascii="Arial" w:cs="Arial" w:eastAsia="Arial" w:hAnsi="Arial"/>
          <w:sz w:val="13"/>
          <w:szCs w:val="13"/>
          <w:color w:val="auto"/>
        </w:rPr>
        <w:t>Indicate by check mark whether the registrant is a large accelerated filer, an accelerated filer, or a non-accelerated filer. See definition of “accelerated filer and large accelerated filer” in Rule</w:t>
      </w:r>
    </w:p>
    <w:p>
      <w:pPr>
        <w:spacing w:after="0" w:line="11" w:lineRule="exact"/>
        <w:rPr>
          <w:sz w:val="24"/>
          <w:szCs w:val="24"/>
          <w:color w:val="auto"/>
        </w:rPr>
      </w:pPr>
    </w:p>
    <w:p>
      <w:pPr>
        <w:ind w:left="200"/>
        <w:spacing w:after="0"/>
        <w:rPr>
          <w:sz w:val="20"/>
          <w:szCs w:val="20"/>
          <w:color w:val="auto"/>
        </w:rPr>
      </w:pPr>
      <w:r>
        <w:rPr>
          <w:rFonts w:ascii="Arial" w:cs="Arial" w:eastAsia="Arial" w:hAnsi="Arial"/>
          <w:sz w:val="14"/>
          <w:szCs w:val="14"/>
          <w:color w:val="auto"/>
        </w:rPr>
        <w:t>12b-2 of the Exchange Act. (Check one):</w:t>
      </w:r>
    </w:p>
    <w:p>
      <w:pPr>
        <w:spacing w:after="0" w:line="151" w:lineRule="exact"/>
        <w:rPr>
          <w:sz w:val="24"/>
          <w:szCs w:val="24"/>
          <w:color w:val="auto"/>
        </w:rPr>
      </w:pPr>
    </w:p>
    <w:p>
      <w:pPr>
        <w:ind w:left="640"/>
        <w:spacing w:after="0" w:line="161" w:lineRule="exact"/>
        <w:tabs>
          <w:tab w:leader="none" w:pos="2460" w:val="left"/>
          <w:tab w:leader="none" w:pos="6320" w:val="left"/>
          <w:tab w:leader="none" w:pos="8400" w:val="left"/>
        </w:tabs>
        <w:rPr>
          <w:sz w:val="20"/>
          <w:szCs w:val="20"/>
          <w:color w:val="auto"/>
        </w:rPr>
      </w:pPr>
      <w:r>
        <w:rPr>
          <w:rFonts w:ascii="Arial" w:cs="Arial" w:eastAsia="Arial" w:hAnsi="Arial"/>
          <w:sz w:val="14"/>
          <w:szCs w:val="14"/>
          <w:color w:val="auto"/>
        </w:rPr>
        <w:t xml:space="preserve">Large accelerated filer </w:t>
      </w:r>
      <w:r>
        <w:rPr>
          <w:rFonts w:ascii="MS PGothic" w:cs="MS PGothic" w:eastAsia="MS PGothic" w:hAnsi="MS PGothic"/>
          <w:sz w:val="14"/>
          <w:szCs w:val="14"/>
          <w:color w:val="auto"/>
        </w:rPr>
        <w:t>☐</w:t>
      </w:r>
      <w:r>
        <w:rPr>
          <w:sz w:val="20"/>
          <w:szCs w:val="20"/>
          <w:color w:val="auto"/>
        </w:rPr>
        <w:tab/>
      </w:r>
      <w:r>
        <w:rPr>
          <w:rFonts w:ascii="Arial" w:cs="Arial" w:eastAsia="Arial" w:hAnsi="Arial"/>
          <w:sz w:val="14"/>
          <w:szCs w:val="14"/>
          <w:color w:val="auto"/>
        </w:rPr>
        <w:t xml:space="preserve">Accelerated filer </w:t>
      </w:r>
      <w:r>
        <w:rPr>
          <w:rFonts w:ascii="MS PGothic" w:cs="MS PGothic" w:eastAsia="MS PGothic" w:hAnsi="MS PGothic"/>
          <w:sz w:val="14"/>
          <w:szCs w:val="14"/>
          <w:color w:val="auto"/>
        </w:rPr>
        <w:t>☐</w:t>
      </w:r>
      <w:r>
        <w:rPr>
          <w:sz w:val="20"/>
          <w:szCs w:val="20"/>
          <w:color w:val="auto"/>
        </w:rPr>
        <w:tab/>
      </w:r>
      <w:r>
        <w:rPr>
          <w:rFonts w:ascii="Arial" w:cs="Arial" w:eastAsia="Arial" w:hAnsi="Arial"/>
          <w:sz w:val="14"/>
          <w:szCs w:val="14"/>
          <w:color w:val="auto"/>
        </w:rPr>
        <w:t>Non-accelerated filer</w:t>
      </w:r>
      <w:r>
        <w:rPr>
          <w:sz w:val="20"/>
          <w:szCs w:val="20"/>
          <w:color w:val="auto"/>
        </w:rPr>
        <w:tab/>
      </w:r>
      <w:r>
        <w:rPr>
          <w:rFonts w:ascii="MS PGothic" w:cs="MS PGothic" w:eastAsia="MS PGothic" w:hAnsi="MS PGothic"/>
          <w:sz w:val="12"/>
          <w:szCs w:val="12"/>
          <w:color w:val="auto"/>
        </w:rPr>
        <w:t>☒</w:t>
      </w:r>
    </w:p>
    <w:p>
      <w:pPr>
        <w:spacing w:after="0" w:line="65" w:lineRule="exact"/>
        <w:rPr>
          <w:sz w:val="24"/>
          <w:szCs w:val="24"/>
          <w:color w:val="auto"/>
        </w:rPr>
      </w:pPr>
    </w:p>
    <w:p>
      <w:pPr>
        <w:ind w:left="6300"/>
        <w:spacing w:after="0" w:line="161" w:lineRule="exact"/>
        <w:tabs>
          <w:tab w:leader="none" w:pos="8400" w:val="left"/>
        </w:tabs>
        <w:rPr>
          <w:sz w:val="20"/>
          <w:szCs w:val="20"/>
          <w:color w:val="auto"/>
        </w:rPr>
      </w:pPr>
      <w:r>
        <w:rPr>
          <w:rFonts w:ascii="Arial" w:cs="Arial" w:eastAsia="Arial" w:hAnsi="Arial"/>
          <w:sz w:val="14"/>
          <w:szCs w:val="14"/>
          <w:color w:val="auto"/>
        </w:rPr>
        <w:t>Emerging Growth Company</w:t>
      </w:r>
      <w:r>
        <w:rPr>
          <w:sz w:val="20"/>
          <w:szCs w:val="20"/>
          <w:color w:val="auto"/>
        </w:rPr>
        <w:tab/>
      </w:r>
      <w:r>
        <w:rPr>
          <w:rFonts w:ascii="MS PGothic" w:cs="MS PGothic" w:eastAsia="MS PGothic" w:hAnsi="MS PGothic"/>
          <w:sz w:val="12"/>
          <w:szCs w:val="12"/>
          <w:color w:val="auto"/>
        </w:rPr>
        <w:t>☒</w:t>
      </w:r>
    </w:p>
    <w:p>
      <w:pPr>
        <w:spacing w:after="0" w:line="42" w:lineRule="exact"/>
        <w:rPr>
          <w:sz w:val="24"/>
          <w:szCs w:val="24"/>
          <w:color w:val="auto"/>
        </w:rPr>
      </w:pPr>
    </w:p>
    <w:p>
      <w:pPr>
        <w:ind w:left="200" w:right="280"/>
        <w:spacing w:after="0" w:line="176" w:lineRule="exact"/>
        <w:rPr>
          <w:sz w:val="20"/>
          <w:szCs w:val="20"/>
          <w:color w:val="auto"/>
        </w:rPr>
      </w:pPr>
      <w:r>
        <w:rPr>
          <w:rFonts w:ascii="Arial" w:cs="Arial" w:eastAsia="Arial" w:hAnsi="Arial"/>
          <w:sz w:val="14"/>
          <w:szCs w:val="14"/>
          <w:color w:val="auto"/>
        </w:rPr>
        <w:t xml:space="preserve">If an emerging growth company that prepares its financial statements in accordance with U.S. GAAP,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4"/>
          <w:szCs w:val="14"/>
          <w:color w:val="auto"/>
        </w:rPr>
        <w:t>☐</w:t>
      </w:r>
    </w:p>
    <w:p>
      <w:pPr>
        <w:sectPr>
          <w:pgSz w:w="11900" w:h="16838" w:orient="portrait"/>
          <w:cols w:equalWidth="0" w:num="1">
            <w:col w:w="11240"/>
          </w:cols>
          <w:pgMar w:left="240" w:top="230" w:right="419" w:bottom="1440" w:gutter="0" w:footer="0" w:header="0"/>
        </w:sectPr>
      </w:pPr>
    </w:p>
    <w:p>
      <w:pPr>
        <w:spacing w:after="0" w:line="5" w:lineRule="exact"/>
        <w:rPr>
          <w:sz w:val="24"/>
          <w:szCs w:val="24"/>
          <w:color w:val="auto"/>
        </w:rPr>
      </w:pPr>
    </w:p>
    <w:p>
      <w:pPr>
        <w:ind w:left="200"/>
        <w:spacing w:after="0"/>
        <w:rPr>
          <w:sz w:val="20"/>
          <w:szCs w:val="20"/>
          <w:color w:val="auto"/>
        </w:rPr>
      </w:pPr>
      <w:r>
        <w:rPr>
          <w:rFonts w:ascii="Arial" w:cs="Arial" w:eastAsia="Arial" w:hAnsi="Arial"/>
          <w:sz w:val="14"/>
          <w:szCs w:val="14"/>
          <w:color w:val="auto"/>
        </w:rPr>
        <w:t>Indicate by check mark which basis of accounting the registrant has used to prepare the financial statements included in this filing:</w:t>
      </w:r>
    </w:p>
    <w:p>
      <w:pPr>
        <w:spacing w:after="0" w:line="21" w:lineRule="exact"/>
        <w:rPr>
          <w:sz w:val="24"/>
          <w:szCs w:val="24"/>
          <w:color w:val="auto"/>
        </w:rPr>
      </w:pPr>
    </w:p>
    <w:tbl>
      <w:tblPr>
        <w:tblLayout w:type="fixed"/>
        <w:tblInd w:w="660" w:type="dxa"/>
        <w:tblCellMar>
          <w:top w:w="0" w:type="dxa"/>
          <w:left w:w="0" w:type="dxa"/>
          <w:bottom w:w="0" w:type="dxa"/>
          <w:right w:w="0" w:type="dxa"/>
        </w:tblCellMar>
      </w:tblPr>
      <w:tr>
        <w:trPr>
          <w:trHeight w:val="161"/>
        </w:trPr>
        <w:tc>
          <w:tcPr>
            <w:tcW w:w="2200" w:type="dxa"/>
            <w:vAlign w:val="bottom"/>
          </w:tcPr>
          <w:p>
            <w:pPr>
              <w:spacing w:after="0" w:line="161" w:lineRule="exact"/>
              <w:rPr>
                <w:sz w:val="20"/>
                <w:szCs w:val="20"/>
                <w:color w:val="auto"/>
              </w:rPr>
            </w:pPr>
            <w:r>
              <w:rPr>
                <w:rFonts w:ascii="Arial" w:cs="Arial" w:eastAsia="Arial" w:hAnsi="Arial"/>
                <w:sz w:val="14"/>
                <w:szCs w:val="14"/>
                <w:color w:val="auto"/>
              </w:rPr>
              <w:t xml:space="preserve">U.S. GAAP </w:t>
            </w:r>
            <w:r>
              <w:rPr>
                <w:rFonts w:ascii="MS PGothic" w:cs="MS PGothic" w:eastAsia="MS PGothic" w:hAnsi="MS PGothic"/>
                <w:sz w:val="14"/>
                <w:szCs w:val="14"/>
                <w:color w:val="auto"/>
              </w:rPr>
              <w:t>☐</w:t>
            </w:r>
          </w:p>
        </w:tc>
        <w:tc>
          <w:tcPr>
            <w:tcW w:w="4400" w:type="dxa"/>
            <w:vAlign w:val="bottom"/>
          </w:tcPr>
          <w:p>
            <w:pPr>
              <w:jc w:val="center"/>
              <w:ind w:left="1268"/>
              <w:spacing w:after="0"/>
              <w:rPr>
                <w:sz w:val="20"/>
                <w:szCs w:val="20"/>
                <w:color w:val="auto"/>
              </w:rPr>
            </w:pPr>
            <w:r>
              <w:rPr>
                <w:rFonts w:ascii="Arial" w:cs="Arial" w:eastAsia="Arial" w:hAnsi="Arial"/>
                <w:sz w:val="14"/>
                <w:szCs w:val="14"/>
                <w:color w:val="auto"/>
                <w:w w:val="92"/>
              </w:rPr>
              <w:t>International Financial Reporting Standards as issued</w:t>
            </w:r>
          </w:p>
        </w:tc>
      </w:tr>
      <w:tr>
        <w:trPr>
          <w:trHeight w:val="226"/>
        </w:trPr>
        <w:tc>
          <w:tcPr>
            <w:tcW w:w="2200" w:type="dxa"/>
            <w:vAlign w:val="bottom"/>
          </w:tcPr>
          <w:p>
            <w:pPr>
              <w:spacing w:after="0"/>
              <w:rPr>
                <w:sz w:val="19"/>
                <w:szCs w:val="19"/>
                <w:color w:val="auto"/>
              </w:rPr>
            </w:pPr>
          </w:p>
        </w:tc>
        <w:tc>
          <w:tcPr>
            <w:tcW w:w="4400" w:type="dxa"/>
            <w:vAlign w:val="bottom"/>
          </w:tcPr>
          <w:p>
            <w:pPr>
              <w:jc w:val="center"/>
              <w:ind w:left="1268"/>
              <w:spacing w:after="0" w:line="161" w:lineRule="exact"/>
              <w:rPr>
                <w:sz w:val="20"/>
                <w:szCs w:val="20"/>
                <w:color w:val="auto"/>
              </w:rPr>
            </w:pPr>
            <w:r>
              <w:rPr>
                <w:rFonts w:ascii="Arial" w:cs="Arial" w:eastAsia="Arial" w:hAnsi="Arial"/>
                <w:sz w:val="14"/>
                <w:szCs w:val="14"/>
                <w:color w:val="auto"/>
                <w:w w:val="94"/>
              </w:rPr>
              <w:t xml:space="preserve">by the International Accounting Standards Board </w:t>
            </w:r>
            <w:r>
              <w:rPr>
                <w:rFonts w:ascii="MS PGothic" w:cs="MS PGothic" w:eastAsia="MS PGothic" w:hAnsi="MS PGothic"/>
                <w:sz w:val="14"/>
                <w:szCs w:val="14"/>
                <w:color w:val="auto"/>
                <w:w w:val="94"/>
              </w:rPr>
              <w:t>☒</w:t>
            </w:r>
          </w:p>
        </w:tc>
      </w:tr>
    </w:tbl>
    <w:p>
      <w:pPr>
        <w:spacing w:after="0" w:line="12" w:lineRule="exact"/>
        <w:rPr>
          <w:sz w:val="24"/>
          <w:szCs w:val="24"/>
          <w:color w:val="auto"/>
        </w:rPr>
      </w:pPr>
    </w:p>
    <w:p>
      <w:pPr>
        <w:ind w:left="200"/>
        <w:spacing w:after="0" w:line="200" w:lineRule="exact"/>
        <w:rPr>
          <w:sz w:val="20"/>
          <w:szCs w:val="20"/>
          <w:color w:val="auto"/>
        </w:rPr>
      </w:pPr>
      <w:r>
        <w:rPr>
          <w:rFonts w:ascii="Arial" w:cs="Arial" w:eastAsia="Arial" w:hAnsi="Arial"/>
          <w:sz w:val="13"/>
          <w:szCs w:val="13"/>
          <w:color w:val="auto"/>
        </w:rPr>
        <w:t xml:space="preserve">If “Other” has been checked in response to the previous question, indicate by check mark which financial statement item the registrant has elected to follow. If this is an annual report, indicate by check mark whether the registrant is a shell company (as defined in Rule 12b-2 of the Exchange Act). Yes </w:t>
      </w:r>
      <w:r>
        <w:rPr>
          <w:rFonts w:ascii="MS PGothic" w:cs="MS PGothic" w:eastAsia="MS PGothic" w:hAnsi="MS PGothic"/>
          <w:sz w:val="13"/>
          <w:szCs w:val="13"/>
          <w:color w:val="auto"/>
        </w:rPr>
        <w:t>☐</w:t>
      </w:r>
      <w:r>
        <w:rPr>
          <w:rFonts w:ascii="Arial" w:cs="Arial" w:eastAsia="Arial" w:hAnsi="Arial"/>
          <w:sz w:val="13"/>
          <w:szCs w:val="13"/>
          <w:color w:val="auto"/>
        </w:rPr>
        <w:t xml:space="preserve"> No </w:t>
      </w:r>
      <w:r>
        <w:rPr>
          <w:rFonts w:ascii="MS PGothic" w:cs="MS PGothic" w:eastAsia="MS PGothic" w:hAnsi="MS PGothic"/>
          <w:sz w:val="13"/>
          <w:szCs w:val="13"/>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133985</wp:posOffset>
            </wp:positionH>
            <wp:positionV relativeFrom="paragraph">
              <wp:posOffset>49530</wp:posOffset>
            </wp:positionV>
            <wp:extent cx="699770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997700" cy="8890"/>
                    </a:xfrm>
                    <a:prstGeom prst="rect">
                      <a:avLst/>
                    </a:prstGeom>
                    <a:noFill/>
                  </pic:spPr>
                </pic:pic>
              </a:graphicData>
            </a:graphic>
          </wp:anchor>
        </w:drawing>
        <w:drawing>
          <wp:anchor simplePos="0" relativeHeight="251657728" behindDoc="1" locked="0" layoutInCell="0" allowOverlap="1">
            <wp:simplePos x="0" y="0"/>
            <wp:positionH relativeFrom="column">
              <wp:posOffset>133985</wp:posOffset>
            </wp:positionH>
            <wp:positionV relativeFrom="paragraph">
              <wp:posOffset>92710</wp:posOffset>
            </wp:positionV>
            <wp:extent cx="699770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6997700" cy="889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161" w:lineRule="exact"/>
        <w:rPr>
          <w:sz w:val="24"/>
          <w:szCs w:val="24"/>
          <w:color w:val="auto"/>
        </w:rPr>
      </w:pPr>
    </w:p>
    <w:p>
      <w:pPr>
        <w:ind w:left="200"/>
        <w:spacing w:after="0" w:line="161" w:lineRule="exact"/>
        <w:rPr>
          <w:sz w:val="20"/>
          <w:szCs w:val="20"/>
          <w:color w:val="auto"/>
        </w:rPr>
      </w:pPr>
      <w:r>
        <w:rPr>
          <w:rFonts w:ascii="Arial" w:cs="Arial" w:eastAsia="Arial" w:hAnsi="Arial"/>
          <w:sz w:val="14"/>
          <w:szCs w:val="14"/>
          <w:color w:val="auto"/>
        </w:rPr>
        <w:t xml:space="preserve">Other </w:t>
      </w:r>
      <w:r>
        <w:rPr>
          <w:rFonts w:ascii="MS PGothic" w:cs="MS PGothic" w:eastAsia="MS PGothic" w:hAnsi="MS PGothic"/>
          <w:sz w:val="14"/>
          <w:szCs w:val="14"/>
          <w:color w:val="auto"/>
        </w:rPr>
        <w:t>☐</w:t>
      </w:r>
    </w:p>
    <w:p>
      <w:pPr>
        <w:spacing w:after="0" w:line="217" w:lineRule="exact"/>
        <w:rPr>
          <w:sz w:val="24"/>
          <w:szCs w:val="24"/>
          <w:color w:val="auto"/>
        </w:rPr>
      </w:pPr>
    </w:p>
    <w:p>
      <w:pPr>
        <w:spacing w:after="0" w:line="161" w:lineRule="exact"/>
        <w:tabs>
          <w:tab w:leader="none" w:pos="780" w:val="left"/>
        </w:tabs>
        <w:rPr>
          <w:sz w:val="20"/>
          <w:szCs w:val="20"/>
          <w:color w:val="auto"/>
        </w:rPr>
      </w:pPr>
      <w:r>
        <w:rPr>
          <w:rFonts w:ascii="Arial" w:cs="Arial" w:eastAsia="Arial" w:hAnsi="Arial"/>
          <w:sz w:val="14"/>
          <w:szCs w:val="14"/>
          <w:color w:val="auto"/>
        </w:rPr>
        <w:t xml:space="preserve">Item 17 </w:t>
      </w:r>
      <w:r>
        <w:rPr>
          <w:rFonts w:ascii="MS PGothic" w:cs="MS PGothic" w:eastAsia="MS PGothic" w:hAnsi="MS PGothic"/>
          <w:sz w:val="14"/>
          <w:szCs w:val="14"/>
          <w:color w:val="auto"/>
        </w:rPr>
        <w:t>☐</w:t>
      </w:r>
      <w:r>
        <w:rPr>
          <w:sz w:val="20"/>
          <w:szCs w:val="20"/>
          <w:color w:val="auto"/>
        </w:rPr>
        <w:tab/>
      </w:r>
      <w:r>
        <w:rPr>
          <w:rFonts w:ascii="Arial" w:cs="Arial" w:eastAsia="Arial" w:hAnsi="Arial"/>
          <w:sz w:val="13"/>
          <w:szCs w:val="13"/>
          <w:color w:val="auto"/>
        </w:rPr>
        <w:t xml:space="preserve">Item 18 </w:t>
      </w:r>
      <w:r>
        <w:rPr>
          <w:rFonts w:ascii="MS PGothic" w:cs="MS PGothic" w:eastAsia="MS PGothic" w:hAnsi="MS PGothic"/>
          <w:sz w:val="13"/>
          <w:szCs w:val="13"/>
          <w:color w:val="auto"/>
        </w:rPr>
        <w:t>☐</w:t>
      </w:r>
    </w:p>
    <w:p>
      <w:pPr>
        <w:sectPr>
          <w:pgSz w:w="11900" w:h="16838" w:orient="portrait"/>
          <w:cols w:equalWidth="0" w:num="2">
            <w:col w:w="9320" w:space="60"/>
            <w:col w:w="1860"/>
          </w:cols>
          <w:pgMar w:left="240" w:top="230" w:right="419" w:bottom="1440" w:gutter="0" w:footer="0" w:header="0"/>
          <w:type w:val="continuous"/>
        </w:sectPr>
      </w:pPr>
    </w:p>
    <w:bookmarkStart w:id="1" w:name="page2"/>
    <w:bookmarkEnd w:id="1"/>
    <w:tbl>
      <w:tblPr>
        <w:tblLayout w:type="fixed"/>
        <w:tblInd w:w="0" w:type="dxa"/>
        <w:tblCellMar>
          <w:top w:w="0" w:type="dxa"/>
          <w:left w:w="0" w:type="dxa"/>
          <w:bottom w:w="0" w:type="dxa"/>
          <w:right w:w="0" w:type="dxa"/>
        </w:tblCellMar>
      </w:tblPr>
      <w:tr>
        <w:trPr>
          <w:trHeight w:val="207"/>
        </w:trPr>
        <w:tc>
          <w:tcPr>
            <w:tcW w:w="1500" w:type="dxa"/>
            <w:vAlign w:val="bottom"/>
            <w:gridSpan w:val="7"/>
          </w:tcPr>
          <w:p>
            <w:pPr>
              <w:spacing w:after="0"/>
              <w:rPr>
                <w:rFonts w:ascii="Arial" w:cs="Arial" w:eastAsia="Arial" w:hAnsi="Arial"/>
                <w:sz w:val="18"/>
                <w:szCs w:val="18"/>
                <w:b w:val="1"/>
                <w:bCs w:val="1"/>
                <w:color w:val="0000EE"/>
                <w:w w:val="97"/>
              </w:rPr>
            </w:pPr>
            <w:hyperlink w:anchor="page2">
              <w:r>
                <w:rPr>
                  <w:rFonts w:ascii="Arial" w:cs="Arial" w:eastAsia="Arial" w:hAnsi="Arial"/>
                  <w:sz w:val="18"/>
                  <w:szCs w:val="18"/>
                  <w:b w:val="1"/>
                  <w:bCs w:val="1"/>
                  <w:color w:val="0000EE"/>
                  <w:w w:val="97"/>
                </w:rPr>
                <w:t>Table of Contents</w:t>
              </w:r>
            </w:hyperlink>
          </w:p>
        </w:tc>
        <w:tc>
          <w:tcPr>
            <w:tcW w:w="6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920" w:type="dxa"/>
            <w:vAlign w:val="bottom"/>
          </w:tcPr>
          <w:p>
            <w:pPr>
              <w:spacing w:after="0"/>
              <w:rPr>
                <w:sz w:val="17"/>
                <w:szCs w:val="17"/>
                <w:color w:val="auto"/>
              </w:rPr>
            </w:pPr>
          </w:p>
        </w:tc>
        <w:tc>
          <w:tcPr>
            <w:tcW w:w="2100" w:type="dxa"/>
            <w:vAlign w:val="bottom"/>
          </w:tcPr>
          <w:p>
            <w:pPr>
              <w:spacing w:after="0"/>
              <w:rPr>
                <w:sz w:val="17"/>
                <w:szCs w:val="17"/>
                <w:color w:val="auto"/>
              </w:rPr>
            </w:pPr>
          </w:p>
        </w:tc>
      </w:tr>
      <w:tr>
        <w:trPr>
          <w:trHeight w:val="534"/>
        </w:trPr>
        <w:tc>
          <w:tcPr>
            <w:tcW w:w="200" w:type="dxa"/>
            <w:vAlign w:val="bottom"/>
            <w:tcBorders>
              <w:top w:val="single" w:sz="8" w:color="0000EE"/>
            </w:tcBorders>
          </w:tcPr>
          <w:p>
            <w:pPr>
              <w:spacing w:after="0"/>
              <w:rPr>
                <w:sz w:val="24"/>
                <w:szCs w:val="24"/>
                <w:color w:val="auto"/>
              </w:rPr>
            </w:pPr>
          </w:p>
        </w:tc>
        <w:tc>
          <w:tcPr>
            <w:tcW w:w="54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44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640" w:type="dxa"/>
            <w:vAlign w:val="bottom"/>
            <w:gridSpan w:val="11"/>
          </w:tcPr>
          <w:p>
            <w:pPr>
              <w:ind w:left="380"/>
              <w:spacing w:after="0"/>
              <w:rPr>
                <w:sz w:val="20"/>
                <w:szCs w:val="20"/>
                <w:color w:val="auto"/>
              </w:rPr>
            </w:pPr>
            <w:r>
              <w:rPr>
                <w:rFonts w:ascii="Arial" w:cs="Arial" w:eastAsia="Arial" w:hAnsi="Arial"/>
                <w:sz w:val="18"/>
                <w:szCs w:val="18"/>
                <w:b w:val="1"/>
                <w:bCs w:val="1"/>
                <w:color w:val="auto"/>
              </w:rPr>
              <w:t>TABLE OF CONTENTS</w:t>
            </w:r>
          </w:p>
        </w:tc>
        <w:tc>
          <w:tcPr>
            <w:tcW w:w="2100" w:type="dxa"/>
            <w:vAlign w:val="bottom"/>
          </w:tcPr>
          <w:p>
            <w:pPr>
              <w:spacing w:after="0"/>
              <w:rPr>
                <w:sz w:val="24"/>
                <w:szCs w:val="24"/>
                <w:color w:val="auto"/>
              </w:rPr>
            </w:pPr>
          </w:p>
        </w:tc>
      </w:tr>
      <w:tr>
        <w:trPr>
          <w:trHeight w:val="419"/>
        </w:trPr>
        <w:tc>
          <w:tcPr>
            <w:tcW w:w="200" w:type="dxa"/>
            <w:vAlign w:val="bottom"/>
          </w:tcPr>
          <w:p>
            <w:pPr>
              <w:spacing w:after="0"/>
              <w:rPr>
                <w:sz w:val="24"/>
                <w:szCs w:val="24"/>
                <w:color w:val="auto"/>
              </w:rPr>
            </w:pPr>
          </w:p>
        </w:tc>
        <w:tc>
          <w:tcPr>
            <w:tcW w:w="8820" w:type="dxa"/>
            <w:vAlign w:val="bottom"/>
            <w:gridSpan w:val="35"/>
          </w:tcPr>
          <w:p>
            <w:pPr>
              <w:spacing w:after="0"/>
              <w:rPr>
                <w:rFonts w:ascii="Arial" w:cs="Arial" w:eastAsia="Arial" w:hAnsi="Arial"/>
                <w:sz w:val="18"/>
                <w:szCs w:val="18"/>
                <w:color w:val="0000EE"/>
              </w:rPr>
            </w:pPr>
            <w:hyperlink w:anchor="page3">
              <w:r>
                <w:rPr>
                  <w:rFonts w:ascii="Arial" w:cs="Arial" w:eastAsia="Arial" w:hAnsi="Arial"/>
                  <w:sz w:val="18"/>
                  <w:szCs w:val="18"/>
                  <w:color w:val="0000EE"/>
                </w:rPr>
                <w:t>INTRODUCTION</w:t>
              </w:r>
            </w:hyperlink>
          </w:p>
        </w:tc>
        <w:tc>
          <w:tcPr>
            <w:tcW w:w="210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196"/>
        </w:trPr>
        <w:tc>
          <w:tcPr>
            <w:tcW w:w="200" w:type="dxa"/>
            <w:vAlign w:val="bottom"/>
          </w:tcPr>
          <w:p>
            <w:pPr>
              <w:spacing w:after="0"/>
              <w:rPr>
                <w:sz w:val="17"/>
                <w:szCs w:val="17"/>
                <w:color w:val="auto"/>
              </w:rPr>
            </w:pPr>
          </w:p>
        </w:tc>
        <w:tc>
          <w:tcPr>
            <w:tcW w:w="1300" w:type="dxa"/>
            <w:vAlign w:val="bottom"/>
            <w:tcBorders>
              <w:top w:val="single" w:sz="8" w:color="0000EE"/>
            </w:tcBorders>
            <w:gridSpan w:val="6"/>
          </w:tcPr>
          <w:p>
            <w:pPr>
              <w:spacing w:after="0" w:line="196" w:lineRule="exact"/>
              <w:rPr>
                <w:rFonts w:ascii="Arial" w:cs="Arial" w:eastAsia="Arial" w:hAnsi="Arial"/>
                <w:sz w:val="18"/>
                <w:szCs w:val="18"/>
                <w:color w:val="0000EE"/>
              </w:rPr>
            </w:pPr>
            <w:hyperlink w:anchor="page4">
              <w:r>
                <w:rPr>
                  <w:rFonts w:ascii="Arial" w:cs="Arial" w:eastAsia="Arial" w:hAnsi="Arial"/>
                  <w:sz w:val="18"/>
                  <w:szCs w:val="18"/>
                  <w:color w:val="0000EE"/>
                </w:rPr>
                <w:t>PART I</w:t>
              </w:r>
            </w:hyperlink>
          </w:p>
        </w:tc>
        <w:tc>
          <w:tcPr>
            <w:tcW w:w="60" w:type="dxa"/>
            <w:vAlign w:val="bottom"/>
            <w:tcBorders>
              <w:top w:val="single" w:sz="8" w:color="0000EE"/>
            </w:tcBorders>
          </w:tcPr>
          <w:p>
            <w:pPr>
              <w:spacing w:after="0"/>
              <w:rPr>
                <w:sz w:val="17"/>
                <w:szCs w:val="17"/>
                <w:color w:val="auto"/>
              </w:rPr>
            </w:pPr>
          </w:p>
        </w:tc>
        <w:tc>
          <w:tcPr>
            <w:tcW w:w="5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920" w:type="dxa"/>
            <w:vAlign w:val="bottom"/>
          </w:tcPr>
          <w:p>
            <w:pPr>
              <w:spacing w:after="0"/>
              <w:rPr>
                <w:sz w:val="17"/>
                <w:szCs w:val="17"/>
                <w:color w:val="auto"/>
              </w:rPr>
            </w:pPr>
          </w:p>
        </w:tc>
        <w:tc>
          <w:tcPr>
            <w:tcW w:w="2100" w:type="dxa"/>
            <w:vAlign w:val="bottom"/>
          </w:tcPr>
          <w:p>
            <w:pPr>
              <w:jc w:val="right"/>
              <w:spacing w:after="0" w:line="196" w:lineRule="exact"/>
              <w:rPr>
                <w:sz w:val="20"/>
                <w:szCs w:val="20"/>
                <w:color w:val="auto"/>
              </w:rPr>
            </w:pPr>
            <w:r>
              <w:rPr>
                <w:rFonts w:ascii="Arial" w:cs="Arial" w:eastAsia="Arial" w:hAnsi="Arial"/>
                <w:sz w:val="18"/>
                <w:szCs w:val="18"/>
                <w:color w:val="auto"/>
              </w:rPr>
              <w:t>2</w:t>
            </w:r>
          </w:p>
        </w:tc>
      </w:tr>
      <w:tr>
        <w:trPr>
          <w:trHeight w:val="196"/>
        </w:trPr>
        <w:tc>
          <w:tcPr>
            <w:tcW w:w="200" w:type="dxa"/>
            <w:vAlign w:val="bottom"/>
          </w:tcPr>
          <w:p>
            <w:pPr>
              <w:spacing w:after="0"/>
              <w:rPr>
                <w:sz w:val="17"/>
                <w:szCs w:val="17"/>
                <w:color w:val="auto"/>
              </w:rPr>
            </w:pPr>
          </w:p>
        </w:tc>
        <w:tc>
          <w:tcPr>
            <w:tcW w:w="540" w:type="dxa"/>
            <w:vAlign w:val="bottom"/>
            <w:tcBorders>
              <w:top w:val="single" w:sz="8" w:color="0000EE"/>
            </w:tcBorders>
          </w:tcPr>
          <w:p>
            <w:pPr>
              <w:spacing w:after="0" w:line="196" w:lineRule="exact"/>
              <w:rPr>
                <w:sz w:val="20"/>
                <w:szCs w:val="20"/>
                <w:color w:val="auto"/>
              </w:rPr>
            </w:pPr>
            <w:r>
              <w:rPr>
                <w:rFonts w:ascii="Arial" w:cs="Arial" w:eastAsia="Arial" w:hAnsi="Arial"/>
                <w:sz w:val="18"/>
                <w:szCs w:val="18"/>
                <w:color w:val="auto"/>
                <w:w w:val="94"/>
              </w:rPr>
              <w:t>Item 1.</w:t>
            </w:r>
          </w:p>
        </w:tc>
        <w:tc>
          <w:tcPr>
            <w:tcW w:w="760" w:type="dxa"/>
            <w:vAlign w:val="bottom"/>
            <w:gridSpan w:val="5"/>
          </w:tcPr>
          <w:p>
            <w:pPr>
              <w:spacing w:after="0"/>
              <w:rPr>
                <w:sz w:val="17"/>
                <w:szCs w:val="17"/>
                <w:color w:val="auto"/>
              </w:rPr>
            </w:pPr>
          </w:p>
        </w:tc>
        <w:tc>
          <w:tcPr>
            <w:tcW w:w="7520" w:type="dxa"/>
            <w:vAlign w:val="bottom"/>
            <w:gridSpan w:val="29"/>
          </w:tcPr>
          <w:p>
            <w:pPr>
              <w:spacing w:after="0" w:line="196" w:lineRule="exact"/>
              <w:rPr>
                <w:rFonts w:ascii="Arial" w:cs="Arial" w:eastAsia="Arial" w:hAnsi="Arial"/>
                <w:sz w:val="18"/>
                <w:szCs w:val="18"/>
                <w:color w:val="0000EE"/>
              </w:rPr>
            </w:pPr>
            <w:hyperlink w:anchor="page4">
              <w:r>
                <w:rPr>
                  <w:rFonts w:ascii="Arial" w:cs="Arial" w:eastAsia="Arial" w:hAnsi="Arial"/>
                  <w:sz w:val="18"/>
                  <w:szCs w:val="18"/>
                  <w:color w:val="0000EE"/>
                </w:rPr>
                <w:t>Identity of Directors, Senior Management and Advisers</w:t>
              </w:r>
            </w:hyperlink>
          </w:p>
        </w:tc>
        <w:tc>
          <w:tcPr>
            <w:tcW w:w="2100" w:type="dxa"/>
            <w:vAlign w:val="bottom"/>
          </w:tcPr>
          <w:p>
            <w:pPr>
              <w:jc w:val="right"/>
              <w:spacing w:after="0" w:line="196" w:lineRule="exact"/>
              <w:rPr>
                <w:sz w:val="20"/>
                <w:szCs w:val="20"/>
                <w:color w:val="auto"/>
              </w:rPr>
            </w:pPr>
            <w:r>
              <w:rPr>
                <w:rFonts w:ascii="Arial" w:cs="Arial" w:eastAsia="Arial" w:hAnsi="Arial"/>
                <w:sz w:val="18"/>
                <w:szCs w:val="18"/>
                <w:color w:val="auto"/>
              </w:rPr>
              <w:t>2</w:t>
            </w:r>
          </w:p>
        </w:tc>
      </w:tr>
      <w:tr>
        <w:trPr>
          <w:trHeight w:val="196"/>
        </w:trPr>
        <w:tc>
          <w:tcPr>
            <w:tcW w:w="200" w:type="dxa"/>
            <w:vAlign w:val="bottom"/>
          </w:tcPr>
          <w:p>
            <w:pPr>
              <w:spacing w:after="0"/>
              <w:rPr>
                <w:sz w:val="17"/>
                <w:szCs w:val="17"/>
                <w:color w:val="auto"/>
              </w:rPr>
            </w:pPr>
          </w:p>
        </w:tc>
        <w:tc>
          <w:tcPr>
            <w:tcW w:w="1300" w:type="dxa"/>
            <w:vAlign w:val="bottom"/>
            <w:gridSpan w:val="6"/>
          </w:tcPr>
          <w:p>
            <w:pPr>
              <w:spacing w:after="0" w:line="196" w:lineRule="exact"/>
              <w:rPr>
                <w:sz w:val="20"/>
                <w:szCs w:val="20"/>
                <w:color w:val="auto"/>
              </w:rPr>
            </w:pPr>
            <w:r>
              <w:rPr>
                <w:rFonts w:ascii="Arial" w:cs="Arial" w:eastAsia="Arial" w:hAnsi="Arial"/>
                <w:sz w:val="18"/>
                <w:szCs w:val="18"/>
                <w:color w:val="auto"/>
              </w:rPr>
              <w:t>Item 2.</w:t>
            </w:r>
          </w:p>
        </w:tc>
        <w:tc>
          <w:tcPr>
            <w:tcW w:w="2880" w:type="dxa"/>
            <w:vAlign w:val="bottom"/>
            <w:tcBorders>
              <w:top w:val="single" w:sz="8" w:color="0000EE"/>
              <w:bottom w:val="single" w:sz="8" w:color="0000EE"/>
            </w:tcBorders>
            <w:gridSpan w:val="18"/>
          </w:tcPr>
          <w:p>
            <w:pPr>
              <w:spacing w:after="0" w:line="196" w:lineRule="exact"/>
              <w:rPr>
                <w:rFonts w:ascii="Arial" w:cs="Arial" w:eastAsia="Arial" w:hAnsi="Arial"/>
                <w:sz w:val="18"/>
                <w:szCs w:val="18"/>
                <w:color w:val="0000EE"/>
                <w:w w:val="90"/>
              </w:rPr>
            </w:pPr>
            <w:hyperlink w:anchor="page4">
              <w:r>
                <w:rPr>
                  <w:rFonts w:ascii="Arial" w:cs="Arial" w:eastAsia="Arial" w:hAnsi="Arial"/>
                  <w:sz w:val="18"/>
                  <w:szCs w:val="18"/>
                  <w:color w:val="0000EE"/>
                  <w:w w:val="90"/>
                </w:rPr>
                <w:t>Offer Statistics and Expected Timetable</w:t>
              </w:r>
            </w:hyperlink>
          </w:p>
        </w:tc>
        <w:tc>
          <w:tcPr>
            <w:tcW w:w="1120" w:type="dxa"/>
            <w:vAlign w:val="bottom"/>
            <w:tcBorders>
              <w:top w:val="single" w:sz="8" w:color="0000EE"/>
            </w:tcBorders>
            <w:gridSpan w:val="6"/>
          </w:tcPr>
          <w:p>
            <w:pPr>
              <w:spacing w:after="0"/>
              <w:rPr>
                <w:sz w:val="17"/>
                <w:szCs w:val="17"/>
                <w:color w:val="auto"/>
              </w:rPr>
            </w:pPr>
          </w:p>
        </w:tc>
        <w:tc>
          <w:tcPr>
            <w:tcW w:w="3520" w:type="dxa"/>
            <w:vAlign w:val="bottom"/>
            <w:gridSpan w:val="5"/>
          </w:tcPr>
          <w:p>
            <w:pPr>
              <w:spacing w:after="0"/>
              <w:rPr>
                <w:sz w:val="17"/>
                <w:szCs w:val="17"/>
                <w:color w:val="auto"/>
              </w:rPr>
            </w:pPr>
          </w:p>
        </w:tc>
        <w:tc>
          <w:tcPr>
            <w:tcW w:w="2100" w:type="dxa"/>
            <w:vAlign w:val="bottom"/>
          </w:tcPr>
          <w:p>
            <w:pPr>
              <w:jc w:val="right"/>
              <w:spacing w:after="0" w:line="196" w:lineRule="exact"/>
              <w:rPr>
                <w:sz w:val="20"/>
                <w:szCs w:val="20"/>
                <w:color w:val="auto"/>
              </w:rPr>
            </w:pPr>
            <w:r>
              <w:rPr>
                <w:rFonts w:ascii="Arial" w:cs="Arial" w:eastAsia="Arial" w:hAnsi="Arial"/>
                <w:sz w:val="18"/>
                <w:szCs w:val="18"/>
                <w:color w:val="auto"/>
              </w:rPr>
              <w:t>2</w:t>
            </w:r>
          </w:p>
        </w:tc>
      </w:tr>
      <w:tr>
        <w:trPr>
          <w:trHeight w:val="196"/>
        </w:trPr>
        <w:tc>
          <w:tcPr>
            <w:tcW w:w="200" w:type="dxa"/>
            <w:vAlign w:val="bottom"/>
          </w:tcPr>
          <w:p>
            <w:pPr>
              <w:spacing w:after="0"/>
              <w:rPr>
                <w:sz w:val="17"/>
                <w:szCs w:val="17"/>
                <w:color w:val="auto"/>
              </w:rPr>
            </w:pPr>
          </w:p>
        </w:tc>
        <w:tc>
          <w:tcPr>
            <w:tcW w:w="1300" w:type="dxa"/>
            <w:vAlign w:val="bottom"/>
            <w:gridSpan w:val="6"/>
          </w:tcPr>
          <w:p>
            <w:pPr>
              <w:spacing w:after="0" w:line="196" w:lineRule="exact"/>
              <w:rPr>
                <w:sz w:val="20"/>
                <w:szCs w:val="20"/>
                <w:color w:val="auto"/>
              </w:rPr>
            </w:pPr>
            <w:r>
              <w:rPr>
                <w:rFonts w:ascii="Arial" w:cs="Arial" w:eastAsia="Arial" w:hAnsi="Arial"/>
                <w:sz w:val="18"/>
                <w:szCs w:val="18"/>
                <w:color w:val="auto"/>
              </w:rPr>
              <w:t>Item 3.</w:t>
            </w:r>
          </w:p>
        </w:tc>
        <w:tc>
          <w:tcPr>
            <w:tcW w:w="7520" w:type="dxa"/>
            <w:vAlign w:val="bottom"/>
            <w:gridSpan w:val="29"/>
          </w:tcPr>
          <w:p>
            <w:pPr>
              <w:spacing w:after="0" w:line="196" w:lineRule="exact"/>
              <w:rPr>
                <w:rFonts w:ascii="Arial" w:cs="Arial" w:eastAsia="Arial" w:hAnsi="Arial"/>
                <w:sz w:val="18"/>
                <w:szCs w:val="18"/>
                <w:color w:val="0000EE"/>
              </w:rPr>
            </w:pPr>
            <w:hyperlink w:anchor="page4">
              <w:r>
                <w:rPr>
                  <w:rFonts w:ascii="Arial" w:cs="Arial" w:eastAsia="Arial" w:hAnsi="Arial"/>
                  <w:sz w:val="18"/>
                  <w:szCs w:val="18"/>
                  <w:color w:val="0000EE"/>
                </w:rPr>
                <w:t>Key Information</w:t>
              </w:r>
            </w:hyperlink>
          </w:p>
        </w:tc>
        <w:tc>
          <w:tcPr>
            <w:tcW w:w="2100" w:type="dxa"/>
            <w:vAlign w:val="bottom"/>
          </w:tcPr>
          <w:p>
            <w:pPr>
              <w:jc w:val="right"/>
              <w:spacing w:after="0" w:line="196" w:lineRule="exact"/>
              <w:rPr>
                <w:sz w:val="20"/>
                <w:szCs w:val="20"/>
                <w:color w:val="auto"/>
              </w:rPr>
            </w:pPr>
            <w:r>
              <w:rPr>
                <w:rFonts w:ascii="Arial" w:cs="Arial" w:eastAsia="Arial" w:hAnsi="Arial"/>
                <w:sz w:val="18"/>
                <w:szCs w:val="18"/>
                <w:color w:val="auto"/>
              </w:rPr>
              <w:t>2</w:t>
            </w:r>
          </w:p>
        </w:tc>
      </w:tr>
      <w:tr>
        <w:trPr>
          <w:trHeight w:val="20"/>
        </w:trPr>
        <w:tc>
          <w:tcPr>
            <w:tcW w:w="200" w:type="dxa"/>
            <w:vAlign w:val="bottom"/>
          </w:tcPr>
          <w:p>
            <w:pPr>
              <w:spacing w:after="0" w:line="20" w:lineRule="exact"/>
              <w:rPr>
                <w:sz w:val="1"/>
                <w:szCs w:val="1"/>
                <w:color w:val="auto"/>
              </w:rPr>
            </w:pPr>
          </w:p>
        </w:tc>
        <w:tc>
          <w:tcPr>
            <w:tcW w:w="60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600" w:type="dxa"/>
            <w:vAlign w:val="bottom"/>
            <w:gridSpan w:val="2"/>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r>
      <w:tr>
        <w:trPr>
          <w:trHeight w:val="196"/>
        </w:trPr>
        <w:tc>
          <w:tcPr>
            <w:tcW w:w="200" w:type="dxa"/>
            <w:vAlign w:val="bottom"/>
          </w:tcPr>
          <w:p>
            <w:pPr>
              <w:spacing w:after="0"/>
              <w:rPr>
                <w:sz w:val="17"/>
                <w:szCs w:val="17"/>
                <w:color w:val="auto"/>
              </w:rPr>
            </w:pPr>
          </w:p>
        </w:tc>
        <w:tc>
          <w:tcPr>
            <w:tcW w:w="1300" w:type="dxa"/>
            <w:vAlign w:val="bottom"/>
            <w:gridSpan w:val="6"/>
          </w:tcPr>
          <w:p>
            <w:pPr>
              <w:spacing w:after="0" w:line="196" w:lineRule="exact"/>
              <w:rPr>
                <w:sz w:val="20"/>
                <w:szCs w:val="20"/>
                <w:color w:val="auto"/>
              </w:rPr>
            </w:pPr>
            <w:r>
              <w:rPr>
                <w:rFonts w:ascii="Arial" w:cs="Arial" w:eastAsia="Arial" w:hAnsi="Arial"/>
                <w:sz w:val="18"/>
                <w:szCs w:val="18"/>
                <w:color w:val="auto"/>
              </w:rPr>
              <w:t>Item 4.</w:t>
            </w:r>
          </w:p>
        </w:tc>
        <w:tc>
          <w:tcPr>
            <w:tcW w:w="2100" w:type="dxa"/>
            <w:vAlign w:val="bottom"/>
            <w:tcBorders>
              <w:bottom w:val="single" w:sz="8" w:color="0000EE"/>
            </w:tcBorders>
            <w:gridSpan w:val="15"/>
          </w:tcPr>
          <w:p>
            <w:pPr>
              <w:spacing w:after="0" w:line="196" w:lineRule="exact"/>
              <w:rPr>
                <w:rFonts w:ascii="Arial" w:cs="Arial" w:eastAsia="Arial" w:hAnsi="Arial"/>
                <w:sz w:val="18"/>
                <w:szCs w:val="18"/>
                <w:color w:val="0000EE"/>
                <w:w w:val="91"/>
              </w:rPr>
            </w:pPr>
            <w:hyperlink w:anchor="page24">
              <w:r>
                <w:rPr>
                  <w:rFonts w:ascii="Arial" w:cs="Arial" w:eastAsia="Arial" w:hAnsi="Arial"/>
                  <w:sz w:val="18"/>
                  <w:szCs w:val="18"/>
                  <w:color w:val="0000EE"/>
                  <w:w w:val="91"/>
                </w:rPr>
                <w:t>Information on the Company</w:t>
              </w:r>
            </w:hyperlink>
          </w:p>
        </w:tc>
        <w:tc>
          <w:tcPr>
            <w:tcW w:w="5420" w:type="dxa"/>
            <w:vAlign w:val="bottom"/>
            <w:gridSpan w:val="14"/>
          </w:tcPr>
          <w:p>
            <w:pPr>
              <w:spacing w:after="0"/>
              <w:rPr>
                <w:sz w:val="17"/>
                <w:szCs w:val="17"/>
                <w:color w:val="auto"/>
              </w:rPr>
            </w:pPr>
          </w:p>
        </w:tc>
        <w:tc>
          <w:tcPr>
            <w:tcW w:w="2100" w:type="dxa"/>
            <w:vAlign w:val="bottom"/>
          </w:tcPr>
          <w:p>
            <w:pPr>
              <w:jc w:val="right"/>
              <w:spacing w:after="0" w:line="196" w:lineRule="exact"/>
              <w:rPr>
                <w:sz w:val="20"/>
                <w:szCs w:val="20"/>
                <w:color w:val="auto"/>
              </w:rPr>
            </w:pPr>
            <w:r>
              <w:rPr>
                <w:rFonts w:ascii="Arial" w:cs="Arial" w:eastAsia="Arial" w:hAnsi="Arial"/>
                <w:sz w:val="18"/>
                <w:szCs w:val="18"/>
                <w:color w:val="auto"/>
              </w:rPr>
              <w:t>22</w:t>
            </w:r>
          </w:p>
        </w:tc>
      </w:tr>
      <w:tr>
        <w:trPr>
          <w:trHeight w:val="196"/>
        </w:trPr>
        <w:tc>
          <w:tcPr>
            <w:tcW w:w="200" w:type="dxa"/>
            <w:vAlign w:val="bottom"/>
          </w:tcPr>
          <w:p>
            <w:pPr>
              <w:spacing w:after="0"/>
              <w:rPr>
                <w:sz w:val="17"/>
                <w:szCs w:val="17"/>
                <w:color w:val="auto"/>
              </w:rPr>
            </w:pPr>
          </w:p>
        </w:tc>
        <w:tc>
          <w:tcPr>
            <w:tcW w:w="1300" w:type="dxa"/>
            <w:vAlign w:val="bottom"/>
            <w:gridSpan w:val="6"/>
          </w:tcPr>
          <w:p>
            <w:pPr>
              <w:spacing w:after="0" w:line="196" w:lineRule="exact"/>
              <w:rPr>
                <w:sz w:val="20"/>
                <w:szCs w:val="20"/>
                <w:color w:val="auto"/>
              </w:rPr>
            </w:pPr>
            <w:r>
              <w:rPr>
                <w:rFonts w:ascii="Arial" w:cs="Arial" w:eastAsia="Arial" w:hAnsi="Arial"/>
                <w:sz w:val="18"/>
                <w:szCs w:val="18"/>
                <w:color w:val="auto"/>
              </w:rPr>
              <w:t>Item 4A.</w:t>
            </w:r>
          </w:p>
        </w:tc>
        <w:tc>
          <w:tcPr>
            <w:tcW w:w="7520" w:type="dxa"/>
            <w:vAlign w:val="bottom"/>
            <w:gridSpan w:val="29"/>
          </w:tcPr>
          <w:p>
            <w:pPr>
              <w:spacing w:after="0" w:line="196" w:lineRule="exact"/>
              <w:rPr>
                <w:rFonts w:ascii="Arial" w:cs="Arial" w:eastAsia="Arial" w:hAnsi="Arial"/>
                <w:sz w:val="18"/>
                <w:szCs w:val="18"/>
                <w:color w:val="0000EE"/>
              </w:rPr>
            </w:pPr>
            <w:hyperlink w:anchor="page44">
              <w:r>
                <w:rPr>
                  <w:rFonts w:ascii="Arial" w:cs="Arial" w:eastAsia="Arial" w:hAnsi="Arial"/>
                  <w:sz w:val="18"/>
                  <w:szCs w:val="18"/>
                  <w:color w:val="0000EE"/>
                </w:rPr>
                <w:t>Unresolved Staff Comments</w:t>
              </w:r>
            </w:hyperlink>
          </w:p>
        </w:tc>
        <w:tc>
          <w:tcPr>
            <w:tcW w:w="2100" w:type="dxa"/>
            <w:vAlign w:val="bottom"/>
          </w:tcPr>
          <w:p>
            <w:pPr>
              <w:jc w:val="right"/>
              <w:spacing w:after="0" w:line="196" w:lineRule="exact"/>
              <w:rPr>
                <w:sz w:val="20"/>
                <w:szCs w:val="20"/>
                <w:color w:val="auto"/>
              </w:rPr>
            </w:pPr>
            <w:r>
              <w:rPr>
                <w:rFonts w:ascii="Arial" w:cs="Arial" w:eastAsia="Arial" w:hAnsi="Arial"/>
                <w:sz w:val="18"/>
                <w:szCs w:val="18"/>
                <w:color w:val="auto"/>
              </w:rPr>
              <w:t>42</w:t>
            </w:r>
          </w:p>
        </w:tc>
      </w:tr>
      <w:tr>
        <w:trPr>
          <w:trHeight w:val="20"/>
        </w:trPr>
        <w:tc>
          <w:tcPr>
            <w:tcW w:w="200" w:type="dxa"/>
            <w:vAlign w:val="bottom"/>
          </w:tcPr>
          <w:p>
            <w:pPr>
              <w:spacing w:after="0" w:line="20" w:lineRule="exact"/>
              <w:rPr>
                <w:sz w:val="1"/>
                <w:szCs w:val="1"/>
                <w:color w:val="auto"/>
              </w:rPr>
            </w:pPr>
          </w:p>
        </w:tc>
        <w:tc>
          <w:tcPr>
            <w:tcW w:w="60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600" w:type="dxa"/>
            <w:vAlign w:val="bottom"/>
            <w:gridSpan w:val="2"/>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42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r>
      <w:tr>
        <w:trPr>
          <w:trHeight w:val="196"/>
        </w:trPr>
        <w:tc>
          <w:tcPr>
            <w:tcW w:w="200" w:type="dxa"/>
            <w:vAlign w:val="bottom"/>
          </w:tcPr>
          <w:p>
            <w:pPr>
              <w:spacing w:after="0"/>
              <w:rPr>
                <w:sz w:val="17"/>
                <w:szCs w:val="17"/>
                <w:color w:val="auto"/>
              </w:rPr>
            </w:pPr>
          </w:p>
        </w:tc>
        <w:tc>
          <w:tcPr>
            <w:tcW w:w="1300" w:type="dxa"/>
            <w:vAlign w:val="bottom"/>
            <w:gridSpan w:val="6"/>
          </w:tcPr>
          <w:p>
            <w:pPr>
              <w:spacing w:after="0" w:line="196" w:lineRule="exact"/>
              <w:rPr>
                <w:sz w:val="20"/>
                <w:szCs w:val="20"/>
                <w:color w:val="auto"/>
              </w:rPr>
            </w:pPr>
            <w:r>
              <w:rPr>
                <w:rFonts w:ascii="Arial" w:cs="Arial" w:eastAsia="Arial" w:hAnsi="Arial"/>
                <w:sz w:val="18"/>
                <w:szCs w:val="18"/>
                <w:color w:val="auto"/>
              </w:rPr>
              <w:t>Item 5.</w:t>
            </w:r>
          </w:p>
        </w:tc>
        <w:tc>
          <w:tcPr>
            <w:tcW w:w="3380" w:type="dxa"/>
            <w:vAlign w:val="bottom"/>
            <w:tcBorders>
              <w:bottom w:val="single" w:sz="8" w:color="0000EE"/>
            </w:tcBorders>
            <w:gridSpan w:val="20"/>
          </w:tcPr>
          <w:p>
            <w:pPr>
              <w:spacing w:after="0" w:line="196" w:lineRule="exact"/>
              <w:rPr>
                <w:rFonts w:ascii="Arial" w:cs="Arial" w:eastAsia="Arial" w:hAnsi="Arial"/>
                <w:sz w:val="18"/>
                <w:szCs w:val="18"/>
                <w:color w:val="0000EE"/>
                <w:w w:val="89"/>
              </w:rPr>
            </w:pPr>
            <w:hyperlink w:anchor="page44">
              <w:r>
                <w:rPr>
                  <w:rFonts w:ascii="Arial" w:cs="Arial" w:eastAsia="Arial" w:hAnsi="Arial"/>
                  <w:sz w:val="18"/>
                  <w:szCs w:val="18"/>
                  <w:color w:val="0000EE"/>
                  <w:w w:val="89"/>
                </w:rPr>
                <w:t>Operating and Financial Review and Prospects</w:t>
              </w:r>
            </w:hyperlink>
          </w:p>
        </w:tc>
        <w:tc>
          <w:tcPr>
            <w:tcW w:w="4140" w:type="dxa"/>
            <w:vAlign w:val="bottom"/>
            <w:gridSpan w:val="9"/>
          </w:tcPr>
          <w:p>
            <w:pPr>
              <w:spacing w:after="0"/>
              <w:rPr>
                <w:sz w:val="17"/>
                <w:szCs w:val="17"/>
                <w:color w:val="auto"/>
              </w:rPr>
            </w:pPr>
          </w:p>
        </w:tc>
        <w:tc>
          <w:tcPr>
            <w:tcW w:w="2100" w:type="dxa"/>
            <w:vAlign w:val="bottom"/>
          </w:tcPr>
          <w:p>
            <w:pPr>
              <w:jc w:val="right"/>
              <w:spacing w:after="0" w:line="196" w:lineRule="exact"/>
              <w:rPr>
                <w:sz w:val="20"/>
                <w:szCs w:val="20"/>
                <w:color w:val="auto"/>
              </w:rPr>
            </w:pPr>
            <w:r>
              <w:rPr>
                <w:rFonts w:ascii="Arial" w:cs="Arial" w:eastAsia="Arial" w:hAnsi="Arial"/>
                <w:sz w:val="18"/>
                <w:szCs w:val="18"/>
                <w:color w:val="auto"/>
              </w:rPr>
              <w:t>42</w:t>
            </w:r>
          </w:p>
        </w:tc>
      </w:tr>
      <w:tr>
        <w:trPr>
          <w:trHeight w:val="196"/>
        </w:trPr>
        <w:tc>
          <w:tcPr>
            <w:tcW w:w="200" w:type="dxa"/>
            <w:vAlign w:val="bottom"/>
          </w:tcPr>
          <w:p>
            <w:pPr>
              <w:spacing w:after="0"/>
              <w:rPr>
                <w:sz w:val="17"/>
                <w:szCs w:val="17"/>
                <w:color w:val="auto"/>
              </w:rPr>
            </w:pPr>
          </w:p>
        </w:tc>
        <w:tc>
          <w:tcPr>
            <w:tcW w:w="1300" w:type="dxa"/>
            <w:vAlign w:val="bottom"/>
            <w:gridSpan w:val="6"/>
          </w:tcPr>
          <w:p>
            <w:pPr>
              <w:spacing w:after="0" w:line="196" w:lineRule="exact"/>
              <w:rPr>
                <w:sz w:val="20"/>
                <w:szCs w:val="20"/>
                <w:color w:val="auto"/>
              </w:rPr>
            </w:pPr>
            <w:r>
              <w:rPr>
                <w:rFonts w:ascii="Arial" w:cs="Arial" w:eastAsia="Arial" w:hAnsi="Arial"/>
                <w:sz w:val="18"/>
                <w:szCs w:val="18"/>
                <w:color w:val="auto"/>
              </w:rPr>
              <w:t>Item 6.</w:t>
            </w:r>
          </w:p>
        </w:tc>
        <w:tc>
          <w:tcPr>
            <w:tcW w:w="7520" w:type="dxa"/>
            <w:vAlign w:val="bottom"/>
            <w:gridSpan w:val="29"/>
          </w:tcPr>
          <w:p>
            <w:pPr>
              <w:spacing w:after="0" w:line="196" w:lineRule="exact"/>
              <w:rPr>
                <w:rFonts w:ascii="Arial" w:cs="Arial" w:eastAsia="Arial" w:hAnsi="Arial"/>
                <w:sz w:val="18"/>
                <w:szCs w:val="18"/>
                <w:color w:val="0000EE"/>
              </w:rPr>
            </w:pPr>
            <w:hyperlink w:anchor="page55">
              <w:r>
                <w:rPr>
                  <w:rFonts w:ascii="Arial" w:cs="Arial" w:eastAsia="Arial" w:hAnsi="Arial"/>
                  <w:sz w:val="18"/>
                  <w:szCs w:val="18"/>
                  <w:color w:val="0000EE"/>
                </w:rPr>
                <w:t>Directors, Senior Management and Employees</w:t>
              </w:r>
            </w:hyperlink>
          </w:p>
        </w:tc>
        <w:tc>
          <w:tcPr>
            <w:tcW w:w="2100" w:type="dxa"/>
            <w:vAlign w:val="bottom"/>
          </w:tcPr>
          <w:p>
            <w:pPr>
              <w:jc w:val="right"/>
              <w:spacing w:after="0" w:line="196" w:lineRule="exact"/>
              <w:rPr>
                <w:sz w:val="20"/>
                <w:szCs w:val="20"/>
                <w:color w:val="auto"/>
              </w:rPr>
            </w:pPr>
            <w:r>
              <w:rPr>
                <w:rFonts w:ascii="Arial" w:cs="Arial" w:eastAsia="Arial" w:hAnsi="Arial"/>
                <w:sz w:val="18"/>
                <w:szCs w:val="18"/>
                <w:color w:val="auto"/>
              </w:rPr>
              <w:t>53</w:t>
            </w:r>
          </w:p>
        </w:tc>
      </w:tr>
      <w:tr>
        <w:trPr>
          <w:trHeight w:val="20"/>
        </w:trPr>
        <w:tc>
          <w:tcPr>
            <w:tcW w:w="200" w:type="dxa"/>
            <w:vAlign w:val="bottom"/>
          </w:tcPr>
          <w:p>
            <w:pPr>
              <w:spacing w:after="0" w:line="20" w:lineRule="exact"/>
              <w:rPr>
                <w:sz w:val="1"/>
                <w:szCs w:val="1"/>
                <w:color w:val="auto"/>
              </w:rPr>
            </w:pPr>
          </w:p>
        </w:tc>
        <w:tc>
          <w:tcPr>
            <w:tcW w:w="60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600" w:type="dxa"/>
            <w:vAlign w:val="bottom"/>
            <w:gridSpan w:val="2"/>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42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740" w:type="dxa"/>
            <w:vAlign w:val="bottom"/>
            <w:gridSpan w:val="3"/>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500" w:type="dxa"/>
            <w:vAlign w:val="bottom"/>
            <w:tcBorders>
              <w:right w:val="single" w:sz="8" w:color="0000EE"/>
            </w:tcBorders>
            <w:gridSpan w:val="2"/>
            <w:shd w:val="clear" w:color="auto" w:fill="0000EE"/>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r>
      <w:tr>
        <w:trPr>
          <w:trHeight w:val="196"/>
        </w:trPr>
        <w:tc>
          <w:tcPr>
            <w:tcW w:w="200" w:type="dxa"/>
            <w:vAlign w:val="bottom"/>
          </w:tcPr>
          <w:p>
            <w:pPr>
              <w:spacing w:after="0"/>
              <w:rPr>
                <w:sz w:val="17"/>
                <w:szCs w:val="17"/>
                <w:color w:val="auto"/>
              </w:rPr>
            </w:pPr>
          </w:p>
        </w:tc>
        <w:tc>
          <w:tcPr>
            <w:tcW w:w="1300" w:type="dxa"/>
            <w:vAlign w:val="bottom"/>
            <w:gridSpan w:val="6"/>
          </w:tcPr>
          <w:p>
            <w:pPr>
              <w:spacing w:after="0" w:line="196" w:lineRule="exact"/>
              <w:rPr>
                <w:sz w:val="20"/>
                <w:szCs w:val="20"/>
                <w:color w:val="auto"/>
              </w:rPr>
            </w:pPr>
            <w:r>
              <w:rPr>
                <w:rFonts w:ascii="Arial" w:cs="Arial" w:eastAsia="Arial" w:hAnsi="Arial"/>
                <w:sz w:val="18"/>
                <w:szCs w:val="18"/>
                <w:color w:val="auto"/>
              </w:rPr>
              <w:t>Item 7.</w:t>
            </w:r>
          </w:p>
        </w:tc>
        <w:tc>
          <w:tcPr>
            <w:tcW w:w="7520" w:type="dxa"/>
            <w:vAlign w:val="bottom"/>
            <w:gridSpan w:val="29"/>
          </w:tcPr>
          <w:p>
            <w:pPr>
              <w:spacing w:after="0" w:line="196" w:lineRule="exact"/>
              <w:rPr>
                <w:rFonts w:ascii="Arial" w:cs="Arial" w:eastAsia="Arial" w:hAnsi="Arial"/>
                <w:sz w:val="18"/>
                <w:szCs w:val="18"/>
                <w:color w:val="0000EE"/>
              </w:rPr>
            </w:pPr>
            <w:hyperlink w:anchor="page70">
              <w:r>
                <w:rPr>
                  <w:rFonts w:ascii="Arial" w:cs="Arial" w:eastAsia="Arial" w:hAnsi="Arial"/>
                  <w:sz w:val="18"/>
                  <w:szCs w:val="18"/>
                  <w:color w:val="0000EE"/>
                </w:rPr>
                <w:t>Major Shareholders and Related Party Transactions</w:t>
              </w:r>
            </w:hyperlink>
          </w:p>
        </w:tc>
        <w:tc>
          <w:tcPr>
            <w:tcW w:w="2100" w:type="dxa"/>
            <w:vAlign w:val="bottom"/>
          </w:tcPr>
          <w:p>
            <w:pPr>
              <w:jc w:val="right"/>
              <w:spacing w:after="0" w:line="196" w:lineRule="exact"/>
              <w:rPr>
                <w:sz w:val="20"/>
                <w:szCs w:val="20"/>
                <w:color w:val="auto"/>
              </w:rPr>
            </w:pPr>
            <w:r>
              <w:rPr>
                <w:rFonts w:ascii="Arial" w:cs="Arial" w:eastAsia="Arial" w:hAnsi="Arial"/>
                <w:sz w:val="18"/>
                <w:szCs w:val="18"/>
                <w:color w:val="auto"/>
              </w:rPr>
              <w:t>68</w:t>
            </w:r>
          </w:p>
        </w:tc>
      </w:tr>
      <w:tr>
        <w:trPr>
          <w:trHeight w:val="196"/>
        </w:trPr>
        <w:tc>
          <w:tcPr>
            <w:tcW w:w="200" w:type="dxa"/>
            <w:vAlign w:val="bottom"/>
          </w:tcPr>
          <w:p>
            <w:pPr>
              <w:spacing w:after="0"/>
              <w:rPr>
                <w:sz w:val="17"/>
                <w:szCs w:val="17"/>
                <w:color w:val="auto"/>
              </w:rPr>
            </w:pPr>
          </w:p>
        </w:tc>
        <w:tc>
          <w:tcPr>
            <w:tcW w:w="1300" w:type="dxa"/>
            <w:vAlign w:val="bottom"/>
            <w:gridSpan w:val="6"/>
          </w:tcPr>
          <w:p>
            <w:pPr>
              <w:spacing w:after="0" w:line="196" w:lineRule="exact"/>
              <w:rPr>
                <w:sz w:val="20"/>
                <w:szCs w:val="20"/>
                <w:color w:val="auto"/>
              </w:rPr>
            </w:pPr>
            <w:r>
              <w:rPr>
                <w:rFonts w:ascii="Arial" w:cs="Arial" w:eastAsia="Arial" w:hAnsi="Arial"/>
                <w:sz w:val="18"/>
                <w:szCs w:val="18"/>
                <w:color w:val="auto"/>
              </w:rPr>
              <w:t>Item 8.</w:t>
            </w:r>
          </w:p>
        </w:tc>
        <w:tc>
          <w:tcPr>
            <w:tcW w:w="1600" w:type="dxa"/>
            <w:vAlign w:val="bottom"/>
            <w:tcBorders>
              <w:top w:val="single" w:sz="8" w:color="0000EE"/>
              <w:bottom w:val="single" w:sz="8" w:color="0000EE"/>
            </w:tcBorders>
            <w:gridSpan w:val="9"/>
          </w:tcPr>
          <w:p>
            <w:pPr>
              <w:spacing w:after="0" w:line="196" w:lineRule="exact"/>
              <w:rPr>
                <w:rFonts w:ascii="Arial" w:cs="Arial" w:eastAsia="Arial" w:hAnsi="Arial"/>
                <w:sz w:val="18"/>
                <w:szCs w:val="18"/>
                <w:color w:val="0000EE"/>
                <w:w w:val="94"/>
              </w:rPr>
            </w:pPr>
            <w:hyperlink w:anchor="page71">
              <w:r>
                <w:rPr>
                  <w:rFonts w:ascii="Arial" w:cs="Arial" w:eastAsia="Arial" w:hAnsi="Arial"/>
                  <w:sz w:val="18"/>
                  <w:szCs w:val="18"/>
                  <w:color w:val="0000EE"/>
                  <w:w w:val="94"/>
                </w:rPr>
                <w:t>Financial Information</w:t>
              </w:r>
            </w:hyperlink>
          </w:p>
        </w:tc>
        <w:tc>
          <w:tcPr>
            <w:tcW w:w="2100" w:type="dxa"/>
            <w:vAlign w:val="bottom"/>
            <w:tcBorders>
              <w:top w:val="single" w:sz="8" w:color="0000EE"/>
            </w:tcBorders>
            <w:gridSpan w:val="13"/>
          </w:tcPr>
          <w:p>
            <w:pPr>
              <w:spacing w:after="0"/>
              <w:rPr>
                <w:sz w:val="17"/>
                <w:szCs w:val="17"/>
                <w:color w:val="auto"/>
              </w:rPr>
            </w:pPr>
          </w:p>
        </w:tc>
        <w:tc>
          <w:tcPr>
            <w:tcW w:w="3820" w:type="dxa"/>
            <w:vAlign w:val="bottom"/>
            <w:gridSpan w:val="7"/>
          </w:tcPr>
          <w:p>
            <w:pPr>
              <w:spacing w:after="0"/>
              <w:rPr>
                <w:sz w:val="17"/>
                <w:szCs w:val="17"/>
                <w:color w:val="auto"/>
              </w:rPr>
            </w:pPr>
          </w:p>
        </w:tc>
        <w:tc>
          <w:tcPr>
            <w:tcW w:w="2100" w:type="dxa"/>
            <w:vAlign w:val="bottom"/>
          </w:tcPr>
          <w:p>
            <w:pPr>
              <w:jc w:val="right"/>
              <w:spacing w:after="0" w:line="196" w:lineRule="exact"/>
              <w:rPr>
                <w:sz w:val="20"/>
                <w:szCs w:val="20"/>
                <w:color w:val="auto"/>
              </w:rPr>
            </w:pPr>
            <w:r>
              <w:rPr>
                <w:rFonts w:ascii="Arial" w:cs="Arial" w:eastAsia="Arial" w:hAnsi="Arial"/>
                <w:sz w:val="18"/>
                <w:szCs w:val="18"/>
                <w:color w:val="auto"/>
              </w:rPr>
              <w:t>69</w:t>
            </w:r>
          </w:p>
        </w:tc>
      </w:tr>
      <w:tr>
        <w:trPr>
          <w:trHeight w:val="196"/>
        </w:trPr>
        <w:tc>
          <w:tcPr>
            <w:tcW w:w="200" w:type="dxa"/>
            <w:vAlign w:val="bottom"/>
          </w:tcPr>
          <w:p>
            <w:pPr>
              <w:spacing w:after="0"/>
              <w:rPr>
                <w:sz w:val="17"/>
                <w:szCs w:val="17"/>
                <w:color w:val="auto"/>
              </w:rPr>
            </w:pPr>
          </w:p>
        </w:tc>
        <w:tc>
          <w:tcPr>
            <w:tcW w:w="1300" w:type="dxa"/>
            <w:vAlign w:val="bottom"/>
            <w:gridSpan w:val="6"/>
          </w:tcPr>
          <w:p>
            <w:pPr>
              <w:spacing w:after="0" w:line="196" w:lineRule="exact"/>
              <w:rPr>
                <w:sz w:val="20"/>
                <w:szCs w:val="20"/>
                <w:color w:val="auto"/>
              </w:rPr>
            </w:pPr>
            <w:r>
              <w:rPr>
                <w:rFonts w:ascii="Arial" w:cs="Arial" w:eastAsia="Arial" w:hAnsi="Arial"/>
                <w:sz w:val="18"/>
                <w:szCs w:val="18"/>
                <w:color w:val="auto"/>
              </w:rPr>
              <w:t>Item 9.</w:t>
            </w:r>
          </w:p>
        </w:tc>
        <w:tc>
          <w:tcPr>
            <w:tcW w:w="1580" w:type="dxa"/>
            <w:vAlign w:val="bottom"/>
            <w:tcBorders>
              <w:bottom w:val="single" w:sz="8" w:color="0000EE"/>
            </w:tcBorders>
            <w:gridSpan w:val="8"/>
          </w:tcPr>
          <w:p>
            <w:pPr>
              <w:spacing w:after="0" w:line="196" w:lineRule="exact"/>
              <w:rPr>
                <w:rFonts w:ascii="Arial" w:cs="Arial" w:eastAsia="Arial" w:hAnsi="Arial"/>
                <w:sz w:val="18"/>
                <w:szCs w:val="18"/>
                <w:color w:val="0000EE"/>
                <w:w w:val="92"/>
              </w:rPr>
            </w:pPr>
            <w:hyperlink w:anchor="page73">
              <w:r>
                <w:rPr>
                  <w:rFonts w:ascii="Arial" w:cs="Arial" w:eastAsia="Arial" w:hAnsi="Arial"/>
                  <w:sz w:val="18"/>
                  <w:szCs w:val="18"/>
                  <w:color w:val="0000EE"/>
                  <w:w w:val="92"/>
                </w:rPr>
                <w:t>The Offer and Listing</w:t>
              </w:r>
            </w:hyperlink>
          </w:p>
        </w:tc>
        <w:tc>
          <w:tcPr>
            <w:tcW w:w="5940" w:type="dxa"/>
            <w:vAlign w:val="bottom"/>
            <w:gridSpan w:val="21"/>
          </w:tcPr>
          <w:p>
            <w:pPr>
              <w:spacing w:after="0"/>
              <w:rPr>
                <w:sz w:val="17"/>
                <w:szCs w:val="17"/>
                <w:color w:val="auto"/>
              </w:rPr>
            </w:pPr>
          </w:p>
        </w:tc>
        <w:tc>
          <w:tcPr>
            <w:tcW w:w="2100" w:type="dxa"/>
            <w:vAlign w:val="bottom"/>
          </w:tcPr>
          <w:p>
            <w:pPr>
              <w:jc w:val="right"/>
              <w:spacing w:after="0" w:line="196" w:lineRule="exact"/>
              <w:rPr>
                <w:sz w:val="20"/>
                <w:szCs w:val="20"/>
                <w:color w:val="auto"/>
              </w:rPr>
            </w:pPr>
            <w:r>
              <w:rPr>
                <w:rFonts w:ascii="Arial" w:cs="Arial" w:eastAsia="Arial" w:hAnsi="Arial"/>
                <w:sz w:val="18"/>
                <w:szCs w:val="18"/>
                <w:color w:val="auto"/>
              </w:rPr>
              <w:t>71</w:t>
            </w:r>
          </w:p>
        </w:tc>
      </w:tr>
      <w:tr>
        <w:trPr>
          <w:trHeight w:val="196"/>
        </w:trPr>
        <w:tc>
          <w:tcPr>
            <w:tcW w:w="200" w:type="dxa"/>
            <w:vAlign w:val="bottom"/>
          </w:tcPr>
          <w:p>
            <w:pPr>
              <w:spacing w:after="0"/>
              <w:rPr>
                <w:sz w:val="17"/>
                <w:szCs w:val="17"/>
                <w:color w:val="auto"/>
              </w:rPr>
            </w:pPr>
          </w:p>
        </w:tc>
        <w:tc>
          <w:tcPr>
            <w:tcW w:w="1300" w:type="dxa"/>
            <w:vAlign w:val="bottom"/>
            <w:gridSpan w:val="6"/>
          </w:tcPr>
          <w:p>
            <w:pPr>
              <w:spacing w:after="0" w:line="196" w:lineRule="exact"/>
              <w:rPr>
                <w:sz w:val="20"/>
                <w:szCs w:val="20"/>
                <w:color w:val="auto"/>
              </w:rPr>
            </w:pPr>
            <w:r>
              <w:rPr>
                <w:rFonts w:ascii="Arial" w:cs="Arial" w:eastAsia="Arial" w:hAnsi="Arial"/>
                <w:sz w:val="18"/>
                <w:szCs w:val="18"/>
                <w:color w:val="auto"/>
              </w:rPr>
              <w:t>Item 10.</w:t>
            </w:r>
          </w:p>
        </w:tc>
        <w:tc>
          <w:tcPr>
            <w:tcW w:w="1680" w:type="dxa"/>
            <w:vAlign w:val="bottom"/>
            <w:tcBorders>
              <w:bottom w:val="single" w:sz="8" w:color="0000EE"/>
            </w:tcBorders>
            <w:gridSpan w:val="11"/>
          </w:tcPr>
          <w:p>
            <w:pPr>
              <w:spacing w:after="0" w:line="196" w:lineRule="exact"/>
              <w:rPr>
                <w:rFonts w:ascii="Arial" w:cs="Arial" w:eastAsia="Arial" w:hAnsi="Arial"/>
                <w:sz w:val="18"/>
                <w:szCs w:val="18"/>
                <w:color w:val="0000EE"/>
                <w:w w:val="95"/>
              </w:rPr>
            </w:pPr>
            <w:hyperlink w:anchor="page75">
              <w:r>
                <w:rPr>
                  <w:rFonts w:ascii="Arial" w:cs="Arial" w:eastAsia="Arial" w:hAnsi="Arial"/>
                  <w:sz w:val="18"/>
                  <w:szCs w:val="18"/>
                  <w:color w:val="0000EE"/>
                  <w:w w:val="95"/>
                </w:rPr>
                <w:t>Additional Information</w:t>
              </w:r>
            </w:hyperlink>
          </w:p>
        </w:tc>
        <w:tc>
          <w:tcPr>
            <w:tcW w:w="5840" w:type="dxa"/>
            <w:vAlign w:val="bottom"/>
            <w:gridSpan w:val="18"/>
          </w:tcPr>
          <w:p>
            <w:pPr>
              <w:spacing w:after="0"/>
              <w:rPr>
                <w:sz w:val="17"/>
                <w:szCs w:val="17"/>
                <w:color w:val="auto"/>
              </w:rPr>
            </w:pPr>
          </w:p>
        </w:tc>
        <w:tc>
          <w:tcPr>
            <w:tcW w:w="2100" w:type="dxa"/>
            <w:vAlign w:val="bottom"/>
          </w:tcPr>
          <w:p>
            <w:pPr>
              <w:jc w:val="right"/>
              <w:spacing w:after="0" w:line="196" w:lineRule="exact"/>
              <w:rPr>
                <w:sz w:val="20"/>
                <w:szCs w:val="20"/>
                <w:color w:val="auto"/>
              </w:rPr>
            </w:pPr>
            <w:r>
              <w:rPr>
                <w:rFonts w:ascii="Arial" w:cs="Arial" w:eastAsia="Arial" w:hAnsi="Arial"/>
                <w:sz w:val="18"/>
                <w:szCs w:val="18"/>
                <w:color w:val="auto"/>
              </w:rPr>
              <w:t>73</w:t>
            </w:r>
          </w:p>
        </w:tc>
      </w:tr>
      <w:tr>
        <w:trPr>
          <w:trHeight w:val="196"/>
        </w:trPr>
        <w:tc>
          <w:tcPr>
            <w:tcW w:w="200" w:type="dxa"/>
            <w:vAlign w:val="bottom"/>
          </w:tcPr>
          <w:p>
            <w:pPr>
              <w:spacing w:after="0"/>
              <w:rPr>
                <w:sz w:val="17"/>
                <w:szCs w:val="17"/>
                <w:color w:val="auto"/>
              </w:rPr>
            </w:pPr>
          </w:p>
        </w:tc>
        <w:tc>
          <w:tcPr>
            <w:tcW w:w="1300" w:type="dxa"/>
            <w:vAlign w:val="bottom"/>
            <w:gridSpan w:val="6"/>
          </w:tcPr>
          <w:p>
            <w:pPr>
              <w:spacing w:after="0" w:line="196" w:lineRule="exact"/>
              <w:rPr>
                <w:sz w:val="20"/>
                <w:szCs w:val="20"/>
                <w:color w:val="auto"/>
              </w:rPr>
            </w:pPr>
            <w:r>
              <w:rPr>
                <w:rFonts w:ascii="Arial" w:cs="Arial" w:eastAsia="Arial" w:hAnsi="Arial"/>
                <w:sz w:val="18"/>
                <w:szCs w:val="18"/>
                <w:color w:val="auto"/>
              </w:rPr>
              <w:t>Item 11.</w:t>
            </w:r>
          </w:p>
        </w:tc>
        <w:tc>
          <w:tcPr>
            <w:tcW w:w="7520" w:type="dxa"/>
            <w:vAlign w:val="bottom"/>
            <w:gridSpan w:val="29"/>
          </w:tcPr>
          <w:p>
            <w:pPr>
              <w:spacing w:after="0" w:line="196" w:lineRule="exact"/>
              <w:rPr>
                <w:rFonts w:ascii="Arial" w:cs="Arial" w:eastAsia="Arial" w:hAnsi="Arial"/>
                <w:sz w:val="18"/>
                <w:szCs w:val="18"/>
                <w:color w:val="0000EE"/>
              </w:rPr>
            </w:pPr>
            <w:hyperlink w:anchor="page87">
              <w:r>
                <w:rPr>
                  <w:rFonts w:ascii="Arial" w:cs="Arial" w:eastAsia="Arial" w:hAnsi="Arial"/>
                  <w:sz w:val="18"/>
                  <w:szCs w:val="18"/>
                  <w:color w:val="0000EE"/>
                </w:rPr>
                <w:t>Quantitative and Qualitative Disclosures About Market Risks</w:t>
              </w:r>
            </w:hyperlink>
          </w:p>
        </w:tc>
        <w:tc>
          <w:tcPr>
            <w:tcW w:w="2100" w:type="dxa"/>
            <w:vAlign w:val="bottom"/>
          </w:tcPr>
          <w:p>
            <w:pPr>
              <w:jc w:val="right"/>
              <w:spacing w:after="0" w:line="196" w:lineRule="exact"/>
              <w:rPr>
                <w:sz w:val="20"/>
                <w:szCs w:val="20"/>
                <w:color w:val="auto"/>
              </w:rPr>
            </w:pPr>
            <w:r>
              <w:rPr>
                <w:rFonts w:ascii="Arial" w:cs="Arial" w:eastAsia="Arial" w:hAnsi="Arial"/>
                <w:sz w:val="18"/>
                <w:szCs w:val="18"/>
                <w:color w:val="auto"/>
              </w:rPr>
              <w:t>85</w:t>
            </w:r>
          </w:p>
        </w:tc>
      </w:tr>
      <w:tr>
        <w:trPr>
          <w:trHeight w:val="196"/>
        </w:trPr>
        <w:tc>
          <w:tcPr>
            <w:tcW w:w="200" w:type="dxa"/>
            <w:vAlign w:val="bottom"/>
          </w:tcPr>
          <w:p>
            <w:pPr>
              <w:spacing w:after="0"/>
              <w:rPr>
                <w:sz w:val="17"/>
                <w:szCs w:val="17"/>
                <w:color w:val="auto"/>
              </w:rPr>
            </w:pPr>
          </w:p>
        </w:tc>
        <w:tc>
          <w:tcPr>
            <w:tcW w:w="1300" w:type="dxa"/>
            <w:vAlign w:val="bottom"/>
            <w:gridSpan w:val="6"/>
          </w:tcPr>
          <w:p>
            <w:pPr>
              <w:spacing w:after="0" w:line="196" w:lineRule="exact"/>
              <w:rPr>
                <w:sz w:val="20"/>
                <w:szCs w:val="20"/>
                <w:color w:val="auto"/>
              </w:rPr>
            </w:pPr>
            <w:r>
              <w:rPr>
                <w:rFonts w:ascii="Arial" w:cs="Arial" w:eastAsia="Arial" w:hAnsi="Arial"/>
                <w:sz w:val="18"/>
                <w:szCs w:val="18"/>
                <w:color w:val="auto"/>
              </w:rPr>
              <w:t>Item 12.</w:t>
            </w:r>
          </w:p>
        </w:tc>
        <w:tc>
          <w:tcPr>
            <w:tcW w:w="4420" w:type="dxa"/>
            <w:vAlign w:val="bottom"/>
            <w:tcBorders>
              <w:top w:val="single" w:sz="8" w:color="0000EE"/>
            </w:tcBorders>
            <w:gridSpan w:val="25"/>
          </w:tcPr>
          <w:p>
            <w:pPr>
              <w:spacing w:after="0" w:line="196" w:lineRule="exact"/>
              <w:rPr>
                <w:rFonts w:ascii="Arial" w:cs="Arial" w:eastAsia="Arial" w:hAnsi="Arial"/>
                <w:sz w:val="18"/>
                <w:szCs w:val="18"/>
                <w:color w:val="0000EE"/>
              </w:rPr>
            </w:pPr>
            <w:hyperlink w:anchor="page87">
              <w:r>
                <w:rPr>
                  <w:rFonts w:ascii="Arial" w:cs="Arial" w:eastAsia="Arial" w:hAnsi="Arial"/>
                  <w:sz w:val="18"/>
                  <w:szCs w:val="18"/>
                  <w:color w:val="0000EE"/>
                </w:rPr>
                <w:t>Description of Securities Other than Equity Securities</w:t>
              </w:r>
            </w:hyperlink>
          </w:p>
        </w:tc>
        <w:tc>
          <w:tcPr>
            <w:tcW w:w="3100" w:type="dxa"/>
            <w:vAlign w:val="bottom"/>
            <w:gridSpan w:val="4"/>
          </w:tcPr>
          <w:p>
            <w:pPr>
              <w:spacing w:after="0"/>
              <w:rPr>
                <w:sz w:val="17"/>
                <w:szCs w:val="17"/>
                <w:color w:val="auto"/>
              </w:rPr>
            </w:pPr>
          </w:p>
        </w:tc>
        <w:tc>
          <w:tcPr>
            <w:tcW w:w="2100" w:type="dxa"/>
            <w:vAlign w:val="bottom"/>
          </w:tcPr>
          <w:p>
            <w:pPr>
              <w:jc w:val="right"/>
              <w:spacing w:after="0" w:line="196" w:lineRule="exact"/>
              <w:rPr>
                <w:sz w:val="20"/>
                <w:szCs w:val="20"/>
                <w:color w:val="auto"/>
              </w:rPr>
            </w:pPr>
            <w:r>
              <w:rPr>
                <w:rFonts w:ascii="Arial" w:cs="Arial" w:eastAsia="Arial" w:hAnsi="Arial"/>
                <w:sz w:val="18"/>
                <w:szCs w:val="18"/>
                <w:color w:val="auto"/>
              </w:rPr>
              <w:t>85</w:t>
            </w:r>
          </w:p>
        </w:tc>
      </w:tr>
      <w:tr>
        <w:trPr>
          <w:trHeight w:val="196"/>
        </w:trPr>
        <w:tc>
          <w:tcPr>
            <w:tcW w:w="200" w:type="dxa"/>
            <w:vAlign w:val="bottom"/>
          </w:tcPr>
          <w:p>
            <w:pPr>
              <w:spacing w:after="0"/>
              <w:rPr>
                <w:sz w:val="17"/>
                <w:szCs w:val="17"/>
                <w:color w:val="auto"/>
              </w:rPr>
            </w:pPr>
          </w:p>
        </w:tc>
        <w:tc>
          <w:tcPr>
            <w:tcW w:w="1300" w:type="dxa"/>
            <w:vAlign w:val="bottom"/>
            <w:gridSpan w:val="6"/>
          </w:tcPr>
          <w:p>
            <w:pPr>
              <w:spacing w:after="0" w:line="196" w:lineRule="exact"/>
              <w:rPr>
                <w:rFonts w:ascii="Arial" w:cs="Arial" w:eastAsia="Arial" w:hAnsi="Arial"/>
                <w:sz w:val="18"/>
                <w:szCs w:val="18"/>
                <w:color w:val="0000EE"/>
              </w:rPr>
            </w:pPr>
            <w:hyperlink w:anchor="page95">
              <w:r>
                <w:rPr>
                  <w:rFonts w:ascii="Arial" w:cs="Arial" w:eastAsia="Arial" w:hAnsi="Arial"/>
                  <w:sz w:val="18"/>
                  <w:szCs w:val="18"/>
                  <w:color w:val="0000EE"/>
                </w:rPr>
                <w:t>PART II</w:t>
              </w:r>
            </w:hyperlink>
          </w:p>
        </w:tc>
        <w:tc>
          <w:tcPr>
            <w:tcW w:w="60" w:type="dxa"/>
            <w:vAlign w:val="bottom"/>
            <w:tcBorders>
              <w:top w:val="single" w:sz="8" w:color="0000EE"/>
            </w:tcBorders>
          </w:tcPr>
          <w:p>
            <w:pPr>
              <w:spacing w:after="0"/>
              <w:rPr>
                <w:sz w:val="17"/>
                <w:szCs w:val="17"/>
                <w:color w:val="auto"/>
              </w:rPr>
            </w:pPr>
          </w:p>
        </w:tc>
        <w:tc>
          <w:tcPr>
            <w:tcW w:w="540" w:type="dxa"/>
            <w:vAlign w:val="bottom"/>
            <w:tcBorders>
              <w:top w:val="single" w:sz="8" w:color="0000EE"/>
            </w:tcBorders>
          </w:tcPr>
          <w:p>
            <w:pPr>
              <w:spacing w:after="0"/>
              <w:rPr>
                <w:sz w:val="17"/>
                <w:szCs w:val="17"/>
                <w:color w:val="auto"/>
              </w:rPr>
            </w:pPr>
          </w:p>
        </w:tc>
        <w:tc>
          <w:tcPr>
            <w:tcW w:w="80" w:type="dxa"/>
            <w:vAlign w:val="bottom"/>
            <w:tcBorders>
              <w:top w:val="single" w:sz="8" w:color="0000EE"/>
            </w:tcBorders>
          </w:tcPr>
          <w:p>
            <w:pPr>
              <w:spacing w:after="0"/>
              <w:rPr>
                <w:sz w:val="17"/>
                <w:szCs w:val="17"/>
                <w:color w:val="auto"/>
              </w:rPr>
            </w:pPr>
          </w:p>
        </w:tc>
        <w:tc>
          <w:tcPr>
            <w:tcW w:w="400" w:type="dxa"/>
            <w:vAlign w:val="bottom"/>
            <w:tcBorders>
              <w:top w:val="single" w:sz="8" w:color="0000EE"/>
            </w:tcBorders>
          </w:tcPr>
          <w:p>
            <w:pPr>
              <w:spacing w:after="0"/>
              <w:rPr>
                <w:sz w:val="17"/>
                <w:szCs w:val="17"/>
                <w:color w:val="auto"/>
              </w:rPr>
            </w:pPr>
          </w:p>
        </w:tc>
        <w:tc>
          <w:tcPr>
            <w:tcW w:w="120" w:type="dxa"/>
            <w:vAlign w:val="bottom"/>
            <w:tcBorders>
              <w:top w:val="single" w:sz="8" w:color="0000EE"/>
            </w:tcBorders>
          </w:tcPr>
          <w:p>
            <w:pPr>
              <w:spacing w:after="0"/>
              <w:rPr>
                <w:sz w:val="17"/>
                <w:szCs w:val="17"/>
                <w:color w:val="auto"/>
              </w:rPr>
            </w:pPr>
          </w:p>
        </w:tc>
        <w:tc>
          <w:tcPr>
            <w:tcW w:w="30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6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60" w:type="dxa"/>
            <w:vAlign w:val="bottom"/>
            <w:tcBorders>
              <w:top w:val="single" w:sz="8" w:color="0000EE"/>
            </w:tcBorders>
          </w:tcPr>
          <w:p>
            <w:pPr>
              <w:spacing w:after="0"/>
              <w:rPr>
                <w:sz w:val="17"/>
                <w:szCs w:val="17"/>
                <w:color w:val="auto"/>
              </w:rPr>
            </w:pPr>
          </w:p>
        </w:tc>
        <w:tc>
          <w:tcPr>
            <w:tcW w:w="280" w:type="dxa"/>
            <w:vAlign w:val="bottom"/>
            <w:tcBorders>
              <w:top w:val="single" w:sz="8" w:color="0000EE"/>
            </w:tcBorders>
          </w:tcPr>
          <w:p>
            <w:pPr>
              <w:spacing w:after="0"/>
              <w:rPr>
                <w:sz w:val="17"/>
                <w:szCs w:val="17"/>
                <w:color w:val="auto"/>
              </w:rPr>
            </w:pPr>
          </w:p>
        </w:tc>
        <w:tc>
          <w:tcPr>
            <w:tcW w:w="60" w:type="dxa"/>
            <w:vAlign w:val="bottom"/>
            <w:tcBorders>
              <w:top w:val="single" w:sz="8" w:color="0000EE"/>
            </w:tcBorders>
          </w:tcPr>
          <w:p>
            <w:pPr>
              <w:spacing w:after="0"/>
              <w:rPr>
                <w:sz w:val="17"/>
                <w:szCs w:val="17"/>
                <w:color w:val="auto"/>
              </w:rPr>
            </w:pPr>
          </w:p>
        </w:tc>
        <w:tc>
          <w:tcPr>
            <w:tcW w:w="400" w:type="dxa"/>
            <w:vAlign w:val="bottom"/>
            <w:tcBorders>
              <w:top w:val="single" w:sz="8" w:color="0000EE"/>
            </w:tcBorders>
          </w:tcPr>
          <w:p>
            <w:pPr>
              <w:spacing w:after="0"/>
              <w:rPr>
                <w:sz w:val="17"/>
                <w:szCs w:val="17"/>
                <w:color w:val="auto"/>
              </w:rPr>
            </w:pPr>
          </w:p>
        </w:tc>
        <w:tc>
          <w:tcPr>
            <w:tcW w:w="36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48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200" w:type="dxa"/>
            <w:vAlign w:val="bottom"/>
            <w:tcBorders>
              <w:top w:val="single" w:sz="8" w:color="0000EE"/>
            </w:tcBorders>
          </w:tcPr>
          <w:p>
            <w:pPr>
              <w:spacing w:after="0"/>
              <w:rPr>
                <w:sz w:val="17"/>
                <w:szCs w:val="17"/>
                <w:color w:val="auto"/>
              </w:rPr>
            </w:pPr>
          </w:p>
        </w:tc>
        <w:tc>
          <w:tcPr>
            <w:tcW w:w="120" w:type="dxa"/>
            <w:vAlign w:val="bottom"/>
            <w:tcBorders>
              <w:top w:val="single" w:sz="8" w:color="0000EE"/>
            </w:tcBorders>
          </w:tcPr>
          <w:p>
            <w:pPr>
              <w:spacing w:after="0"/>
              <w:rPr>
                <w:sz w:val="17"/>
                <w:szCs w:val="17"/>
                <w:color w:val="auto"/>
              </w:rPr>
            </w:pPr>
          </w:p>
        </w:tc>
        <w:tc>
          <w:tcPr>
            <w:tcW w:w="180" w:type="dxa"/>
            <w:vAlign w:val="bottom"/>
            <w:tcBorders>
              <w:top w:val="single" w:sz="8" w:color="0000EE"/>
            </w:tcBorders>
          </w:tcPr>
          <w:p>
            <w:pPr>
              <w:spacing w:after="0"/>
              <w:rPr>
                <w:sz w:val="17"/>
                <w:szCs w:val="17"/>
                <w:color w:val="auto"/>
              </w:rPr>
            </w:pPr>
          </w:p>
        </w:tc>
        <w:tc>
          <w:tcPr>
            <w:tcW w:w="1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920" w:type="dxa"/>
            <w:vAlign w:val="bottom"/>
          </w:tcPr>
          <w:p>
            <w:pPr>
              <w:spacing w:after="0"/>
              <w:rPr>
                <w:sz w:val="17"/>
                <w:szCs w:val="17"/>
                <w:color w:val="auto"/>
              </w:rPr>
            </w:pPr>
          </w:p>
        </w:tc>
        <w:tc>
          <w:tcPr>
            <w:tcW w:w="2100" w:type="dxa"/>
            <w:vAlign w:val="bottom"/>
          </w:tcPr>
          <w:p>
            <w:pPr>
              <w:jc w:val="right"/>
              <w:spacing w:after="0" w:line="196" w:lineRule="exact"/>
              <w:rPr>
                <w:sz w:val="20"/>
                <w:szCs w:val="20"/>
                <w:color w:val="auto"/>
              </w:rPr>
            </w:pPr>
            <w:r>
              <w:rPr>
                <w:rFonts w:ascii="Arial" w:cs="Arial" w:eastAsia="Arial" w:hAnsi="Arial"/>
                <w:sz w:val="18"/>
                <w:szCs w:val="18"/>
                <w:color w:val="auto"/>
              </w:rPr>
              <w:t>93</w:t>
            </w:r>
          </w:p>
        </w:tc>
      </w:tr>
      <w:tr>
        <w:trPr>
          <w:trHeight w:val="20"/>
        </w:trPr>
        <w:tc>
          <w:tcPr>
            <w:tcW w:w="200" w:type="dxa"/>
            <w:vAlign w:val="bottom"/>
          </w:tcPr>
          <w:p>
            <w:pPr>
              <w:spacing w:after="0" w:line="20" w:lineRule="exact"/>
              <w:rPr>
                <w:sz w:val="1"/>
                <w:szCs w:val="1"/>
                <w:color w:val="auto"/>
              </w:rPr>
            </w:pPr>
          </w:p>
        </w:tc>
        <w:tc>
          <w:tcPr>
            <w:tcW w:w="600" w:type="dxa"/>
            <w:vAlign w:val="bottom"/>
            <w:gridSpan w:val="2"/>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60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gridSpan w:val="3"/>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40" w:type="dxa"/>
            <w:vAlign w:val="bottom"/>
            <w:gridSpan w:val="3"/>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880" w:type="dxa"/>
            <w:vAlign w:val="bottom"/>
            <w:gridSpan w:val="5"/>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r>
      <w:tr>
        <w:trPr>
          <w:trHeight w:val="196"/>
        </w:trPr>
        <w:tc>
          <w:tcPr>
            <w:tcW w:w="200" w:type="dxa"/>
            <w:vAlign w:val="bottom"/>
          </w:tcPr>
          <w:p>
            <w:pPr>
              <w:spacing w:after="0"/>
              <w:rPr>
                <w:sz w:val="17"/>
                <w:szCs w:val="17"/>
                <w:color w:val="auto"/>
              </w:rPr>
            </w:pPr>
          </w:p>
        </w:tc>
        <w:tc>
          <w:tcPr>
            <w:tcW w:w="1300" w:type="dxa"/>
            <w:vAlign w:val="bottom"/>
            <w:gridSpan w:val="6"/>
          </w:tcPr>
          <w:p>
            <w:pPr>
              <w:spacing w:after="0" w:line="196" w:lineRule="exact"/>
              <w:rPr>
                <w:sz w:val="20"/>
                <w:szCs w:val="20"/>
                <w:color w:val="auto"/>
              </w:rPr>
            </w:pPr>
            <w:r>
              <w:rPr>
                <w:rFonts w:ascii="Arial" w:cs="Arial" w:eastAsia="Arial" w:hAnsi="Arial"/>
                <w:sz w:val="18"/>
                <w:szCs w:val="18"/>
                <w:color w:val="auto"/>
              </w:rPr>
              <w:t>Item 13.</w:t>
            </w:r>
          </w:p>
        </w:tc>
        <w:tc>
          <w:tcPr>
            <w:tcW w:w="7520" w:type="dxa"/>
            <w:vAlign w:val="bottom"/>
            <w:gridSpan w:val="29"/>
          </w:tcPr>
          <w:p>
            <w:pPr>
              <w:spacing w:after="0" w:line="196" w:lineRule="exact"/>
              <w:rPr>
                <w:rFonts w:ascii="Arial" w:cs="Arial" w:eastAsia="Arial" w:hAnsi="Arial"/>
                <w:sz w:val="18"/>
                <w:szCs w:val="18"/>
                <w:color w:val="0000EE"/>
              </w:rPr>
            </w:pPr>
            <w:hyperlink w:anchor="page95">
              <w:r>
                <w:rPr>
                  <w:rFonts w:ascii="Arial" w:cs="Arial" w:eastAsia="Arial" w:hAnsi="Arial"/>
                  <w:sz w:val="18"/>
                  <w:szCs w:val="18"/>
                  <w:color w:val="0000EE"/>
                </w:rPr>
                <w:t>Defaults, Dividend Arrearages and Delinquencies</w:t>
              </w:r>
            </w:hyperlink>
          </w:p>
        </w:tc>
        <w:tc>
          <w:tcPr>
            <w:tcW w:w="2100" w:type="dxa"/>
            <w:vAlign w:val="bottom"/>
          </w:tcPr>
          <w:p>
            <w:pPr>
              <w:jc w:val="right"/>
              <w:spacing w:after="0" w:line="196" w:lineRule="exact"/>
              <w:rPr>
                <w:sz w:val="20"/>
                <w:szCs w:val="20"/>
                <w:color w:val="auto"/>
              </w:rPr>
            </w:pPr>
            <w:r>
              <w:rPr>
                <w:rFonts w:ascii="Arial" w:cs="Arial" w:eastAsia="Arial" w:hAnsi="Arial"/>
                <w:sz w:val="18"/>
                <w:szCs w:val="18"/>
                <w:color w:val="auto"/>
              </w:rPr>
              <w:t>93</w:t>
            </w:r>
          </w:p>
        </w:tc>
      </w:tr>
      <w:tr>
        <w:trPr>
          <w:trHeight w:val="20"/>
        </w:trPr>
        <w:tc>
          <w:tcPr>
            <w:tcW w:w="200" w:type="dxa"/>
            <w:vAlign w:val="bottom"/>
          </w:tcPr>
          <w:p>
            <w:pPr>
              <w:spacing w:after="0" w:line="20" w:lineRule="exact"/>
              <w:rPr>
                <w:sz w:val="1"/>
                <w:szCs w:val="1"/>
                <w:color w:val="auto"/>
              </w:rPr>
            </w:pPr>
          </w:p>
        </w:tc>
        <w:tc>
          <w:tcPr>
            <w:tcW w:w="660" w:type="dxa"/>
            <w:vAlign w:val="bottom"/>
            <w:gridSpan w:val="3"/>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600" w:type="dxa"/>
            <w:vAlign w:val="bottom"/>
            <w:gridSpan w:val="2"/>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42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20" w:type="dxa"/>
            <w:vAlign w:val="bottom"/>
            <w:gridSpan w:val="3"/>
            <w:shd w:val="clear" w:color="auto" w:fill="0000EE"/>
          </w:tcPr>
          <w:p>
            <w:pPr>
              <w:spacing w:after="0" w:line="20" w:lineRule="exact"/>
              <w:rPr>
                <w:sz w:val="1"/>
                <w:szCs w:val="1"/>
                <w:color w:val="auto"/>
              </w:rPr>
            </w:pPr>
          </w:p>
        </w:tc>
        <w:tc>
          <w:tcPr>
            <w:tcW w:w="60" w:type="dxa"/>
            <w:vAlign w:val="bottom"/>
            <w:gridSpan w:val="2"/>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740" w:type="dxa"/>
            <w:vAlign w:val="bottom"/>
            <w:gridSpan w:val="3"/>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500" w:type="dxa"/>
            <w:vAlign w:val="bottom"/>
            <w:tcBorders>
              <w:right w:val="single" w:sz="8" w:color="0000EE"/>
            </w:tcBorders>
            <w:gridSpan w:val="2"/>
            <w:shd w:val="clear" w:color="auto" w:fill="0000EE"/>
          </w:tcPr>
          <w:p>
            <w:pPr>
              <w:spacing w:after="0" w:line="20" w:lineRule="exact"/>
              <w:rPr>
                <w:sz w:val="1"/>
                <w:szCs w:val="1"/>
                <w:color w:val="auto"/>
              </w:rPr>
            </w:pPr>
          </w:p>
        </w:tc>
        <w:tc>
          <w:tcPr>
            <w:tcW w:w="220" w:type="dxa"/>
            <w:vAlign w:val="bottom"/>
            <w:gridSpan w:val="2"/>
            <w:shd w:val="clear" w:color="auto" w:fill="0000EE"/>
          </w:tcPr>
          <w:p>
            <w:pPr>
              <w:spacing w:after="0" w:line="20" w:lineRule="exact"/>
              <w:rPr>
                <w:sz w:val="1"/>
                <w:szCs w:val="1"/>
                <w:color w:val="auto"/>
              </w:rPr>
            </w:pPr>
          </w:p>
        </w:tc>
        <w:tc>
          <w:tcPr>
            <w:tcW w:w="880" w:type="dxa"/>
            <w:vAlign w:val="bottom"/>
            <w:gridSpan w:val="5"/>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r>
      <w:tr>
        <w:trPr>
          <w:trHeight w:val="196"/>
        </w:trPr>
        <w:tc>
          <w:tcPr>
            <w:tcW w:w="200" w:type="dxa"/>
            <w:vAlign w:val="bottom"/>
          </w:tcPr>
          <w:p>
            <w:pPr>
              <w:spacing w:after="0"/>
              <w:rPr>
                <w:sz w:val="17"/>
                <w:szCs w:val="17"/>
                <w:color w:val="auto"/>
              </w:rPr>
            </w:pPr>
          </w:p>
        </w:tc>
        <w:tc>
          <w:tcPr>
            <w:tcW w:w="1300" w:type="dxa"/>
            <w:vAlign w:val="bottom"/>
            <w:gridSpan w:val="6"/>
          </w:tcPr>
          <w:p>
            <w:pPr>
              <w:spacing w:after="0" w:line="196" w:lineRule="exact"/>
              <w:rPr>
                <w:sz w:val="20"/>
                <w:szCs w:val="20"/>
                <w:color w:val="auto"/>
              </w:rPr>
            </w:pPr>
            <w:r>
              <w:rPr>
                <w:rFonts w:ascii="Arial" w:cs="Arial" w:eastAsia="Arial" w:hAnsi="Arial"/>
                <w:sz w:val="18"/>
                <w:szCs w:val="18"/>
                <w:color w:val="auto"/>
              </w:rPr>
              <w:t>Item 14.</w:t>
            </w:r>
          </w:p>
        </w:tc>
        <w:tc>
          <w:tcPr>
            <w:tcW w:w="7520" w:type="dxa"/>
            <w:vAlign w:val="bottom"/>
            <w:gridSpan w:val="29"/>
          </w:tcPr>
          <w:p>
            <w:pPr>
              <w:spacing w:after="0" w:line="196" w:lineRule="exact"/>
              <w:rPr>
                <w:rFonts w:ascii="Arial" w:cs="Arial" w:eastAsia="Arial" w:hAnsi="Arial"/>
                <w:sz w:val="18"/>
                <w:szCs w:val="18"/>
                <w:color w:val="0000EE"/>
              </w:rPr>
            </w:pPr>
            <w:hyperlink w:anchor="page95">
              <w:r>
                <w:rPr>
                  <w:rFonts w:ascii="Arial" w:cs="Arial" w:eastAsia="Arial" w:hAnsi="Arial"/>
                  <w:sz w:val="18"/>
                  <w:szCs w:val="18"/>
                  <w:color w:val="0000EE"/>
                </w:rPr>
                <w:t>Material Modifications to the Rights of Security Holders and Use of Proceeds</w:t>
              </w:r>
            </w:hyperlink>
          </w:p>
        </w:tc>
        <w:tc>
          <w:tcPr>
            <w:tcW w:w="2100" w:type="dxa"/>
            <w:vAlign w:val="bottom"/>
          </w:tcPr>
          <w:p>
            <w:pPr>
              <w:jc w:val="right"/>
              <w:spacing w:after="0" w:line="196" w:lineRule="exact"/>
              <w:rPr>
                <w:sz w:val="20"/>
                <w:szCs w:val="20"/>
                <w:color w:val="auto"/>
              </w:rPr>
            </w:pPr>
            <w:r>
              <w:rPr>
                <w:rFonts w:ascii="Arial" w:cs="Arial" w:eastAsia="Arial" w:hAnsi="Arial"/>
                <w:sz w:val="18"/>
                <w:szCs w:val="18"/>
                <w:color w:val="auto"/>
              </w:rPr>
              <w:t>93</w:t>
            </w:r>
          </w:p>
        </w:tc>
      </w:tr>
      <w:tr>
        <w:trPr>
          <w:trHeight w:val="196"/>
        </w:trPr>
        <w:tc>
          <w:tcPr>
            <w:tcW w:w="200" w:type="dxa"/>
            <w:vAlign w:val="bottom"/>
          </w:tcPr>
          <w:p>
            <w:pPr>
              <w:spacing w:after="0"/>
              <w:rPr>
                <w:sz w:val="17"/>
                <w:szCs w:val="17"/>
                <w:color w:val="auto"/>
              </w:rPr>
            </w:pPr>
          </w:p>
        </w:tc>
        <w:tc>
          <w:tcPr>
            <w:tcW w:w="1300" w:type="dxa"/>
            <w:vAlign w:val="bottom"/>
            <w:gridSpan w:val="6"/>
          </w:tcPr>
          <w:p>
            <w:pPr>
              <w:spacing w:after="0" w:line="196" w:lineRule="exact"/>
              <w:rPr>
                <w:sz w:val="20"/>
                <w:szCs w:val="20"/>
                <w:color w:val="auto"/>
              </w:rPr>
            </w:pPr>
            <w:r>
              <w:rPr>
                <w:rFonts w:ascii="Arial" w:cs="Arial" w:eastAsia="Arial" w:hAnsi="Arial"/>
                <w:sz w:val="18"/>
                <w:szCs w:val="18"/>
                <w:color w:val="auto"/>
              </w:rPr>
              <w:t>Item 15.</w:t>
            </w:r>
          </w:p>
        </w:tc>
        <w:tc>
          <w:tcPr>
            <w:tcW w:w="5600" w:type="dxa"/>
            <w:vAlign w:val="bottom"/>
            <w:tcBorders>
              <w:top w:val="single" w:sz="8" w:color="0000EE"/>
            </w:tcBorders>
            <w:gridSpan w:val="28"/>
          </w:tcPr>
          <w:p>
            <w:pPr>
              <w:spacing w:after="0" w:line="196" w:lineRule="exact"/>
              <w:rPr>
                <w:rFonts w:ascii="Arial" w:cs="Arial" w:eastAsia="Arial" w:hAnsi="Arial"/>
                <w:sz w:val="18"/>
                <w:szCs w:val="18"/>
                <w:color w:val="0000EE"/>
              </w:rPr>
            </w:pPr>
            <w:hyperlink w:anchor="page95">
              <w:r>
                <w:rPr>
                  <w:rFonts w:ascii="Arial" w:cs="Arial" w:eastAsia="Arial" w:hAnsi="Arial"/>
                  <w:sz w:val="18"/>
                  <w:szCs w:val="18"/>
                  <w:color w:val="0000EE"/>
                </w:rPr>
                <w:t>Controls and Procedures</w:t>
              </w:r>
            </w:hyperlink>
          </w:p>
        </w:tc>
        <w:tc>
          <w:tcPr>
            <w:tcW w:w="1920" w:type="dxa"/>
            <w:vAlign w:val="bottom"/>
          </w:tcPr>
          <w:p>
            <w:pPr>
              <w:spacing w:after="0"/>
              <w:rPr>
                <w:sz w:val="17"/>
                <w:szCs w:val="17"/>
                <w:color w:val="auto"/>
              </w:rPr>
            </w:pPr>
          </w:p>
        </w:tc>
        <w:tc>
          <w:tcPr>
            <w:tcW w:w="2100" w:type="dxa"/>
            <w:vAlign w:val="bottom"/>
          </w:tcPr>
          <w:p>
            <w:pPr>
              <w:jc w:val="right"/>
              <w:spacing w:after="0" w:line="196" w:lineRule="exact"/>
              <w:rPr>
                <w:sz w:val="20"/>
                <w:szCs w:val="20"/>
                <w:color w:val="auto"/>
              </w:rPr>
            </w:pPr>
            <w:r>
              <w:rPr>
                <w:rFonts w:ascii="Arial" w:cs="Arial" w:eastAsia="Arial" w:hAnsi="Arial"/>
                <w:sz w:val="18"/>
                <w:szCs w:val="18"/>
                <w:color w:val="auto"/>
              </w:rPr>
              <w:t>93</w:t>
            </w:r>
          </w:p>
        </w:tc>
      </w:tr>
      <w:tr>
        <w:trPr>
          <w:trHeight w:val="196"/>
        </w:trPr>
        <w:tc>
          <w:tcPr>
            <w:tcW w:w="200" w:type="dxa"/>
            <w:vAlign w:val="bottom"/>
          </w:tcPr>
          <w:p>
            <w:pPr>
              <w:spacing w:after="0"/>
              <w:rPr>
                <w:sz w:val="17"/>
                <w:szCs w:val="17"/>
                <w:color w:val="auto"/>
              </w:rPr>
            </w:pPr>
          </w:p>
        </w:tc>
        <w:tc>
          <w:tcPr>
            <w:tcW w:w="1300" w:type="dxa"/>
            <w:vAlign w:val="bottom"/>
            <w:gridSpan w:val="6"/>
          </w:tcPr>
          <w:p>
            <w:pPr>
              <w:spacing w:after="0" w:line="196" w:lineRule="exact"/>
              <w:rPr>
                <w:sz w:val="20"/>
                <w:szCs w:val="20"/>
                <w:color w:val="auto"/>
              </w:rPr>
            </w:pPr>
            <w:r>
              <w:rPr>
                <w:rFonts w:ascii="Arial" w:cs="Arial" w:eastAsia="Arial" w:hAnsi="Arial"/>
                <w:sz w:val="18"/>
                <w:szCs w:val="18"/>
                <w:color w:val="auto"/>
              </w:rPr>
              <w:t>Item 16</w:t>
            </w:r>
          </w:p>
        </w:tc>
        <w:tc>
          <w:tcPr>
            <w:tcW w:w="680" w:type="dxa"/>
            <w:vAlign w:val="bottom"/>
            <w:tcBorders>
              <w:top w:val="single" w:sz="8" w:color="0000EE"/>
              <w:bottom w:val="single" w:sz="8" w:color="0000EE"/>
            </w:tcBorders>
            <w:gridSpan w:val="3"/>
          </w:tcPr>
          <w:p>
            <w:pPr>
              <w:spacing w:after="0" w:line="196" w:lineRule="exact"/>
              <w:rPr>
                <w:rFonts w:ascii="Arial" w:cs="Arial" w:eastAsia="Arial" w:hAnsi="Arial"/>
                <w:sz w:val="18"/>
                <w:szCs w:val="18"/>
                <w:color w:val="0000EE"/>
                <w:w w:val="85"/>
              </w:rPr>
            </w:pPr>
            <w:hyperlink w:anchor="page95">
              <w:r>
                <w:rPr>
                  <w:rFonts w:ascii="Arial" w:cs="Arial" w:eastAsia="Arial" w:hAnsi="Arial"/>
                  <w:sz w:val="18"/>
                  <w:szCs w:val="18"/>
                  <w:color w:val="0000EE"/>
                  <w:w w:val="85"/>
                </w:rPr>
                <w:t>Reserved</w:t>
              </w:r>
            </w:hyperlink>
          </w:p>
        </w:tc>
        <w:tc>
          <w:tcPr>
            <w:tcW w:w="1080" w:type="dxa"/>
            <w:vAlign w:val="bottom"/>
            <w:tcBorders>
              <w:top w:val="single" w:sz="8" w:color="0000EE"/>
            </w:tcBorders>
            <w:gridSpan w:val="10"/>
          </w:tcPr>
          <w:p>
            <w:pPr>
              <w:spacing w:after="0"/>
              <w:rPr>
                <w:sz w:val="17"/>
                <w:szCs w:val="17"/>
                <w:color w:val="auto"/>
              </w:rPr>
            </w:pPr>
          </w:p>
        </w:tc>
        <w:tc>
          <w:tcPr>
            <w:tcW w:w="5760" w:type="dxa"/>
            <w:vAlign w:val="bottom"/>
            <w:gridSpan w:val="16"/>
          </w:tcPr>
          <w:p>
            <w:pPr>
              <w:spacing w:after="0"/>
              <w:rPr>
                <w:sz w:val="17"/>
                <w:szCs w:val="17"/>
                <w:color w:val="auto"/>
              </w:rPr>
            </w:pPr>
          </w:p>
        </w:tc>
        <w:tc>
          <w:tcPr>
            <w:tcW w:w="2100" w:type="dxa"/>
            <w:vAlign w:val="bottom"/>
          </w:tcPr>
          <w:p>
            <w:pPr>
              <w:jc w:val="right"/>
              <w:spacing w:after="0" w:line="196" w:lineRule="exact"/>
              <w:rPr>
                <w:sz w:val="20"/>
                <w:szCs w:val="20"/>
                <w:color w:val="auto"/>
              </w:rPr>
            </w:pPr>
            <w:r>
              <w:rPr>
                <w:rFonts w:ascii="Arial" w:cs="Arial" w:eastAsia="Arial" w:hAnsi="Arial"/>
                <w:sz w:val="18"/>
                <w:szCs w:val="18"/>
                <w:color w:val="auto"/>
              </w:rPr>
              <w:t>93</w:t>
            </w:r>
          </w:p>
        </w:tc>
      </w:tr>
      <w:tr>
        <w:trPr>
          <w:trHeight w:val="196"/>
        </w:trPr>
        <w:tc>
          <w:tcPr>
            <w:tcW w:w="200" w:type="dxa"/>
            <w:vAlign w:val="bottom"/>
          </w:tcPr>
          <w:p>
            <w:pPr>
              <w:spacing w:after="0"/>
              <w:rPr>
                <w:sz w:val="17"/>
                <w:szCs w:val="17"/>
                <w:color w:val="auto"/>
              </w:rPr>
            </w:pPr>
          </w:p>
        </w:tc>
        <w:tc>
          <w:tcPr>
            <w:tcW w:w="1300" w:type="dxa"/>
            <w:vAlign w:val="bottom"/>
            <w:gridSpan w:val="6"/>
          </w:tcPr>
          <w:p>
            <w:pPr>
              <w:spacing w:after="0" w:line="196" w:lineRule="exact"/>
              <w:rPr>
                <w:sz w:val="20"/>
                <w:szCs w:val="20"/>
                <w:color w:val="auto"/>
              </w:rPr>
            </w:pPr>
            <w:r>
              <w:rPr>
                <w:rFonts w:ascii="Arial" w:cs="Arial" w:eastAsia="Arial" w:hAnsi="Arial"/>
                <w:sz w:val="18"/>
                <w:szCs w:val="18"/>
                <w:color w:val="auto"/>
              </w:rPr>
              <w:t>Item 16A.</w:t>
            </w:r>
          </w:p>
        </w:tc>
        <w:tc>
          <w:tcPr>
            <w:tcW w:w="2500" w:type="dxa"/>
            <w:vAlign w:val="bottom"/>
            <w:tcBorders>
              <w:bottom w:val="single" w:sz="8" w:color="0000EE"/>
            </w:tcBorders>
            <w:gridSpan w:val="16"/>
          </w:tcPr>
          <w:p>
            <w:pPr>
              <w:spacing w:after="0" w:line="196" w:lineRule="exact"/>
              <w:rPr>
                <w:rFonts w:ascii="Arial" w:cs="Arial" w:eastAsia="Arial" w:hAnsi="Arial"/>
                <w:sz w:val="18"/>
                <w:szCs w:val="18"/>
                <w:color w:val="0000EE"/>
                <w:w w:val="92"/>
              </w:rPr>
            </w:pPr>
            <w:hyperlink w:anchor="page95">
              <w:r>
                <w:rPr>
                  <w:rFonts w:ascii="Arial" w:cs="Arial" w:eastAsia="Arial" w:hAnsi="Arial"/>
                  <w:sz w:val="18"/>
                  <w:szCs w:val="18"/>
                  <w:color w:val="0000EE"/>
                  <w:w w:val="92"/>
                </w:rPr>
                <w:t>Audit Committee Financial Expert</w:t>
              </w:r>
            </w:hyperlink>
          </w:p>
        </w:tc>
        <w:tc>
          <w:tcPr>
            <w:tcW w:w="5020" w:type="dxa"/>
            <w:vAlign w:val="bottom"/>
            <w:gridSpan w:val="13"/>
          </w:tcPr>
          <w:p>
            <w:pPr>
              <w:spacing w:after="0"/>
              <w:rPr>
                <w:sz w:val="17"/>
                <w:szCs w:val="17"/>
                <w:color w:val="auto"/>
              </w:rPr>
            </w:pPr>
          </w:p>
        </w:tc>
        <w:tc>
          <w:tcPr>
            <w:tcW w:w="2100" w:type="dxa"/>
            <w:vAlign w:val="bottom"/>
          </w:tcPr>
          <w:p>
            <w:pPr>
              <w:jc w:val="right"/>
              <w:spacing w:after="0" w:line="196" w:lineRule="exact"/>
              <w:rPr>
                <w:sz w:val="20"/>
                <w:szCs w:val="20"/>
                <w:color w:val="auto"/>
              </w:rPr>
            </w:pPr>
            <w:r>
              <w:rPr>
                <w:rFonts w:ascii="Arial" w:cs="Arial" w:eastAsia="Arial" w:hAnsi="Arial"/>
                <w:sz w:val="18"/>
                <w:szCs w:val="18"/>
                <w:color w:val="auto"/>
              </w:rPr>
              <w:t>93</w:t>
            </w:r>
          </w:p>
        </w:tc>
      </w:tr>
      <w:tr>
        <w:trPr>
          <w:trHeight w:val="196"/>
        </w:trPr>
        <w:tc>
          <w:tcPr>
            <w:tcW w:w="200" w:type="dxa"/>
            <w:vAlign w:val="bottom"/>
          </w:tcPr>
          <w:p>
            <w:pPr>
              <w:spacing w:after="0"/>
              <w:rPr>
                <w:sz w:val="17"/>
                <w:szCs w:val="17"/>
                <w:color w:val="auto"/>
              </w:rPr>
            </w:pPr>
          </w:p>
        </w:tc>
        <w:tc>
          <w:tcPr>
            <w:tcW w:w="1300" w:type="dxa"/>
            <w:vAlign w:val="bottom"/>
            <w:gridSpan w:val="6"/>
          </w:tcPr>
          <w:p>
            <w:pPr>
              <w:spacing w:after="0" w:line="196" w:lineRule="exact"/>
              <w:rPr>
                <w:sz w:val="20"/>
                <w:szCs w:val="20"/>
                <w:color w:val="auto"/>
              </w:rPr>
            </w:pPr>
            <w:r>
              <w:rPr>
                <w:rFonts w:ascii="Arial" w:cs="Arial" w:eastAsia="Arial" w:hAnsi="Arial"/>
                <w:sz w:val="18"/>
                <w:szCs w:val="18"/>
                <w:color w:val="auto"/>
              </w:rPr>
              <w:t>Item 16B.</w:t>
            </w:r>
          </w:p>
        </w:tc>
        <w:tc>
          <w:tcPr>
            <w:tcW w:w="1080" w:type="dxa"/>
            <w:vAlign w:val="bottom"/>
            <w:tcBorders>
              <w:bottom w:val="single" w:sz="8" w:color="0000EE"/>
            </w:tcBorders>
            <w:gridSpan w:val="4"/>
          </w:tcPr>
          <w:p>
            <w:pPr>
              <w:spacing w:after="0" w:line="196" w:lineRule="exact"/>
              <w:rPr>
                <w:rFonts w:ascii="Arial" w:cs="Arial" w:eastAsia="Arial" w:hAnsi="Arial"/>
                <w:sz w:val="18"/>
                <w:szCs w:val="18"/>
                <w:color w:val="0000EE"/>
                <w:w w:val="90"/>
              </w:rPr>
            </w:pPr>
            <w:hyperlink w:anchor="page95">
              <w:r>
                <w:rPr>
                  <w:rFonts w:ascii="Arial" w:cs="Arial" w:eastAsia="Arial" w:hAnsi="Arial"/>
                  <w:sz w:val="18"/>
                  <w:szCs w:val="18"/>
                  <w:color w:val="0000EE"/>
                  <w:w w:val="90"/>
                </w:rPr>
                <w:t>Code of Ethics</w:t>
              </w:r>
            </w:hyperlink>
          </w:p>
        </w:tc>
        <w:tc>
          <w:tcPr>
            <w:tcW w:w="6440" w:type="dxa"/>
            <w:vAlign w:val="bottom"/>
            <w:gridSpan w:val="25"/>
          </w:tcPr>
          <w:p>
            <w:pPr>
              <w:spacing w:after="0"/>
              <w:rPr>
                <w:sz w:val="17"/>
                <w:szCs w:val="17"/>
                <w:color w:val="auto"/>
              </w:rPr>
            </w:pPr>
          </w:p>
        </w:tc>
        <w:tc>
          <w:tcPr>
            <w:tcW w:w="2100" w:type="dxa"/>
            <w:vAlign w:val="bottom"/>
          </w:tcPr>
          <w:p>
            <w:pPr>
              <w:jc w:val="right"/>
              <w:spacing w:after="0" w:line="196" w:lineRule="exact"/>
              <w:rPr>
                <w:sz w:val="20"/>
                <w:szCs w:val="20"/>
                <w:color w:val="auto"/>
              </w:rPr>
            </w:pPr>
            <w:r>
              <w:rPr>
                <w:rFonts w:ascii="Arial" w:cs="Arial" w:eastAsia="Arial" w:hAnsi="Arial"/>
                <w:sz w:val="18"/>
                <w:szCs w:val="18"/>
                <w:color w:val="auto"/>
              </w:rPr>
              <w:t>93</w:t>
            </w:r>
          </w:p>
        </w:tc>
      </w:tr>
      <w:tr>
        <w:trPr>
          <w:trHeight w:val="196"/>
        </w:trPr>
        <w:tc>
          <w:tcPr>
            <w:tcW w:w="200" w:type="dxa"/>
            <w:vAlign w:val="bottom"/>
          </w:tcPr>
          <w:p>
            <w:pPr>
              <w:spacing w:after="0"/>
              <w:rPr>
                <w:sz w:val="17"/>
                <w:szCs w:val="17"/>
                <w:color w:val="auto"/>
              </w:rPr>
            </w:pPr>
          </w:p>
        </w:tc>
        <w:tc>
          <w:tcPr>
            <w:tcW w:w="1300" w:type="dxa"/>
            <w:vAlign w:val="bottom"/>
            <w:gridSpan w:val="6"/>
          </w:tcPr>
          <w:p>
            <w:pPr>
              <w:spacing w:after="0" w:line="196" w:lineRule="exact"/>
              <w:rPr>
                <w:sz w:val="20"/>
                <w:szCs w:val="20"/>
                <w:color w:val="auto"/>
              </w:rPr>
            </w:pPr>
            <w:r>
              <w:rPr>
                <w:rFonts w:ascii="Arial" w:cs="Arial" w:eastAsia="Arial" w:hAnsi="Arial"/>
                <w:sz w:val="18"/>
                <w:szCs w:val="18"/>
                <w:color w:val="auto"/>
              </w:rPr>
              <w:t>Item 16C.</w:t>
            </w:r>
          </w:p>
        </w:tc>
        <w:tc>
          <w:tcPr>
            <w:tcW w:w="2860" w:type="dxa"/>
            <w:vAlign w:val="bottom"/>
            <w:tcBorders>
              <w:bottom w:val="single" w:sz="8" w:color="0000EE"/>
            </w:tcBorders>
            <w:gridSpan w:val="17"/>
          </w:tcPr>
          <w:p>
            <w:pPr>
              <w:spacing w:after="0" w:line="196" w:lineRule="exact"/>
              <w:rPr>
                <w:rFonts w:ascii="Arial" w:cs="Arial" w:eastAsia="Arial" w:hAnsi="Arial"/>
                <w:sz w:val="18"/>
                <w:szCs w:val="18"/>
                <w:color w:val="0000EE"/>
                <w:w w:val="89"/>
              </w:rPr>
            </w:pPr>
            <w:hyperlink w:anchor="page95">
              <w:r>
                <w:rPr>
                  <w:rFonts w:ascii="Arial" w:cs="Arial" w:eastAsia="Arial" w:hAnsi="Arial"/>
                  <w:sz w:val="18"/>
                  <w:szCs w:val="18"/>
                  <w:color w:val="0000EE"/>
                  <w:w w:val="89"/>
                </w:rPr>
                <w:t>Principal Accountant Fees and Services</w:t>
              </w:r>
            </w:hyperlink>
          </w:p>
        </w:tc>
        <w:tc>
          <w:tcPr>
            <w:tcW w:w="4660" w:type="dxa"/>
            <w:vAlign w:val="bottom"/>
            <w:gridSpan w:val="12"/>
          </w:tcPr>
          <w:p>
            <w:pPr>
              <w:spacing w:after="0"/>
              <w:rPr>
                <w:sz w:val="17"/>
                <w:szCs w:val="17"/>
                <w:color w:val="auto"/>
              </w:rPr>
            </w:pPr>
          </w:p>
        </w:tc>
        <w:tc>
          <w:tcPr>
            <w:tcW w:w="2100" w:type="dxa"/>
            <w:vAlign w:val="bottom"/>
          </w:tcPr>
          <w:p>
            <w:pPr>
              <w:jc w:val="right"/>
              <w:spacing w:after="0" w:line="196" w:lineRule="exact"/>
              <w:rPr>
                <w:sz w:val="20"/>
                <w:szCs w:val="20"/>
                <w:color w:val="auto"/>
              </w:rPr>
            </w:pPr>
            <w:r>
              <w:rPr>
                <w:rFonts w:ascii="Arial" w:cs="Arial" w:eastAsia="Arial" w:hAnsi="Arial"/>
                <w:sz w:val="18"/>
                <w:szCs w:val="18"/>
                <w:color w:val="auto"/>
              </w:rPr>
              <w:t>93</w:t>
            </w:r>
          </w:p>
        </w:tc>
      </w:tr>
      <w:tr>
        <w:trPr>
          <w:trHeight w:val="196"/>
        </w:trPr>
        <w:tc>
          <w:tcPr>
            <w:tcW w:w="200" w:type="dxa"/>
            <w:vAlign w:val="bottom"/>
          </w:tcPr>
          <w:p>
            <w:pPr>
              <w:spacing w:after="0"/>
              <w:rPr>
                <w:sz w:val="17"/>
                <w:szCs w:val="17"/>
                <w:color w:val="auto"/>
              </w:rPr>
            </w:pPr>
          </w:p>
        </w:tc>
        <w:tc>
          <w:tcPr>
            <w:tcW w:w="1300" w:type="dxa"/>
            <w:vAlign w:val="bottom"/>
            <w:gridSpan w:val="6"/>
          </w:tcPr>
          <w:p>
            <w:pPr>
              <w:spacing w:after="0" w:line="196" w:lineRule="exact"/>
              <w:rPr>
                <w:sz w:val="20"/>
                <w:szCs w:val="20"/>
                <w:color w:val="auto"/>
              </w:rPr>
            </w:pPr>
            <w:r>
              <w:rPr>
                <w:rFonts w:ascii="Arial" w:cs="Arial" w:eastAsia="Arial" w:hAnsi="Arial"/>
                <w:sz w:val="18"/>
                <w:szCs w:val="18"/>
                <w:color w:val="auto"/>
              </w:rPr>
              <w:t>Item 16D.</w:t>
            </w:r>
          </w:p>
        </w:tc>
        <w:tc>
          <w:tcPr>
            <w:tcW w:w="4460" w:type="dxa"/>
            <w:vAlign w:val="bottom"/>
            <w:tcBorders>
              <w:bottom w:val="single" w:sz="8" w:color="0000EE"/>
            </w:tcBorders>
            <w:gridSpan w:val="26"/>
          </w:tcPr>
          <w:p>
            <w:pPr>
              <w:spacing w:after="0" w:line="196" w:lineRule="exact"/>
              <w:rPr>
                <w:rFonts w:ascii="Arial" w:cs="Arial" w:eastAsia="Arial" w:hAnsi="Arial"/>
                <w:sz w:val="18"/>
                <w:szCs w:val="18"/>
                <w:color w:val="0000EE"/>
                <w:w w:val="92"/>
              </w:rPr>
            </w:pPr>
            <w:hyperlink w:anchor="page95">
              <w:r>
                <w:rPr>
                  <w:rFonts w:ascii="Arial" w:cs="Arial" w:eastAsia="Arial" w:hAnsi="Arial"/>
                  <w:sz w:val="18"/>
                  <w:szCs w:val="18"/>
                  <w:color w:val="0000EE"/>
                  <w:w w:val="92"/>
                </w:rPr>
                <w:t>Exemptions from the Listing Standards for Audit Committees</w:t>
              </w:r>
            </w:hyperlink>
          </w:p>
        </w:tc>
        <w:tc>
          <w:tcPr>
            <w:tcW w:w="3060" w:type="dxa"/>
            <w:vAlign w:val="bottom"/>
            <w:gridSpan w:val="3"/>
          </w:tcPr>
          <w:p>
            <w:pPr>
              <w:spacing w:after="0"/>
              <w:rPr>
                <w:sz w:val="17"/>
                <w:szCs w:val="17"/>
                <w:color w:val="auto"/>
              </w:rPr>
            </w:pPr>
          </w:p>
        </w:tc>
        <w:tc>
          <w:tcPr>
            <w:tcW w:w="2100" w:type="dxa"/>
            <w:vAlign w:val="bottom"/>
          </w:tcPr>
          <w:p>
            <w:pPr>
              <w:jc w:val="right"/>
              <w:spacing w:after="0" w:line="196" w:lineRule="exact"/>
              <w:rPr>
                <w:sz w:val="20"/>
                <w:szCs w:val="20"/>
                <w:color w:val="auto"/>
              </w:rPr>
            </w:pPr>
            <w:r>
              <w:rPr>
                <w:rFonts w:ascii="Arial" w:cs="Arial" w:eastAsia="Arial" w:hAnsi="Arial"/>
                <w:sz w:val="18"/>
                <w:szCs w:val="18"/>
                <w:color w:val="auto"/>
              </w:rPr>
              <w:t>93</w:t>
            </w:r>
          </w:p>
        </w:tc>
      </w:tr>
      <w:tr>
        <w:trPr>
          <w:trHeight w:val="196"/>
        </w:trPr>
        <w:tc>
          <w:tcPr>
            <w:tcW w:w="200" w:type="dxa"/>
            <w:vAlign w:val="bottom"/>
          </w:tcPr>
          <w:p>
            <w:pPr>
              <w:spacing w:after="0"/>
              <w:rPr>
                <w:sz w:val="17"/>
                <w:szCs w:val="17"/>
                <w:color w:val="auto"/>
              </w:rPr>
            </w:pPr>
          </w:p>
        </w:tc>
        <w:tc>
          <w:tcPr>
            <w:tcW w:w="1300" w:type="dxa"/>
            <w:vAlign w:val="bottom"/>
            <w:gridSpan w:val="6"/>
          </w:tcPr>
          <w:p>
            <w:pPr>
              <w:spacing w:after="0" w:line="196" w:lineRule="exact"/>
              <w:rPr>
                <w:sz w:val="20"/>
                <w:szCs w:val="20"/>
                <w:color w:val="auto"/>
              </w:rPr>
            </w:pPr>
            <w:r>
              <w:rPr>
                <w:rFonts w:ascii="Arial" w:cs="Arial" w:eastAsia="Arial" w:hAnsi="Arial"/>
                <w:sz w:val="18"/>
                <w:szCs w:val="18"/>
                <w:color w:val="auto"/>
              </w:rPr>
              <w:t>Item 16E.</w:t>
            </w:r>
          </w:p>
        </w:tc>
        <w:tc>
          <w:tcPr>
            <w:tcW w:w="5040" w:type="dxa"/>
            <w:vAlign w:val="bottom"/>
            <w:tcBorders>
              <w:bottom w:val="single" w:sz="8" w:color="0000EE"/>
            </w:tcBorders>
            <w:gridSpan w:val="27"/>
          </w:tcPr>
          <w:p>
            <w:pPr>
              <w:spacing w:after="0" w:line="196" w:lineRule="exact"/>
              <w:rPr>
                <w:rFonts w:ascii="Arial" w:cs="Arial" w:eastAsia="Arial" w:hAnsi="Arial"/>
                <w:sz w:val="18"/>
                <w:szCs w:val="18"/>
                <w:color w:val="0000EE"/>
                <w:w w:val="90"/>
              </w:rPr>
            </w:pPr>
            <w:hyperlink w:anchor="page95">
              <w:r>
                <w:rPr>
                  <w:rFonts w:ascii="Arial" w:cs="Arial" w:eastAsia="Arial" w:hAnsi="Arial"/>
                  <w:sz w:val="18"/>
                  <w:szCs w:val="18"/>
                  <w:color w:val="0000EE"/>
                  <w:w w:val="90"/>
                </w:rPr>
                <w:t>Purchases of Equity Securities by the Issuer and Affiliated Purchasers</w:t>
              </w:r>
            </w:hyperlink>
          </w:p>
        </w:tc>
        <w:tc>
          <w:tcPr>
            <w:tcW w:w="2480" w:type="dxa"/>
            <w:vAlign w:val="bottom"/>
            <w:gridSpan w:val="2"/>
          </w:tcPr>
          <w:p>
            <w:pPr>
              <w:spacing w:after="0"/>
              <w:rPr>
                <w:sz w:val="17"/>
                <w:szCs w:val="17"/>
                <w:color w:val="auto"/>
              </w:rPr>
            </w:pPr>
          </w:p>
        </w:tc>
        <w:tc>
          <w:tcPr>
            <w:tcW w:w="2100" w:type="dxa"/>
            <w:vAlign w:val="bottom"/>
          </w:tcPr>
          <w:p>
            <w:pPr>
              <w:jc w:val="right"/>
              <w:spacing w:after="0" w:line="196" w:lineRule="exact"/>
              <w:rPr>
                <w:sz w:val="20"/>
                <w:szCs w:val="20"/>
                <w:color w:val="auto"/>
              </w:rPr>
            </w:pPr>
            <w:r>
              <w:rPr>
                <w:rFonts w:ascii="Arial" w:cs="Arial" w:eastAsia="Arial" w:hAnsi="Arial"/>
                <w:sz w:val="18"/>
                <w:szCs w:val="18"/>
                <w:color w:val="auto"/>
              </w:rPr>
              <w:t>93</w:t>
            </w:r>
          </w:p>
        </w:tc>
      </w:tr>
      <w:tr>
        <w:trPr>
          <w:trHeight w:val="196"/>
        </w:trPr>
        <w:tc>
          <w:tcPr>
            <w:tcW w:w="200" w:type="dxa"/>
            <w:vAlign w:val="bottom"/>
          </w:tcPr>
          <w:p>
            <w:pPr>
              <w:spacing w:after="0"/>
              <w:rPr>
                <w:sz w:val="17"/>
                <w:szCs w:val="17"/>
                <w:color w:val="auto"/>
              </w:rPr>
            </w:pPr>
          </w:p>
        </w:tc>
        <w:tc>
          <w:tcPr>
            <w:tcW w:w="1300" w:type="dxa"/>
            <w:vAlign w:val="bottom"/>
            <w:gridSpan w:val="6"/>
          </w:tcPr>
          <w:p>
            <w:pPr>
              <w:spacing w:after="0" w:line="196" w:lineRule="exact"/>
              <w:rPr>
                <w:sz w:val="20"/>
                <w:szCs w:val="20"/>
                <w:color w:val="auto"/>
              </w:rPr>
            </w:pPr>
            <w:r>
              <w:rPr>
                <w:rFonts w:ascii="Arial" w:cs="Arial" w:eastAsia="Arial" w:hAnsi="Arial"/>
                <w:sz w:val="18"/>
                <w:szCs w:val="18"/>
                <w:color w:val="auto"/>
              </w:rPr>
              <w:t>Item 16F.</w:t>
            </w:r>
          </w:p>
        </w:tc>
        <w:tc>
          <w:tcPr>
            <w:tcW w:w="3360" w:type="dxa"/>
            <w:vAlign w:val="bottom"/>
            <w:tcBorders>
              <w:bottom w:val="single" w:sz="8" w:color="0000EE"/>
            </w:tcBorders>
            <w:gridSpan w:val="19"/>
          </w:tcPr>
          <w:p>
            <w:pPr>
              <w:spacing w:after="0" w:line="196" w:lineRule="exact"/>
              <w:rPr>
                <w:rFonts w:ascii="Arial" w:cs="Arial" w:eastAsia="Arial" w:hAnsi="Arial"/>
                <w:sz w:val="18"/>
                <w:szCs w:val="18"/>
                <w:color w:val="0000EE"/>
                <w:w w:val="92"/>
              </w:rPr>
            </w:pPr>
            <w:hyperlink w:anchor="page95">
              <w:r>
                <w:rPr>
                  <w:rFonts w:ascii="Arial" w:cs="Arial" w:eastAsia="Arial" w:hAnsi="Arial"/>
                  <w:sz w:val="18"/>
                  <w:szCs w:val="18"/>
                  <w:color w:val="0000EE"/>
                  <w:w w:val="92"/>
                </w:rPr>
                <w:t>Change in Registrant’s Certifying Accountant</w:t>
              </w:r>
            </w:hyperlink>
          </w:p>
        </w:tc>
        <w:tc>
          <w:tcPr>
            <w:tcW w:w="4160" w:type="dxa"/>
            <w:vAlign w:val="bottom"/>
            <w:gridSpan w:val="10"/>
          </w:tcPr>
          <w:p>
            <w:pPr>
              <w:spacing w:after="0"/>
              <w:rPr>
                <w:sz w:val="17"/>
                <w:szCs w:val="17"/>
                <w:color w:val="auto"/>
              </w:rPr>
            </w:pPr>
          </w:p>
        </w:tc>
        <w:tc>
          <w:tcPr>
            <w:tcW w:w="2100" w:type="dxa"/>
            <w:vAlign w:val="bottom"/>
          </w:tcPr>
          <w:p>
            <w:pPr>
              <w:jc w:val="right"/>
              <w:spacing w:after="0" w:line="196" w:lineRule="exact"/>
              <w:rPr>
                <w:sz w:val="20"/>
                <w:szCs w:val="20"/>
                <w:color w:val="auto"/>
              </w:rPr>
            </w:pPr>
            <w:r>
              <w:rPr>
                <w:rFonts w:ascii="Arial" w:cs="Arial" w:eastAsia="Arial" w:hAnsi="Arial"/>
                <w:sz w:val="18"/>
                <w:szCs w:val="18"/>
                <w:color w:val="auto"/>
              </w:rPr>
              <w:t>93</w:t>
            </w:r>
          </w:p>
        </w:tc>
      </w:tr>
      <w:tr>
        <w:trPr>
          <w:trHeight w:val="196"/>
        </w:trPr>
        <w:tc>
          <w:tcPr>
            <w:tcW w:w="200" w:type="dxa"/>
            <w:vAlign w:val="bottom"/>
          </w:tcPr>
          <w:p>
            <w:pPr>
              <w:spacing w:after="0"/>
              <w:rPr>
                <w:sz w:val="17"/>
                <w:szCs w:val="17"/>
                <w:color w:val="auto"/>
              </w:rPr>
            </w:pPr>
          </w:p>
        </w:tc>
        <w:tc>
          <w:tcPr>
            <w:tcW w:w="1300" w:type="dxa"/>
            <w:vAlign w:val="bottom"/>
            <w:gridSpan w:val="6"/>
          </w:tcPr>
          <w:p>
            <w:pPr>
              <w:spacing w:after="0" w:line="196" w:lineRule="exact"/>
              <w:rPr>
                <w:sz w:val="20"/>
                <w:szCs w:val="20"/>
                <w:color w:val="auto"/>
              </w:rPr>
            </w:pPr>
            <w:r>
              <w:rPr>
                <w:rFonts w:ascii="Arial" w:cs="Arial" w:eastAsia="Arial" w:hAnsi="Arial"/>
                <w:sz w:val="18"/>
                <w:szCs w:val="18"/>
                <w:color w:val="auto"/>
              </w:rPr>
              <w:t>Item 16G.</w:t>
            </w:r>
          </w:p>
        </w:tc>
        <w:tc>
          <w:tcPr>
            <w:tcW w:w="1640" w:type="dxa"/>
            <w:vAlign w:val="bottom"/>
            <w:tcBorders>
              <w:bottom w:val="single" w:sz="8" w:color="0000EE"/>
            </w:tcBorders>
            <w:gridSpan w:val="10"/>
          </w:tcPr>
          <w:p>
            <w:pPr>
              <w:spacing w:after="0" w:line="196" w:lineRule="exact"/>
              <w:rPr>
                <w:rFonts w:ascii="Arial" w:cs="Arial" w:eastAsia="Arial" w:hAnsi="Arial"/>
                <w:sz w:val="18"/>
                <w:szCs w:val="18"/>
                <w:color w:val="0000EE"/>
                <w:w w:val="88"/>
              </w:rPr>
            </w:pPr>
            <w:hyperlink w:anchor="page95">
              <w:r>
                <w:rPr>
                  <w:rFonts w:ascii="Arial" w:cs="Arial" w:eastAsia="Arial" w:hAnsi="Arial"/>
                  <w:sz w:val="18"/>
                  <w:szCs w:val="18"/>
                  <w:color w:val="0000EE"/>
                  <w:w w:val="88"/>
                </w:rPr>
                <w:t>Corporate Governance</w:t>
              </w:r>
            </w:hyperlink>
          </w:p>
        </w:tc>
        <w:tc>
          <w:tcPr>
            <w:tcW w:w="5880" w:type="dxa"/>
            <w:vAlign w:val="bottom"/>
            <w:gridSpan w:val="19"/>
          </w:tcPr>
          <w:p>
            <w:pPr>
              <w:spacing w:after="0"/>
              <w:rPr>
                <w:sz w:val="17"/>
                <w:szCs w:val="17"/>
                <w:color w:val="auto"/>
              </w:rPr>
            </w:pPr>
          </w:p>
        </w:tc>
        <w:tc>
          <w:tcPr>
            <w:tcW w:w="2100" w:type="dxa"/>
            <w:vAlign w:val="bottom"/>
          </w:tcPr>
          <w:p>
            <w:pPr>
              <w:jc w:val="right"/>
              <w:spacing w:after="0" w:line="196" w:lineRule="exact"/>
              <w:rPr>
                <w:sz w:val="20"/>
                <w:szCs w:val="20"/>
                <w:color w:val="auto"/>
              </w:rPr>
            </w:pPr>
            <w:r>
              <w:rPr>
                <w:rFonts w:ascii="Arial" w:cs="Arial" w:eastAsia="Arial" w:hAnsi="Arial"/>
                <w:sz w:val="18"/>
                <w:szCs w:val="18"/>
                <w:color w:val="auto"/>
              </w:rPr>
              <w:t>93</w:t>
            </w:r>
          </w:p>
        </w:tc>
      </w:tr>
      <w:tr>
        <w:trPr>
          <w:trHeight w:val="196"/>
        </w:trPr>
        <w:tc>
          <w:tcPr>
            <w:tcW w:w="200" w:type="dxa"/>
            <w:vAlign w:val="bottom"/>
          </w:tcPr>
          <w:p>
            <w:pPr>
              <w:spacing w:after="0"/>
              <w:rPr>
                <w:sz w:val="17"/>
                <w:szCs w:val="17"/>
                <w:color w:val="auto"/>
              </w:rPr>
            </w:pPr>
          </w:p>
        </w:tc>
        <w:tc>
          <w:tcPr>
            <w:tcW w:w="1300" w:type="dxa"/>
            <w:vAlign w:val="bottom"/>
            <w:gridSpan w:val="6"/>
          </w:tcPr>
          <w:p>
            <w:pPr>
              <w:spacing w:after="0" w:line="196" w:lineRule="exact"/>
              <w:rPr>
                <w:sz w:val="20"/>
                <w:szCs w:val="20"/>
                <w:color w:val="auto"/>
              </w:rPr>
            </w:pPr>
            <w:r>
              <w:rPr>
                <w:rFonts w:ascii="Arial" w:cs="Arial" w:eastAsia="Arial" w:hAnsi="Arial"/>
                <w:sz w:val="18"/>
                <w:szCs w:val="18"/>
                <w:color w:val="auto"/>
              </w:rPr>
              <w:t>Item 16H.</w:t>
            </w:r>
          </w:p>
        </w:tc>
        <w:tc>
          <w:tcPr>
            <w:tcW w:w="7520" w:type="dxa"/>
            <w:vAlign w:val="bottom"/>
            <w:gridSpan w:val="29"/>
          </w:tcPr>
          <w:p>
            <w:pPr>
              <w:spacing w:after="0" w:line="196" w:lineRule="exact"/>
              <w:rPr>
                <w:rFonts w:ascii="Arial" w:cs="Arial" w:eastAsia="Arial" w:hAnsi="Arial"/>
                <w:sz w:val="18"/>
                <w:szCs w:val="18"/>
                <w:color w:val="0000EE"/>
              </w:rPr>
            </w:pPr>
            <w:hyperlink w:anchor="page96">
              <w:r>
                <w:rPr>
                  <w:rFonts w:ascii="Arial" w:cs="Arial" w:eastAsia="Arial" w:hAnsi="Arial"/>
                  <w:sz w:val="18"/>
                  <w:szCs w:val="18"/>
                  <w:color w:val="0000EE"/>
                </w:rPr>
                <w:t>Mine Safety Disclosure</w:t>
              </w:r>
            </w:hyperlink>
          </w:p>
        </w:tc>
        <w:tc>
          <w:tcPr>
            <w:tcW w:w="2100" w:type="dxa"/>
            <w:vAlign w:val="bottom"/>
          </w:tcPr>
          <w:p>
            <w:pPr>
              <w:jc w:val="right"/>
              <w:spacing w:after="0" w:line="196" w:lineRule="exact"/>
              <w:rPr>
                <w:sz w:val="20"/>
                <w:szCs w:val="20"/>
                <w:color w:val="auto"/>
              </w:rPr>
            </w:pPr>
            <w:r>
              <w:rPr>
                <w:rFonts w:ascii="Arial" w:cs="Arial" w:eastAsia="Arial" w:hAnsi="Arial"/>
                <w:sz w:val="18"/>
                <w:szCs w:val="18"/>
                <w:color w:val="auto"/>
              </w:rPr>
              <w:t>94</w:t>
            </w:r>
          </w:p>
        </w:tc>
      </w:tr>
      <w:tr>
        <w:trPr>
          <w:trHeight w:val="196"/>
        </w:trPr>
        <w:tc>
          <w:tcPr>
            <w:tcW w:w="200" w:type="dxa"/>
            <w:vAlign w:val="bottom"/>
          </w:tcPr>
          <w:p>
            <w:pPr>
              <w:spacing w:after="0"/>
              <w:rPr>
                <w:sz w:val="17"/>
                <w:szCs w:val="17"/>
                <w:color w:val="auto"/>
              </w:rPr>
            </w:pPr>
          </w:p>
        </w:tc>
        <w:tc>
          <w:tcPr>
            <w:tcW w:w="1300" w:type="dxa"/>
            <w:vAlign w:val="bottom"/>
            <w:gridSpan w:val="6"/>
          </w:tcPr>
          <w:p>
            <w:pPr>
              <w:spacing w:after="0" w:line="196" w:lineRule="exact"/>
              <w:rPr>
                <w:rFonts w:ascii="Arial" w:cs="Arial" w:eastAsia="Arial" w:hAnsi="Arial"/>
                <w:sz w:val="18"/>
                <w:szCs w:val="18"/>
                <w:color w:val="0000EE"/>
              </w:rPr>
            </w:pPr>
            <w:hyperlink w:anchor="page97">
              <w:r>
                <w:rPr>
                  <w:rFonts w:ascii="Arial" w:cs="Arial" w:eastAsia="Arial" w:hAnsi="Arial"/>
                  <w:sz w:val="18"/>
                  <w:szCs w:val="18"/>
                  <w:color w:val="0000EE"/>
                </w:rPr>
                <w:t>PART III</w:t>
              </w:r>
            </w:hyperlink>
          </w:p>
        </w:tc>
        <w:tc>
          <w:tcPr>
            <w:tcW w:w="60" w:type="dxa"/>
            <w:vAlign w:val="bottom"/>
            <w:tcBorders>
              <w:top w:val="single" w:sz="8" w:color="0000EE"/>
            </w:tcBorders>
          </w:tcPr>
          <w:p>
            <w:pPr>
              <w:spacing w:after="0"/>
              <w:rPr>
                <w:sz w:val="17"/>
                <w:szCs w:val="17"/>
                <w:color w:val="auto"/>
              </w:rPr>
            </w:pPr>
          </w:p>
        </w:tc>
        <w:tc>
          <w:tcPr>
            <w:tcW w:w="540" w:type="dxa"/>
            <w:vAlign w:val="bottom"/>
            <w:tcBorders>
              <w:top w:val="single" w:sz="8" w:color="0000EE"/>
            </w:tcBorders>
          </w:tcPr>
          <w:p>
            <w:pPr>
              <w:spacing w:after="0"/>
              <w:rPr>
                <w:sz w:val="17"/>
                <w:szCs w:val="17"/>
                <w:color w:val="auto"/>
              </w:rPr>
            </w:pPr>
          </w:p>
        </w:tc>
        <w:tc>
          <w:tcPr>
            <w:tcW w:w="80" w:type="dxa"/>
            <w:vAlign w:val="bottom"/>
            <w:tcBorders>
              <w:top w:val="single" w:sz="8" w:color="0000EE"/>
            </w:tcBorders>
          </w:tcPr>
          <w:p>
            <w:pPr>
              <w:spacing w:after="0"/>
              <w:rPr>
                <w:sz w:val="17"/>
                <w:szCs w:val="17"/>
                <w:color w:val="auto"/>
              </w:rPr>
            </w:pPr>
          </w:p>
        </w:tc>
        <w:tc>
          <w:tcPr>
            <w:tcW w:w="400" w:type="dxa"/>
            <w:vAlign w:val="bottom"/>
            <w:tcBorders>
              <w:top w:val="single" w:sz="8" w:color="0000EE"/>
            </w:tcBorders>
          </w:tcPr>
          <w:p>
            <w:pPr>
              <w:spacing w:after="0"/>
              <w:rPr>
                <w:sz w:val="17"/>
                <w:szCs w:val="17"/>
                <w:color w:val="auto"/>
              </w:rPr>
            </w:pPr>
          </w:p>
        </w:tc>
        <w:tc>
          <w:tcPr>
            <w:tcW w:w="120" w:type="dxa"/>
            <w:vAlign w:val="bottom"/>
            <w:tcBorders>
              <w:top w:val="single" w:sz="8" w:color="0000EE"/>
            </w:tcBorders>
          </w:tcPr>
          <w:p>
            <w:pPr>
              <w:spacing w:after="0"/>
              <w:rPr>
                <w:sz w:val="17"/>
                <w:szCs w:val="17"/>
                <w:color w:val="auto"/>
              </w:rPr>
            </w:pPr>
          </w:p>
        </w:tc>
        <w:tc>
          <w:tcPr>
            <w:tcW w:w="30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6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920" w:type="dxa"/>
            <w:vAlign w:val="bottom"/>
          </w:tcPr>
          <w:p>
            <w:pPr>
              <w:spacing w:after="0"/>
              <w:rPr>
                <w:sz w:val="17"/>
                <w:szCs w:val="17"/>
                <w:color w:val="auto"/>
              </w:rPr>
            </w:pPr>
          </w:p>
        </w:tc>
        <w:tc>
          <w:tcPr>
            <w:tcW w:w="2100" w:type="dxa"/>
            <w:vAlign w:val="bottom"/>
          </w:tcPr>
          <w:p>
            <w:pPr>
              <w:jc w:val="right"/>
              <w:spacing w:after="0" w:line="196" w:lineRule="exact"/>
              <w:rPr>
                <w:sz w:val="20"/>
                <w:szCs w:val="20"/>
                <w:color w:val="auto"/>
              </w:rPr>
            </w:pPr>
            <w:r>
              <w:rPr>
                <w:rFonts w:ascii="Arial" w:cs="Arial" w:eastAsia="Arial" w:hAnsi="Arial"/>
                <w:sz w:val="18"/>
                <w:szCs w:val="18"/>
                <w:color w:val="auto"/>
              </w:rPr>
              <w:t>95</w:t>
            </w:r>
          </w:p>
        </w:tc>
      </w:tr>
      <w:tr>
        <w:trPr>
          <w:trHeight w:val="196"/>
        </w:trPr>
        <w:tc>
          <w:tcPr>
            <w:tcW w:w="200" w:type="dxa"/>
            <w:vAlign w:val="bottom"/>
          </w:tcPr>
          <w:p>
            <w:pPr>
              <w:spacing w:after="0"/>
              <w:rPr>
                <w:sz w:val="17"/>
                <w:szCs w:val="17"/>
                <w:color w:val="auto"/>
              </w:rPr>
            </w:pPr>
          </w:p>
        </w:tc>
        <w:tc>
          <w:tcPr>
            <w:tcW w:w="660" w:type="dxa"/>
            <w:vAlign w:val="bottom"/>
            <w:tcBorders>
              <w:top w:val="single" w:sz="8" w:color="0000EE"/>
            </w:tcBorders>
            <w:gridSpan w:val="3"/>
          </w:tcPr>
          <w:p>
            <w:pPr>
              <w:spacing w:after="0" w:line="196" w:lineRule="exact"/>
              <w:rPr>
                <w:sz w:val="20"/>
                <w:szCs w:val="20"/>
                <w:color w:val="auto"/>
              </w:rPr>
            </w:pPr>
            <w:r>
              <w:rPr>
                <w:rFonts w:ascii="Arial" w:cs="Arial" w:eastAsia="Arial" w:hAnsi="Arial"/>
                <w:sz w:val="18"/>
                <w:szCs w:val="18"/>
                <w:color w:val="auto"/>
                <w:w w:val="98"/>
              </w:rPr>
              <w:t>Item 17.</w:t>
            </w:r>
          </w:p>
        </w:tc>
        <w:tc>
          <w:tcPr>
            <w:tcW w:w="640" w:type="dxa"/>
            <w:vAlign w:val="bottom"/>
            <w:gridSpan w:val="3"/>
          </w:tcPr>
          <w:p>
            <w:pPr>
              <w:spacing w:after="0"/>
              <w:rPr>
                <w:sz w:val="17"/>
                <w:szCs w:val="17"/>
                <w:color w:val="auto"/>
              </w:rPr>
            </w:pPr>
          </w:p>
        </w:tc>
        <w:tc>
          <w:tcPr>
            <w:tcW w:w="1520" w:type="dxa"/>
            <w:vAlign w:val="bottom"/>
            <w:tcBorders>
              <w:bottom w:val="single" w:sz="8" w:color="0000EE"/>
            </w:tcBorders>
            <w:gridSpan w:val="7"/>
          </w:tcPr>
          <w:p>
            <w:pPr>
              <w:spacing w:after="0" w:line="196" w:lineRule="exact"/>
              <w:rPr>
                <w:rFonts w:ascii="Arial" w:cs="Arial" w:eastAsia="Arial" w:hAnsi="Arial"/>
                <w:sz w:val="18"/>
                <w:szCs w:val="18"/>
                <w:color w:val="0000EE"/>
                <w:w w:val="89"/>
              </w:rPr>
            </w:pPr>
            <w:hyperlink w:anchor="page97">
              <w:r>
                <w:rPr>
                  <w:rFonts w:ascii="Arial" w:cs="Arial" w:eastAsia="Arial" w:hAnsi="Arial"/>
                  <w:sz w:val="18"/>
                  <w:szCs w:val="18"/>
                  <w:color w:val="0000EE"/>
                  <w:w w:val="89"/>
                </w:rPr>
                <w:t>Financial Statements</w:t>
              </w:r>
            </w:hyperlink>
          </w:p>
        </w:tc>
        <w:tc>
          <w:tcPr>
            <w:tcW w:w="6000" w:type="dxa"/>
            <w:vAlign w:val="bottom"/>
            <w:gridSpan w:val="22"/>
          </w:tcPr>
          <w:p>
            <w:pPr>
              <w:spacing w:after="0"/>
              <w:rPr>
                <w:sz w:val="17"/>
                <w:szCs w:val="17"/>
                <w:color w:val="auto"/>
              </w:rPr>
            </w:pPr>
          </w:p>
        </w:tc>
        <w:tc>
          <w:tcPr>
            <w:tcW w:w="2100" w:type="dxa"/>
            <w:vAlign w:val="bottom"/>
          </w:tcPr>
          <w:p>
            <w:pPr>
              <w:jc w:val="right"/>
              <w:spacing w:after="0" w:line="196" w:lineRule="exact"/>
              <w:rPr>
                <w:sz w:val="20"/>
                <w:szCs w:val="20"/>
                <w:color w:val="auto"/>
              </w:rPr>
            </w:pPr>
            <w:r>
              <w:rPr>
                <w:rFonts w:ascii="Arial" w:cs="Arial" w:eastAsia="Arial" w:hAnsi="Arial"/>
                <w:sz w:val="18"/>
                <w:szCs w:val="18"/>
                <w:color w:val="auto"/>
              </w:rPr>
              <w:t>95</w:t>
            </w:r>
          </w:p>
        </w:tc>
      </w:tr>
      <w:tr>
        <w:trPr>
          <w:trHeight w:val="196"/>
        </w:trPr>
        <w:tc>
          <w:tcPr>
            <w:tcW w:w="200" w:type="dxa"/>
            <w:vAlign w:val="bottom"/>
          </w:tcPr>
          <w:p>
            <w:pPr>
              <w:spacing w:after="0"/>
              <w:rPr>
                <w:sz w:val="17"/>
                <w:szCs w:val="17"/>
                <w:color w:val="auto"/>
              </w:rPr>
            </w:pPr>
          </w:p>
        </w:tc>
        <w:tc>
          <w:tcPr>
            <w:tcW w:w="1300" w:type="dxa"/>
            <w:vAlign w:val="bottom"/>
            <w:gridSpan w:val="6"/>
          </w:tcPr>
          <w:p>
            <w:pPr>
              <w:spacing w:after="0" w:line="196" w:lineRule="exact"/>
              <w:rPr>
                <w:sz w:val="20"/>
                <w:szCs w:val="20"/>
                <w:color w:val="auto"/>
              </w:rPr>
            </w:pPr>
            <w:r>
              <w:rPr>
                <w:rFonts w:ascii="Arial" w:cs="Arial" w:eastAsia="Arial" w:hAnsi="Arial"/>
                <w:sz w:val="18"/>
                <w:szCs w:val="18"/>
                <w:color w:val="auto"/>
              </w:rPr>
              <w:t>Item 18.</w:t>
            </w:r>
          </w:p>
        </w:tc>
        <w:tc>
          <w:tcPr>
            <w:tcW w:w="7520" w:type="dxa"/>
            <w:vAlign w:val="bottom"/>
            <w:gridSpan w:val="29"/>
          </w:tcPr>
          <w:p>
            <w:pPr>
              <w:spacing w:after="0" w:line="196" w:lineRule="exact"/>
              <w:rPr>
                <w:rFonts w:ascii="Arial" w:cs="Arial" w:eastAsia="Arial" w:hAnsi="Arial"/>
                <w:sz w:val="18"/>
                <w:szCs w:val="18"/>
                <w:color w:val="0000EE"/>
              </w:rPr>
            </w:pPr>
            <w:hyperlink w:anchor="page97">
              <w:r>
                <w:rPr>
                  <w:rFonts w:ascii="Arial" w:cs="Arial" w:eastAsia="Arial" w:hAnsi="Arial"/>
                  <w:sz w:val="18"/>
                  <w:szCs w:val="18"/>
                  <w:color w:val="0000EE"/>
                </w:rPr>
                <w:t>Financial Statements</w:t>
              </w:r>
            </w:hyperlink>
          </w:p>
        </w:tc>
        <w:tc>
          <w:tcPr>
            <w:tcW w:w="2100" w:type="dxa"/>
            <w:vAlign w:val="bottom"/>
          </w:tcPr>
          <w:p>
            <w:pPr>
              <w:jc w:val="right"/>
              <w:spacing w:after="0" w:line="196" w:lineRule="exact"/>
              <w:rPr>
                <w:sz w:val="20"/>
                <w:szCs w:val="20"/>
                <w:color w:val="auto"/>
              </w:rPr>
            </w:pPr>
            <w:r>
              <w:rPr>
                <w:rFonts w:ascii="Arial" w:cs="Arial" w:eastAsia="Arial" w:hAnsi="Arial"/>
                <w:sz w:val="18"/>
                <w:szCs w:val="18"/>
                <w:color w:val="auto"/>
              </w:rPr>
              <w:t>95</w:t>
            </w:r>
          </w:p>
        </w:tc>
      </w:tr>
      <w:tr>
        <w:trPr>
          <w:trHeight w:val="196"/>
        </w:trPr>
        <w:tc>
          <w:tcPr>
            <w:tcW w:w="200" w:type="dxa"/>
            <w:vAlign w:val="bottom"/>
          </w:tcPr>
          <w:p>
            <w:pPr>
              <w:spacing w:after="0"/>
              <w:rPr>
                <w:sz w:val="17"/>
                <w:szCs w:val="17"/>
                <w:color w:val="auto"/>
              </w:rPr>
            </w:pPr>
          </w:p>
        </w:tc>
        <w:tc>
          <w:tcPr>
            <w:tcW w:w="1300" w:type="dxa"/>
            <w:vAlign w:val="bottom"/>
            <w:gridSpan w:val="6"/>
          </w:tcPr>
          <w:p>
            <w:pPr>
              <w:spacing w:after="0" w:line="196" w:lineRule="exact"/>
              <w:rPr>
                <w:sz w:val="20"/>
                <w:szCs w:val="20"/>
                <w:color w:val="auto"/>
              </w:rPr>
            </w:pPr>
            <w:r>
              <w:rPr>
                <w:rFonts w:ascii="Arial" w:cs="Arial" w:eastAsia="Arial" w:hAnsi="Arial"/>
                <w:sz w:val="18"/>
                <w:szCs w:val="18"/>
                <w:color w:val="auto"/>
              </w:rPr>
              <w:t>Item 19.</w:t>
            </w:r>
          </w:p>
        </w:tc>
        <w:tc>
          <w:tcPr>
            <w:tcW w:w="1500" w:type="dxa"/>
            <w:vAlign w:val="bottom"/>
            <w:tcBorders>
              <w:top w:val="single" w:sz="8" w:color="0000EE"/>
            </w:tcBorders>
            <w:gridSpan w:val="6"/>
          </w:tcPr>
          <w:p>
            <w:pPr>
              <w:spacing w:after="0" w:line="196" w:lineRule="exact"/>
              <w:rPr>
                <w:rFonts w:ascii="Arial" w:cs="Arial" w:eastAsia="Arial" w:hAnsi="Arial"/>
                <w:sz w:val="18"/>
                <w:szCs w:val="18"/>
                <w:color w:val="0000EE"/>
              </w:rPr>
            </w:pPr>
            <w:hyperlink w:anchor="page97">
              <w:r>
                <w:rPr>
                  <w:rFonts w:ascii="Arial" w:cs="Arial" w:eastAsia="Arial" w:hAnsi="Arial"/>
                  <w:sz w:val="18"/>
                  <w:szCs w:val="18"/>
                  <w:color w:val="0000EE"/>
                </w:rPr>
                <w:t>Exhibits</w:t>
              </w:r>
            </w:hyperlink>
          </w:p>
        </w:tc>
        <w:tc>
          <w:tcPr>
            <w:tcW w:w="6020" w:type="dxa"/>
            <w:vAlign w:val="bottom"/>
            <w:gridSpan w:val="23"/>
          </w:tcPr>
          <w:p>
            <w:pPr>
              <w:spacing w:after="0"/>
              <w:rPr>
                <w:sz w:val="17"/>
                <w:szCs w:val="17"/>
                <w:color w:val="auto"/>
              </w:rPr>
            </w:pPr>
          </w:p>
        </w:tc>
        <w:tc>
          <w:tcPr>
            <w:tcW w:w="2100" w:type="dxa"/>
            <w:vAlign w:val="bottom"/>
          </w:tcPr>
          <w:p>
            <w:pPr>
              <w:jc w:val="right"/>
              <w:spacing w:after="0" w:line="196" w:lineRule="exact"/>
              <w:rPr>
                <w:sz w:val="20"/>
                <w:szCs w:val="20"/>
                <w:color w:val="auto"/>
              </w:rPr>
            </w:pPr>
            <w:r>
              <w:rPr>
                <w:rFonts w:ascii="Arial" w:cs="Arial" w:eastAsia="Arial" w:hAnsi="Arial"/>
                <w:sz w:val="18"/>
                <w:szCs w:val="18"/>
                <w:color w:val="auto"/>
              </w:rPr>
              <w:t>95</w:t>
            </w:r>
          </w:p>
        </w:tc>
      </w:tr>
      <w:tr>
        <w:trPr>
          <w:trHeight w:val="196"/>
        </w:trPr>
        <w:tc>
          <w:tcPr>
            <w:tcW w:w="200" w:type="dxa"/>
            <w:vAlign w:val="bottom"/>
          </w:tcPr>
          <w:p>
            <w:pPr>
              <w:spacing w:after="0"/>
              <w:rPr>
                <w:sz w:val="17"/>
                <w:szCs w:val="17"/>
                <w:color w:val="auto"/>
              </w:rPr>
            </w:pPr>
          </w:p>
        </w:tc>
        <w:tc>
          <w:tcPr>
            <w:tcW w:w="1300" w:type="dxa"/>
            <w:vAlign w:val="bottom"/>
            <w:gridSpan w:val="6"/>
          </w:tcPr>
          <w:p>
            <w:pPr>
              <w:spacing w:after="0" w:line="196" w:lineRule="exact"/>
              <w:rPr>
                <w:rFonts w:ascii="Arial" w:cs="Arial" w:eastAsia="Arial" w:hAnsi="Arial"/>
                <w:sz w:val="18"/>
                <w:szCs w:val="18"/>
                <w:color w:val="0000EE"/>
              </w:rPr>
            </w:pPr>
            <w:hyperlink w:anchor="page99">
              <w:r>
                <w:rPr>
                  <w:rFonts w:ascii="Arial" w:cs="Arial" w:eastAsia="Arial" w:hAnsi="Arial"/>
                  <w:sz w:val="18"/>
                  <w:szCs w:val="18"/>
                  <w:color w:val="0000EE"/>
                </w:rPr>
                <w:t>SIGNATURES</w:t>
              </w:r>
            </w:hyperlink>
          </w:p>
        </w:tc>
        <w:tc>
          <w:tcPr>
            <w:tcW w:w="60" w:type="dxa"/>
            <w:vAlign w:val="bottom"/>
            <w:tcBorders>
              <w:top w:val="single" w:sz="8" w:color="0000EE"/>
            </w:tcBorders>
          </w:tcPr>
          <w:p>
            <w:pPr>
              <w:spacing w:after="0"/>
              <w:rPr>
                <w:sz w:val="17"/>
                <w:szCs w:val="17"/>
                <w:color w:val="auto"/>
              </w:rPr>
            </w:pPr>
          </w:p>
        </w:tc>
        <w:tc>
          <w:tcPr>
            <w:tcW w:w="540" w:type="dxa"/>
            <w:vAlign w:val="bottom"/>
            <w:tcBorders>
              <w:top w:val="single" w:sz="8" w:color="0000EE"/>
            </w:tcBorders>
          </w:tcPr>
          <w:p>
            <w:pPr>
              <w:spacing w:after="0"/>
              <w:rPr>
                <w:sz w:val="17"/>
                <w:szCs w:val="17"/>
                <w:color w:val="auto"/>
              </w:rPr>
            </w:pPr>
          </w:p>
        </w:tc>
        <w:tc>
          <w:tcPr>
            <w:tcW w:w="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920" w:type="dxa"/>
            <w:vAlign w:val="bottom"/>
          </w:tcPr>
          <w:p>
            <w:pPr>
              <w:spacing w:after="0"/>
              <w:rPr>
                <w:sz w:val="17"/>
                <w:szCs w:val="17"/>
                <w:color w:val="auto"/>
              </w:rPr>
            </w:pPr>
          </w:p>
        </w:tc>
        <w:tc>
          <w:tcPr>
            <w:tcW w:w="2100" w:type="dxa"/>
            <w:vAlign w:val="bottom"/>
          </w:tcPr>
          <w:p>
            <w:pPr>
              <w:jc w:val="right"/>
              <w:spacing w:after="0" w:line="196" w:lineRule="exact"/>
              <w:rPr>
                <w:sz w:val="20"/>
                <w:szCs w:val="20"/>
                <w:color w:val="auto"/>
              </w:rPr>
            </w:pPr>
            <w:r>
              <w:rPr>
                <w:rFonts w:ascii="Arial" w:cs="Arial" w:eastAsia="Arial" w:hAnsi="Arial"/>
                <w:sz w:val="18"/>
                <w:szCs w:val="18"/>
                <w:color w:val="auto"/>
              </w:rPr>
              <w:t>97</w:t>
            </w:r>
          </w:p>
        </w:tc>
      </w:tr>
      <w:tr>
        <w:trPr>
          <w:trHeight w:val="20"/>
        </w:trPr>
        <w:tc>
          <w:tcPr>
            <w:tcW w:w="200" w:type="dxa"/>
            <w:vAlign w:val="bottom"/>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r>
    </w:tbl>
    <w:p>
      <w:pPr>
        <w:spacing w:after="0" w:line="16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p>
      <w:pPr>
        <w:jc w:val="center"/>
        <w:ind w:right="-539"/>
        <w:spacing w:after="0"/>
        <w:rPr>
          <w:sz w:val="20"/>
          <w:szCs w:val="20"/>
          <w:color w:val="auto"/>
        </w:rPr>
      </w:pPr>
      <w:r>
        <w:rPr>
          <w:rFonts w:ascii="Arial" w:cs="Arial" w:eastAsia="Arial" w:hAnsi="Arial"/>
          <w:sz w:val="18"/>
          <w:szCs w:val="18"/>
          <w:color w:val="auto"/>
        </w:rPr>
        <w:t>i</w:t>
      </w:r>
    </w:p>
    <w:p>
      <w:pPr>
        <w:sectPr>
          <w:pgSz w:w="11900" w:h="16838" w:orient="portrait"/>
          <w:cols w:equalWidth="0" w:num="1">
            <w:col w:w="11120"/>
          </w:cols>
          <w:pgMar w:left="240" w:top="446" w:right="539" w:bottom="1440" w:gutter="0" w:footer="0" w:header="0"/>
        </w:sectPr>
      </w:pPr>
    </w:p>
    <w:bookmarkStart w:id="2" w:name="page3"/>
    <w:bookmarkEnd w:id="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INTRODUCTION</w:t>
      </w:r>
    </w:p>
    <w:p>
      <w:pPr>
        <w:spacing w:after="0" w:line="229" w:lineRule="exact"/>
        <w:rPr>
          <w:sz w:val="20"/>
          <w:szCs w:val="20"/>
          <w:color w:val="auto"/>
        </w:rPr>
      </w:pPr>
    </w:p>
    <w:p>
      <w:pPr>
        <w:ind w:left="200" w:firstLine="441"/>
        <w:spacing w:after="0" w:line="293" w:lineRule="auto"/>
        <w:rPr>
          <w:sz w:val="20"/>
          <w:szCs w:val="20"/>
          <w:color w:val="auto"/>
        </w:rPr>
      </w:pPr>
      <w:r>
        <w:rPr>
          <w:rFonts w:ascii="Arial" w:cs="Arial" w:eastAsia="Arial" w:hAnsi="Arial"/>
          <w:sz w:val="16"/>
          <w:szCs w:val="16"/>
          <w:color w:val="auto"/>
        </w:rPr>
        <w:t>Avita Medical Limited was incorporated under the laws of the Commonwealth of Australia on December 21, 1992. The principal listing of our ordinary shares and to purchase our ordinary shares is the Australian Securities Exchange, or ASX. Our American Depositary Share (“ADS”) securities trade over the counter in the United States on the OTCQX market. We are filing this registration statement on Form 20-F in anticipation of the listing of our ADSs on the NASDAQ Capital Market under the symbol “CELS”. We have appointed Bank of New York Mellon to act as our American Depositary Share (“ADS”) registrar and transfer agent to register and deliver our ADS in the United States for the Nasdaq Stock Market. As used in this registration statement, the terms “we,” “us,” “our,” “Avita,” and the “Company” mean Avita Medical Limited and its subsidiaries, unless otherwise indicated.</w:t>
      </w:r>
    </w:p>
    <w:p>
      <w:pPr>
        <w:spacing w:after="0" w:line="165" w:lineRule="exact"/>
        <w:rPr>
          <w:sz w:val="20"/>
          <w:szCs w:val="20"/>
          <w:color w:val="auto"/>
        </w:rPr>
      </w:pPr>
    </w:p>
    <w:p>
      <w:pPr>
        <w:jc w:val="both"/>
        <w:ind w:left="200" w:right="180" w:firstLine="441"/>
        <w:spacing w:after="0" w:line="264" w:lineRule="auto"/>
        <w:rPr>
          <w:sz w:val="20"/>
          <w:szCs w:val="20"/>
          <w:color w:val="auto"/>
        </w:rPr>
      </w:pPr>
      <w:r>
        <w:rPr>
          <w:rFonts w:ascii="Arial" w:cs="Arial" w:eastAsia="Arial" w:hAnsi="Arial"/>
          <w:sz w:val="18"/>
          <w:szCs w:val="18"/>
          <w:color w:val="auto"/>
        </w:rPr>
        <w:t>Our consolidated financial statements appearing in this registration statement on Form 20-F are prepared in Australian dollars and in accordance with the International Financial Reporting Standards, or IFRS, as issued by the International Accounting Standards Board, or IASB. Our consolidated financial statements appearing in this registration statement on Form 20-F comply with IFRS.</w:t>
      </w:r>
    </w:p>
    <w:p>
      <w:pPr>
        <w:spacing w:after="0" w:line="181" w:lineRule="exact"/>
        <w:rPr>
          <w:sz w:val="20"/>
          <w:szCs w:val="20"/>
          <w:color w:val="auto"/>
        </w:rPr>
      </w:pPr>
    </w:p>
    <w:p>
      <w:pPr>
        <w:ind w:left="200" w:right="240" w:firstLine="441"/>
        <w:spacing w:after="0" w:line="277" w:lineRule="auto"/>
        <w:rPr>
          <w:sz w:val="20"/>
          <w:szCs w:val="20"/>
          <w:color w:val="auto"/>
        </w:rPr>
      </w:pPr>
      <w:r>
        <w:rPr>
          <w:rFonts w:ascii="Arial" w:cs="Arial" w:eastAsia="Arial" w:hAnsi="Arial"/>
          <w:sz w:val="18"/>
          <w:szCs w:val="18"/>
          <w:color w:val="auto"/>
        </w:rPr>
        <w:t>In this registration statement, all references to “U.S. dollars” or “US$” are to the currency of the United States of America, and all references to “Australian dollars” or “A$” are to the currency of Australia.</w:t>
      </w:r>
    </w:p>
    <w:p>
      <w:pPr>
        <w:spacing w:after="0" w:line="170" w:lineRule="exact"/>
        <w:rPr>
          <w:sz w:val="20"/>
          <w:szCs w:val="20"/>
          <w:color w:val="auto"/>
        </w:rPr>
      </w:pPr>
    </w:p>
    <w:p>
      <w:pPr>
        <w:ind w:left="200" w:right="160" w:firstLine="441"/>
        <w:spacing w:after="0" w:line="259" w:lineRule="auto"/>
        <w:rPr>
          <w:sz w:val="20"/>
          <w:szCs w:val="20"/>
          <w:color w:val="auto"/>
        </w:rPr>
      </w:pPr>
      <w:r>
        <w:rPr>
          <w:rFonts w:ascii="Arial" w:cs="Arial" w:eastAsia="Arial" w:hAnsi="Arial"/>
          <w:sz w:val="18"/>
          <w:szCs w:val="18"/>
          <w:color w:val="auto"/>
        </w:rPr>
        <w:t>Statements made in this registration statement on Form 20-F concerning the contents of any contract, agreement or other documents are summaries of such contracts, agreements or documents and are not complete descriptions of all of their terms. If we filed any of these documents as an exhibit to this registration statement or to any registration statement or annual report that we previously filed, you may read the document itself for a complete description of its terms.</w:t>
      </w:r>
    </w:p>
    <w:p>
      <w:pPr>
        <w:spacing w:after="0" w:line="187" w:lineRule="exact"/>
        <w:rPr>
          <w:sz w:val="20"/>
          <w:szCs w:val="20"/>
          <w:color w:val="auto"/>
        </w:rPr>
      </w:pPr>
    </w:p>
    <w:p>
      <w:pPr>
        <w:ind w:left="200" w:right="140" w:firstLine="441"/>
        <w:spacing w:after="0" w:line="288" w:lineRule="auto"/>
        <w:rPr>
          <w:sz w:val="20"/>
          <w:szCs w:val="20"/>
          <w:color w:val="auto"/>
        </w:rPr>
      </w:pPr>
      <w:r>
        <w:rPr>
          <w:rFonts w:ascii="Arial" w:cs="Arial" w:eastAsia="Arial" w:hAnsi="Arial"/>
          <w:sz w:val="16"/>
          <w:szCs w:val="16"/>
          <w:color w:val="auto"/>
        </w:rPr>
        <w:t>Except for the historical information contained in this registration statement on Form 20-F, the statements contained in this registration statement on Form 20-F are “forward-looking statements” which reflect our current view with respect to future events and financial results. We urge you to consider that statements which use the terms “anticipate,” “believe,” “do not believe,” “expect,” “plan,” “intend,” “estimate,” and similar expressions are intended to identify forward-looking statements. We remind investors that forward-looking statements are merely predictions and therefore inherently subject to uncertainties and other factors and involve known and unknown risks that could cause the actual results, performance, levels of activity, or our achievements, or industry results, to be materially different from any future results, performance, levels of activity, or our achievements expressed or implied by such forward-looking statements. Investors are cautioned not to place undue reliance on these forward-looking statements, which speak only as of the date hereof. Except as required by applicable law, including the securities laws of the United States, we undertake no obligation to publicly release any update or revision to any forward-looking statements to reflect new information, future events or circumstances, or otherwise after the date hereof. Please see the Risk Factors section that appears in “Item 3. Key Information – D. Risk Factors.”</w:t>
      </w:r>
    </w:p>
    <w:p>
      <w:pPr>
        <w:spacing w:after="0" w:line="102"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220"/>
          </w:cols>
          <w:pgMar w:left="240" w:top="459" w:right="439" w:bottom="1440" w:gutter="0" w:footer="0" w:header="0"/>
        </w:sectPr>
      </w:pPr>
    </w:p>
    <w:bookmarkStart w:id="3" w:name="page4"/>
    <w:bookmarkEnd w:id="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319"/>
        <w:spacing w:after="0"/>
        <w:rPr>
          <w:sz w:val="20"/>
          <w:szCs w:val="20"/>
          <w:color w:val="auto"/>
        </w:rPr>
      </w:pPr>
      <w:r>
        <w:rPr>
          <w:rFonts w:ascii="Arial" w:cs="Arial" w:eastAsia="Arial" w:hAnsi="Arial"/>
          <w:sz w:val="18"/>
          <w:szCs w:val="18"/>
          <w:b w:val="1"/>
          <w:bCs w:val="1"/>
          <w:color w:val="auto"/>
        </w:rPr>
        <w:t>PART I</w:t>
      </w:r>
    </w:p>
    <w:p>
      <w:pPr>
        <w:spacing w:after="0" w:line="225" w:lineRule="exact"/>
        <w:rPr>
          <w:sz w:val="20"/>
          <w:szCs w:val="20"/>
          <w:color w:val="auto"/>
        </w:rPr>
      </w:pPr>
    </w:p>
    <w:p>
      <w:pPr>
        <w:ind w:left="200" w:right="4320"/>
        <w:spacing w:after="0" w:line="378" w:lineRule="auto"/>
        <w:rPr>
          <w:sz w:val="20"/>
          <w:szCs w:val="20"/>
          <w:color w:val="auto"/>
        </w:rPr>
      </w:pPr>
      <w:r>
        <w:rPr>
          <w:rFonts w:ascii="Arial" w:cs="Arial" w:eastAsia="Arial" w:hAnsi="Arial"/>
          <w:sz w:val="18"/>
          <w:szCs w:val="18"/>
          <w:b w:val="1"/>
          <w:bCs w:val="1"/>
          <w:color w:val="auto"/>
        </w:rPr>
        <w:t>ITEM 1. IDENTITY OF DIRECTORS, SENIOR MANAGEMENT AND ADVISERS A. Directors and Senior Management</w:t>
      </w:r>
    </w:p>
    <w:p>
      <w:pPr>
        <w:ind w:left="200" w:right="560" w:firstLine="441"/>
        <w:spacing w:after="0" w:line="342" w:lineRule="auto"/>
        <w:rPr>
          <w:sz w:val="20"/>
          <w:szCs w:val="20"/>
          <w:color w:val="auto"/>
        </w:rPr>
      </w:pPr>
      <w:r>
        <w:rPr>
          <w:rFonts w:ascii="Arial" w:cs="Arial" w:eastAsia="Arial" w:hAnsi="Arial"/>
          <w:sz w:val="16"/>
          <w:szCs w:val="16"/>
          <w:color w:val="auto"/>
        </w:rPr>
        <w:t>For the names, business addresses and functions of our directors and senior management, see “Item 6. Directors, Senior Management and Employees – A. Directors and Senior Management” and “Item 6. Directors, Senior Management and Employees – C. Board Practices.”</w:t>
      </w:r>
    </w:p>
    <w:p>
      <w:pPr>
        <w:spacing w:after="0" w:line="228"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B. Advisers</w:t>
      </w:r>
    </w:p>
    <w:p>
      <w:pPr>
        <w:spacing w:after="0" w:line="121" w:lineRule="exact"/>
        <w:rPr>
          <w:sz w:val="20"/>
          <w:szCs w:val="20"/>
          <w:color w:val="auto"/>
        </w:rPr>
      </w:pPr>
    </w:p>
    <w:p>
      <w:pPr>
        <w:ind w:left="200" w:right="20" w:firstLine="441"/>
        <w:spacing w:after="0" w:line="277" w:lineRule="auto"/>
        <w:rPr>
          <w:sz w:val="20"/>
          <w:szCs w:val="20"/>
          <w:color w:val="auto"/>
        </w:rPr>
      </w:pPr>
      <w:r>
        <w:rPr>
          <w:rFonts w:ascii="Arial" w:cs="Arial" w:eastAsia="Arial" w:hAnsi="Arial"/>
          <w:sz w:val="18"/>
          <w:szCs w:val="18"/>
          <w:color w:val="auto"/>
        </w:rPr>
        <w:t>Our principal legal adviser is K&amp;L Gates LLP, 925 Fourth Avenue, Suite 2900, Seattle, Washington 98104, United States of America and 25/525 Collins St, Melbourne VIC 3000, Australia.</w:t>
      </w:r>
    </w:p>
    <w:p>
      <w:pPr>
        <w:spacing w:after="0" w:line="27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C. Auditors</w:t>
      </w:r>
    </w:p>
    <w:p>
      <w:pPr>
        <w:spacing w:after="0" w:line="121" w:lineRule="exact"/>
        <w:rPr>
          <w:sz w:val="20"/>
          <w:szCs w:val="20"/>
          <w:color w:val="auto"/>
        </w:rPr>
      </w:pPr>
    </w:p>
    <w:p>
      <w:pPr>
        <w:ind w:left="200" w:right="400" w:firstLine="441"/>
        <w:spacing w:after="0" w:line="277" w:lineRule="auto"/>
        <w:rPr>
          <w:sz w:val="20"/>
          <w:szCs w:val="20"/>
          <w:color w:val="auto"/>
        </w:rPr>
      </w:pPr>
      <w:r>
        <w:rPr>
          <w:rFonts w:ascii="Arial" w:cs="Arial" w:eastAsia="Arial" w:hAnsi="Arial"/>
          <w:sz w:val="18"/>
          <w:szCs w:val="18"/>
          <w:color w:val="auto"/>
        </w:rPr>
        <w:t>Our statutory auditor for Australia and U.S. reporting purposes is Grant Thornton Audit Pty Ltd Level 43 Central Park, 152-158 St Georges Terrace Perth, WA 6000 Australia.</w:t>
      </w:r>
    </w:p>
    <w:p>
      <w:pPr>
        <w:spacing w:after="0" w:line="27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ITEM 2. OFFER STATISTICS AND EXPECTED TIMETABLE</w:t>
      </w:r>
    </w:p>
    <w:p>
      <w:pPr>
        <w:spacing w:after="0" w:line="121" w:lineRule="exact"/>
        <w:rPr>
          <w:sz w:val="20"/>
          <w:szCs w:val="20"/>
          <w:color w:val="auto"/>
        </w:rPr>
      </w:pPr>
    </w:p>
    <w:p>
      <w:pPr>
        <w:ind w:left="640"/>
        <w:spacing w:after="0"/>
        <w:rPr>
          <w:sz w:val="20"/>
          <w:szCs w:val="20"/>
          <w:color w:val="auto"/>
        </w:rPr>
      </w:pPr>
      <w:r>
        <w:rPr>
          <w:rFonts w:ascii="Arial" w:cs="Arial" w:eastAsia="Arial" w:hAnsi="Arial"/>
          <w:sz w:val="18"/>
          <w:szCs w:val="18"/>
          <w:color w:val="auto"/>
        </w:rPr>
        <w:t>Not applicable.</w:t>
      </w:r>
    </w:p>
    <w:p>
      <w:pPr>
        <w:spacing w:after="0" w:line="329"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ITEM 3. KEY INFORMATION</w:t>
      </w:r>
    </w:p>
    <w:p>
      <w:pPr>
        <w:spacing w:after="0" w:line="117"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A. Selected Financial Data</w:t>
      </w:r>
    </w:p>
    <w:p>
      <w:pPr>
        <w:spacing w:after="0" w:line="121" w:lineRule="exact"/>
        <w:rPr>
          <w:sz w:val="20"/>
          <w:szCs w:val="20"/>
          <w:color w:val="auto"/>
        </w:rPr>
      </w:pPr>
    </w:p>
    <w:p>
      <w:pPr>
        <w:jc w:val="both"/>
        <w:ind w:left="200" w:right="60" w:firstLine="441"/>
        <w:spacing w:after="0" w:line="264" w:lineRule="auto"/>
        <w:rPr>
          <w:sz w:val="20"/>
          <w:szCs w:val="20"/>
          <w:color w:val="auto"/>
        </w:rPr>
      </w:pPr>
      <w:r>
        <w:rPr>
          <w:rFonts w:ascii="Arial" w:cs="Arial" w:eastAsia="Arial" w:hAnsi="Arial"/>
          <w:sz w:val="18"/>
          <w:szCs w:val="18"/>
          <w:color w:val="auto"/>
        </w:rPr>
        <w:t>Our consolidated financial statements appearing in this registration statement on Form 20-F are prepared in Australia dollars in accordance with International Financial Reporting Standards, or IFRS, as issued by the International Accounting Standards Board, or IASB. Our consolidated financial statements appearing in this registration statement on Form 20-F comply with IFRS.</w:t>
      </w:r>
    </w:p>
    <w:p>
      <w:pPr>
        <w:spacing w:after="0" w:line="181" w:lineRule="exact"/>
        <w:rPr>
          <w:sz w:val="20"/>
          <w:szCs w:val="20"/>
          <w:color w:val="auto"/>
        </w:rPr>
      </w:pPr>
    </w:p>
    <w:p>
      <w:pPr>
        <w:ind w:left="200" w:firstLine="441"/>
        <w:spacing w:after="0" w:line="286" w:lineRule="auto"/>
        <w:rPr>
          <w:sz w:val="20"/>
          <w:szCs w:val="20"/>
          <w:color w:val="auto"/>
        </w:rPr>
      </w:pPr>
      <w:r>
        <w:rPr>
          <w:rFonts w:ascii="Arial" w:cs="Arial" w:eastAsia="Arial" w:hAnsi="Arial"/>
          <w:sz w:val="17"/>
          <w:szCs w:val="17"/>
          <w:color w:val="auto"/>
        </w:rPr>
        <w:t>The following table summarizes our historical consolidated financial data and should be read together with our consolidated financial statements, the notes to our consolidated financial statements and the sections titled “Selected consolidated financial data” and “Management’s discussion and analysis of financial condition and results of operations” contained elsewhere in this Registration Statement on Form 20-F.</w:t>
      </w:r>
    </w:p>
    <w:p>
      <w:pPr>
        <w:spacing w:after="0" w:line="98" w:lineRule="exact"/>
        <w:rPr>
          <w:sz w:val="20"/>
          <w:szCs w:val="20"/>
          <w:color w:val="auto"/>
        </w:rPr>
      </w:pPr>
    </w:p>
    <w:p>
      <w:pPr>
        <w:jc w:val="center"/>
        <w:ind w:right="-31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100"/>
          </w:cols>
          <w:pgMar w:left="240" w:top="459" w:right="559" w:bottom="1440" w:gutter="0" w:footer="0" w:header="0"/>
        </w:sectPr>
      </w:pPr>
    </w:p>
    <w:bookmarkStart w:id="4" w:name="page5"/>
    <w:bookmarkEnd w:id="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120" w:firstLine="441"/>
        <w:spacing w:after="0" w:line="270" w:lineRule="auto"/>
        <w:rPr>
          <w:sz w:val="20"/>
          <w:szCs w:val="20"/>
          <w:color w:val="auto"/>
        </w:rPr>
      </w:pPr>
      <w:r>
        <w:rPr>
          <w:rFonts w:ascii="Arial" w:cs="Arial" w:eastAsia="Arial" w:hAnsi="Arial"/>
          <w:sz w:val="17"/>
          <w:szCs w:val="17"/>
          <w:color w:val="auto"/>
        </w:rPr>
        <w:t>We derived the summary consolidated statements of profit or loss or other comprehensive income data and consolidated statements of financial position data for the fiscal years ended June 30, 2018, 2017 and 2016 from our audited consolidated financial statements included elsewhere in this Registration Statement on Form 20-F. We have derived the unaudited condensed consolidated statements of profit or loss or other comprehensive income for the half-year ended December 31, 2018 and 2017, and the unaudited condensed consolidated statement of financial position data as of December 31, 2018, from our unaudited condensed consolidated financial statements, included elsewhere in this Registration Statement. We have prepared the unaudited financial information on a basis consistent with our audited consolidated financial statements and have included, in our opinion, all adjustments, consisting only of normal recurring adjustments, that we consider necessary for a fair statement of the financial information set forth in those statements. The summary financial data included in this section are not intended to replace the financial statements and related notes included elsewhere in this Registration Statement. Our historical results are not necessarily indicative of our future performance, and our interim results are not necessarily indicative of the results to be expected for the full fiscal year.</w:t>
      </w:r>
    </w:p>
    <w:p>
      <w:pPr>
        <w:spacing w:after="0" w:line="196" w:lineRule="exact"/>
        <w:rPr>
          <w:sz w:val="20"/>
          <w:szCs w:val="20"/>
          <w:color w:val="auto"/>
        </w:rPr>
      </w:pPr>
    </w:p>
    <w:tbl>
      <w:tblPr>
        <w:tblLayout w:type="fixed"/>
        <w:tblInd w:w="200" w:type="dxa"/>
        <w:tblCellMar>
          <w:top w:w="0" w:type="dxa"/>
          <w:left w:w="0" w:type="dxa"/>
          <w:bottom w:w="0" w:type="dxa"/>
          <w:right w:w="0" w:type="dxa"/>
        </w:tblCellMar>
      </w:tblPr>
      <w:tr>
        <w:trPr>
          <w:trHeight w:val="171"/>
        </w:trPr>
        <w:tc>
          <w:tcPr>
            <w:tcW w:w="396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(In Australian dollars)</w:t>
            </w:r>
          </w:p>
        </w:tc>
        <w:tc>
          <w:tcPr>
            <w:tcW w:w="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580" w:type="dxa"/>
            <w:vAlign w:val="bottom"/>
            <w:gridSpan w:val="4"/>
          </w:tcPr>
          <w:p>
            <w:pPr>
              <w:jc w:val="right"/>
              <w:ind w:right="160"/>
              <w:spacing w:after="0"/>
              <w:rPr>
                <w:sz w:val="20"/>
                <w:szCs w:val="20"/>
                <w:color w:val="auto"/>
              </w:rPr>
            </w:pPr>
            <w:r>
              <w:rPr>
                <w:rFonts w:ascii="Arial" w:cs="Arial" w:eastAsia="Arial" w:hAnsi="Arial"/>
                <w:sz w:val="14"/>
                <w:szCs w:val="14"/>
                <w:b w:val="1"/>
                <w:bCs w:val="1"/>
                <w:color w:val="auto"/>
                <w:w w:val="97"/>
              </w:rPr>
              <w:t>Years ended June 30,</w:t>
            </w:r>
          </w:p>
        </w:tc>
        <w:tc>
          <w:tcPr>
            <w:tcW w:w="1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340" w:type="dxa"/>
            <w:vAlign w:val="bottom"/>
            <w:gridSpan w:val="6"/>
          </w:tcPr>
          <w:p>
            <w:pPr>
              <w:jc w:val="right"/>
              <w:ind w:right="400"/>
              <w:spacing w:after="0"/>
              <w:rPr>
                <w:sz w:val="20"/>
                <w:szCs w:val="20"/>
                <w:color w:val="auto"/>
              </w:rPr>
            </w:pPr>
            <w:r>
              <w:rPr>
                <w:rFonts w:ascii="Arial" w:cs="Arial" w:eastAsia="Arial" w:hAnsi="Arial"/>
                <w:sz w:val="14"/>
                <w:szCs w:val="14"/>
                <w:b w:val="1"/>
                <w:bCs w:val="1"/>
                <w:color w:val="auto"/>
                <w:w w:val="95"/>
              </w:rPr>
              <w:t>Half-year ended December 31,</w:t>
            </w:r>
          </w:p>
        </w:tc>
        <w:tc>
          <w:tcPr>
            <w:tcW w:w="0" w:type="dxa"/>
            <w:vAlign w:val="bottom"/>
          </w:tcPr>
          <w:p>
            <w:pPr>
              <w:spacing w:after="0"/>
              <w:rPr>
                <w:sz w:val="1"/>
                <w:szCs w:val="1"/>
                <w:color w:val="auto"/>
              </w:rPr>
            </w:pPr>
          </w:p>
        </w:tc>
      </w:tr>
      <w:tr>
        <w:trPr>
          <w:trHeight w:val="129"/>
        </w:trPr>
        <w:tc>
          <w:tcPr>
            <w:tcW w:w="3960" w:type="dxa"/>
            <w:vAlign w:val="bottom"/>
            <w:gridSpan w:val="3"/>
            <w:vMerge w:val="continue"/>
          </w:tcPr>
          <w:p>
            <w:pPr>
              <w:spacing w:after="0"/>
              <w:rPr>
                <w:sz w:val="11"/>
                <w:szCs w:val="11"/>
                <w:color w:val="auto"/>
              </w:rPr>
            </w:pPr>
          </w:p>
        </w:tc>
        <w:tc>
          <w:tcPr>
            <w:tcW w:w="220" w:type="dxa"/>
            <w:vAlign w:val="bottom"/>
          </w:tcPr>
          <w:p>
            <w:pPr>
              <w:spacing w:after="0"/>
              <w:rPr>
                <w:sz w:val="11"/>
                <w:szCs w:val="11"/>
                <w:color w:val="auto"/>
              </w:rPr>
            </w:pPr>
          </w:p>
        </w:tc>
        <w:tc>
          <w:tcPr>
            <w:tcW w:w="180" w:type="dxa"/>
            <w:vAlign w:val="bottom"/>
            <w:tcBorders>
              <w:top w:val="single" w:sz="8" w:color="auto"/>
            </w:tcBorders>
          </w:tcPr>
          <w:p>
            <w:pPr>
              <w:spacing w:after="0"/>
              <w:rPr>
                <w:sz w:val="11"/>
                <w:szCs w:val="11"/>
                <w:color w:val="auto"/>
              </w:rPr>
            </w:pPr>
          </w:p>
        </w:tc>
        <w:tc>
          <w:tcPr>
            <w:tcW w:w="800" w:type="dxa"/>
            <w:vAlign w:val="bottom"/>
            <w:tcBorders>
              <w:top w:val="single" w:sz="8" w:color="auto"/>
            </w:tcBorders>
          </w:tcPr>
          <w:p>
            <w:pPr>
              <w:jc w:val="right"/>
              <w:ind w:right="279"/>
              <w:spacing w:after="0" w:line="129" w:lineRule="exact"/>
              <w:rPr>
                <w:sz w:val="20"/>
                <w:szCs w:val="20"/>
                <w:color w:val="auto"/>
              </w:rPr>
            </w:pPr>
            <w:r>
              <w:rPr>
                <w:rFonts w:ascii="Arial" w:cs="Arial" w:eastAsia="Arial" w:hAnsi="Arial"/>
                <w:sz w:val="14"/>
                <w:szCs w:val="14"/>
                <w:b w:val="1"/>
                <w:bCs w:val="1"/>
                <w:color w:val="auto"/>
              </w:rPr>
              <w:t>2018</w:t>
            </w:r>
          </w:p>
        </w:tc>
        <w:tc>
          <w:tcPr>
            <w:tcW w:w="160" w:type="dxa"/>
            <w:vAlign w:val="bottom"/>
            <w:tcBorders>
              <w:top w:val="single" w:sz="8" w:color="auto"/>
            </w:tcBorders>
          </w:tcPr>
          <w:p>
            <w:pPr>
              <w:spacing w:after="0"/>
              <w:rPr>
                <w:sz w:val="11"/>
                <w:szCs w:val="11"/>
                <w:color w:val="auto"/>
              </w:rPr>
            </w:pPr>
          </w:p>
        </w:tc>
        <w:tc>
          <w:tcPr>
            <w:tcW w:w="300" w:type="dxa"/>
            <w:vAlign w:val="bottom"/>
            <w:tcBorders>
              <w:top w:val="single" w:sz="8" w:color="auto"/>
            </w:tcBorders>
          </w:tcPr>
          <w:p>
            <w:pPr>
              <w:spacing w:after="0"/>
              <w:rPr>
                <w:sz w:val="11"/>
                <w:szCs w:val="11"/>
                <w:color w:val="auto"/>
              </w:rPr>
            </w:pPr>
          </w:p>
        </w:tc>
        <w:tc>
          <w:tcPr>
            <w:tcW w:w="180" w:type="dxa"/>
            <w:vAlign w:val="bottom"/>
            <w:tcBorders>
              <w:top w:val="single" w:sz="8" w:color="auto"/>
            </w:tcBorders>
          </w:tcPr>
          <w:p>
            <w:pPr>
              <w:spacing w:after="0"/>
              <w:rPr>
                <w:sz w:val="11"/>
                <w:szCs w:val="11"/>
                <w:color w:val="auto"/>
              </w:rPr>
            </w:pPr>
          </w:p>
        </w:tc>
        <w:tc>
          <w:tcPr>
            <w:tcW w:w="800" w:type="dxa"/>
            <w:vAlign w:val="bottom"/>
            <w:tcBorders>
              <w:top w:val="single" w:sz="8" w:color="auto"/>
            </w:tcBorders>
          </w:tcPr>
          <w:p>
            <w:pPr>
              <w:jc w:val="right"/>
              <w:ind w:right="279"/>
              <w:spacing w:after="0" w:line="129" w:lineRule="exact"/>
              <w:rPr>
                <w:sz w:val="20"/>
                <w:szCs w:val="20"/>
                <w:color w:val="auto"/>
              </w:rPr>
            </w:pPr>
            <w:r>
              <w:rPr>
                <w:rFonts w:ascii="Arial" w:cs="Arial" w:eastAsia="Arial" w:hAnsi="Arial"/>
                <w:sz w:val="14"/>
                <w:szCs w:val="14"/>
                <w:b w:val="1"/>
                <w:bCs w:val="1"/>
                <w:color w:val="auto"/>
              </w:rPr>
              <w:t>2017</w:t>
            </w:r>
          </w:p>
        </w:tc>
        <w:tc>
          <w:tcPr>
            <w:tcW w:w="300" w:type="dxa"/>
            <w:vAlign w:val="bottom"/>
            <w:tcBorders>
              <w:top w:val="single" w:sz="8" w:color="auto"/>
            </w:tcBorders>
          </w:tcPr>
          <w:p>
            <w:pPr>
              <w:spacing w:after="0"/>
              <w:rPr>
                <w:sz w:val="11"/>
                <w:szCs w:val="11"/>
                <w:color w:val="auto"/>
              </w:rPr>
            </w:pPr>
          </w:p>
        </w:tc>
        <w:tc>
          <w:tcPr>
            <w:tcW w:w="160" w:type="dxa"/>
            <w:vAlign w:val="bottom"/>
            <w:tcBorders>
              <w:top w:val="single" w:sz="8" w:color="auto"/>
            </w:tcBorders>
          </w:tcPr>
          <w:p>
            <w:pPr>
              <w:spacing w:after="0"/>
              <w:rPr>
                <w:sz w:val="11"/>
                <w:szCs w:val="11"/>
                <w:color w:val="auto"/>
              </w:rPr>
            </w:pPr>
          </w:p>
        </w:tc>
        <w:tc>
          <w:tcPr>
            <w:tcW w:w="200" w:type="dxa"/>
            <w:vAlign w:val="bottom"/>
            <w:tcBorders>
              <w:top w:val="single" w:sz="8" w:color="auto"/>
            </w:tcBorders>
          </w:tcPr>
          <w:p>
            <w:pPr>
              <w:spacing w:after="0"/>
              <w:rPr>
                <w:sz w:val="11"/>
                <w:szCs w:val="11"/>
                <w:color w:val="auto"/>
              </w:rPr>
            </w:pPr>
          </w:p>
        </w:tc>
        <w:tc>
          <w:tcPr>
            <w:tcW w:w="780" w:type="dxa"/>
            <w:vAlign w:val="bottom"/>
            <w:tcBorders>
              <w:top w:val="single" w:sz="8" w:color="auto"/>
            </w:tcBorders>
          </w:tcPr>
          <w:p>
            <w:pPr>
              <w:jc w:val="right"/>
              <w:ind w:right="259"/>
              <w:spacing w:after="0" w:line="129" w:lineRule="exact"/>
              <w:rPr>
                <w:sz w:val="20"/>
                <w:szCs w:val="20"/>
                <w:color w:val="auto"/>
              </w:rPr>
            </w:pPr>
            <w:r>
              <w:rPr>
                <w:rFonts w:ascii="Arial" w:cs="Arial" w:eastAsia="Arial" w:hAnsi="Arial"/>
                <w:sz w:val="14"/>
                <w:szCs w:val="14"/>
                <w:b w:val="1"/>
                <w:bCs w:val="1"/>
                <w:color w:val="auto"/>
              </w:rPr>
              <w:t>2016</w:t>
            </w:r>
          </w:p>
        </w:tc>
        <w:tc>
          <w:tcPr>
            <w:tcW w:w="2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00" w:type="dxa"/>
            <w:vAlign w:val="bottom"/>
            <w:tcBorders>
              <w:top w:val="single" w:sz="8" w:color="auto"/>
            </w:tcBorders>
          </w:tcPr>
          <w:p>
            <w:pPr>
              <w:spacing w:after="0"/>
              <w:rPr>
                <w:sz w:val="11"/>
                <w:szCs w:val="11"/>
                <w:color w:val="auto"/>
              </w:rPr>
            </w:pPr>
          </w:p>
        </w:tc>
        <w:tc>
          <w:tcPr>
            <w:tcW w:w="800" w:type="dxa"/>
            <w:vAlign w:val="bottom"/>
            <w:tcBorders>
              <w:top w:val="single" w:sz="8" w:color="auto"/>
            </w:tcBorders>
          </w:tcPr>
          <w:p>
            <w:pPr>
              <w:jc w:val="right"/>
              <w:ind w:right="280"/>
              <w:spacing w:after="0" w:line="129" w:lineRule="exact"/>
              <w:rPr>
                <w:sz w:val="20"/>
                <w:szCs w:val="20"/>
                <w:color w:val="auto"/>
              </w:rPr>
            </w:pPr>
            <w:r>
              <w:rPr>
                <w:rFonts w:ascii="Arial" w:cs="Arial" w:eastAsia="Arial" w:hAnsi="Arial"/>
                <w:sz w:val="14"/>
                <w:szCs w:val="14"/>
                <w:b w:val="1"/>
                <w:bCs w:val="1"/>
                <w:color w:val="auto"/>
              </w:rPr>
              <w:t>2018</w:t>
            </w:r>
          </w:p>
        </w:tc>
        <w:tc>
          <w:tcPr>
            <w:tcW w:w="240" w:type="dxa"/>
            <w:vAlign w:val="bottom"/>
            <w:tcBorders>
              <w:top w:val="single" w:sz="8" w:color="auto"/>
            </w:tcBorders>
          </w:tcPr>
          <w:p>
            <w:pPr>
              <w:spacing w:after="0"/>
              <w:rPr>
                <w:sz w:val="11"/>
                <w:szCs w:val="11"/>
                <w:color w:val="auto"/>
              </w:rPr>
            </w:pPr>
          </w:p>
        </w:tc>
        <w:tc>
          <w:tcPr>
            <w:tcW w:w="220" w:type="dxa"/>
            <w:vAlign w:val="bottom"/>
            <w:tcBorders>
              <w:top w:val="single" w:sz="8" w:color="auto"/>
            </w:tcBorders>
          </w:tcPr>
          <w:p>
            <w:pPr>
              <w:spacing w:after="0"/>
              <w:rPr>
                <w:sz w:val="11"/>
                <w:szCs w:val="11"/>
                <w:color w:val="auto"/>
              </w:rPr>
            </w:pPr>
          </w:p>
        </w:tc>
        <w:tc>
          <w:tcPr>
            <w:tcW w:w="180" w:type="dxa"/>
            <w:vAlign w:val="bottom"/>
            <w:tcBorders>
              <w:top w:val="single" w:sz="8" w:color="auto"/>
            </w:tcBorders>
          </w:tcPr>
          <w:p>
            <w:pPr>
              <w:spacing w:after="0"/>
              <w:rPr>
                <w:sz w:val="11"/>
                <w:szCs w:val="11"/>
                <w:color w:val="auto"/>
              </w:rPr>
            </w:pPr>
          </w:p>
        </w:tc>
        <w:tc>
          <w:tcPr>
            <w:tcW w:w="800" w:type="dxa"/>
            <w:vAlign w:val="bottom"/>
            <w:tcBorders>
              <w:top w:val="single" w:sz="8" w:color="auto"/>
            </w:tcBorders>
          </w:tcPr>
          <w:p>
            <w:pPr>
              <w:jc w:val="right"/>
              <w:ind w:right="279"/>
              <w:spacing w:after="0" w:line="129" w:lineRule="exact"/>
              <w:rPr>
                <w:sz w:val="20"/>
                <w:szCs w:val="20"/>
                <w:color w:val="auto"/>
              </w:rPr>
            </w:pPr>
            <w:r>
              <w:rPr>
                <w:rFonts w:ascii="Arial" w:cs="Arial" w:eastAsia="Arial" w:hAnsi="Arial"/>
                <w:sz w:val="14"/>
                <w:szCs w:val="14"/>
                <w:b w:val="1"/>
                <w:bCs w:val="1"/>
                <w:color w:val="auto"/>
              </w:rPr>
              <w:t>2017</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360" w:type="dxa"/>
            <w:vAlign w:val="bottom"/>
            <w:tcBorders>
              <w:bottom w:val="single" w:sz="8" w:color="CCEEFF"/>
            </w:tcBorders>
            <w:shd w:val="clear" w:color="auto" w:fill="000000"/>
          </w:tcPr>
          <w:p>
            <w:pPr>
              <w:spacing w:after="0" w:line="20" w:lineRule="exact"/>
              <w:rPr>
                <w:sz w:val="1"/>
                <w:szCs w:val="1"/>
                <w:color w:val="auto"/>
              </w:rPr>
            </w:pPr>
          </w:p>
        </w:tc>
        <w:tc>
          <w:tcPr>
            <w:tcW w:w="258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2"/>
        </w:trPr>
        <w:tc>
          <w:tcPr>
            <w:tcW w:w="20" w:type="dxa"/>
            <w:vAlign w:val="bottom"/>
          </w:tcPr>
          <w:p>
            <w:pPr>
              <w:spacing w:after="0"/>
              <w:rPr>
                <w:sz w:val="14"/>
                <w:szCs w:val="14"/>
                <w:color w:val="auto"/>
              </w:rPr>
            </w:pPr>
          </w:p>
        </w:tc>
        <w:tc>
          <w:tcPr>
            <w:tcW w:w="3940" w:type="dxa"/>
            <w:vAlign w:val="bottom"/>
            <w:gridSpan w:val="2"/>
            <w:shd w:val="clear" w:color="auto" w:fill="CCEEFF"/>
          </w:tcPr>
          <w:p>
            <w:pPr>
              <w:spacing w:after="0" w:line="162" w:lineRule="exact"/>
              <w:rPr>
                <w:sz w:val="20"/>
                <w:szCs w:val="20"/>
                <w:color w:val="auto"/>
              </w:rPr>
            </w:pPr>
            <w:r>
              <w:rPr>
                <w:rFonts w:ascii="Arial" w:cs="Arial" w:eastAsia="Arial" w:hAnsi="Arial"/>
                <w:sz w:val="16"/>
                <w:szCs w:val="16"/>
                <w:b w:val="1"/>
                <w:bCs w:val="1"/>
                <w:color w:val="auto"/>
              </w:rPr>
              <w:t>Consolidated statements of profit or loss or other</w:t>
            </w:r>
          </w:p>
        </w:tc>
        <w:tc>
          <w:tcPr>
            <w:tcW w:w="2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40" w:type="dxa"/>
            <w:vAlign w:val="bottom"/>
            <w:gridSpan w:val="2"/>
            <w:shd w:val="clear" w:color="auto" w:fill="CCEEFF"/>
          </w:tcPr>
          <w:p>
            <w:pPr>
              <w:ind w:left="140"/>
              <w:spacing w:after="0"/>
              <w:rPr>
                <w:sz w:val="20"/>
                <w:szCs w:val="20"/>
                <w:color w:val="auto"/>
              </w:rPr>
            </w:pPr>
            <w:r>
              <w:rPr>
                <w:rFonts w:ascii="Arial" w:cs="Arial" w:eastAsia="Arial" w:hAnsi="Arial"/>
                <w:sz w:val="16"/>
                <w:szCs w:val="16"/>
                <w:b w:val="1"/>
                <w:bCs w:val="1"/>
                <w:color w:val="auto"/>
              </w:rPr>
              <w:t>comprehensive income:</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940" w:type="dxa"/>
            <w:vAlign w:val="bottom"/>
            <w:gridSpan w:val="2"/>
          </w:tcPr>
          <w:p>
            <w:pPr>
              <w:spacing w:after="0"/>
              <w:rPr>
                <w:sz w:val="20"/>
                <w:szCs w:val="20"/>
                <w:color w:val="auto"/>
              </w:rPr>
            </w:pPr>
            <w:r>
              <w:rPr>
                <w:rFonts w:ascii="Arial" w:cs="Arial" w:eastAsia="Arial" w:hAnsi="Arial"/>
                <w:sz w:val="16"/>
                <w:szCs w:val="16"/>
                <w:color w:val="auto"/>
              </w:rPr>
              <w:t>Sale of goods</w:t>
            </w:r>
          </w:p>
        </w:tc>
        <w:tc>
          <w:tcPr>
            <w:tcW w:w="400" w:type="dxa"/>
            <w:vAlign w:val="bottom"/>
            <w:gridSpan w:val="2"/>
          </w:tcPr>
          <w:p>
            <w:pPr>
              <w:ind w:left="200"/>
              <w:spacing w:after="0"/>
              <w:rPr>
                <w:sz w:val="20"/>
                <w:szCs w:val="20"/>
                <w:color w:val="auto"/>
              </w:rPr>
            </w:pPr>
            <w:r>
              <w:rPr>
                <w:rFonts w:ascii="Arial" w:cs="Arial" w:eastAsia="Arial" w:hAnsi="Arial"/>
                <w:sz w:val="16"/>
                <w:szCs w:val="16"/>
                <w:color w:val="auto"/>
                <w:w w:val="91"/>
              </w:rPr>
              <w:t>A$</w:t>
            </w:r>
          </w:p>
        </w:tc>
        <w:tc>
          <w:tcPr>
            <w:tcW w:w="800" w:type="dxa"/>
            <w:vAlign w:val="bottom"/>
          </w:tcPr>
          <w:p>
            <w:pPr>
              <w:jc w:val="right"/>
              <w:spacing w:after="0"/>
              <w:rPr>
                <w:sz w:val="20"/>
                <w:szCs w:val="20"/>
                <w:color w:val="auto"/>
              </w:rPr>
            </w:pPr>
            <w:r>
              <w:rPr>
                <w:rFonts w:ascii="Arial" w:cs="Arial" w:eastAsia="Arial" w:hAnsi="Arial"/>
                <w:sz w:val="16"/>
                <w:szCs w:val="16"/>
                <w:color w:val="auto"/>
              </w:rPr>
              <w:t>1,198,861</w:t>
            </w:r>
          </w:p>
        </w:tc>
        <w:tc>
          <w:tcPr>
            <w:tcW w:w="160" w:type="dxa"/>
            <w:vAlign w:val="bottom"/>
          </w:tcPr>
          <w:p>
            <w:pPr>
              <w:spacing w:after="0"/>
              <w:rPr>
                <w:sz w:val="17"/>
                <w:szCs w:val="17"/>
                <w:color w:val="auto"/>
              </w:rPr>
            </w:pPr>
          </w:p>
        </w:tc>
        <w:tc>
          <w:tcPr>
            <w:tcW w:w="480" w:type="dxa"/>
            <w:vAlign w:val="bottom"/>
            <w:gridSpan w:val="2"/>
          </w:tcPr>
          <w:p>
            <w:pPr>
              <w:ind w:left="280"/>
              <w:spacing w:after="0"/>
              <w:rPr>
                <w:sz w:val="20"/>
                <w:szCs w:val="20"/>
                <w:color w:val="auto"/>
              </w:rPr>
            </w:pPr>
            <w:r>
              <w:rPr>
                <w:rFonts w:ascii="Arial" w:cs="Arial" w:eastAsia="Arial" w:hAnsi="Arial"/>
                <w:sz w:val="16"/>
                <w:szCs w:val="16"/>
                <w:color w:val="auto"/>
                <w:w w:val="91"/>
              </w:rPr>
              <w:t>A$</w:t>
            </w:r>
          </w:p>
        </w:tc>
        <w:tc>
          <w:tcPr>
            <w:tcW w:w="800" w:type="dxa"/>
            <w:vAlign w:val="bottom"/>
          </w:tcPr>
          <w:p>
            <w:pPr>
              <w:jc w:val="right"/>
              <w:spacing w:after="0"/>
              <w:rPr>
                <w:sz w:val="20"/>
                <w:szCs w:val="20"/>
                <w:color w:val="auto"/>
              </w:rPr>
            </w:pPr>
            <w:r>
              <w:rPr>
                <w:rFonts w:ascii="Arial" w:cs="Arial" w:eastAsia="Arial" w:hAnsi="Arial"/>
                <w:sz w:val="16"/>
                <w:szCs w:val="16"/>
                <w:color w:val="auto"/>
              </w:rPr>
              <w:t>901,376</w:t>
            </w:r>
          </w:p>
        </w:tc>
        <w:tc>
          <w:tcPr>
            <w:tcW w:w="300" w:type="dxa"/>
            <w:vAlign w:val="bottom"/>
          </w:tcPr>
          <w:p>
            <w:pPr>
              <w:spacing w:after="0"/>
              <w:rPr>
                <w:sz w:val="17"/>
                <w:szCs w:val="17"/>
                <w:color w:val="auto"/>
              </w:rPr>
            </w:pPr>
          </w:p>
        </w:tc>
        <w:tc>
          <w:tcPr>
            <w:tcW w:w="360" w:type="dxa"/>
            <w:vAlign w:val="bottom"/>
            <w:gridSpan w:val="2"/>
          </w:tcPr>
          <w:p>
            <w:pPr>
              <w:ind w:left="160"/>
              <w:spacing w:after="0"/>
              <w:rPr>
                <w:sz w:val="20"/>
                <w:szCs w:val="20"/>
                <w:color w:val="auto"/>
              </w:rPr>
            </w:pPr>
            <w:r>
              <w:rPr>
                <w:rFonts w:ascii="Arial" w:cs="Arial" w:eastAsia="Arial" w:hAnsi="Arial"/>
                <w:sz w:val="16"/>
                <w:szCs w:val="16"/>
                <w:color w:val="auto"/>
                <w:w w:val="91"/>
              </w:rPr>
              <w:t>A$</w:t>
            </w:r>
          </w:p>
        </w:tc>
        <w:tc>
          <w:tcPr>
            <w:tcW w:w="780" w:type="dxa"/>
            <w:vAlign w:val="bottom"/>
          </w:tcPr>
          <w:p>
            <w:pPr>
              <w:jc w:val="right"/>
              <w:spacing w:after="0"/>
              <w:rPr>
                <w:sz w:val="20"/>
                <w:szCs w:val="20"/>
                <w:color w:val="auto"/>
              </w:rPr>
            </w:pPr>
            <w:r>
              <w:rPr>
                <w:rFonts w:ascii="Arial" w:cs="Arial" w:eastAsia="Arial" w:hAnsi="Arial"/>
                <w:sz w:val="16"/>
                <w:szCs w:val="16"/>
                <w:color w:val="auto"/>
              </w:rPr>
              <w:t>1,002,007</w:t>
            </w:r>
          </w:p>
        </w:tc>
        <w:tc>
          <w:tcPr>
            <w:tcW w:w="260" w:type="dxa"/>
            <w:vAlign w:val="bottom"/>
          </w:tcPr>
          <w:p>
            <w:pPr>
              <w:spacing w:after="0"/>
              <w:rPr>
                <w:sz w:val="17"/>
                <w:szCs w:val="17"/>
                <w:color w:val="auto"/>
              </w:rPr>
            </w:pPr>
          </w:p>
        </w:tc>
        <w:tc>
          <w:tcPr>
            <w:tcW w:w="400" w:type="dxa"/>
            <w:vAlign w:val="bottom"/>
            <w:gridSpan w:val="2"/>
          </w:tcPr>
          <w:p>
            <w:pPr>
              <w:ind w:left="200"/>
              <w:spacing w:after="0"/>
              <w:rPr>
                <w:sz w:val="20"/>
                <w:szCs w:val="20"/>
                <w:color w:val="auto"/>
              </w:rPr>
            </w:pPr>
            <w:r>
              <w:rPr>
                <w:rFonts w:ascii="Arial" w:cs="Arial" w:eastAsia="Arial" w:hAnsi="Arial"/>
                <w:sz w:val="16"/>
                <w:szCs w:val="16"/>
                <w:color w:val="auto"/>
                <w:w w:val="91"/>
              </w:rPr>
              <w:t>A$</w:t>
            </w:r>
          </w:p>
        </w:tc>
        <w:tc>
          <w:tcPr>
            <w:tcW w:w="800" w:type="dxa"/>
            <w:vAlign w:val="bottom"/>
          </w:tcPr>
          <w:p>
            <w:pPr>
              <w:jc w:val="right"/>
              <w:spacing w:after="0"/>
              <w:rPr>
                <w:sz w:val="20"/>
                <w:szCs w:val="20"/>
                <w:color w:val="auto"/>
              </w:rPr>
            </w:pPr>
            <w:r>
              <w:rPr>
                <w:rFonts w:ascii="Arial" w:cs="Arial" w:eastAsia="Arial" w:hAnsi="Arial"/>
                <w:sz w:val="16"/>
                <w:szCs w:val="16"/>
                <w:color w:val="auto"/>
              </w:rPr>
              <w:t>1,813,195</w:t>
            </w:r>
          </w:p>
        </w:tc>
        <w:tc>
          <w:tcPr>
            <w:tcW w:w="240" w:type="dxa"/>
            <w:vAlign w:val="bottom"/>
          </w:tcPr>
          <w:p>
            <w:pPr>
              <w:spacing w:after="0"/>
              <w:rPr>
                <w:sz w:val="17"/>
                <w:szCs w:val="17"/>
                <w:color w:val="auto"/>
              </w:rPr>
            </w:pPr>
          </w:p>
        </w:tc>
        <w:tc>
          <w:tcPr>
            <w:tcW w:w="400" w:type="dxa"/>
            <w:vAlign w:val="bottom"/>
            <w:gridSpan w:val="2"/>
          </w:tcPr>
          <w:p>
            <w:pPr>
              <w:ind w:left="200"/>
              <w:spacing w:after="0"/>
              <w:rPr>
                <w:sz w:val="20"/>
                <w:szCs w:val="20"/>
                <w:color w:val="auto"/>
              </w:rPr>
            </w:pPr>
            <w:r>
              <w:rPr>
                <w:rFonts w:ascii="Arial" w:cs="Arial" w:eastAsia="Arial" w:hAnsi="Arial"/>
                <w:sz w:val="16"/>
                <w:szCs w:val="16"/>
                <w:color w:val="auto"/>
                <w:w w:val="91"/>
              </w:rPr>
              <w:t>A$</w:t>
            </w:r>
          </w:p>
        </w:tc>
        <w:tc>
          <w:tcPr>
            <w:tcW w:w="800" w:type="dxa"/>
            <w:vAlign w:val="bottom"/>
          </w:tcPr>
          <w:p>
            <w:pPr>
              <w:jc w:val="right"/>
              <w:spacing w:after="0"/>
              <w:rPr>
                <w:sz w:val="20"/>
                <w:szCs w:val="20"/>
                <w:color w:val="auto"/>
              </w:rPr>
            </w:pPr>
            <w:r>
              <w:rPr>
                <w:rFonts w:ascii="Arial" w:cs="Arial" w:eastAsia="Arial" w:hAnsi="Arial"/>
                <w:sz w:val="16"/>
                <w:szCs w:val="16"/>
                <w:color w:val="auto"/>
              </w:rPr>
              <w:t>607,761</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94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Cost of sales</w:t>
            </w:r>
          </w:p>
        </w:tc>
        <w:tc>
          <w:tcPr>
            <w:tcW w:w="2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6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(511,646)</w:t>
            </w:r>
          </w:p>
        </w:tc>
        <w:tc>
          <w:tcPr>
            <w:tcW w:w="3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100" w:type="dxa"/>
            <w:vAlign w:val="bottom"/>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(463,285)</w:t>
            </w:r>
          </w:p>
        </w:tc>
        <w:tc>
          <w:tcPr>
            <w:tcW w:w="1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(401,568)</w:t>
            </w:r>
          </w:p>
        </w:tc>
        <w:tc>
          <w:tcPr>
            <w:tcW w:w="2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(570,315)</w:t>
            </w:r>
          </w:p>
        </w:tc>
        <w:tc>
          <w:tcPr>
            <w:tcW w:w="2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(264,833)</w:t>
            </w:r>
          </w:p>
        </w:tc>
        <w:tc>
          <w:tcPr>
            <w:tcW w:w="0" w:type="dxa"/>
            <w:vAlign w:val="bottom"/>
          </w:tcPr>
          <w:p>
            <w:pPr>
              <w:spacing w:after="0"/>
              <w:rPr>
                <w:sz w:val="1"/>
                <w:szCs w:val="1"/>
                <w:color w:val="auto"/>
              </w:rPr>
            </w:pPr>
          </w:p>
        </w:tc>
      </w:tr>
      <w:tr>
        <w:trPr>
          <w:trHeight w:val="204"/>
        </w:trPr>
        <w:tc>
          <w:tcPr>
            <w:tcW w:w="3960" w:type="dxa"/>
            <w:vAlign w:val="bottom"/>
            <w:gridSpan w:val="3"/>
          </w:tcPr>
          <w:p>
            <w:pPr>
              <w:spacing w:after="0"/>
              <w:rPr>
                <w:sz w:val="20"/>
                <w:szCs w:val="20"/>
                <w:color w:val="auto"/>
              </w:rPr>
            </w:pPr>
            <w:r>
              <w:rPr>
                <w:rFonts w:ascii="Arial" w:cs="Arial" w:eastAsia="Arial" w:hAnsi="Arial"/>
                <w:sz w:val="16"/>
                <w:szCs w:val="16"/>
                <w:color w:val="auto"/>
              </w:rPr>
              <w:t>Gross profit</w:t>
            </w:r>
          </w:p>
        </w:tc>
        <w:tc>
          <w:tcPr>
            <w:tcW w:w="220" w:type="dxa"/>
            <w:vAlign w:val="bottom"/>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687,215</w:t>
            </w:r>
          </w:p>
        </w:tc>
        <w:tc>
          <w:tcPr>
            <w:tcW w:w="1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438,091</w:t>
            </w:r>
          </w:p>
        </w:tc>
        <w:tc>
          <w:tcPr>
            <w:tcW w:w="3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7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600,439</w:t>
            </w:r>
          </w:p>
        </w:tc>
        <w:tc>
          <w:tcPr>
            <w:tcW w:w="2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1,242,880</w:t>
            </w:r>
          </w:p>
        </w:tc>
        <w:tc>
          <w:tcPr>
            <w:tcW w:w="2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342,928</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14"/>
        </w:trPr>
        <w:tc>
          <w:tcPr>
            <w:tcW w:w="20" w:type="dxa"/>
            <w:vAlign w:val="bottom"/>
            <w:vMerge w:val="restart"/>
          </w:tcPr>
          <w:p>
            <w:pPr>
              <w:spacing w:after="0"/>
              <w:rPr>
                <w:sz w:val="9"/>
                <w:szCs w:val="9"/>
                <w:color w:val="auto"/>
              </w:rPr>
            </w:pPr>
          </w:p>
        </w:tc>
        <w:tc>
          <w:tcPr>
            <w:tcW w:w="1360" w:type="dxa"/>
            <w:vAlign w:val="bottom"/>
          </w:tcPr>
          <w:p>
            <w:pPr>
              <w:spacing w:after="0"/>
              <w:rPr>
                <w:sz w:val="9"/>
                <w:szCs w:val="9"/>
                <w:color w:val="auto"/>
              </w:rPr>
            </w:pPr>
          </w:p>
        </w:tc>
        <w:tc>
          <w:tcPr>
            <w:tcW w:w="2580" w:type="dxa"/>
            <w:vAlign w:val="bottom"/>
          </w:tcPr>
          <w:p>
            <w:pPr>
              <w:spacing w:after="0"/>
              <w:rPr>
                <w:sz w:val="9"/>
                <w:szCs w:val="9"/>
                <w:color w:val="auto"/>
              </w:rPr>
            </w:pPr>
          </w:p>
        </w:tc>
        <w:tc>
          <w:tcPr>
            <w:tcW w:w="220" w:type="dxa"/>
            <w:vAlign w:val="bottom"/>
          </w:tcPr>
          <w:p>
            <w:pPr>
              <w:spacing w:after="0"/>
              <w:rPr>
                <w:sz w:val="9"/>
                <w:szCs w:val="9"/>
                <w:color w:val="auto"/>
              </w:rPr>
            </w:pPr>
          </w:p>
        </w:tc>
        <w:tc>
          <w:tcPr>
            <w:tcW w:w="180" w:type="dxa"/>
            <w:vAlign w:val="bottom"/>
          </w:tcPr>
          <w:p>
            <w:pPr>
              <w:spacing w:after="0"/>
              <w:rPr>
                <w:sz w:val="9"/>
                <w:szCs w:val="9"/>
                <w:color w:val="auto"/>
              </w:rPr>
            </w:pPr>
          </w:p>
        </w:tc>
        <w:tc>
          <w:tcPr>
            <w:tcW w:w="800" w:type="dxa"/>
            <w:vAlign w:val="bottom"/>
          </w:tcPr>
          <w:p>
            <w:pPr>
              <w:spacing w:after="0"/>
              <w:rPr>
                <w:sz w:val="9"/>
                <w:szCs w:val="9"/>
                <w:color w:val="auto"/>
              </w:rPr>
            </w:pPr>
          </w:p>
        </w:tc>
        <w:tc>
          <w:tcPr>
            <w:tcW w:w="160" w:type="dxa"/>
            <w:vAlign w:val="bottom"/>
          </w:tcPr>
          <w:p>
            <w:pPr>
              <w:spacing w:after="0"/>
              <w:rPr>
                <w:sz w:val="9"/>
                <w:szCs w:val="9"/>
                <w:color w:val="auto"/>
              </w:rPr>
            </w:pPr>
          </w:p>
        </w:tc>
        <w:tc>
          <w:tcPr>
            <w:tcW w:w="300" w:type="dxa"/>
            <w:vAlign w:val="bottom"/>
          </w:tcPr>
          <w:p>
            <w:pPr>
              <w:spacing w:after="0"/>
              <w:rPr>
                <w:sz w:val="9"/>
                <w:szCs w:val="9"/>
                <w:color w:val="auto"/>
              </w:rPr>
            </w:pPr>
          </w:p>
        </w:tc>
        <w:tc>
          <w:tcPr>
            <w:tcW w:w="180" w:type="dxa"/>
            <w:vAlign w:val="bottom"/>
          </w:tcPr>
          <w:p>
            <w:pPr>
              <w:spacing w:after="0"/>
              <w:rPr>
                <w:sz w:val="9"/>
                <w:szCs w:val="9"/>
                <w:color w:val="auto"/>
              </w:rPr>
            </w:pPr>
          </w:p>
        </w:tc>
        <w:tc>
          <w:tcPr>
            <w:tcW w:w="800" w:type="dxa"/>
            <w:vAlign w:val="bottom"/>
          </w:tcPr>
          <w:p>
            <w:pPr>
              <w:spacing w:after="0"/>
              <w:rPr>
                <w:sz w:val="9"/>
                <w:szCs w:val="9"/>
                <w:color w:val="auto"/>
              </w:rPr>
            </w:pPr>
          </w:p>
        </w:tc>
        <w:tc>
          <w:tcPr>
            <w:tcW w:w="300" w:type="dxa"/>
            <w:vAlign w:val="bottom"/>
          </w:tcPr>
          <w:p>
            <w:pPr>
              <w:spacing w:after="0"/>
              <w:rPr>
                <w:sz w:val="9"/>
                <w:szCs w:val="9"/>
                <w:color w:val="auto"/>
              </w:rPr>
            </w:pPr>
          </w:p>
        </w:tc>
        <w:tc>
          <w:tcPr>
            <w:tcW w:w="160" w:type="dxa"/>
            <w:vAlign w:val="bottom"/>
          </w:tcPr>
          <w:p>
            <w:pPr>
              <w:spacing w:after="0"/>
              <w:rPr>
                <w:sz w:val="9"/>
                <w:szCs w:val="9"/>
                <w:color w:val="auto"/>
              </w:rPr>
            </w:pPr>
          </w:p>
        </w:tc>
        <w:tc>
          <w:tcPr>
            <w:tcW w:w="200" w:type="dxa"/>
            <w:vAlign w:val="bottom"/>
          </w:tcPr>
          <w:p>
            <w:pPr>
              <w:spacing w:after="0"/>
              <w:rPr>
                <w:sz w:val="9"/>
                <w:szCs w:val="9"/>
                <w:color w:val="auto"/>
              </w:rPr>
            </w:pPr>
          </w:p>
        </w:tc>
        <w:tc>
          <w:tcPr>
            <w:tcW w:w="780" w:type="dxa"/>
            <w:vAlign w:val="bottom"/>
          </w:tcPr>
          <w:p>
            <w:pPr>
              <w:spacing w:after="0"/>
              <w:rPr>
                <w:sz w:val="9"/>
                <w:szCs w:val="9"/>
                <w:color w:val="auto"/>
              </w:rPr>
            </w:pPr>
          </w:p>
        </w:tc>
        <w:tc>
          <w:tcPr>
            <w:tcW w:w="260" w:type="dxa"/>
            <w:vAlign w:val="bottom"/>
          </w:tcPr>
          <w:p>
            <w:pPr>
              <w:spacing w:after="0"/>
              <w:rPr>
                <w:sz w:val="9"/>
                <w:szCs w:val="9"/>
                <w:color w:val="auto"/>
              </w:rPr>
            </w:pPr>
          </w:p>
        </w:tc>
        <w:tc>
          <w:tcPr>
            <w:tcW w:w="200" w:type="dxa"/>
            <w:vAlign w:val="bottom"/>
          </w:tcPr>
          <w:p>
            <w:pPr>
              <w:spacing w:after="0"/>
              <w:rPr>
                <w:sz w:val="9"/>
                <w:szCs w:val="9"/>
                <w:color w:val="auto"/>
              </w:rPr>
            </w:pPr>
          </w:p>
        </w:tc>
        <w:tc>
          <w:tcPr>
            <w:tcW w:w="200" w:type="dxa"/>
            <w:vAlign w:val="bottom"/>
          </w:tcPr>
          <w:p>
            <w:pPr>
              <w:spacing w:after="0"/>
              <w:rPr>
                <w:sz w:val="9"/>
                <w:szCs w:val="9"/>
                <w:color w:val="auto"/>
              </w:rPr>
            </w:pPr>
          </w:p>
        </w:tc>
        <w:tc>
          <w:tcPr>
            <w:tcW w:w="800" w:type="dxa"/>
            <w:vAlign w:val="bottom"/>
          </w:tcPr>
          <w:p>
            <w:pPr>
              <w:spacing w:after="0"/>
              <w:rPr>
                <w:sz w:val="9"/>
                <w:szCs w:val="9"/>
                <w:color w:val="auto"/>
              </w:rPr>
            </w:pPr>
          </w:p>
        </w:tc>
        <w:tc>
          <w:tcPr>
            <w:tcW w:w="240" w:type="dxa"/>
            <w:vAlign w:val="bottom"/>
          </w:tcPr>
          <w:p>
            <w:pPr>
              <w:spacing w:after="0"/>
              <w:rPr>
                <w:sz w:val="9"/>
                <w:szCs w:val="9"/>
                <w:color w:val="auto"/>
              </w:rPr>
            </w:pPr>
          </w:p>
        </w:tc>
        <w:tc>
          <w:tcPr>
            <w:tcW w:w="220" w:type="dxa"/>
            <w:vAlign w:val="bottom"/>
          </w:tcPr>
          <w:p>
            <w:pPr>
              <w:spacing w:after="0"/>
              <w:rPr>
                <w:sz w:val="9"/>
                <w:szCs w:val="9"/>
                <w:color w:val="auto"/>
              </w:rPr>
            </w:pPr>
          </w:p>
        </w:tc>
        <w:tc>
          <w:tcPr>
            <w:tcW w:w="180" w:type="dxa"/>
            <w:vAlign w:val="bottom"/>
          </w:tcPr>
          <w:p>
            <w:pPr>
              <w:spacing w:after="0"/>
              <w:rPr>
                <w:sz w:val="9"/>
                <w:szCs w:val="9"/>
                <w:color w:val="auto"/>
              </w:rPr>
            </w:pPr>
          </w:p>
        </w:tc>
        <w:tc>
          <w:tcPr>
            <w:tcW w:w="80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394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BARDA income</w:t>
            </w:r>
          </w:p>
        </w:tc>
        <w:tc>
          <w:tcPr>
            <w:tcW w:w="2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w w:val="94"/>
              </w:rPr>
              <w:t>10,104,081</w:t>
            </w:r>
          </w:p>
        </w:tc>
        <w:tc>
          <w:tcPr>
            <w:tcW w:w="16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6,886,236</w:t>
            </w:r>
          </w:p>
        </w:tc>
        <w:tc>
          <w:tcPr>
            <w:tcW w:w="3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2,424,357</w:t>
            </w:r>
          </w:p>
        </w:tc>
        <w:tc>
          <w:tcPr>
            <w:tcW w:w="2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5,009,137</w:t>
            </w:r>
          </w:p>
        </w:tc>
        <w:tc>
          <w:tcPr>
            <w:tcW w:w="2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3,856,716</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940" w:type="dxa"/>
            <w:vAlign w:val="bottom"/>
            <w:gridSpan w:val="2"/>
          </w:tcPr>
          <w:p>
            <w:pPr>
              <w:spacing w:after="0"/>
              <w:rPr>
                <w:sz w:val="20"/>
                <w:szCs w:val="20"/>
                <w:color w:val="auto"/>
              </w:rPr>
            </w:pPr>
            <w:r>
              <w:rPr>
                <w:rFonts w:ascii="Arial" w:cs="Arial" w:eastAsia="Arial" w:hAnsi="Arial"/>
                <w:sz w:val="16"/>
                <w:szCs w:val="16"/>
                <w:color w:val="auto"/>
              </w:rPr>
              <w:t>Other income</w:t>
            </w:r>
          </w:p>
        </w:tc>
        <w:tc>
          <w:tcPr>
            <w:tcW w:w="22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68,617</w:t>
            </w:r>
          </w:p>
        </w:tc>
        <w:tc>
          <w:tcPr>
            <w:tcW w:w="1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344,734</w:t>
            </w: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120,160</w:t>
            </w: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103,626</w:t>
            </w: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37,595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94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Total other income</w:t>
            </w:r>
          </w:p>
        </w:tc>
        <w:tc>
          <w:tcPr>
            <w:tcW w:w="2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w w:val="94"/>
              </w:rPr>
              <w:t>10,172,698</w:t>
            </w:r>
          </w:p>
        </w:tc>
        <w:tc>
          <w:tcPr>
            <w:tcW w:w="16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7,230,970</w:t>
            </w:r>
          </w:p>
        </w:tc>
        <w:tc>
          <w:tcPr>
            <w:tcW w:w="3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2,544,517</w:t>
            </w:r>
          </w:p>
        </w:tc>
        <w:tc>
          <w:tcPr>
            <w:tcW w:w="2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5,112,763</w:t>
            </w:r>
          </w:p>
        </w:tc>
        <w:tc>
          <w:tcPr>
            <w:tcW w:w="2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3,894,311</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305"/>
        </w:trPr>
        <w:tc>
          <w:tcPr>
            <w:tcW w:w="3960" w:type="dxa"/>
            <w:vAlign w:val="bottom"/>
            <w:gridSpan w:val="3"/>
          </w:tcPr>
          <w:p>
            <w:pPr>
              <w:spacing w:after="0"/>
              <w:rPr>
                <w:sz w:val="20"/>
                <w:szCs w:val="20"/>
                <w:color w:val="auto"/>
              </w:rPr>
            </w:pPr>
            <w:r>
              <w:rPr>
                <w:rFonts w:ascii="Arial" w:cs="Arial" w:eastAsia="Arial" w:hAnsi="Arial"/>
                <w:sz w:val="16"/>
                <w:szCs w:val="16"/>
                <w:color w:val="auto"/>
              </w:rPr>
              <w:t>Operating costs</w:t>
            </w: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394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Sales and marketing expenses</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(8,936,441)</w:t>
            </w:r>
          </w:p>
        </w:tc>
        <w:tc>
          <w:tcPr>
            <w:tcW w:w="3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(5,201,761)</w:t>
            </w: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(5,042,189)</w:t>
            </w: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(6,931,241)</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(2,815,698)</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940" w:type="dxa"/>
            <w:vAlign w:val="bottom"/>
            <w:gridSpan w:val="2"/>
          </w:tcPr>
          <w:p>
            <w:pPr>
              <w:spacing w:after="0"/>
              <w:rPr>
                <w:sz w:val="20"/>
                <w:szCs w:val="20"/>
                <w:color w:val="auto"/>
              </w:rPr>
            </w:pPr>
            <w:r>
              <w:rPr>
                <w:rFonts w:ascii="Arial" w:cs="Arial" w:eastAsia="Arial" w:hAnsi="Arial"/>
                <w:sz w:val="16"/>
                <w:szCs w:val="16"/>
                <w:color w:val="auto"/>
              </w:rPr>
              <w:t>Product development expenses</w:t>
            </w: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60" w:type="dxa"/>
            <w:vAlign w:val="bottom"/>
            <w:gridSpan w:val="2"/>
          </w:tcPr>
          <w:p>
            <w:pPr>
              <w:jc w:val="right"/>
              <w:ind w:right="120"/>
              <w:spacing w:after="0"/>
              <w:rPr>
                <w:sz w:val="20"/>
                <w:szCs w:val="20"/>
                <w:color w:val="auto"/>
              </w:rPr>
            </w:pPr>
            <w:r>
              <w:rPr>
                <w:rFonts w:ascii="Arial" w:cs="Arial" w:eastAsia="Arial" w:hAnsi="Arial"/>
                <w:sz w:val="16"/>
                <w:szCs w:val="16"/>
                <w:color w:val="auto"/>
                <w:w w:val="90"/>
              </w:rPr>
              <w:t>(12,606,127)</w:t>
            </w:r>
          </w:p>
        </w:tc>
        <w:tc>
          <w:tcPr>
            <w:tcW w:w="3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00" w:type="dxa"/>
            <w:vAlign w:val="bottom"/>
            <w:gridSpan w:val="2"/>
          </w:tcPr>
          <w:p>
            <w:pPr>
              <w:jc w:val="right"/>
              <w:ind w:right="260"/>
              <w:spacing w:after="0"/>
              <w:rPr>
                <w:sz w:val="20"/>
                <w:szCs w:val="20"/>
                <w:color w:val="auto"/>
              </w:rPr>
            </w:pPr>
            <w:r>
              <w:rPr>
                <w:rFonts w:ascii="Arial" w:cs="Arial" w:eastAsia="Arial" w:hAnsi="Arial"/>
                <w:sz w:val="16"/>
                <w:szCs w:val="16"/>
                <w:color w:val="auto"/>
                <w:w w:val="90"/>
              </w:rPr>
              <w:t>(11,161,970)</w:t>
            </w:r>
          </w:p>
        </w:tc>
        <w:tc>
          <w:tcPr>
            <w:tcW w:w="1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40" w:type="dxa"/>
            <w:vAlign w:val="bottom"/>
            <w:gridSpan w:val="2"/>
          </w:tcPr>
          <w:p>
            <w:pPr>
              <w:jc w:val="right"/>
              <w:ind w:right="200"/>
              <w:spacing w:after="0"/>
              <w:rPr>
                <w:sz w:val="20"/>
                <w:szCs w:val="20"/>
                <w:color w:val="auto"/>
              </w:rPr>
            </w:pPr>
            <w:r>
              <w:rPr>
                <w:rFonts w:ascii="Arial" w:cs="Arial" w:eastAsia="Arial" w:hAnsi="Arial"/>
                <w:sz w:val="16"/>
                <w:szCs w:val="16"/>
                <w:color w:val="auto"/>
              </w:rPr>
              <w:t>(6,018,184)</w:t>
            </w:r>
          </w:p>
        </w:tc>
        <w:tc>
          <w:tcPr>
            <w:tcW w:w="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40" w:type="dxa"/>
            <w:vAlign w:val="bottom"/>
            <w:gridSpan w:val="2"/>
          </w:tcPr>
          <w:p>
            <w:pPr>
              <w:jc w:val="right"/>
              <w:ind w:right="200"/>
              <w:spacing w:after="0"/>
              <w:rPr>
                <w:sz w:val="20"/>
                <w:szCs w:val="20"/>
                <w:color w:val="auto"/>
              </w:rPr>
            </w:pPr>
            <w:r>
              <w:rPr>
                <w:rFonts w:ascii="Arial" w:cs="Arial" w:eastAsia="Arial" w:hAnsi="Arial"/>
                <w:sz w:val="16"/>
                <w:szCs w:val="16"/>
                <w:color w:val="auto"/>
              </w:rPr>
              <w:t>(7,080,042)</w:t>
            </w: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00" w:type="dxa"/>
            <w:vAlign w:val="bottom"/>
            <w:gridSpan w:val="2"/>
          </w:tcPr>
          <w:p>
            <w:pPr>
              <w:jc w:val="right"/>
              <w:ind w:right="60"/>
              <w:spacing w:after="0"/>
              <w:rPr>
                <w:sz w:val="20"/>
                <w:szCs w:val="20"/>
                <w:color w:val="auto"/>
              </w:rPr>
            </w:pPr>
            <w:r>
              <w:rPr>
                <w:rFonts w:ascii="Arial" w:cs="Arial" w:eastAsia="Arial" w:hAnsi="Arial"/>
                <w:sz w:val="16"/>
                <w:szCs w:val="16"/>
                <w:color w:val="auto"/>
              </w:rPr>
              <w:t>(5,058,518)</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94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Corporate and administrative expenses</w:t>
            </w:r>
          </w:p>
        </w:tc>
        <w:tc>
          <w:tcPr>
            <w:tcW w:w="2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6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(5,360,553)</w:t>
            </w:r>
          </w:p>
        </w:tc>
        <w:tc>
          <w:tcPr>
            <w:tcW w:w="3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100" w:type="dxa"/>
            <w:vAlign w:val="bottom"/>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(2,264,594)</w:t>
            </w:r>
          </w:p>
        </w:tc>
        <w:tc>
          <w:tcPr>
            <w:tcW w:w="1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(2,371,747)</w:t>
            </w:r>
          </w:p>
        </w:tc>
        <w:tc>
          <w:tcPr>
            <w:tcW w:w="2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(6,865,250)</w:t>
            </w:r>
          </w:p>
        </w:tc>
        <w:tc>
          <w:tcPr>
            <w:tcW w:w="2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(2,873,511)</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940" w:type="dxa"/>
            <w:vAlign w:val="bottom"/>
            <w:gridSpan w:val="2"/>
          </w:tcPr>
          <w:p>
            <w:pPr>
              <w:spacing w:after="0"/>
              <w:rPr>
                <w:sz w:val="20"/>
                <w:szCs w:val="20"/>
                <w:color w:val="auto"/>
              </w:rPr>
            </w:pPr>
            <w:r>
              <w:rPr>
                <w:rFonts w:ascii="Arial" w:cs="Arial" w:eastAsia="Arial" w:hAnsi="Arial"/>
                <w:sz w:val="16"/>
                <w:szCs w:val="16"/>
                <w:color w:val="auto"/>
              </w:rPr>
              <w:t>Share-based payment expenses</w:t>
            </w: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60" w:type="dxa"/>
            <w:vAlign w:val="bottom"/>
            <w:gridSpan w:val="2"/>
          </w:tcPr>
          <w:p>
            <w:pPr>
              <w:jc w:val="right"/>
              <w:ind w:right="120"/>
              <w:spacing w:after="0"/>
              <w:rPr>
                <w:sz w:val="20"/>
                <w:szCs w:val="20"/>
                <w:color w:val="auto"/>
              </w:rPr>
            </w:pPr>
            <w:r>
              <w:rPr>
                <w:rFonts w:ascii="Arial" w:cs="Arial" w:eastAsia="Arial" w:hAnsi="Arial"/>
                <w:sz w:val="16"/>
                <w:szCs w:val="16"/>
                <w:color w:val="auto"/>
              </w:rPr>
              <w:t>(1,835,157)</w:t>
            </w:r>
          </w:p>
        </w:tc>
        <w:tc>
          <w:tcPr>
            <w:tcW w:w="3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00" w:type="dxa"/>
            <w:vAlign w:val="bottom"/>
            <w:gridSpan w:val="2"/>
          </w:tcPr>
          <w:p>
            <w:pPr>
              <w:jc w:val="right"/>
              <w:ind w:right="260"/>
              <w:spacing w:after="0"/>
              <w:rPr>
                <w:sz w:val="20"/>
                <w:szCs w:val="20"/>
                <w:color w:val="auto"/>
              </w:rPr>
            </w:pPr>
            <w:r>
              <w:rPr>
                <w:rFonts w:ascii="Arial" w:cs="Arial" w:eastAsia="Arial" w:hAnsi="Arial"/>
                <w:sz w:val="16"/>
                <w:szCs w:val="16"/>
                <w:color w:val="auto"/>
              </w:rPr>
              <w:t>(1,587,243)</w:t>
            </w:r>
          </w:p>
        </w:tc>
        <w:tc>
          <w:tcPr>
            <w:tcW w:w="1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40" w:type="dxa"/>
            <w:vAlign w:val="bottom"/>
            <w:gridSpan w:val="2"/>
          </w:tcPr>
          <w:p>
            <w:pPr>
              <w:jc w:val="right"/>
              <w:ind w:right="200"/>
              <w:spacing w:after="0"/>
              <w:rPr>
                <w:sz w:val="20"/>
                <w:szCs w:val="20"/>
                <w:color w:val="auto"/>
              </w:rPr>
            </w:pPr>
            <w:r>
              <w:rPr>
                <w:rFonts w:ascii="Arial" w:cs="Arial" w:eastAsia="Arial" w:hAnsi="Arial"/>
                <w:sz w:val="16"/>
                <w:szCs w:val="16"/>
                <w:color w:val="auto"/>
              </w:rPr>
              <w:t>(956,658)</w:t>
            </w:r>
          </w:p>
        </w:tc>
        <w:tc>
          <w:tcPr>
            <w:tcW w:w="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40" w:type="dxa"/>
            <w:vAlign w:val="bottom"/>
            <w:gridSpan w:val="2"/>
          </w:tcPr>
          <w:p>
            <w:pPr>
              <w:jc w:val="right"/>
              <w:ind w:right="200"/>
              <w:spacing w:after="0"/>
              <w:rPr>
                <w:sz w:val="20"/>
                <w:szCs w:val="20"/>
                <w:color w:val="auto"/>
              </w:rPr>
            </w:pPr>
            <w:r>
              <w:rPr>
                <w:rFonts w:ascii="Arial" w:cs="Arial" w:eastAsia="Arial" w:hAnsi="Arial"/>
                <w:sz w:val="16"/>
                <w:szCs w:val="16"/>
                <w:color w:val="auto"/>
              </w:rPr>
              <w:t>(1,043,694)</w:t>
            </w: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00" w:type="dxa"/>
            <w:vAlign w:val="bottom"/>
            <w:gridSpan w:val="2"/>
          </w:tcPr>
          <w:p>
            <w:pPr>
              <w:jc w:val="right"/>
              <w:ind w:right="60"/>
              <w:spacing w:after="0"/>
              <w:rPr>
                <w:sz w:val="20"/>
                <w:szCs w:val="20"/>
                <w:color w:val="auto"/>
              </w:rPr>
            </w:pPr>
            <w:r>
              <w:rPr>
                <w:rFonts w:ascii="Arial" w:cs="Arial" w:eastAsia="Arial" w:hAnsi="Arial"/>
                <w:sz w:val="16"/>
                <w:szCs w:val="16"/>
                <w:color w:val="auto"/>
              </w:rPr>
              <w:t>(726,856)</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94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Finance costs</w:t>
            </w:r>
          </w:p>
        </w:tc>
        <w:tc>
          <w:tcPr>
            <w:tcW w:w="2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6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(26,586)</w:t>
            </w:r>
          </w:p>
        </w:tc>
        <w:tc>
          <w:tcPr>
            <w:tcW w:w="3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100" w:type="dxa"/>
            <w:vAlign w:val="bottom"/>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(12,754)</w:t>
            </w:r>
          </w:p>
        </w:tc>
        <w:tc>
          <w:tcPr>
            <w:tcW w:w="1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(21)</w:t>
            </w:r>
          </w:p>
        </w:tc>
        <w:tc>
          <w:tcPr>
            <w:tcW w:w="2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(14,807)</w:t>
            </w:r>
          </w:p>
        </w:tc>
        <w:tc>
          <w:tcPr>
            <w:tcW w:w="2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(13,253)</w:t>
            </w:r>
          </w:p>
        </w:tc>
        <w:tc>
          <w:tcPr>
            <w:tcW w:w="0" w:type="dxa"/>
            <w:vAlign w:val="bottom"/>
          </w:tcPr>
          <w:p>
            <w:pPr>
              <w:spacing w:after="0"/>
              <w:rPr>
                <w:sz w:val="1"/>
                <w:szCs w:val="1"/>
                <w:color w:val="auto"/>
              </w:rPr>
            </w:pPr>
          </w:p>
        </w:tc>
      </w:tr>
      <w:tr>
        <w:trPr>
          <w:trHeight w:val="20"/>
        </w:trPr>
        <w:tc>
          <w:tcPr>
            <w:tcW w:w="3960" w:type="dxa"/>
            <w:vAlign w:val="bottom"/>
            <w:gridSpan w:val="3"/>
            <w:vMerge w:val="restart"/>
          </w:tcPr>
          <w:p>
            <w:pPr>
              <w:spacing w:after="0"/>
              <w:rPr>
                <w:sz w:val="20"/>
                <w:szCs w:val="20"/>
                <w:color w:val="auto"/>
              </w:rPr>
            </w:pPr>
            <w:r>
              <w:rPr>
                <w:rFonts w:ascii="Arial" w:cs="Arial" w:eastAsia="Arial" w:hAnsi="Arial"/>
                <w:sz w:val="16"/>
                <w:szCs w:val="16"/>
                <w:color w:val="auto"/>
              </w:rPr>
              <w:t>Total operating costs</w:t>
            </w:r>
          </w:p>
        </w:tc>
        <w:tc>
          <w:tcPr>
            <w:tcW w:w="22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7"/>
        </w:trPr>
        <w:tc>
          <w:tcPr>
            <w:tcW w:w="3960" w:type="dxa"/>
            <w:vAlign w:val="bottom"/>
            <w:gridSpan w:val="3"/>
            <w:vMerge w:val="continue"/>
          </w:tcPr>
          <w:p>
            <w:pPr>
              <w:spacing w:after="0"/>
              <w:rPr>
                <w:sz w:val="17"/>
                <w:szCs w:val="17"/>
                <w:color w:val="auto"/>
              </w:rPr>
            </w:pP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60" w:type="dxa"/>
            <w:vAlign w:val="bottom"/>
            <w:gridSpan w:val="2"/>
          </w:tcPr>
          <w:p>
            <w:pPr>
              <w:jc w:val="right"/>
              <w:ind w:right="120"/>
              <w:spacing w:after="0"/>
              <w:rPr>
                <w:sz w:val="20"/>
                <w:szCs w:val="20"/>
                <w:color w:val="auto"/>
              </w:rPr>
            </w:pPr>
            <w:r>
              <w:rPr>
                <w:rFonts w:ascii="Arial" w:cs="Arial" w:eastAsia="Arial" w:hAnsi="Arial"/>
                <w:sz w:val="16"/>
                <w:szCs w:val="16"/>
                <w:color w:val="auto"/>
                <w:w w:val="90"/>
              </w:rPr>
              <w:t>(28,764,864)</w:t>
            </w:r>
          </w:p>
        </w:tc>
        <w:tc>
          <w:tcPr>
            <w:tcW w:w="3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00" w:type="dxa"/>
            <w:vAlign w:val="bottom"/>
            <w:gridSpan w:val="2"/>
          </w:tcPr>
          <w:p>
            <w:pPr>
              <w:jc w:val="right"/>
              <w:ind w:right="260"/>
              <w:spacing w:after="0"/>
              <w:rPr>
                <w:sz w:val="20"/>
                <w:szCs w:val="20"/>
                <w:color w:val="auto"/>
              </w:rPr>
            </w:pPr>
            <w:r>
              <w:rPr>
                <w:rFonts w:ascii="Arial" w:cs="Arial" w:eastAsia="Arial" w:hAnsi="Arial"/>
                <w:sz w:val="16"/>
                <w:szCs w:val="16"/>
                <w:color w:val="auto"/>
                <w:w w:val="90"/>
              </w:rPr>
              <w:t>(20,228,322)</w:t>
            </w:r>
          </w:p>
        </w:tc>
        <w:tc>
          <w:tcPr>
            <w:tcW w:w="1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40" w:type="dxa"/>
            <w:vAlign w:val="bottom"/>
            <w:gridSpan w:val="2"/>
          </w:tcPr>
          <w:p>
            <w:pPr>
              <w:jc w:val="right"/>
              <w:ind w:right="200"/>
              <w:spacing w:after="0"/>
              <w:rPr>
                <w:sz w:val="20"/>
                <w:szCs w:val="20"/>
                <w:color w:val="auto"/>
              </w:rPr>
            </w:pPr>
            <w:r>
              <w:rPr>
                <w:rFonts w:ascii="Arial" w:cs="Arial" w:eastAsia="Arial" w:hAnsi="Arial"/>
                <w:sz w:val="16"/>
                <w:szCs w:val="16"/>
                <w:color w:val="auto"/>
                <w:w w:val="90"/>
              </w:rPr>
              <w:t>(14,388,799)</w:t>
            </w:r>
          </w:p>
        </w:tc>
        <w:tc>
          <w:tcPr>
            <w:tcW w:w="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40" w:type="dxa"/>
            <w:vAlign w:val="bottom"/>
            <w:gridSpan w:val="2"/>
          </w:tcPr>
          <w:p>
            <w:pPr>
              <w:jc w:val="right"/>
              <w:ind w:right="200"/>
              <w:spacing w:after="0"/>
              <w:rPr>
                <w:sz w:val="20"/>
                <w:szCs w:val="20"/>
                <w:color w:val="auto"/>
              </w:rPr>
            </w:pPr>
            <w:r>
              <w:rPr>
                <w:rFonts w:ascii="Arial" w:cs="Arial" w:eastAsia="Arial" w:hAnsi="Arial"/>
                <w:sz w:val="16"/>
                <w:szCs w:val="16"/>
                <w:color w:val="auto"/>
                <w:w w:val="90"/>
              </w:rPr>
              <w:t>(21,935,034)</w:t>
            </w: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00" w:type="dxa"/>
            <w:vAlign w:val="bottom"/>
            <w:gridSpan w:val="2"/>
          </w:tcPr>
          <w:p>
            <w:pPr>
              <w:jc w:val="right"/>
              <w:ind w:right="60"/>
              <w:spacing w:after="0"/>
              <w:rPr>
                <w:sz w:val="20"/>
                <w:szCs w:val="20"/>
                <w:color w:val="auto"/>
              </w:rPr>
            </w:pPr>
            <w:r>
              <w:rPr>
                <w:rFonts w:ascii="Arial" w:cs="Arial" w:eastAsia="Arial" w:hAnsi="Arial"/>
                <w:sz w:val="16"/>
                <w:szCs w:val="16"/>
                <w:color w:val="auto"/>
                <w:w w:val="90"/>
              </w:rPr>
              <w:t>(11,487,836)</w:t>
            </w:r>
          </w:p>
        </w:tc>
        <w:tc>
          <w:tcPr>
            <w:tcW w:w="0" w:type="dxa"/>
            <w:vAlign w:val="bottom"/>
          </w:tcPr>
          <w:p>
            <w:pPr>
              <w:spacing w:after="0"/>
              <w:rPr>
                <w:sz w:val="1"/>
                <w:szCs w:val="1"/>
                <w:color w:val="auto"/>
              </w:rPr>
            </w:pPr>
          </w:p>
        </w:tc>
      </w:tr>
      <w:tr>
        <w:trPr>
          <w:trHeight w:val="118"/>
        </w:trPr>
        <w:tc>
          <w:tcPr>
            <w:tcW w:w="20" w:type="dxa"/>
            <w:vAlign w:val="bottom"/>
            <w:vMerge w:val="restart"/>
          </w:tcPr>
          <w:p>
            <w:pPr>
              <w:spacing w:after="0"/>
              <w:rPr>
                <w:sz w:val="10"/>
                <w:szCs w:val="10"/>
                <w:color w:val="auto"/>
              </w:rPr>
            </w:pPr>
          </w:p>
        </w:tc>
        <w:tc>
          <w:tcPr>
            <w:tcW w:w="1360" w:type="dxa"/>
            <w:vAlign w:val="bottom"/>
          </w:tcPr>
          <w:p>
            <w:pPr>
              <w:spacing w:after="0"/>
              <w:rPr>
                <w:sz w:val="10"/>
                <w:szCs w:val="10"/>
                <w:color w:val="auto"/>
              </w:rPr>
            </w:pPr>
          </w:p>
        </w:tc>
        <w:tc>
          <w:tcPr>
            <w:tcW w:w="25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80" w:type="dxa"/>
            <w:vAlign w:val="bottom"/>
            <w:tcBorders>
              <w:top w:val="single" w:sz="8" w:color="auto"/>
            </w:tcBorders>
          </w:tcPr>
          <w:p>
            <w:pPr>
              <w:spacing w:after="0"/>
              <w:rPr>
                <w:sz w:val="10"/>
                <w:szCs w:val="10"/>
                <w:color w:val="auto"/>
              </w:rPr>
            </w:pPr>
          </w:p>
        </w:tc>
        <w:tc>
          <w:tcPr>
            <w:tcW w:w="800" w:type="dxa"/>
            <w:vAlign w:val="bottom"/>
            <w:tcBorders>
              <w:top w:val="single" w:sz="8" w:color="auto"/>
            </w:tcBorders>
          </w:tcPr>
          <w:p>
            <w:pPr>
              <w:spacing w:after="0"/>
              <w:rPr>
                <w:sz w:val="10"/>
                <w:szCs w:val="10"/>
                <w:color w:val="auto"/>
              </w:rPr>
            </w:pPr>
          </w:p>
        </w:tc>
        <w:tc>
          <w:tcPr>
            <w:tcW w:w="16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80" w:type="dxa"/>
            <w:vAlign w:val="bottom"/>
            <w:tcBorders>
              <w:top w:val="single" w:sz="8" w:color="auto"/>
            </w:tcBorders>
          </w:tcPr>
          <w:p>
            <w:pPr>
              <w:spacing w:after="0"/>
              <w:rPr>
                <w:sz w:val="10"/>
                <w:szCs w:val="10"/>
                <w:color w:val="auto"/>
              </w:rPr>
            </w:pPr>
          </w:p>
        </w:tc>
        <w:tc>
          <w:tcPr>
            <w:tcW w:w="800" w:type="dxa"/>
            <w:vAlign w:val="bottom"/>
            <w:tcBorders>
              <w:top w:val="single" w:sz="8" w:color="auto"/>
            </w:tcBorders>
          </w:tcPr>
          <w:p>
            <w:pPr>
              <w:spacing w:after="0"/>
              <w:rPr>
                <w:sz w:val="10"/>
                <w:szCs w:val="10"/>
                <w:color w:val="auto"/>
              </w:rPr>
            </w:pPr>
          </w:p>
        </w:tc>
        <w:tc>
          <w:tcPr>
            <w:tcW w:w="3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200" w:type="dxa"/>
            <w:vAlign w:val="bottom"/>
            <w:tcBorders>
              <w:top w:val="single" w:sz="8" w:color="auto"/>
            </w:tcBorders>
          </w:tcPr>
          <w:p>
            <w:pPr>
              <w:spacing w:after="0"/>
              <w:rPr>
                <w:sz w:val="10"/>
                <w:szCs w:val="10"/>
                <w:color w:val="auto"/>
              </w:rPr>
            </w:pPr>
          </w:p>
        </w:tc>
        <w:tc>
          <w:tcPr>
            <w:tcW w:w="780" w:type="dxa"/>
            <w:vAlign w:val="bottom"/>
            <w:tcBorders>
              <w:top w:val="single" w:sz="8" w:color="auto"/>
            </w:tcBorders>
          </w:tcPr>
          <w:p>
            <w:pPr>
              <w:spacing w:after="0"/>
              <w:rPr>
                <w:sz w:val="10"/>
                <w:szCs w:val="10"/>
                <w:color w:val="auto"/>
              </w:rPr>
            </w:pPr>
          </w:p>
        </w:tc>
        <w:tc>
          <w:tcPr>
            <w:tcW w:w="2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200" w:type="dxa"/>
            <w:vAlign w:val="bottom"/>
            <w:tcBorders>
              <w:top w:val="single" w:sz="8" w:color="auto"/>
            </w:tcBorders>
          </w:tcPr>
          <w:p>
            <w:pPr>
              <w:spacing w:after="0"/>
              <w:rPr>
                <w:sz w:val="10"/>
                <w:szCs w:val="10"/>
                <w:color w:val="auto"/>
              </w:rPr>
            </w:pPr>
          </w:p>
        </w:tc>
        <w:tc>
          <w:tcPr>
            <w:tcW w:w="800" w:type="dxa"/>
            <w:vAlign w:val="bottom"/>
            <w:tcBorders>
              <w:top w:val="single" w:sz="8" w:color="auto"/>
            </w:tcBorders>
          </w:tcPr>
          <w:p>
            <w:pPr>
              <w:spacing w:after="0"/>
              <w:rPr>
                <w:sz w:val="10"/>
                <w:szCs w:val="10"/>
                <w:color w:val="auto"/>
              </w:rPr>
            </w:pPr>
          </w:p>
        </w:tc>
        <w:tc>
          <w:tcPr>
            <w:tcW w:w="2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80" w:type="dxa"/>
            <w:vAlign w:val="bottom"/>
            <w:tcBorders>
              <w:top w:val="single" w:sz="8" w:color="auto"/>
            </w:tcBorders>
          </w:tcPr>
          <w:p>
            <w:pPr>
              <w:spacing w:after="0"/>
              <w:rPr>
                <w:sz w:val="10"/>
                <w:szCs w:val="10"/>
                <w:color w:val="auto"/>
              </w:rPr>
            </w:pPr>
          </w:p>
        </w:tc>
        <w:tc>
          <w:tcPr>
            <w:tcW w:w="800" w:type="dxa"/>
            <w:vAlign w:val="bottom"/>
            <w:tcBorders>
              <w:top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93"/>
        </w:trPr>
        <w:tc>
          <w:tcPr>
            <w:tcW w:w="20" w:type="dxa"/>
            <w:vAlign w:val="bottom"/>
            <w:vMerge w:val="continue"/>
          </w:tcPr>
          <w:p>
            <w:pPr>
              <w:spacing w:after="0"/>
              <w:rPr>
                <w:sz w:val="16"/>
                <w:szCs w:val="16"/>
                <w:color w:val="auto"/>
              </w:rPr>
            </w:pPr>
          </w:p>
        </w:tc>
        <w:tc>
          <w:tcPr>
            <w:tcW w:w="394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Loss from continuing operations before income tax</w:t>
            </w:r>
          </w:p>
        </w:tc>
        <w:tc>
          <w:tcPr>
            <w:tcW w:w="2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3940" w:type="dxa"/>
            <w:vAlign w:val="bottom"/>
            <w:gridSpan w:val="2"/>
            <w:shd w:val="clear" w:color="auto" w:fill="CCEEFF"/>
          </w:tcPr>
          <w:p>
            <w:pPr>
              <w:ind w:left="140"/>
              <w:spacing w:after="0"/>
              <w:rPr>
                <w:sz w:val="20"/>
                <w:szCs w:val="20"/>
                <w:color w:val="auto"/>
              </w:rPr>
            </w:pPr>
            <w:r>
              <w:rPr>
                <w:rFonts w:ascii="Arial" w:cs="Arial" w:eastAsia="Arial" w:hAnsi="Arial"/>
                <w:sz w:val="16"/>
                <w:szCs w:val="16"/>
                <w:color w:val="auto"/>
              </w:rPr>
              <w:t>benefit</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w w:val="90"/>
              </w:rPr>
              <w:t>(17,904,951)</w:t>
            </w:r>
          </w:p>
        </w:tc>
        <w:tc>
          <w:tcPr>
            <w:tcW w:w="3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60"/>
              <w:spacing w:after="0"/>
              <w:rPr>
                <w:sz w:val="20"/>
                <w:szCs w:val="20"/>
                <w:color w:val="auto"/>
              </w:rPr>
            </w:pPr>
            <w:r>
              <w:rPr>
                <w:rFonts w:ascii="Arial" w:cs="Arial" w:eastAsia="Arial" w:hAnsi="Arial"/>
                <w:sz w:val="16"/>
                <w:szCs w:val="16"/>
                <w:color w:val="auto"/>
                <w:w w:val="90"/>
              </w:rPr>
              <w:t>(12,559,261)</w:t>
            </w: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w w:val="90"/>
              </w:rPr>
              <w:t>(11,243,843)</w:t>
            </w: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w w:val="90"/>
              </w:rPr>
              <w:t>(15,579,391)</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(7,250,597)</w:t>
            </w:r>
          </w:p>
        </w:tc>
        <w:tc>
          <w:tcPr>
            <w:tcW w:w="0" w:type="dxa"/>
            <w:vAlign w:val="bottom"/>
          </w:tcPr>
          <w:p>
            <w:pPr>
              <w:spacing w:after="0"/>
              <w:rPr>
                <w:sz w:val="1"/>
                <w:szCs w:val="1"/>
                <w:color w:val="auto"/>
              </w:rPr>
            </w:pPr>
          </w:p>
        </w:tc>
      </w:tr>
      <w:tr>
        <w:trPr>
          <w:trHeight w:val="305"/>
        </w:trPr>
        <w:tc>
          <w:tcPr>
            <w:tcW w:w="3960" w:type="dxa"/>
            <w:vAlign w:val="bottom"/>
            <w:gridSpan w:val="3"/>
          </w:tcPr>
          <w:p>
            <w:pPr>
              <w:spacing w:after="0"/>
              <w:rPr>
                <w:sz w:val="20"/>
                <w:szCs w:val="20"/>
                <w:color w:val="auto"/>
              </w:rPr>
            </w:pPr>
            <w:r>
              <w:rPr>
                <w:rFonts w:ascii="Arial" w:cs="Arial" w:eastAsia="Arial" w:hAnsi="Arial"/>
                <w:sz w:val="16"/>
                <w:szCs w:val="16"/>
                <w:color w:val="auto"/>
              </w:rPr>
              <w:t>Profit for the period from discontinued operations</w:t>
            </w: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6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3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00" w:type="dxa"/>
            <w:vAlign w:val="bottom"/>
            <w:gridSpan w:val="2"/>
          </w:tcPr>
          <w:p>
            <w:pPr>
              <w:jc w:val="right"/>
              <w:ind w:right="38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2,493,947</w:t>
            </w:r>
          </w:p>
        </w:tc>
        <w:tc>
          <w:tcPr>
            <w:tcW w:w="2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40" w:type="dxa"/>
            <w:vAlign w:val="bottom"/>
            <w:gridSpan w:val="2"/>
          </w:tcPr>
          <w:p>
            <w:pPr>
              <w:jc w:val="right"/>
              <w:ind w:right="34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0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394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Income tax benefit</w:t>
            </w:r>
          </w:p>
        </w:tc>
        <w:tc>
          <w:tcPr>
            <w:tcW w:w="22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1,385,796</w:t>
            </w:r>
          </w:p>
        </w:tc>
        <w:tc>
          <w:tcPr>
            <w:tcW w:w="1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1,048,237</w:t>
            </w:r>
          </w:p>
        </w:tc>
        <w:tc>
          <w:tcPr>
            <w:tcW w:w="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971,881</w:t>
            </w: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2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4"/>
        </w:trPr>
        <w:tc>
          <w:tcPr>
            <w:tcW w:w="3960" w:type="dxa"/>
            <w:vAlign w:val="bottom"/>
            <w:gridSpan w:val="3"/>
          </w:tcPr>
          <w:p>
            <w:pPr>
              <w:spacing w:after="0"/>
              <w:rPr>
                <w:sz w:val="20"/>
                <w:szCs w:val="20"/>
                <w:color w:val="auto"/>
              </w:rPr>
            </w:pPr>
            <w:r>
              <w:rPr>
                <w:rFonts w:ascii="Arial" w:cs="Arial" w:eastAsia="Arial" w:hAnsi="Arial"/>
                <w:sz w:val="16"/>
                <w:szCs w:val="16"/>
                <w:color w:val="auto"/>
              </w:rPr>
              <w:t>Loss for the period</w:t>
            </w: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60" w:type="dxa"/>
            <w:vAlign w:val="bottom"/>
            <w:gridSpan w:val="2"/>
          </w:tcPr>
          <w:p>
            <w:pPr>
              <w:jc w:val="right"/>
              <w:ind w:right="120"/>
              <w:spacing w:after="0"/>
              <w:rPr>
                <w:sz w:val="20"/>
                <w:szCs w:val="20"/>
                <w:color w:val="auto"/>
              </w:rPr>
            </w:pPr>
            <w:r>
              <w:rPr>
                <w:rFonts w:ascii="Arial" w:cs="Arial" w:eastAsia="Arial" w:hAnsi="Arial"/>
                <w:sz w:val="16"/>
                <w:szCs w:val="16"/>
                <w:color w:val="auto"/>
                <w:w w:val="90"/>
              </w:rPr>
              <w:t>(16,519,155)</w:t>
            </w:r>
          </w:p>
        </w:tc>
        <w:tc>
          <w:tcPr>
            <w:tcW w:w="3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00" w:type="dxa"/>
            <w:vAlign w:val="bottom"/>
            <w:gridSpan w:val="2"/>
          </w:tcPr>
          <w:p>
            <w:pPr>
              <w:jc w:val="right"/>
              <w:ind w:right="260"/>
              <w:spacing w:after="0"/>
              <w:rPr>
                <w:sz w:val="20"/>
                <w:szCs w:val="20"/>
                <w:color w:val="auto"/>
              </w:rPr>
            </w:pPr>
            <w:r>
              <w:rPr>
                <w:rFonts w:ascii="Arial" w:cs="Arial" w:eastAsia="Arial" w:hAnsi="Arial"/>
                <w:sz w:val="16"/>
                <w:szCs w:val="16"/>
                <w:color w:val="auto"/>
                <w:w w:val="90"/>
              </w:rPr>
              <w:t>(11,511,024)</w:t>
            </w:r>
          </w:p>
        </w:tc>
        <w:tc>
          <w:tcPr>
            <w:tcW w:w="1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40" w:type="dxa"/>
            <w:vAlign w:val="bottom"/>
            <w:gridSpan w:val="2"/>
          </w:tcPr>
          <w:p>
            <w:pPr>
              <w:jc w:val="right"/>
              <w:ind w:right="200"/>
              <w:spacing w:after="0"/>
              <w:rPr>
                <w:sz w:val="20"/>
                <w:szCs w:val="20"/>
                <w:color w:val="auto"/>
              </w:rPr>
            </w:pPr>
            <w:r>
              <w:rPr>
                <w:rFonts w:ascii="Arial" w:cs="Arial" w:eastAsia="Arial" w:hAnsi="Arial"/>
                <w:sz w:val="16"/>
                <w:szCs w:val="16"/>
                <w:color w:val="auto"/>
              </w:rPr>
              <w:t>(7,778,015)</w:t>
            </w:r>
          </w:p>
        </w:tc>
        <w:tc>
          <w:tcPr>
            <w:tcW w:w="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40" w:type="dxa"/>
            <w:vAlign w:val="bottom"/>
            <w:gridSpan w:val="2"/>
          </w:tcPr>
          <w:p>
            <w:pPr>
              <w:jc w:val="right"/>
              <w:ind w:right="200"/>
              <w:spacing w:after="0"/>
              <w:rPr>
                <w:sz w:val="20"/>
                <w:szCs w:val="20"/>
                <w:color w:val="auto"/>
              </w:rPr>
            </w:pPr>
            <w:r>
              <w:rPr>
                <w:rFonts w:ascii="Arial" w:cs="Arial" w:eastAsia="Arial" w:hAnsi="Arial"/>
                <w:sz w:val="16"/>
                <w:szCs w:val="16"/>
                <w:color w:val="auto"/>
                <w:w w:val="90"/>
              </w:rPr>
              <w:t>(15,579,391)</w:t>
            </w: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00" w:type="dxa"/>
            <w:vAlign w:val="bottom"/>
            <w:gridSpan w:val="2"/>
          </w:tcPr>
          <w:p>
            <w:pPr>
              <w:jc w:val="right"/>
              <w:ind w:right="60"/>
              <w:spacing w:after="0"/>
              <w:rPr>
                <w:sz w:val="20"/>
                <w:szCs w:val="20"/>
                <w:color w:val="auto"/>
              </w:rPr>
            </w:pPr>
            <w:r>
              <w:rPr>
                <w:rFonts w:ascii="Arial" w:cs="Arial" w:eastAsia="Arial" w:hAnsi="Arial"/>
                <w:sz w:val="16"/>
                <w:szCs w:val="16"/>
                <w:color w:val="auto"/>
              </w:rPr>
              <w:t>(7,250,597)</w:t>
            </w:r>
          </w:p>
        </w:tc>
        <w:tc>
          <w:tcPr>
            <w:tcW w:w="0" w:type="dxa"/>
            <w:vAlign w:val="bottom"/>
          </w:tcPr>
          <w:p>
            <w:pPr>
              <w:spacing w:after="0"/>
              <w:rPr>
                <w:sz w:val="1"/>
                <w:szCs w:val="1"/>
                <w:color w:val="auto"/>
              </w:rPr>
            </w:pPr>
          </w:p>
        </w:tc>
      </w:tr>
      <w:tr>
        <w:trPr>
          <w:trHeight w:val="114"/>
        </w:trPr>
        <w:tc>
          <w:tcPr>
            <w:tcW w:w="20" w:type="dxa"/>
            <w:vAlign w:val="bottom"/>
            <w:vMerge w:val="restart"/>
          </w:tcPr>
          <w:p>
            <w:pPr>
              <w:spacing w:after="0"/>
              <w:rPr>
                <w:sz w:val="9"/>
                <w:szCs w:val="9"/>
                <w:color w:val="auto"/>
              </w:rPr>
            </w:pPr>
          </w:p>
        </w:tc>
        <w:tc>
          <w:tcPr>
            <w:tcW w:w="1360" w:type="dxa"/>
            <w:vAlign w:val="bottom"/>
          </w:tcPr>
          <w:p>
            <w:pPr>
              <w:spacing w:after="0"/>
              <w:rPr>
                <w:sz w:val="9"/>
                <w:szCs w:val="9"/>
                <w:color w:val="auto"/>
              </w:rPr>
            </w:pPr>
          </w:p>
        </w:tc>
        <w:tc>
          <w:tcPr>
            <w:tcW w:w="2580" w:type="dxa"/>
            <w:vAlign w:val="bottom"/>
          </w:tcPr>
          <w:p>
            <w:pPr>
              <w:spacing w:after="0"/>
              <w:rPr>
                <w:sz w:val="9"/>
                <w:szCs w:val="9"/>
                <w:color w:val="auto"/>
              </w:rPr>
            </w:pPr>
          </w:p>
        </w:tc>
        <w:tc>
          <w:tcPr>
            <w:tcW w:w="220" w:type="dxa"/>
            <w:vAlign w:val="bottom"/>
          </w:tcPr>
          <w:p>
            <w:pPr>
              <w:spacing w:after="0"/>
              <w:rPr>
                <w:sz w:val="9"/>
                <w:szCs w:val="9"/>
                <w:color w:val="auto"/>
              </w:rPr>
            </w:pPr>
          </w:p>
        </w:tc>
        <w:tc>
          <w:tcPr>
            <w:tcW w:w="180" w:type="dxa"/>
            <w:vAlign w:val="bottom"/>
          </w:tcPr>
          <w:p>
            <w:pPr>
              <w:spacing w:after="0"/>
              <w:rPr>
                <w:sz w:val="9"/>
                <w:szCs w:val="9"/>
                <w:color w:val="auto"/>
              </w:rPr>
            </w:pPr>
          </w:p>
        </w:tc>
        <w:tc>
          <w:tcPr>
            <w:tcW w:w="800" w:type="dxa"/>
            <w:vAlign w:val="bottom"/>
          </w:tcPr>
          <w:p>
            <w:pPr>
              <w:spacing w:after="0"/>
              <w:rPr>
                <w:sz w:val="9"/>
                <w:szCs w:val="9"/>
                <w:color w:val="auto"/>
              </w:rPr>
            </w:pPr>
          </w:p>
        </w:tc>
        <w:tc>
          <w:tcPr>
            <w:tcW w:w="160" w:type="dxa"/>
            <w:vAlign w:val="bottom"/>
          </w:tcPr>
          <w:p>
            <w:pPr>
              <w:spacing w:after="0"/>
              <w:rPr>
                <w:sz w:val="9"/>
                <w:szCs w:val="9"/>
                <w:color w:val="auto"/>
              </w:rPr>
            </w:pPr>
          </w:p>
        </w:tc>
        <w:tc>
          <w:tcPr>
            <w:tcW w:w="300" w:type="dxa"/>
            <w:vAlign w:val="bottom"/>
          </w:tcPr>
          <w:p>
            <w:pPr>
              <w:spacing w:after="0"/>
              <w:rPr>
                <w:sz w:val="9"/>
                <w:szCs w:val="9"/>
                <w:color w:val="auto"/>
              </w:rPr>
            </w:pPr>
          </w:p>
        </w:tc>
        <w:tc>
          <w:tcPr>
            <w:tcW w:w="180" w:type="dxa"/>
            <w:vAlign w:val="bottom"/>
          </w:tcPr>
          <w:p>
            <w:pPr>
              <w:spacing w:after="0"/>
              <w:rPr>
                <w:sz w:val="9"/>
                <w:szCs w:val="9"/>
                <w:color w:val="auto"/>
              </w:rPr>
            </w:pPr>
          </w:p>
        </w:tc>
        <w:tc>
          <w:tcPr>
            <w:tcW w:w="800" w:type="dxa"/>
            <w:vAlign w:val="bottom"/>
          </w:tcPr>
          <w:p>
            <w:pPr>
              <w:spacing w:after="0"/>
              <w:rPr>
                <w:sz w:val="9"/>
                <w:szCs w:val="9"/>
                <w:color w:val="auto"/>
              </w:rPr>
            </w:pPr>
          </w:p>
        </w:tc>
        <w:tc>
          <w:tcPr>
            <w:tcW w:w="300" w:type="dxa"/>
            <w:vAlign w:val="bottom"/>
          </w:tcPr>
          <w:p>
            <w:pPr>
              <w:spacing w:after="0"/>
              <w:rPr>
                <w:sz w:val="9"/>
                <w:szCs w:val="9"/>
                <w:color w:val="auto"/>
              </w:rPr>
            </w:pPr>
          </w:p>
        </w:tc>
        <w:tc>
          <w:tcPr>
            <w:tcW w:w="160" w:type="dxa"/>
            <w:vAlign w:val="bottom"/>
          </w:tcPr>
          <w:p>
            <w:pPr>
              <w:spacing w:after="0"/>
              <w:rPr>
                <w:sz w:val="9"/>
                <w:szCs w:val="9"/>
                <w:color w:val="auto"/>
              </w:rPr>
            </w:pPr>
          </w:p>
        </w:tc>
        <w:tc>
          <w:tcPr>
            <w:tcW w:w="200" w:type="dxa"/>
            <w:vAlign w:val="bottom"/>
          </w:tcPr>
          <w:p>
            <w:pPr>
              <w:spacing w:after="0"/>
              <w:rPr>
                <w:sz w:val="9"/>
                <w:szCs w:val="9"/>
                <w:color w:val="auto"/>
              </w:rPr>
            </w:pPr>
          </w:p>
        </w:tc>
        <w:tc>
          <w:tcPr>
            <w:tcW w:w="780" w:type="dxa"/>
            <w:vAlign w:val="bottom"/>
          </w:tcPr>
          <w:p>
            <w:pPr>
              <w:spacing w:after="0"/>
              <w:rPr>
                <w:sz w:val="9"/>
                <w:szCs w:val="9"/>
                <w:color w:val="auto"/>
              </w:rPr>
            </w:pPr>
          </w:p>
        </w:tc>
        <w:tc>
          <w:tcPr>
            <w:tcW w:w="260" w:type="dxa"/>
            <w:vAlign w:val="bottom"/>
          </w:tcPr>
          <w:p>
            <w:pPr>
              <w:spacing w:after="0"/>
              <w:rPr>
                <w:sz w:val="9"/>
                <w:szCs w:val="9"/>
                <w:color w:val="auto"/>
              </w:rPr>
            </w:pPr>
          </w:p>
        </w:tc>
        <w:tc>
          <w:tcPr>
            <w:tcW w:w="200" w:type="dxa"/>
            <w:vAlign w:val="bottom"/>
          </w:tcPr>
          <w:p>
            <w:pPr>
              <w:spacing w:after="0"/>
              <w:rPr>
                <w:sz w:val="9"/>
                <w:szCs w:val="9"/>
                <w:color w:val="auto"/>
              </w:rPr>
            </w:pPr>
          </w:p>
        </w:tc>
        <w:tc>
          <w:tcPr>
            <w:tcW w:w="200" w:type="dxa"/>
            <w:vAlign w:val="bottom"/>
          </w:tcPr>
          <w:p>
            <w:pPr>
              <w:spacing w:after="0"/>
              <w:rPr>
                <w:sz w:val="9"/>
                <w:szCs w:val="9"/>
                <w:color w:val="auto"/>
              </w:rPr>
            </w:pPr>
          </w:p>
        </w:tc>
        <w:tc>
          <w:tcPr>
            <w:tcW w:w="800" w:type="dxa"/>
            <w:vAlign w:val="bottom"/>
          </w:tcPr>
          <w:p>
            <w:pPr>
              <w:spacing w:after="0"/>
              <w:rPr>
                <w:sz w:val="9"/>
                <w:szCs w:val="9"/>
                <w:color w:val="auto"/>
              </w:rPr>
            </w:pPr>
          </w:p>
        </w:tc>
        <w:tc>
          <w:tcPr>
            <w:tcW w:w="240" w:type="dxa"/>
            <w:vAlign w:val="bottom"/>
          </w:tcPr>
          <w:p>
            <w:pPr>
              <w:spacing w:after="0"/>
              <w:rPr>
                <w:sz w:val="9"/>
                <w:szCs w:val="9"/>
                <w:color w:val="auto"/>
              </w:rPr>
            </w:pPr>
          </w:p>
        </w:tc>
        <w:tc>
          <w:tcPr>
            <w:tcW w:w="220" w:type="dxa"/>
            <w:vAlign w:val="bottom"/>
          </w:tcPr>
          <w:p>
            <w:pPr>
              <w:spacing w:after="0"/>
              <w:rPr>
                <w:sz w:val="9"/>
                <w:szCs w:val="9"/>
                <w:color w:val="auto"/>
              </w:rPr>
            </w:pPr>
          </w:p>
        </w:tc>
        <w:tc>
          <w:tcPr>
            <w:tcW w:w="180" w:type="dxa"/>
            <w:vAlign w:val="bottom"/>
          </w:tcPr>
          <w:p>
            <w:pPr>
              <w:spacing w:after="0"/>
              <w:rPr>
                <w:sz w:val="9"/>
                <w:szCs w:val="9"/>
                <w:color w:val="auto"/>
              </w:rPr>
            </w:pPr>
          </w:p>
        </w:tc>
        <w:tc>
          <w:tcPr>
            <w:tcW w:w="80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394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Other comprehensive income (loss)</w:t>
            </w:r>
          </w:p>
        </w:tc>
        <w:tc>
          <w:tcPr>
            <w:tcW w:w="2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940" w:type="dxa"/>
            <w:vAlign w:val="bottom"/>
            <w:gridSpan w:val="2"/>
          </w:tcPr>
          <w:p>
            <w:pPr>
              <w:spacing w:after="0"/>
              <w:rPr>
                <w:sz w:val="20"/>
                <w:szCs w:val="20"/>
                <w:color w:val="auto"/>
              </w:rPr>
            </w:pPr>
            <w:r>
              <w:rPr>
                <w:rFonts w:ascii="Arial" w:cs="Arial" w:eastAsia="Arial" w:hAnsi="Arial"/>
                <w:sz w:val="16"/>
                <w:szCs w:val="16"/>
                <w:color w:val="auto"/>
              </w:rPr>
              <w:t>Foreign currency translation</w:t>
            </w: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563,279</w:t>
            </w:r>
          </w:p>
        </w:tc>
        <w:tc>
          <w:tcPr>
            <w:tcW w:w="1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00" w:type="dxa"/>
            <w:vAlign w:val="bottom"/>
            <w:gridSpan w:val="2"/>
          </w:tcPr>
          <w:p>
            <w:pPr>
              <w:jc w:val="right"/>
              <w:ind w:right="260"/>
              <w:spacing w:after="0"/>
              <w:rPr>
                <w:sz w:val="20"/>
                <w:szCs w:val="20"/>
                <w:color w:val="auto"/>
              </w:rPr>
            </w:pPr>
            <w:r>
              <w:rPr>
                <w:rFonts w:ascii="Arial" w:cs="Arial" w:eastAsia="Arial" w:hAnsi="Arial"/>
                <w:sz w:val="16"/>
                <w:szCs w:val="16"/>
                <w:color w:val="auto"/>
              </w:rPr>
              <w:t>(83,293)</w:t>
            </w:r>
          </w:p>
        </w:tc>
        <w:tc>
          <w:tcPr>
            <w:tcW w:w="1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40" w:type="dxa"/>
            <w:vAlign w:val="bottom"/>
            <w:gridSpan w:val="2"/>
          </w:tcPr>
          <w:p>
            <w:pPr>
              <w:jc w:val="right"/>
              <w:ind w:right="200"/>
              <w:spacing w:after="0"/>
              <w:rPr>
                <w:sz w:val="20"/>
                <w:szCs w:val="20"/>
                <w:color w:val="auto"/>
              </w:rPr>
            </w:pPr>
            <w:r>
              <w:rPr>
                <w:rFonts w:ascii="Arial" w:cs="Arial" w:eastAsia="Arial" w:hAnsi="Arial"/>
                <w:sz w:val="16"/>
                <w:szCs w:val="16"/>
                <w:color w:val="auto"/>
              </w:rPr>
              <w:t>(169,100)</w:t>
            </w:r>
          </w:p>
        </w:tc>
        <w:tc>
          <w:tcPr>
            <w:tcW w:w="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1,374,144</w:t>
            </w:r>
          </w:p>
        </w:tc>
        <w:tc>
          <w:tcPr>
            <w:tcW w:w="2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00" w:type="dxa"/>
            <w:vAlign w:val="bottom"/>
            <w:gridSpan w:val="2"/>
          </w:tcPr>
          <w:p>
            <w:pPr>
              <w:jc w:val="right"/>
              <w:ind w:right="60"/>
              <w:spacing w:after="0"/>
              <w:rPr>
                <w:sz w:val="20"/>
                <w:szCs w:val="20"/>
                <w:color w:val="auto"/>
              </w:rPr>
            </w:pPr>
            <w:r>
              <w:rPr>
                <w:rFonts w:ascii="Arial" w:cs="Arial" w:eastAsia="Arial" w:hAnsi="Arial"/>
                <w:sz w:val="16"/>
                <w:szCs w:val="16"/>
                <w:color w:val="auto"/>
              </w:rPr>
              <w:t>(55,390)</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940" w:type="dxa"/>
            <w:vAlign w:val="bottom"/>
            <w:gridSpan w:val="2"/>
            <w:shd w:val="clear" w:color="auto" w:fill="CCEEFF"/>
          </w:tcPr>
          <w:p>
            <w:pPr>
              <w:spacing w:after="0"/>
              <w:rPr>
                <w:sz w:val="20"/>
                <w:szCs w:val="20"/>
                <w:color w:val="auto"/>
              </w:rPr>
            </w:pPr>
            <w:r>
              <w:rPr>
                <w:rFonts w:ascii="Arial" w:cs="Arial" w:eastAsia="Arial" w:hAnsi="Arial"/>
                <w:sz w:val="16"/>
                <w:szCs w:val="16"/>
                <w:color w:val="auto"/>
                <w:w w:val="95"/>
              </w:rPr>
              <w:t>Fair value gain (loss) on available for sale financial assets</w:t>
            </w:r>
          </w:p>
        </w:tc>
        <w:tc>
          <w:tcPr>
            <w:tcW w:w="2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60" w:type="dxa"/>
            <w:vAlign w:val="bottom"/>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3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100" w:type="dxa"/>
            <w:vAlign w:val="bottom"/>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(265,261)</w:t>
            </w:r>
          </w:p>
        </w:tc>
        <w:tc>
          <w:tcPr>
            <w:tcW w:w="1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265,261</w:t>
            </w:r>
          </w:p>
        </w:tc>
        <w:tc>
          <w:tcPr>
            <w:tcW w:w="2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jc w:val="right"/>
              <w:ind w:right="340"/>
              <w:spacing w:after="0"/>
              <w:rPr>
                <w:sz w:val="20"/>
                <w:szCs w:val="20"/>
                <w:color w:val="auto"/>
              </w:rPr>
            </w:pPr>
            <w:r>
              <w:rPr>
                <w:rFonts w:ascii="Arial" w:cs="Arial" w:eastAsia="Arial" w:hAnsi="Arial"/>
                <w:sz w:val="16"/>
                <w:szCs w:val="16"/>
                <w:color w:val="auto"/>
              </w:rPr>
              <w:t>—</w:t>
            </w:r>
          </w:p>
        </w:tc>
        <w:tc>
          <w:tcPr>
            <w:tcW w:w="2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0"/>
        </w:trPr>
        <w:tc>
          <w:tcPr>
            <w:tcW w:w="3960" w:type="dxa"/>
            <w:vAlign w:val="bottom"/>
            <w:gridSpan w:val="3"/>
          </w:tcPr>
          <w:p>
            <w:pPr>
              <w:spacing w:after="0"/>
              <w:rPr>
                <w:sz w:val="20"/>
                <w:szCs w:val="20"/>
                <w:color w:val="auto"/>
              </w:rPr>
            </w:pPr>
            <w:r>
              <w:rPr>
                <w:rFonts w:ascii="Arial" w:cs="Arial" w:eastAsia="Arial" w:hAnsi="Arial"/>
                <w:sz w:val="16"/>
                <w:szCs w:val="16"/>
                <w:color w:val="auto"/>
                <w:w w:val="98"/>
              </w:rPr>
              <w:t>Other comprehensive income (loss) for the period, net of</w:t>
            </w:r>
          </w:p>
        </w:tc>
        <w:tc>
          <w:tcPr>
            <w:tcW w:w="220" w:type="dxa"/>
            <w:vAlign w:val="bottom"/>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800" w:type="dxa"/>
            <w:vAlign w:val="bottom"/>
            <w:tcBorders>
              <w:top w:val="single" w:sz="8" w:color="auto"/>
            </w:tcBorders>
          </w:tcPr>
          <w:p>
            <w:pPr>
              <w:spacing w:after="0"/>
              <w:rPr>
                <w:sz w:val="17"/>
                <w:szCs w:val="17"/>
                <w:color w:val="auto"/>
              </w:rPr>
            </w:pPr>
          </w:p>
        </w:tc>
        <w:tc>
          <w:tcPr>
            <w:tcW w:w="1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800" w:type="dxa"/>
            <w:vAlign w:val="bottom"/>
            <w:tcBorders>
              <w:top w:val="single" w:sz="8" w:color="auto"/>
            </w:tcBorders>
          </w:tcPr>
          <w:p>
            <w:pPr>
              <w:spacing w:after="0"/>
              <w:rPr>
                <w:sz w:val="17"/>
                <w:szCs w:val="17"/>
                <w:color w:val="auto"/>
              </w:rPr>
            </w:pPr>
          </w:p>
        </w:tc>
        <w:tc>
          <w:tcPr>
            <w:tcW w:w="3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780" w:type="dxa"/>
            <w:vAlign w:val="bottom"/>
            <w:tcBorders>
              <w:top w:val="single" w:sz="8" w:color="auto"/>
            </w:tcBorders>
          </w:tcPr>
          <w:p>
            <w:pPr>
              <w:spacing w:after="0"/>
              <w:rPr>
                <w:sz w:val="17"/>
                <w:szCs w:val="17"/>
                <w:color w:val="auto"/>
              </w:rPr>
            </w:pPr>
          </w:p>
        </w:tc>
        <w:tc>
          <w:tcPr>
            <w:tcW w:w="2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800" w:type="dxa"/>
            <w:vAlign w:val="bottom"/>
            <w:tcBorders>
              <w:top w:val="single" w:sz="8" w:color="auto"/>
            </w:tcBorders>
          </w:tcPr>
          <w:p>
            <w:pPr>
              <w:spacing w:after="0"/>
              <w:rPr>
                <w:sz w:val="17"/>
                <w:szCs w:val="17"/>
                <w:color w:val="auto"/>
              </w:rPr>
            </w:pPr>
          </w:p>
        </w:tc>
        <w:tc>
          <w:tcPr>
            <w:tcW w:w="2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80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3940" w:type="dxa"/>
            <w:vAlign w:val="bottom"/>
            <w:gridSpan w:val="2"/>
          </w:tcPr>
          <w:p>
            <w:pPr>
              <w:ind w:left="140"/>
              <w:spacing w:after="0"/>
              <w:rPr>
                <w:sz w:val="20"/>
                <w:szCs w:val="20"/>
                <w:color w:val="auto"/>
              </w:rPr>
            </w:pPr>
            <w:r>
              <w:rPr>
                <w:rFonts w:ascii="Arial" w:cs="Arial" w:eastAsia="Arial" w:hAnsi="Arial"/>
                <w:sz w:val="16"/>
                <w:szCs w:val="16"/>
                <w:color w:val="auto"/>
              </w:rPr>
              <w:t>tax</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563,279</w:t>
            </w:r>
          </w:p>
        </w:tc>
        <w:tc>
          <w:tcPr>
            <w:tcW w:w="1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00" w:type="dxa"/>
            <w:vAlign w:val="bottom"/>
            <w:gridSpan w:val="2"/>
          </w:tcPr>
          <w:p>
            <w:pPr>
              <w:jc w:val="right"/>
              <w:ind w:right="260"/>
              <w:spacing w:after="0"/>
              <w:rPr>
                <w:sz w:val="20"/>
                <w:szCs w:val="20"/>
                <w:color w:val="auto"/>
              </w:rPr>
            </w:pPr>
            <w:r>
              <w:rPr>
                <w:rFonts w:ascii="Arial" w:cs="Arial" w:eastAsia="Arial" w:hAnsi="Arial"/>
                <w:sz w:val="16"/>
                <w:szCs w:val="16"/>
                <w:color w:val="auto"/>
              </w:rPr>
              <w:t>(348,554)</w:t>
            </w: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96,161</w:t>
            </w: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1,374,144</w:t>
            </w: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00" w:type="dxa"/>
            <w:vAlign w:val="bottom"/>
            <w:gridSpan w:val="2"/>
          </w:tcPr>
          <w:p>
            <w:pPr>
              <w:jc w:val="right"/>
              <w:ind w:right="60"/>
              <w:spacing w:after="0"/>
              <w:rPr>
                <w:sz w:val="20"/>
                <w:szCs w:val="20"/>
                <w:color w:val="auto"/>
              </w:rPr>
            </w:pPr>
            <w:r>
              <w:rPr>
                <w:rFonts w:ascii="Arial" w:cs="Arial" w:eastAsia="Arial" w:hAnsi="Arial"/>
                <w:sz w:val="16"/>
                <w:szCs w:val="16"/>
                <w:color w:val="auto"/>
              </w:rPr>
              <w:t>(55,390)</w:t>
            </w:r>
          </w:p>
        </w:tc>
        <w:tc>
          <w:tcPr>
            <w:tcW w:w="0" w:type="dxa"/>
            <w:vAlign w:val="bottom"/>
          </w:tcPr>
          <w:p>
            <w:pPr>
              <w:spacing w:after="0"/>
              <w:rPr>
                <w:sz w:val="1"/>
                <w:szCs w:val="1"/>
                <w:color w:val="auto"/>
              </w:rPr>
            </w:pPr>
          </w:p>
        </w:tc>
      </w:tr>
      <w:tr>
        <w:trPr>
          <w:trHeight w:val="118"/>
        </w:trPr>
        <w:tc>
          <w:tcPr>
            <w:tcW w:w="20" w:type="dxa"/>
            <w:vAlign w:val="bottom"/>
            <w:vMerge w:val="restart"/>
          </w:tcPr>
          <w:p>
            <w:pPr>
              <w:spacing w:after="0"/>
              <w:rPr>
                <w:sz w:val="10"/>
                <w:szCs w:val="10"/>
                <w:color w:val="auto"/>
              </w:rPr>
            </w:pPr>
          </w:p>
        </w:tc>
        <w:tc>
          <w:tcPr>
            <w:tcW w:w="1360" w:type="dxa"/>
            <w:vAlign w:val="bottom"/>
          </w:tcPr>
          <w:p>
            <w:pPr>
              <w:spacing w:after="0"/>
              <w:rPr>
                <w:sz w:val="10"/>
                <w:szCs w:val="10"/>
                <w:color w:val="auto"/>
              </w:rPr>
            </w:pPr>
          </w:p>
        </w:tc>
        <w:tc>
          <w:tcPr>
            <w:tcW w:w="25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80" w:type="dxa"/>
            <w:vAlign w:val="bottom"/>
            <w:tcBorders>
              <w:top w:val="single" w:sz="8" w:color="auto"/>
            </w:tcBorders>
          </w:tcPr>
          <w:p>
            <w:pPr>
              <w:spacing w:after="0"/>
              <w:rPr>
                <w:sz w:val="10"/>
                <w:szCs w:val="10"/>
                <w:color w:val="auto"/>
              </w:rPr>
            </w:pPr>
          </w:p>
        </w:tc>
        <w:tc>
          <w:tcPr>
            <w:tcW w:w="800" w:type="dxa"/>
            <w:vAlign w:val="bottom"/>
            <w:tcBorders>
              <w:top w:val="single" w:sz="8" w:color="auto"/>
            </w:tcBorders>
          </w:tcPr>
          <w:p>
            <w:pPr>
              <w:spacing w:after="0"/>
              <w:rPr>
                <w:sz w:val="10"/>
                <w:szCs w:val="10"/>
                <w:color w:val="auto"/>
              </w:rPr>
            </w:pPr>
          </w:p>
        </w:tc>
        <w:tc>
          <w:tcPr>
            <w:tcW w:w="16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80" w:type="dxa"/>
            <w:vAlign w:val="bottom"/>
            <w:tcBorders>
              <w:top w:val="single" w:sz="8" w:color="auto"/>
            </w:tcBorders>
          </w:tcPr>
          <w:p>
            <w:pPr>
              <w:spacing w:after="0"/>
              <w:rPr>
                <w:sz w:val="10"/>
                <w:szCs w:val="10"/>
                <w:color w:val="auto"/>
              </w:rPr>
            </w:pPr>
          </w:p>
        </w:tc>
        <w:tc>
          <w:tcPr>
            <w:tcW w:w="800" w:type="dxa"/>
            <w:vAlign w:val="bottom"/>
            <w:tcBorders>
              <w:top w:val="single" w:sz="8" w:color="auto"/>
            </w:tcBorders>
          </w:tcPr>
          <w:p>
            <w:pPr>
              <w:spacing w:after="0"/>
              <w:rPr>
                <w:sz w:val="10"/>
                <w:szCs w:val="10"/>
                <w:color w:val="auto"/>
              </w:rPr>
            </w:pPr>
          </w:p>
        </w:tc>
        <w:tc>
          <w:tcPr>
            <w:tcW w:w="3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200" w:type="dxa"/>
            <w:vAlign w:val="bottom"/>
            <w:tcBorders>
              <w:top w:val="single" w:sz="8" w:color="auto"/>
            </w:tcBorders>
          </w:tcPr>
          <w:p>
            <w:pPr>
              <w:spacing w:after="0"/>
              <w:rPr>
                <w:sz w:val="10"/>
                <w:szCs w:val="10"/>
                <w:color w:val="auto"/>
              </w:rPr>
            </w:pPr>
          </w:p>
        </w:tc>
        <w:tc>
          <w:tcPr>
            <w:tcW w:w="780" w:type="dxa"/>
            <w:vAlign w:val="bottom"/>
            <w:tcBorders>
              <w:top w:val="single" w:sz="8" w:color="auto"/>
            </w:tcBorders>
          </w:tcPr>
          <w:p>
            <w:pPr>
              <w:spacing w:after="0"/>
              <w:rPr>
                <w:sz w:val="10"/>
                <w:szCs w:val="10"/>
                <w:color w:val="auto"/>
              </w:rPr>
            </w:pPr>
          </w:p>
        </w:tc>
        <w:tc>
          <w:tcPr>
            <w:tcW w:w="2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200" w:type="dxa"/>
            <w:vAlign w:val="bottom"/>
            <w:tcBorders>
              <w:top w:val="single" w:sz="8" w:color="auto"/>
            </w:tcBorders>
          </w:tcPr>
          <w:p>
            <w:pPr>
              <w:spacing w:after="0"/>
              <w:rPr>
                <w:sz w:val="10"/>
                <w:szCs w:val="10"/>
                <w:color w:val="auto"/>
              </w:rPr>
            </w:pPr>
          </w:p>
        </w:tc>
        <w:tc>
          <w:tcPr>
            <w:tcW w:w="800" w:type="dxa"/>
            <w:vAlign w:val="bottom"/>
            <w:tcBorders>
              <w:top w:val="single" w:sz="8" w:color="auto"/>
            </w:tcBorders>
          </w:tcPr>
          <w:p>
            <w:pPr>
              <w:spacing w:after="0"/>
              <w:rPr>
                <w:sz w:val="10"/>
                <w:szCs w:val="10"/>
                <w:color w:val="auto"/>
              </w:rPr>
            </w:pPr>
          </w:p>
        </w:tc>
        <w:tc>
          <w:tcPr>
            <w:tcW w:w="2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80" w:type="dxa"/>
            <w:vAlign w:val="bottom"/>
            <w:tcBorders>
              <w:top w:val="single" w:sz="8" w:color="auto"/>
            </w:tcBorders>
          </w:tcPr>
          <w:p>
            <w:pPr>
              <w:spacing w:after="0"/>
              <w:rPr>
                <w:sz w:val="10"/>
                <w:szCs w:val="10"/>
                <w:color w:val="auto"/>
              </w:rPr>
            </w:pPr>
          </w:p>
        </w:tc>
        <w:tc>
          <w:tcPr>
            <w:tcW w:w="800" w:type="dxa"/>
            <w:vAlign w:val="bottom"/>
            <w:tcBorders>
              <w:top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394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Total other comprehensive loss for the period</w:t>
            </w:r>
          </w:p>
        </w:tc>
        <w:tc>
          <w:tcPr>
            <w:tcW w:w="400" w:type="dxa"/>
            <w:vAlign w:val="bottom"/>
            <w:gridSpan w:val="2"/>
            <w:shd w:val="clear" w:color="auto" w:fill="CCEEFF"/>
          </w:tcPr>
          <w:p>
            <w:pPr>
              <w:ind w:left="200"/>
              <w:spacing w:after="0"/>
              <w:rPr>
                <w:sz w:val="20"/>
                <w:szCs w:val="20"/>
                <w:color w:val="auto"/>
              </w:rPr>
            </w:pPr>
            <w:r>
              <w:rPr>
                <w:rFonts w:ascii="Arial" w:cs="Arial" w:eastAsia="Arial" w:hAnsi="Arial"/>
                <w:sz w:val="16"/>
                <w:szCs w:val="16"/>
                <w:u w:val="single" w:color="auto"/>
                <w:color w:val="auto"/>
                <w:w w:val="91"/>
              </w:rPr>
              <w:t>A$</w:t>
            </w:r>
          </w:p>
        </w:tc>
        <w:tc>
          <w:tcPr>
            <w:tcW w:w="96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w w:val="90"/>
              </w:rPr>
              <w:t>(15,955,876)</w:t>
            </w:r>
          </w:p>
        </w:tc>
        <w:tc>
          <w:tcPr>
            <w:tcW w:w="480" w:type="dxa"/>
            <w:vAlign w:val="bottom"/>
            <w:gridSpan w:val="2"/>
            <w:shd w:val="clear" w:color="auto" w:fill="CCEEFF"/>
          </w:tcPr>
          <w:p>
            <w:pPr>
              <w:ind w:left="280"/>
              <w:spacing w:after="0"/>
              <w:rPr>
                <w:sz w:val="20"/>
                <w:szCs w:val="20"/>
                <w:color w:val="auto"/>
              </w:rPr>
            </w:pPr>
            <w:r>
              <w:rPr>
                <w:rFonts w:ascii="Arial" w:cs="Arial" w:eastAsia="Arial" w:hAnsi="Arial"/>
                <w:sz w:val="16"/>
                <w:szCs w:val="16"/>
                <w:u w:val="single" w:color="auto"/>
                <w:color w:val="auto"/>
                <w:w w:val="91"/>
              </w:rPr>
              <w:t>A$</w:t>
            </w:r>
          </w:p>
        </w:tc>
        <w:tc>
          <w:tcPr>
            <w:tcW w:w="1100" w:type="dxa"/>
            <w:vAlign w:val="bottom"/>
            <w:gridSpan w:val="2"/>
            <w:shd w:val="clear" w:color="auto" w:fill="CCEEFF"/>
          </w:tcPr>
          <w:p>
            <w:pPr>
              <w:jc w:val="right"/>
              <w:ind w:right="260"/>
              <w:spacing w:after="0"/>
              <w:rPr>
                <w:sz w:val="20"/>
                <w:szCs w:val="20"/>
                <w:color w:val="auto"/>
              </w:rPr>
            </w:pPr>
            <w:r>
              <w:rPr>
                <w:rFonts w:ascii="Arial" w:cs="Arial" w:eastAsia="Arial" w:hAnsi="Arial"/>
                <w:sz w:val="16"/>
                <w:szCs w:val="16"/>
                <w:color w:val="auto"/>
                <w:w w:val="90"/>
              </w:rPr>
              <w:t>(11,859,578)</w:t>
            </w:r>
          </w:p>
        </w:tc>
        <w:tc>
          <w:tcPr>
            <w:tcW w:w="360" w:type="dxa"/>
            <w:vAlign w:val="bottom"/>
            <w:gridSpan w:val="2"/>
            <w:shd w:val="clear" w:color="auto" w:fill="CCEEFF"/>
          </w:tcPr>
          <w:p>
            <w:pPr>
              <w:ind w:left="160"/>
              <w:spacing w:after="0"/>
              <w:rPr>
                <w:sz w:val="20"/>
                <w:szCs w:val="20"/>
                <w:color w:val="auto"/>
              </w:rPr>
            </w:pPr>
            <w:r>
              <w:rPr>
                <w:rFonts w:ascii="Arial" w:cs="Arial" w:eastAsia="Arial" w:hAnsi="Arial"/>
                <w:sz w:val="16"/>
                <w:szCs w:val="16"/>
                <w:u w:val="single" w:color="auto"/>
                <w:color w:val="auto"/>
                <w:w w:val="91"/>
              </w:rPr>
              <w:t>A</w:t>
            </w:r>
            <w:r>
              <w:rPr>
                <w:rFonts w:ascii="Arial" w:cs="Arial" w:eastAsia="Arial" w:hAnsi="Arial"/>
                <w:sz w:val="16"/>
                <w:szCs w:val="16"/>
                <w:color w:val="auto"/>
                <w:w w:val="91"/>
              </w:rPr>
              <w:t>$</w:t>
            </w:r>
          </w:p>
        </w:tc>
        <w:tc>
          <w:tcPr>
            <w:tcW w:w="104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(7,681,854)</w:t>
            </w:r>
          </w:p>
        </w:tc>
        <w:tc>
          <w:tcPr>
            <w:tcW w:w="400" w:type="dxa"/>
            <w:vAlign w:val="bottom"/>
            <w:gridSpan w:val="2"/>
            <w:shd w:val="clear" w:color="auto" w:fill="CCEEFF"/>
          </w:tcPr>
          <w:p>
            <w:pPr>
              <w:ind w:left="200"/>
              <w:spacing w:after="0"/>
              <w:rPr>
                <w:sz w:val="20"/>
                <w:szCs w:val="20"/>
                <w:color w:val="auto"/>
              </w:rPr>
            </w:pPr>
            <w:r>
              <w:rPr>
                <w:rFonts w:ascii="Arial" w:cs="Arial" w:eastAsia="Arial" w:hAnsi="Arial"/>
                <w:sz w:val="16"/>
                <w:szCs w:val="16"/>
                <w:u w:val="single" w:color="auto"/>
                <w:color w:val="auto"/>
                <w:w w:val="91"/>
              </w:rPr>
              <w:t>A$</w:t>
            </w:r>
          </w:p>
        </w:tc>
        <w:tc>
          <w:tcPr>
            <w:tcW w:w="104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w w:val="90"/>
              </w:rPr>
              <w:t>(14,205,247)</w:t>
            </w:r>
          </w:p>
        </w:tc>
        <w:tc>
          <w:tcPr>
            <w:tcW w:w="400" w:type="dxa"/>
            <w:vAlign w:val="bottom"/>
            <w:gridSpan w:val="2"/>
            <w:shd w:val="clear" w:color="auto" w:fill="CCEEFF"/>
          </w:tcPr>
          <w:p>
            <w:pPr>
              <w:ind w:left="200"/>
              <w:spacing w:after="0"/>
              <w:rPr>
                <w:sz w:val="20"/>
                <w:szCs w:val="20"/>
                <w:color w:val="auto"/>
              </w:rPr>
            </w:pPr>
            <w:r>
              <w:rPr>
                <w:rFonts w:ascii="Arial" w:cs="Arial" w:eastAsia="Arial" w:hAnsi="Arial"/>
                <w:sz w:val="16"/>
                <w:szCs w:val="16"/>
                <w:u w:val="single" w:color="auto"/>
                <w:color w:val="auto"/>
                <w:w w:val="91"/>
              </w:rPr>
              <w:t>A</w:t>
            </w:r>
            <w:r>
              <w:rPr>
                <w:rFonts w:ascii="Arial" w:cs="Arial" w:eastAsia="Arial" w:hAnsi="Arial"/>
                <w:sz w:val="16"/>
                <w:szCs w:val="16"/>
                <w:color w:val="auto"/>
                <w:w w:val="91"/>
              </w:rPr>
              <w:t>$</w:t>
            </w:r>
          </w:p>
        </w:tc>
        <w:tc>
          <w:tcPr>
            <w:tcW w:w="90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(7,305,987)</w:t>
            </w:r>
          </w:p>
        </w:tc>
        <w:tc>
          <w:tcPr>
            <w:tcW w:w="0" w:type="dxa"/>
            <w:vAlign w:val="bottom"/>
          </w:tcPr>
          <w:p>
            <w:pPr>
              <w:spacing w:after="0"/>
              <w:rPr>
                <w:sz w:val="1"/>
                <w:szCs w:val="1"/>
                <w:color w:val="auto"/>
              </w:rPr>
            </w:pPr>
          </w:p>
        </w:tc>
      </w:tr>
      <w:tr>
        <w:trPr>
          <w:trHeight w:val="20"/>
        </w:trPr>
        <w:tc>
          <w:tcPr>
            <w:tcW w:w="3960" w:type="dxa"/>
            <w:vAlign w:val="bottom"/>
            <w:gridSpan w:val="3"/>
            <w:vMerge w:val="restart"/>
          </w:tcPr>
          <w:p>
            <w:pPr>
              <w:spacing w:after="0"/>
              <w:rPr>
                <w:sz w:val="20"/>
                <w:szCs w:val="20"/>
                <w:color w:val="auto"/>
              </w:rPr>
            </w:pPr>
            <w:r>
              <w:rPr>
                <w:rFonts w:ascii="Arial" w:cs="Arial" w:eastAsia="Arial" w:hAnsi="Arial"/>
                <w:sz w:val="16"/>
                <w:szCs w:val="16"/>
                <w:color w:val="auto"/>
              </w:rPr>
              <w:t>Earnings per share</w:t>
            </w:r>
          </w:p>
        </w:tc>
        <w:tc>
          <w:tcPr>
            <w:tcW w:w="2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9"/>
        </w:trPr>
        <w:tc>
          <w:tcPr>
            <w:tcW w:w="3960" w:type="dxa"/>
            <w:vAlign w:val="bottom"/>
            <w:gridSpan w:val="3"/>
            <w:vMerge w:val="continue"/>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9"/>
        </w:trPr>
        <w:tc>
          <w:tcPr>
            <w:tcW w:w="20" w:type="dxa"/>
            <w:vAlign w:val="bottom"/>
          </w:tcPr>
          <w:p>
            <w:pPr>
              <w:spacing w:after="0"/>
              <w:rPr>
                <w:sz w:val="17"/>
                <w:szCs w:val="17"/>
                <w:color w:val="auto"/>
              </w:rPr>
            </w:pPr>
          </w:p>
        </w:tc>
        <w:tc>
          <w:tcPr>
            <w:tcW w:w="394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Basic and diluted loss per share from continuing</w:t>
            </w:r>
          </w:p>
        </w:tc>
        <w:tc>
          <w:tcPr>
            <w:tcW w:w="2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3940" w:type="dxa"/>
            <w:vAlign w:val="bottom"/>
            <w:gridSpan w:val="2"/>
            <w:shd w:val="clear" w:color="auto" w:fill="CCEEFF"/>
          </w:tcPr>
          <w:p>
            <w:pPr>
              <w:ind w:left="140"/>
              <w:spacing w:after="0"/>
              <w:rPr>
                <w:sz w:val="20"/>
                <w:szCs w:val="20"/>
                <w:color w:val="auto"/>
              </w:rPr>
            </w:pPr>
            <w:r>
              <w:rPr>
                <w:rFonts w:ascii="Arial" w:cs="Arial" w:eastAsia="Arial" w:hAnsi="Arial"/>
                <w:sz w:val="16"/>
                <w:szCs w:val="16"/>
                <w:color w:val="auto"/>
              </w:rPr>
              <w:t>operations</w:t>
            </w:r>
          </w:p>
        </w:tc>
        <w:tc>
          <w:tcPr>
            <w:tcW w:w="400" w:type="dxa"/>
            <w:vAlign w:val="bottom"/>
            <w:gridSpan w:val="2"/>
            <w:shd w:val="clear" w:color="auto" w:fill="CCEEFF"/>
          </w:tcPr>
          <w:p>
            <w:pPr>
              <w:ind w:left="200"/>
              <w:spacing w:after="0"/>
              <w:rPr>
                <w:sz w:val="20"/>
                <w:szCs w:val="20"/>
                <w:color w:val="auto"/>
              </w:rPr>
            </w:pPr>
            <w:r>
              <w:rPr>
                <w:rFonts w:ascii="Arial" w:cs="Arial" w:eastAsia="Arial" w:hAnsi="Arial"/>
                <w:sz w:val="16"/>
                <w:szCs w:val="16"/>
                <w:color w:val="auto"/>
                <w:w w:val="91"/>
              </w:rPr>
              <w:t>A$</w:t>
            </w:r>
          </w:p>
        </w:tc>
        <w:tc>
          <w:tcPr>
            <w:tcW w:w="96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w w:val="89"/>
              </w:rPr>
              <w:t>(1.77) cents</w:t>
            </w:r>
          </w:p>
        </w:tc>
        <w:tc>
          <w:tcPr>
            <w:tcW w:w="480" w:type="dxa"/>
            <w:vAlign w:val="bottom"/>
            <w:gridSpan w:val="2"/>
            <w:shd w:val="clear" w:color="auto" w:fill="CCEEFF"/>
          </w:tcPr>
          <w:p>
            <w:pPr>
              <w:ind w:left="280"/>
              <w:spacing w:after="0"/>
              <w:rPr>
                <w:sz w:val="20"/>
                <w:szCs w:val="20"/>
                <w:color w:val="auto"/>
              </w:rPr>
            </w:pPr>
            <w:r>
              <w:rPr>
                <w:rFonts w:ascii="Arial" w:cs="Arial" w:eastAsia="Arial" w:hAnsi="Arial"/>
                <w:sz w:val="16"/>
                <w:szCs w:val="16"/>
                <w:color w:val="auto"/>
                <w:w w:val="91"/>
              </w:rPr>
              <w:t>A$</w:t>
            </w:r>
          </w:p>
        </w:tc>
        <w:tc>
          <w:tcPr>
            <w:tcW w:w="1100" w:type="dxa"/>
            <w:vAlign w:val="bottom"/>
            <w:gridSpan w:val="2"/>
            <w:shd w:val="clear" w:color="auto" w:fill="CCEEFF"/>
          </w:tcPr>
          <w:p>
            <w:pPr>
              <w:jc w:val="right"/>
              <w:ind w:right="300"/>
              <w:spacing w:after="0"/>
              <w:rPr>
                <w:sz w:val="20"/>
                <w:szCs w:val="20"/>
                <w:color w:val="auto"/>
              </w:rPr>
            </w:pPr>
            <w:r>
              <w:rPr>
                <w:rFonts w:ascii="Arial" w:cs="Arial" w:eastAsia="Arial" w:hAnsi="Arial"/>
                <w:sz w:val="16"/>
                <w:szCs w:val="16"/>
                <w:color w:val="auto"/>
                <w:w w:val="92"/>
              </w:rPr>
              <w:t>(1.72) cents</w:t>
            </w:r>
          </w:p>
        </w:tc>
        <w:tc>
          <w:tcPr>
            <w:tcW w:w="360" w:type="dxa"/>
            <w:vAlign w:val="bottom"/>
            <w:gridSpan w:val="2"/>
            <w:shd w:val="clear" w:color="auto" w:fill="CCEEFF"/>
          </w:tcPr>
          <w:p>
            <w:pPr>
              <w:ind w:left="160"/>
              <w:spacing w:after="0"/>
              <w:rPr>
                <w:sz w:val="20"/>
                <w:szCs w:val="20"/>
                <w:color w:val="auto"/>
              </w:rPr>
            </w:pPr>
            <w:r>
              <w:rPr>
                <w:rFonts w:ascii="Arial" w:cs="Arial" w:eastAsia="Arial" w:hAnsi="Arial"/>
                <w:sz w:val="16"/>
                <w:szCs w:val="16"/>
                <w:color w:val="auto"/>
                <w:w w:val="91"/>
              </w:rPr>
              <w:t>A$</w:t>
            </w:r>
          </w:p>
        </w:tc>
        <w:tc>
          <w:tcPr>
            <w:tcW w:w="1040" w:type="dxa"/>
            <w:vAlign w:val="bottom"/>
            <w:gridSpan w:val="2"/>
            <w:shd w:val="clear" w:color="auto" w:fill="CCEEFF"/>
          </w:tcPr>
          <w:p>
            <w:pPr>
              <w:jc w:val="right"/>
              <w:ind w:right="260"/>
              <w:spacing w:after="0"/>
              <w:rPr>
                <w:sz w:val="20"/>
                <w:szCs w:val="20"/>
                <w:color w:val="auto"/>
              </w:rPr>
            </w:pPr>
            <w:r>
              <w:rPr>
                <w:rFonts w:ascii="Arial" w:cs="Arial" w:eastAsia="Arial" w:hAnsi="Arial"/>
                <w:sz w:val="16"/>
                <w:szCs w:val="16"/>
                <w:color w:val="auto"/>
                <w:w w:val="89"/>
              </w:rPr>
              <w:t>(1.56) cents</w:t>
            </w:r>
          </w:p>
        </w:tc>
        <w:tc>
          <w:tcPr>
            <w:tcW w:w="400" w:type="dxa"/>
            <w:vAlign w:val="bottom"/>
            <w:gridSpan w:val="2"/>
            <w:shd w:val="clear" w:color="auto" w:fill="CCEEFF"/>
          </w:tcPr>
          <w:p>
            <w:pPr>
              <w:ind w:left="200"/>
              <w:spacing w:after="0"/>
              <w:rPr>
                <w:sz w:val="20"/>
                <w:szCs w:val="20"/>
                <w:color w:val="auto"/>
              </w:rPr>
            </w:pPr>
            <w:r>
              <w:rPr>
                <w:rFonts w:ascii="Arial" w:cs="Arial" w:eastAsia="Arial" w:hAnsi="Arial"/>
                <w:sz w:val="16"/>
                <w:szCs w:val="16"/>
                <w:color w:val="auto"/>
                <w:w w:val="91"/>
              </w:rPr>
              <w:t>A$</w:t>
            </w:r>
          </w:p>
        </w:tc>
        <w:tc>
          <w:tcPr>
            <w:tcW w:w="1040" w:type="dxa"/>
            <w:vAlign w:val="bottom"/>
            <w:gridSpan w:val="2"/>
            <w:shd w:val="clear" w:color="auto" w:fill="CCEEFF"/>
          </w:tcPr>
          <w:p>
            <w:pPr>
              <w:jc w:val="right"/>
              <w:ind w:right="260"/>
              <w:spacing w:after="0"/>
              <w:rPr>
                <w:sz w:val="20"/>
                <w:szCs w:val="20"/>
                <w:color w:val="auto"/>
              </w:rPr>
            </w:pPr>
            <w:r>
              <w:rPr>
                <w:rFonts w:ascii="Arial" w:cs="Arial" w:eastAsia="Arial" w:hAnsi="Arial"/>
                <w:sz w:val="16"/>
                <w:szCs w:val="16"/>
                <w:color w:val="auto"/>
                <w:w w:val="89"/>
              </w:rPr>
              <w:t>(1.59) cents</w:t>
            </w:r>
          </w:p>
        </w:tc>
        <w:tc>
          <w:tcPr>
            <w:tcW w:w="400" w:type="dxa"/>
            <w:vAlign w:val="bottom"/>
            <w:gridSpan w:val="2"/>
            <w:shd w:val="clear" w:color="auto" w:fill="CCEEFF"/>
          </w:tcPr>
          <w:p>
            <w:pPr>
              <w:ind w:left="200"/>
              <w:spacing w:after="0"/>
              <w:rPr>
                <w:sz w:val="20"/>
                <w:szCs w:val="20"/>
                <w:color w:val="auto"/>
              </w:rPr>
            </w:pPr>
            <w:r>
              <w:rPr>
                <w:rFonts w:ascii="Arial" w:cs="Arial" w:eastAsia="Arial" w:hAnsi="Arial"/>
                <w:sz w:val="16"/>
                <w:szCs w:val="16"/>
                <w:color w:val="auto"/>
                <w:w w:val="91"/>
              </w:rPr>
              <w:t>A$</w:t>
            </w:r>
          </w:p>
        </w:tc>
        <w:tc>
          <w:tcPr>
            <w:tcW w:w="90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w w:val="89"/>
              </w:rPr>
              <w:t>(0.91) cents</w:t>
            </w: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3940" w:type="dxa"/>
            <w:vAlign w:val="bottom"/>
            <w:gridSpan w:val="2"/>
          </w:tcPr>
          <w:p>
            <w:pPr>
              <w:spacing w:after="0"/>
              <w:rPr>
                <w:sz w:val="20"/>
                <w:szCs w:val="20"/>
                <w:color w:val="auto"/>
              </w:rPr>
            </w:pPr>
            <w:r>
              <w:rPr>
                <w:rFonts w:ascii="Arial" w:cs="Arial" w:eastAsia="Arial" w:hAnsi="Arial"/>
                <w:sz w:val="16"/>
                <w:szCs w:val="16"/>
                <w:color w:val="auto"/>
              </w:rPr>
              <w:t>Basic and diluted loss per share from discontinued</w:t>
            </w:r>
          </w:p>
        </w:tc>
        <w:tc>
          <w:tcPr>
            <w:tcW w:w="2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3940" w:type="dxa"/>
            <w:vAlign w:val="bottom"/>
            <w:gridSpan w:val="2"/>
          </w:tcPr>
          <w:p>
            <w:pPr>
              <w:ind w:left="140"/>
              <w:spacing w:after="0"/>
              <w:rPr>
                <w:sz w:val="20"/>
                <w:szCs w:val="20"/>
                <w:color w:val="auto"/>
              </w:rPr>
            </w:pPr>
            <w:r>
              <w:rPr>
                <w:rFonts w:ascii="Arial" w:cs="Arial" w:eastAsia="Arial" w:hAnsi="Arial"/>
                <w:sz w:val="16"/>
                <w:szCs w:val="16"/>
                <w:color w:val="auto"/>
              </w:rPr>
              <w:t>operations</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w:t>
            </w:r>
          </w:p>
        </w:tc>
        <w:tc>
          <w:tcPr>
            <w:tcW w:w="300" w:type="dxa"/>
            <w:vAlign w:val="bottom"/>
          </w:tcPr>
          <w:p>
            <w:pPr>
              <w:spacing w:after="0"/>
              <w:rPr>
                <w:sz w:val="18"/>
                <w:szCs w:val="18"/>
                <w:color w:val="auto"/>
              </w:rPr>
            </w:pPr>
          </w:p>
        </w:tc>
        <w:tc>
          <w:tcPr>
            <w:tcW w:w="360" w:type="dxa"/>
            <w:vAlign w:val="bottom"/>
            <w:gridSpan w:val="2"/>
          </w:tcPr>
          <w:p>
            <w:pPr>
              <w:ind w:left="160"/>
              <w:spacing w:after="0"/>
              <w:rPr>
                <w:sz w:val="20"/>
                <w:szCs w:val="20"/>
                <w:color w:val="auto"/>
              </w:rPr>
            </w:pPr>
            <w:r>
              <w:rPr>
                <w:rFonts w:ascii="Arial" w:cs="Arial" w:eastAsia="Arial" w:hAnsi="Arial"/>
                <w:sz w:val="16"/>
                <w:szCs w:val="16"/>
                <w:u w:val="single" w:color="auto"/>
                <w:color w:val="auto"/>
                <w:w w:val="91"/>
              </w:rPr>
              <w:t>A</w:t>
            </w:r>
            <w:r>
              <w:rPr>
                <w:rFonts w:ascii="Arial" w:cs="Arial" w:eastAsia="Arial" w:hAnsi="Arial"/>
                <w:sz w:val="16"/>
                <w:szCs w:val="16"/>
                <w:color w:val="auto"/>
                <w:w w:val="91"/>
              </w:rPr>
              <w:t>$</w:t>
            </w:r>
          </w:p>
        </w:tc>
        <w:tc>
          <w:tcPr>
            <w:tcW w:w="1040" w:type="dxa"/>
            <w:vAlign w:val="bottom"/>
            <w:gridSpan w:val="2"/>
          </w:tcPr>
          <w:p>
            <w:pPr>
              <w:jc w:val="right"/>
              <w:ind w:right="260"/>
              <w:spacing w:after="0"/>
              <w:rPr>
                <w:sz w:val="20"/>
                <w:szCs w:val="20"/>
                <w:color w:val="auto"/>
              </w:rPr>
            </w:pPr>
            <w:r>
              <w:rPr>
                <w:rFonts w:ascii="Arial" w:cs="Arial" w:eastAsia="Arial" w:hAnsi="Arial"/>
                <w:sz w:val="16"/>
                <w:szCs w:val="16"/>
                <w:color w:val="auto"/>
                <w:w w:val="89"/>
              </w:rPr>
              <w:t>(0.05) cents</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gridSpan w:val="2"/>
          </w:tcPr>
          <w:p>
            <w:pPr>
              <w:jc w:val="right"/>
              <w:ind w:right="34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0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25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240"/>
          </w:cols>
          <w:pgMar w:left="240" w:top="459" w:right="419" w:bottom="1440" w:gutter="0" w:footer="0" w:header="0"/>
        </w:sectPr>
      </w:pPr>
    </w:p>
    <w:bookmarkStart w:id="5" w:name="page6"/>
    <w:bookmarkEnd w:id="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tbl>
      <w:tblPr>
        <w:tblLayout w:type="fixed"/>
        <w:tblInd w:w="200" w:type="dxa"/>
        <w:tblCellMar>
          <w:top w:w="0" w:type="dxa"/>
          <w:left w:w="0" w:type="dxa"/>
          <w:bottom w:w="0" w:type="dxa"/>
          <w:right w:w="0" w:type="dxa"/>
        </w:tblCellMar>
      </w:tblPr>
      <w:tr>
        <w:trPr>
          <w:trHeight w:val="171"/>
        </w:trPr>
        <w:tc>
          <w:tcPr>
            <w:tcW w:w="458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(In Australian dollars)</w:t>
            </w:r>
          </w:p>
        </w:tc>
        <w:tc>
          <w:tcPr>
            <w:tcW w:w="10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360" w:type="dxa"/>
            <w:vAlign w:val="bottom"/>
            <w:gridSpan w:val="2"/>
          </w:tcPr>
          <w:p>
            <w:pPr>
              <w:jc w:val="right"/>
              <w:ind w:right="40"/>
              <w:spacing w:after="0"/>
              <w:rPr>
                <w:sz w:val="20"/>
                <w:szCs w:val="20"/>
                <w:color w:val="auto"/>
              </w:rPr>
            </w:pPr>
            <w:r>
              <w:rPr>
                <w:rFonts w:ascii="Arial" w:cs="Arial" w:eastAsia="Arial" w:hAnsi="Arial"/>
                <w:sz w:val="14"/>
                <w:szCs w:val="14"/>
                <w:b w:val="1"/>
                <w:bCs w:val="1"/>
                <w:color w:val="auto"/>
              </w:rPr>
              <w:t>As of June 30,</w:t>
            </w:r>
          </w:p>
        </w:tc>
        <w:tc>
          <w:tcPr>
            <w:tcW w:w="5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740" w:type="dxa"/>
            <w:vAlign w:val="bottom"/>
            <w:gridSpan w:val="4"/>
          </w:tcPr>
          <w:p>
            <w:pPr>
              <w:ind w:left="500"/>
              <w:spacing w:after="0"/>
              <w:rPr>
                <w:sz w:val="20"/>
                <w:szCs w:val="20"/>
                <w:color w:val="auto"/>
              </w:rPr>
            </w:pPr>
            <w:r>
              <w:rPr>
                <w:rFonts w:ascii="Arial" w:cs="Arial" w:eastAsia="Arial" w:hAnsi="Arial"/>
                <w:sz w:val="14"/>
                <w:szCs w:val="14"/>
                <w:b w:val="1"/>
                <w:bCs w:val="1"/>
                <w:color w:val="auto"/>
                <w:w w:val="93"/>
              </w:rPr>
              <w:t>As of December 31,</w:t>
            </w:r>
          </w:p>
        </w:tc>
        <w:tc>
          <w:tcPr>
            <w:tcW w:w="0" w:type="dxa"/>
            <w:vAlign w:val="bottom"/>
          </w:tcPr>
          <w:p>
            <w:pPr>
              <w:spacing w:after="0"/>
              <w:rPr>
                <w:sz w:val="1"/>
                <w:szCs w:val="1"/>
                <w:color w:val="auto"/>
              </w:rPr>
            </w:pPr>
          </w:p>
        </w:tc>
      </w:tr>
      <w:tr>
        <w:trPr>
          <w:trHeight w:val="129"/>
        </w:trPr>
        <w:tc>
          <w:tcPr>
            <w:tcW w:w="4580" w:type="dxa"/>
            <w:vAlign w:val="bottom"/>
            <w:gridSpan w:val="3"/>
            <w:vMerge w:val="continue"/>
          </w:tcPr>
          <w:p>
            <w:pPr>
              <w:spacing w:after="0"/>
              <w:rPr>
                <w:sz w:val="11"/>
                <w:szCs w:val="11"/>
                <w:color w:val="auto"/>
              </w:rPr>
            </w:pPr>
          </w:p>
        </w:tc>
        <w:tc>
          <w:tcPr>
            <w:tcW w:w="1080" w:type="dxa"/>
            <w:vAlign w:val="bottom"/>
          </w:tcPr>
          <w:p>
            <w:pPr>
              <w:spacing w:after="0"/>
              <w:rPr>
                <w:sz w:val="11"/>
                <w:szCs w:val="11"/>
                <w:color w:val="auto"/>
              </w:rPr>
            </w:pPr>
          </w:p>
        </w:tc>
        <w:tc>
          <w:tcPr>
            <w:tcW w:w="940" w:type="dxa"/>
            <w:vAlign w:val="bottom"/>
            <w:tcBorders>
              <w:top w:val="single" w:sz="8" w:color="auto"/>
            </w:tcBorders>
          </w:tcPr>
          <w:p>
            <w:pPr>
              <w:jc w:val="right"/>
              <w:ind w:right="248"/>
              <w:spacing w:after="0" w:line="129" w:lineRule="exact"/>
              <w:rPr>
                <w:sz w:val="20"/>
                <w:szCs w:val="20"/>
                <w:color w:val="auto"/>
              </w:rPr>
            </w:pPr>
            <w:r>
              <w:rPr>
                <w:rFonts w:ascii="Arial" w:cs="Arial" w:eastAsia="Arial" w:hAnsi="Arial"/>
                <w:sz w:val="14"/>
                <w:szCs w:val="14"/>
                <w:b w:val="1"/>
                <w:bCs w:val="1"/>
                <w:color w:val="auto"/>
              </w:rPr>
              <w:t>2018</w:t>
            </w:r>
          </w:p>
        </w:tc>
        <w:tc>
          <w:tcPr>
            <w:tcW w:w="1360" w:type="dxa"/>
            <w:vAlign w:val="bottom"/>
            <w:tcBorders>
              <w:top w:val="single" w:sz="8" w:color="auto"/>
            </w:tcBorders>
            <w:gridSpan w:val="2"/>
          </w:tcPr>
          <w:p>
            <w:pPr>
              <w:jc w:val="right"/>
              <w:ind w:right="300"/>
              <w:spacing w:after="0" w:line="129" w:lineRule="exact"/>
              <w:rPr>
                <w:sz w:val="20"/>
                <w:szCs w:val="20"/>
                <w:color w:val="auto"/>
              </w:rPr>
            </w:pPr>
            <w:r>
              <w:rPr>
                <w:rFonts w:ascii="Arial" w:cs="Arial" w:eastAsia="Arial" w:hAnsi="Arial"/>
                <w:sz w:val="14"/>
                <w:szCs w:val="14"/>
                <w:b w:val="1"/>
                <w:bCs w:val="1"/>
                <w:color w:val="auto"/>
              </w:rPr>
              <w:t>2017</w:t>
            </w:r>
          </w:p>
        </w:tc>
        <w:tc>
          <w:tcPr>
            <w:tcW w:w="1340" w:type="dxa"/>
            <w:vAlign w:val="bottom"/>
            <w:tcBorders>
              <w:top w:val="single" w:sz="8" w:color="auto"/>
            </w:tcBorders>
            <w:gridSpan w:val="2"/>
          </w:tcPr>
          <w:p>
            <w:pPr>
              <w:jc w:val="right"/>
              <w:ind w:right="280"/>
              <w:spacing w:after="0" w:line="129" w:lineRule="exact"/>
              <w:rPr>
                <w:sz w:val="20"/>
                <w:szCs w:val="20"/>
                <w:color w:val="auto"/>
              </w:rPr>
            </w:pPr>
            <w:r>
              <w:rPr>
                <w:rFonts w:ascii="Arial" w:cs="Arial" w:eastAsia="Arial" w:hAnsi="Arial"/>
                <w:sz w:val="14"/>
                <w:szCs w:val="14"/>
                <w:b w:val="1"/>
                <w:bCs w:val="1"/>
                <w:color w:val="auto"/>
              </w:rPr>
              <w:t>2016</w:t>
            </w:r>
          </w:p>
        </w:tc>
        <w:tc>
          <w:tcPr>
            <w:tcW w:w="500" w:type="dxa"/>
            <w:vAlign w:val="bottom"/>
          </w:tcPr>
          <w:p>
            <w:pPr>
              <w:spacing w:after="0"/>
              <w:rPr>
                <w:sz w:val="11"/>
                <w:szCs w:val="11"/>
                <w:color w:val="auto"/>
              </w:rPr>
            </w:pPr>
          </w:p>
        </w:tc>
        <w:tc>
          <w:tcPr>
            <w:tcW w:w="320" w:type="dxa"/>
            <w:vAlign w:val="bottom"/>
            <w:tcBorders>
              <w:top w:val="single" w:sz="8" w:color="auto"/>
            </w:tcBorders>
          </w:tcPr>
          <w:p>
            <w:pPr>
              <w:spacing w:after="0"/>
              <w:rPr>
                <w:sz w:val="11"/>
                <w:szCs w:val="11"/>
                <w:color w:val="auto"/>
              </w:rPr>
            </w:pPr>
          </w:p>
        </w:tc>
        <w:tc>
          <w:tcPr>
            <w:tcW w:w="880" w:type="dxa"/>
            <w:vAlign w:val="bottom"/>
            <w:tcBorders>
              <w:top w:val="single" w:sz="8" w:color="auto"/>
            </w:tcBorders>
          </w:tcPr>
          <w:p>
            <w:pPr>
              <w:jc w:val="right"/>
              <w:ind w:right="380"/>
              <w:spacing w:after="0" w:line="129" w:lineRule="exact"/>
              <w:rPr>
                <w:sz w:val="20"/>
                <w:szCs w:val="20"/>
                <w:color w:val="auto"/>
              </w:rPr>
            </w:pPr>
            <w:r>
              <w:rPr>
                <w:rFonts w:ascii="Arial" w:cs="Arial" w:eastAsia="Arial" w:hAnsi="Arial"/>
                <w:sz w:val="14"/>
                <w:szCs w:val="14"/>
                <w:b w:val="1"/>
                <w:bCs w:val="1"/>
                <w:color w:val="auto"/>
              </w:rPr>
              <w:t>2018</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360" w:type="dxa"/>
            <w:vAlign w:val="bottom"/>
            <w:tcBorders>
              <w:bottom w:val="single" w:sz="8" w:color="CCEEFF"/>
            </w:tcBorders>
            <w:shd w:val="clear" w:color="auto" w:fill="000000"/>
          </w:tcPr>
          <w:p>
            <w:pPr>
              <w:spacing w:after="0" w:line="20" w:lineRule="exact"/>
              <w:rPr>
                <w:sz w:val="1"/>
                <w:szCs w:val="1"/>
                <w:color w:val="auto"/>
              </w:rPr>
            </w:pPr>
          </w:p>
        </w:tc>
        <w:tc>
          <w:tcPr>
            <w:tcW w:w="3200" w:type="dxa"/>
            <w:vAlign w:val="bottom"/>
            <w:tcBorders>
              <w:bottom w:val="single" w:sz="8" w:color="CCEEFF"/>
            </w:tcBorders>
          </w:tcPr>
          <w:p>
            <w:pPr>
              <w:spacing w:after="0" w:line="20" w:lineRule="exact"/>
              <w:rPr>
                <w:sz w:val="1"/>
                <w:szCs w:val="1"/>
                <w:color w:val="auto"/>
              </w:rPr>
            </w:pPr>
          </w:p>
        </w:tc>
        <w:tc>
          <w:tcPr>
            <w:tcW w:w="1080" w:type="dxa"/>
            <w:vAlign w:val="bottom"/>
            <w:tcBorders>
              <w:bottom w:val="single" w:sz="8" w:color="CCEEFF"/>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CCEEFF"/>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CCEEFF"/>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0" w:type="dxa"/>
            <w:vAlign w:val="bottom"/>
          </w:tcPr>
          <w:p>
            <w:pPr>
              <w:spacing w:after="0"/>
              <w:rPr>
                <w:sz w:val="15"/>
                <w:szCs w:val="15"/>
                <w:color w:val="auto"/>
              </w:rPr>
            </w:pPr>
          </w:p>
        </w:tc>
        <w:tc>
          <w:tcPr>
            <w:tcW w:w="4560" w:type="dxa"/>
            <w:vAlign w:val="bottom"/>
            <w:gridSpan w:val="2"/>
            <w:shd w:val="clear" w:color="auto" w:fill="CCEEFF"/>
          </w:tcPr>
          <w:p>
            <w:pPr>
              <w:spacing w:after="0" w:line="176" w:lineRule="exact"/>
              <w:rPr>
                <w:sz w:val="20"/>
                <w:szCs w:val="20"/>
                <w:color w:val="auto"/>
              </w:rPr>
            </w:pPr>
            <w:r>
              <w:rPr>
                <w:rFonts w:ascii="Arial" w:cs="Arial" w:eastAsia="Arial" w:hAnsi="Arial"/>
                <w:sz w:val="16"/>
                <w:szCs w:val="16"/>
                <w:b w:val="1"/>
                <w:bCs w:val="1"/>
                <w:color w:val="auto"/>
              </w:rPr>
              <w:t>Consolidated statements of financial position data:</w:t>
            </w:r>
          </w:p>
        </w:tc>
        <w:tc>
          <w:tcPr>
            <w:tcW w:w="108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560" w:type="dxa"/>
            <w:vAlign w:val="bottom"/>
            <w:gridSpan w:val="2"/>
          </w:tcPr>
          <w:p>
            <w:pPr>
              <w:spacing w:after="0"/>
              <w:rPr>
                <w:sz w:val="20"/>
                <w:szCs w:val="20"/>
                <w:color w:val="auto"/>
              </w:rPr>
            </w:pPr>
            <w:r>
              <w:rPr>
                <w:rFonts w:ascii="Arial" w:cs="Arial" w:eastAsia="Arial" w:hAnsi="Arial"/>
                <w:sz w:val="16"/>
                <w:szCs w:val="16"/>
                <w:color w:val="auto"/>
              </w:rPr>
              <w:t>Cash and cash equivalents</w:t>
            </w:r>
          </w:p>
        </w:tc>
        <w:tc>
          <w:tcPr>
            <w:tcW w:w="2020" w:type="dxa"/>
            <w:vAlign w:val="bottom"/>
            <w:gridSpan w:val="2"/>
          </w:tcPr>
          <w:p>
            <w:pPr>
              <w:jc w:val="right"/>
              <w:spacing w:after="0"/>
              <w:rPr>
                <w:sz w:val="20"/>
                <w:szCs w:val="20"/>
                <w:color w:val="auto"/>
              </w:rPr>
            </w:pPr>
            <w:r>
              <w:rPr>
                <w:rFonts w:ascii="Arial" w:cs="Arial" w:eastAsia="Arial" w:hAnsi="Arial"/>
                <w:sz w:val="16"/>
                <w:szCs w:val="16"/>
                <w:color w:val="auto"/>
              </w:rPr>
              <w:t>A$14,825,532</w:t>
            </w:r>
          </w:p>
        </w:tc>
        <w:tc>
          <w:tcPr>
            <w:tcW w:w="1360" w:type="dxa"/>
            <w:vAlign w:val="bottom"/>
            <w:gridSpan w:val="2"/>
          </w:tcPr>
          <w:p>
            <w:pPr>
              <w:jc w:val="right"/>
              <w:ind w:right="20"/>
              <w:spacing w:after="0"/>
              <w:rPr>
                <w:sz w:val="20"/>
                <w:szCs w:val="20"/>
                <w:color w:val="auto"/>
              </w:rPr>
            </w:pPr>
            <w:r>
              <w:rPr>
                <w:rFonts w:ascii="Arial" w:cs="Arial" w:eastAsia="Arial" w:hAnsi="Arial"/>
                <w:sz w:val="16"/>
                <w:szCs w:val="16"/>
                <w:color w:val="auto"/>
              </w:rPr>
              <w:t>A$3,790,491</w:t>
            </w:r>
          </w:p>
        </w:tc>
        <w:tc>
          <w:tcPr>
            <w:tcW w:w="1340" w:type="dxa"/>
            <w:vAlign w:val="bottom"/>
            <w:gridSpan w:val="2"/>
          </w:tcPr>
          <w:p>
            <w:pPr>
              <w:jc w:val="right"/>
              <w:spacing w:after="0"/>
              <w:rPr>
                <w:sz w:val="20"/>
                <w:szCs w:val="20"/>
                <w:color w:val="auto"/>
              </w:rPr>
            </w:pPr>
            <w:r>
              <w:rPr>
                <w:rFonts w:ascii="Arial" w:cs="Arial" w:eastAsia="Arial" w:hAnsi="Arial"/>
                <w:sz w:val="16"/>
                <w:szCs w:val="16"/>
                <w:color w:val="auto"/>
              </w:rPr>
              <w:t>A$4,171,879</w:t>
            </w:r>
          </w:p>
        </w:tc>
        <w:tc>
          <w:tcPr>
            <w:tcW w:w="820" w:type="dxa"/>
            <w:vAlign w:val="bottom"/>
            <w:gridSpan w:val="2"/>
          </w:tcPr>
          <w:p>
            <w:pPr>
              <w:ind w:left="500"/>
              <w:spacing w:after="0"/>
              <w:rPr>
                <w:sz w:val="20"/>
                <w:szCs w:val="20"/>
                <w:color w:val="auto"/>
              </w:rPr>
            </w:pPr>
            <w:r>
              <w:rPr>
                <w:rFonts w:ascii="Arial" w:cs="Arial" w:eastAsia="Arial" w:hAnsi="Arial"/>
                <w:sz w:val="16"/>
                <w:szCs w:val="16"/>
                <w:color w:val="auto"/>
              </w:rPr>
              <w:t>A$</w:t>
            </w:r>
          </w:p>
        </w:tc>
        <w:tc>
          <w:tcPr>
            <w:tcW w:w="880" w:type="dxa"/>
            <w:vAlign w:val="bottom"/>
          </w:tcPr>
          <w:p>
            <w:pPr>
              <w:jc w:val="right"/>
              <w:spacing w:after="0"/>
              <w:rPr>
                <w:sz w:val="20"/>
                <w:szCs w:val="20"/>
                <w:color w:val="auto"/>
              </w:rPr>
            </w:pPr>
            <w:r>
              <w:rPr>
                <w:rFonts w:ascii="Arial" w:cs="Arial" w:eastAsia="Arial" w:hAnsi="Arial"/>
                <w:sz w:val="16"/>
                <w:szCs w:val="16"/>
                <w:color w:val="auto"/>
              </w:rPr>
              <w:t>30,342,360</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56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Total current assets</w:t>
            </w:r>
          </w:p>
        </w:tc>
        <w:tc>
          <w:tcPr>
            <w:tcW w:w="202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22,274,431</w:t>
            </w:r>
          </w:p>
        </w:tc>
        <w:tc>
          <w:tcPr>
            <w:tcW w:w="136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7,280,541</w:t>
            </w:r>
          </w:p>
        </w:tc>
        <w:tc>
          <w:tcPr>
            <w:tcW w:w="134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8,508,418</w:t>
            </w:r>
          </w:p>
        </w:tc>
        <w:tc>
          <w:tcPr>
            <w:tcW w:w="5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34,953,776</w:t>
            </w:r>
          </w:p>
        </w:tc>
        <w:tc>
          <w:tcPr>
            <w:tcW w:w="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560" w:type="dxa"/>
            <w:vAlign w:val="bottom"/>
            <w:gridSpan w:val="2"/>
          </w:tcPr>
          <w:p>
            <w:pPr>
              <w:spacing w:after="0"/>
              <w:rPr>
                <w:sz w:val="20"/>
                <w:szCs w:val="20"/>
                <w:color w:val="auto"/>
              </w:rPr>
            </w:pPr>
            <w:r>
              <w:rPr>
                <w:rFonts w:ascii="Arial" w:cs="Arial" w:eastAsia="Arial" w:hAnsi="Arial"/>
                <w:sz w:val="16"/>
                <w:szCs w:val="16"/>
                <w:color w:val="auto"/>
              </w:rPr>
              <w:t>Total assets</w:t>
            </w:r>
          </w:p>
        </w:tc>
        <w:tc>
          <w:tcPr>
            <w:tcW w:w="2020" w:type="dxa"/>
            <w:vAlign w:val="bottom"/>
            <w:gridSpan w:val="2"/>
          </w:tcPr>
          <w:p>
            <w:pPr>
              <w:jc w:val="right"/>
              <w:spacing w:after="0"/>
              <w:rPr>
                <w:sz w:val="20"/>
                <w:szCs w:val="20"/>
                <w:color w:val="auto"/>
              </w:rPr>
            </w:pPr>
            <w:r>
              <w:rPr>
                <w:rFonts w:ascii="Arial" w:cs="Arial" w:eastAsia="Arial" w:hAnsi="Arial"/>
                <w:sz w:val="16"/>
                <w:szCs w:val="16"/>
                <w:color w:val="auto"/>
              </w:rPr>
              <w:t>23,017,014</w:t>
            </w:r>
          </w:p>
        </w:tc>
        <w:tc>
          <w:tcPr>
            <w:tcW w:w="1360" w:type="dxa"/>
            <w:vAlign w:val="bottom"/>
            <w:gridSpan w:val="2"/>
          </w:tcPr>
          <w:p>
            <w:pPr>
              <w:jc w:val="right"/>
              <w:ind w:right="20"/>
              <w:spacing w:after="0"/>
              <w:rPr>
                <w:sz w:val="20"/>
                <w:szCs w:val="20"/>
                <w:color w:val="auto"/>
              </w:rPr>
            </w:pPr>
            <w:r>
              <w:rPr>
                <w:rFonts w:ascii="Arial" w:cs="Arial" w:eastAsia="Arial" w:hAnsi="Arial"/>
                <w:sz w:val="16"/>
                <w:szCs w:val="16"/>
                <w:color w:val="auto"/>
              </w:rPr>
              <w:t>7,667,921</w:t>
            </w:r>
          </w:p>
        </w:tc>
        <w:tc>
          <w:tcPr>
            <w:tcW w:w="1340" w:type="dxa"/>
            <w:vAlign w:val="bottom"/>
            <w:gridSpan w:val="2"/>
          </w:tcPr>
          <w:p>
            <w:pPr>
              <w:jc w:val="right"/>
              <w:spacing w:after="0"/>
              <w:rPr>
                <w:sz w:val="20"/>
                <w:szCs w:val="20"/>
                <w:color w:val="auto"/>
              </w:rPr>
            </w:pPr>
            <w:r>
              <w:rPr>
                <w:rFonts w:ascii="Arial" w:cs="Arial" w:eastAsia="Arial" w:hAnsi="Arial"/>
                <w:sz w:val="16"/>
                <w:szCs w:val="16"/>
                <w:color w:val="auto"/>
              </w:rPr>
              <w:t>8,602,909</w:t>
            </w:r>
          </w:p>
        </w:tc>
        <w:tc>
          <w:tcPr>
            <w:tcW w:w="5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36,347,382</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56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Total current liabilities</w:t>
            </w:r>
          </w:p>
        </w:tc>
        <w:tc>
          <w:tcPr>
            <w:tcW w:w="202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3,883,117</w:t>
            </w:r>
          </w:p>
        </w:tc>
        <w:tc>
          <w:tcPr>
            <w:tcW w:w="136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2,546,089</w:t>
            </w:r>
          </w:p>
        </w:tc>
        <w:tc>
          <w:tcPr>
            <w:tcW w:w="134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1,750,392</w:t>
            </w:r>
          </w:p>
        </w:tc>
        <w:tc>
          <w:tcPr>
            <w:tcW w:w="5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5,017,066</w:t>
            </w:r>
          </w:p>
        </w:tc>
        <w:tc>
          <w:tcPr>
            <w:tcW w:w="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4560" w:type="dxa"/>
            <w:vAlign w:val="bottom"/>
            <w:gridSpan w:val="2"/>
          </w:tcPr>
          <w:p>
            <w:pPr>
              <w:spacing w:after="0"/>
              <w:rPr>
                <w:sz w:val="20"/>
                <w:szCs w:val="20"/>
                <w:color w:val="auto"/>
              </w:rPr>
            </w:pPr>
            <w:r>
              <w:rPr>
                <w:rFonts w:ascii="Arial" w:cs="Arial" w:eastAsia="Arial" w:hAnsi="Arial"/>
                <w:sz w:val="16"/>
                <w:szCs w:val="16"/>
                <w:color w:val="auto"/>
              </w:rPr>
              <w:t>Total equity</w:t>
            </w:r>
          </w:p>
        </w:tc>
        <w:tc>
          <w:tcPr>
            <w:tcW w:w="2020" w:type="dxa"/>
            <w:vAlign w:val="bottom"/>
            <w:gridSpan w:val="2"/>
          </w:tcPr>
          <w:p>
            <w:pPr>
              <w:jc w:val="right"/>
              <w:spacing w:after="0"/>
              <w:rPr>
                <w:sz w:val="20"/>
                <w:szCs w:val="20"/>
                <w:color w:val="auto"/>
              </w:rPr>
            </w:pPr>
            <w:r>
              <w:rPr>
                <w:rFonts w:ascii="Arial" w:cs="Arial" w:eastAsia="Arial" w:hAnsi="Arial"/>
                <w:sz w:val="16"/>
                <w:szCs w:val="16"/>
                <w:color w:val="auto"/>
              </w:rPr>
              <w:t>18,999,559</w:t>
            </w:r>
          </w:p>
        </w:tc>
        <w:tc>
          <w:tcPr>
            <w:tcW w:w="1360" w:type="dxa"/>
            <w:vAlign w:val="bottom"/>
            <w:gridSpan w:val="2"/>
          </w:tcPr>
          <w:p>
            <w:pPr>
              <w:jc w:val="right"/>
              <w:ind w:right="20"/>
              <w:spacing w:after="0"/>
              <w:rPr>
                <w:sz w:val="20"/>
                <w:szCs w:val="20"/>
                <w:color w:val="auto"/>
              </w:rPr>
            </w:pPr>
            <w:r>
              <w:rPr>
                <w:rFonts w:ascii="Arial" w:cs="Arial" w:eastAsia="Arial" w:hAnsi="Arial"/>
                <w:sz w:val="16"/>
                <w:szCs w:val="16"/>
                <w:color w:val="auto"/>
              </w:rPr>
              <w:t>5,121,832</w:t>
            </w:r>
          </w:p>
        </w:tc>
        <w:tc>
          <w:tcPr>
            <w:tcW w:w="1340" w:type="dxa"/>
            <w:vAlign w:val="bottom"/>
            <w:gridSpan w:val="2"/>
          </w:tcPr>
          <w:p>
            <w:pPr>
              <w:jc w:val="right"/>
              <w:spacing w:after="0"/>
              <w:rPr>
                <w:sz w:val="20"/>
                <w:szCs w:val="20"/>
                <w:color w:val="auto"/>
              </w:rPr>
            </w:pPr>
            <w:r>
              <w:rPr>
                <w:rFonts w:ascii="Arial" w:cs="Arial" w:eastAsia="Arial" w:hAnsi="Arial"/>
                <w:sz w:val="16"/>
                <w:szCs w:val="16"/>
                <w:color w:val="auto"/>
              </w:rPr>
              <w:t>6,852,517</w:t>
            </w:r>
          </w:p>
        </w:tc>
        <w:tc>
          <w:tcPr>
            <w:tcW w:w="5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31,247,284</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3726815</wp:posOffset>
            </wp:positionH>
            <wp:positionV relativeFrom="paragraph">
              <wp:posOffset>-1905</wp:posOffset>
            </wp:positionV>
            <wp:extent cx="3378835"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3378835" cy="8890"/>
                    </a:xfrm>
                    <a:prstGeom prst="rect">
                      <a:avLst/>
                    </a:prstGeom>
                    <a:noFill/>
                  </pic:spPr>
                </pic:pic>
              </a:graphicData>
            </a:graphic>
          </wp:anchor>
        </w:drawing>
      </w:r>
    </w:p>
    <w:p>
      <w:pPr>
        <w:ind w:left="200" w:right="160" w:firstLine="441"/>
        <w:spacing w:after="0" w:line="259" w:lineRule="auto"/>
        <w:rPr>
          <w:sz w:val="20"/>
          <w:szCs w:val="20"/>
          <w:color w:val="auto"/>
        </w:rPr>
      </w:pPr>
      <w:r>
        <w:rPr>
          <w:rFonts w:ascii="Arial" w:cs="Arial" w:eastAsia="Arial" w:hAnsi="Arial"/>
          <w:sz w:val="18"/>
          <w:szCs w:val="18"/>
          <w:color w:val="auto"/>
        </w:rPr>
        <w:t>Exhibit 15.1 included with this registration statement on Form 20-F contains the preliminary, unaudited consolidated statements of profits or loss and other comprehensive income, consolidated statements of financial position, consolidated statements of cash flows and consolidated statements of changes in equity for the fiscal year ended June 30, 2019 as submitted as Appendix 4E in connection with the ongoing listing of our ordinary shares on the Australian Securities Exchange.</w:t>
      </w:r>
    </w:p>
    <w:p>
      <w:pPr>
        <w:spacing w:after="0" w:line="295" w:lineRule="exact"/>
        <w:rPr>
          <w:sz w:val="20"/>
          <w:szCs w:val="20"/>
          <w:color w:val="auto"/>
        </w:rPr>
      </w:pPr>
    </w:p>
    <w:p>
      <w:pPr>
        <w:ind w:left="200"/>
        <w:spacing w:after="0"/>
        <w:rPr>
          <w:sz w:val="20"/>
          <w:szCs w:val="20"/>
          <w:color w:val="auto"/>
        </w:rPr>
      </w:pPr>
      <w:r>
        <w:rPr>
          <w:rFonts w:ascii="Arial" w:cs="Arial" w:eastAsia="Arial" w:hAnsi="Arial"/>
          <w:sz w:val="18"/>
          <w:szCs w:val="18"/>
          <w:u w:val="single" w:color="auto"/>
          <w:color w:val="auto"/>
        </w:rPr>
        <w:t>Exchange Rate Information</w:t>
      </w:r>
    </w:p>
    <w:p>
      <w:pPr>
        <w:spacing w:after="0" w:line="117" w:lineRule="exact"/>
        <w:rPr>
          <w:sz w:val="20"/>
          <w:szCs w:val="20"/>
          <w:color w:val="auto"/>
        </w:rPr>
      </w:pPr>
    </w:p>
    <w:p>
      <w:pPr>
        <w:ind w:left="200" w:right="20" w:firstLine="441"/>
        <w:spacing w:after="0" w:line="255" w:lineRule="auto"/>
        <w:rPr>
          <w:sz w:val="20"/>
          <w:szCs w:val="20"/>
          <w:color w:val="auto"/>
        </w:rPr>
      </w:pPr>
      <w:r>
        <w:rPr>
          <w:rFonts w:ascii="Arial" w:cs="Arial" w:eastAsia="Arial" w:hAnsi="Arial"/>
          <w:sz w:val="18"/>
          <w:szCs w:val="18"/>
          <w:color w:val="auto"/>
        </w:rPr>
        <w:t>We publish our consolidated financial statements in Australian dollars. In this Registration Statement, references to dollars, “$” or “A$” are to Australian dollars currency and references to “U.S. dollars” or “US$” are to U.S. currency. Solely for informational purposes, this Registration Statement contains translations of certain Australian dollars into or from U.S. dollars at specified rates. These translations should not be construed as representations that the Australian dollars amounts actually represent such U.S. dollar amounts or could be converted into or from U.S. dollars at the rate indicated or at any other rate. Unless otherwise stated herein, the translations of Australian dollars into or from U.S. dollars have been made at A$1.00 to US$0.7399, the Buying Rate on June 30, 2018.</w:t>
      </w:r>
    </w:p>
    <w:p>
      <w:pPr>
        <w:spacing w:after="0" w:line="193" w:lineRule="exact"/>
        <w:rPr>
          <w:sz w:val="20"/>
          <w:szCs w:val="20"/>
          <w:color w:val="auto"/>
        </w:rPr>
      </w:pPr>
    </w:p>
    <w:p>
      <w:pPr>
        <w:ind w:left="200" w:right="20" w:firstLine="441"/>
        <w:spacing w:after="0" w:line="276" w:lineRule="auto"/>
        <w:rPr>
          <w:sz w:val="20"/>
          <w:szCs w:val="20"/>
          <w:color w:val="auto"/>
        </w:rPr>
      </w:pPr>
      <w:r>
        <w:rPr>
          <w:rFonts w:ascii="Arial" w:cs="Arial" w:eastAsia="Arial" w:hAnsi="Arial"/>
          <w:sz w:val="17"/>
          <w:szCs w:val="17"/>
          <w:color w:val="auto"/>
        </w:rPr>
        <w:t>The following tables set forth, for the periods and dates indicated, certain information regarding the rates of exchange of A$1.00 into US$ based on rates published by the Reserve Bank of Australia (RBA). Each period end rate is the average ask price for the day. The average rate is the average of all the ask prices for the given time period. The high rate is the highest bid rate for the given time period. The low rate is the lowest bid rate for the given time period. We make no representation that any Australian dollar or U.S. dollar amounts could have been or could be, converted into U.S. dollars or Australian dollars, as the case may be, at any particular rate, the rates stated below, or at all.</w:t>
      </w:r>
    </w:p>
    <w:p>
      <w:pPr>
        <w:spacing w:after="0" w:line="173" w:lineRule="exact"/>
        <w:rPr>
          <w:sz w:val="20"/>
          <w:szCs w:val="20"/>
          <w:color w:val="auto"/>
        </w:rPr>
      </w:pPr>
    </w:p>
    <w:p>
      <w:pPr>
        <w:ind w:left="200" w:right="560" w:firstLine="441"/>
        <w:spacing w:after="0" w:line="277" w:lineRule="auto"/>
        <w:rPr>
          <w:sz w:val="20"/>
          <w:szCs w:val="20"/>
          <w:color w:val="auto"/>
        </w:rPr>
      </w:pPr>
      <w:r>
        <w:rPr>
          <w:rFonts w:ascii="Arial" w:cs="Arial" w:eastAsia="Arial" w:hAnsi="Arial"/>
          <w:sz w:val="18"/>
          <w:szCs w:val="18"/>
          <w:color w:val="auto"/>
        </w:rPr>
        <w:t>The Australian dollar is convertible into U.S. dollars at freely floating rates. There are no legal restrictions on the flow of Australian dollars between Australia and the U.S.</w:t>
      </w:r>
    </w:p>
    <w:p>
      <w:pPr>
        <w:sectPr>
          <w:pgSz w:w="11900" w:h="16838" w:orient="portrait"/>
          <w:cols w:equalWidth="0" w:num="1">
            <w:col w:w="11240"/>
          </w:cols>
          <w:pgMar w:left="240" w:top="459" w:right="419" w:bottom="1440" w:gutter="0" w:footer="0" w:header="0"/>
        </w:sectPr>
      </w:pPr>
    </w:p>
    <w:p>
      <w:pPr>
        <w:spacing w:after="0" w:line="181" w:lineRule="exact"/>
        <w:rPr>
          <w:sz w:val="20"/>
          <w:szCs w:val="20"/>
          <w:color w:val="auto"/>
        </w:rPr>
      </w:pPr>
    </w:p>
    <w:tbl>
      <w:tblPr>
        <w:tblLayout w:type="fixed"/>
        <w:tblInd w:w="220" w:type="dxa"/>
        <w:tblCellMar>
          <w:top w:w="0" w:type="dxa"/>
          <w:left w:w="0" w:type="dxa"/>
          <w:bottom w:w="0" w:type="dxa"/>
          <w:right w:w="0" w:type="dxa"/>
        </w:tblCellMar>
      </w:tblPr>
      <w:tr>
        <w:trPr>
          <w:trHeight w:val="161"/>
        </w:trPr>
        <w:tc>
          <w:tcPr>
            <w:tcW w:w="2100" w:type="dxa"/>
            <w:vAlign w:val="bottom"/>
            <w:gridSpan w:val="2"/>
          </w:tcPr>
          <w:p>
            <w:pPr>
              <w:jc w:val="center"/>
              <w:ind w:right="160"/>
              <w:spacing w:after="0"/>
              <w:rPr>
                <w:sz w:val="20"/>
                <w:szCs w:val="20"/>
                <w:color w:val="auto"/>
              </w:rPr>
            </w:pPr>
            <w:r>
              <w:rPr>
                <w:rFonts w:ascii="Arial" w:cs="Arial" w:eastAsia="Arial" w:hAnsi="Arial"/>
                <w:sz w:val="14"/>
                <w:szCs w:val="14"/>
                <w:color w:val="auto"/>
                <w:w w:val="87"/>
              </w:rPr>
              <w:t>Year</w:t>
            </w:r>
          </w:p>
        </w:tc>
        <w:tc>
          <w:tcPr>
            <w:tcW w:w="2100" w:type="dxa"/>
            <w:vAlign w:val="bottom"/>
          </w:tcPr>
          <w:p>
            <w:pPr>
              <w:spacing w:after="0"/>
              <w:rPr>
                <w:sz w:val="14"/>
                <w:szCs w:val="14"/>
                <w:color w:val="auto"/>
              </w:rPr>
            </w:pPr>
          </w:p>
        </w:tc>
      </w:tr>
      <w:tr>
        <w:trPr>
          <w:trHeight w:val="181"/>
        </w:trPr>
        <w:tc>
          <w:tcPr>
            <w:tcW w:w="2100" w:type="dxa"/>
            <w:vAlign w:val="bottom"/>
            <w:gridSpan w:val="2"/>
          </w:tcPr>
          <w:p>
            <w:pPr>
              <w:jc w:val="center"/>
              <w:ind w:right="160"/>
              <w:spacing w:after="0"/>
              <w:rPr>
                <w:sz w:val="20"/>
                <w:szCs w:val="20"/>
                <w:color w:val="auto"/>
              </w:rPr>
            </w:pPr>
            <w:r>
              <w:rPr>
                <w:rFonts w:ascii="Arial" w:cs="Arial" w:eastAsia="Arial" w:hAnsi="Arial"/>
                <w:sz w:val="14"/>
                <w:szCs w:val="14"/>
                <w:color w:val="auto"/>
                <w:w w:val="91"/>
              </w:rPr>
              <w:t>Ended June 30,</w:t>
            </w:r>
          </w:p>
        </w:tc>
        <w:tc>
          <w:tcPr>
            <w:tcW w:w="2100" w:type="dxa"/>
            <w:vAlign w:val="bottom"/>
          </w:tcPr>
          <w:p>
            <w:pPr>
              <w:jc w:val="center"/>
              <w:spacing w:after="0"/>
              <w:rPr>
                <w:sz w:val="20"/>
                <w:szCs w:val="20"/>
                <w:color w:val="auto"/>
              </w:rPr>
            </w:pPr>
            <w:r>
              <w:rPr>
                <w:rFonts w:ascii="Arial" w:cs="Arial" w:eastAsia="Arial" w:hAnsi="Arial"/>
                <w:sz w:val="14"/>
                <w:szCs w:val="14"/>
                <w:color w:val="auto"/>
                <w:w w:val="94"/>
              </w:rPr>
              <w:t>At Period End</w:t>
            </w:r>
          </w:p>
        </w:tc>
      </w:tr>
      <w:tr>
        <w:trPr>
          <w:trHeight w:val="195"/>
        </w:trPr>
        <w:tc>
          <w:tcPr>
            <w:tcW w:w="1960" w:type="dxa"/>
            <w:vAlign w:val="bottom"/>
            <w:tcBorders>
              <w:top w:val="single" w:sz="8" w:color="auto"/>
            </w:tcBorders>
          </w:tcPr>
          <w:p>
            <w:pPr>
              <w:jc w:val="center"/>
              <w:spacing w:after="0" w:line="195" w:lineRule="exact"/>
              <w:rPr>
                <w:sz w:val="20"/>
                <w:szCs w:val="20"/>
                <w:color w:val="auto"/>
              </w:rPr>
            </w:pPr>
            <w:r>
              <w:rPr>
                <w:rFonts w:ascii="Arial" w:cs="Arial" w:eastAsia="Arial" w:hAnsi="Arial"/>
                <w:sz w:val="18"/>
                <w:szCs w:val="18"/>
                <w:color w:val="auto"/>
                <w:w w:val="89"/>
              </w:rPr>
              <w:t>2014</w:t>
            </w:r>
          </w:p>
        </w:tc>
        <w:tc>
          <w:tcPr>
            <w:tcW w:w="140" w:type="dxa"/>
            <w:vAlign w:val="bottom"/>
          </w:tcPr>
          <w:p>
            <w:pPr>
              <w:spacing w:after="0"/>
              <w:rPr>
                <w:sz w:val="16"/>
                <w:szCs w:val="16"/>
                <w:color w:val="auto"/>
              </w:rPr>
            </w:pPr>
          </w:p>
        </w:tc>
        <w:tc>
          <w:tcPr>
            <w:tcW w:w="2100" w:type="dxa"/>
            <w:vAlign w:val="bottom"/>
            <w:tcBorders>
              <w:top w:val="single" w:sz="8" w:color="auto"/>
            </w:tcBorders>
          </w:tcPr>
          <w:p>
            <w:pPr>
              <w:jc w:val="center"/>
              <w:spacing w:after="0" w:line="195" w:lineRule="exact"/>
              <w:rPr>
                <w:sz w:val="20"/>
                <w:szCs w:val="20"/>
                <w:color w:val="auto"/>
              </w:rPr>
            </w:pPr>
            <w:r>
              <w:rPr>
                <w:rFonts w:ascii="Arial" w:cs="Arial" w:eastAsia="Arial" w:hAnsi="Arial"/>
                <w:sz w:val="18"/>
                <w:szCs w:val="18"/>
                <w:color w:val="auto"/>
                <w:w w:val="93"/>
              </w:rPr>
              <w:t>A$0.9420</w:t>
            </w:r>
          </w:p>
        </w:tc>
      </w:tr>
      <w:tr>
        <w:trPr>
          <w:trHeight w:val="216"/>
        </w:trPr>
        <w:tc>
          <w:tcPr>
            <w:tcW w:w="1960" w:type="dxa"/>
            <w:vAlign w:val="bottom"/>
          </w:tcPr>
          <w:p>
            <w:pPr>
              <w:jc w:val="center"/>
              <w:spacing w:after="0"/>
              <w:rPr>
                <w:sz w:val="20"/>
                <w:szCs w:val="20"/>
                <w:color w:val="auto"/>
              </w:rPr>
            </w:pPr>
            <w:r>
              <w:rPr>
                <w:rFonts w:ascii="Arial" w:cs="Arial" w:eastAsia="Arial" w:hAnsi="Arial"/>
                <w:sz w:val="18"/>
                <w:szCs w:val="18"/>
                <w:color w:val="auto"/>
                <w:w w:val="89"/>
              </w:rPr>
              <w:t>2015</w:t>
            </w:r>
          </w:p>
        </w:tc>
        <w:tc>
          <w:tcPr>
            <w:tcW w:w="140" w:type="dxa"/>
            <w:vAlign w:val="bottom"/>
          </w:tcPr>
          <w:p>
            <w:pPr>
              <w:spacing w:after="0"/>
              <w:rPr>
                <w:sz w:val="18"/>
                <w:szCs w:val="18"/>
                <w:color w:val="auto"/>
              </w:rPr>
            </w:pPr>
          </w:p>
        </w:tc>
        <w:tc>
          <w:tcPr>
            <w:tcW w:w="2100" w:type="dxa"/>
            <w:vAlign w:val="bottom"/>
          </w:tcPr>
          <w:p>
            <w:pPr>
              <w:jc w:val="center"/>
              <w:spacing w:after="0"/>
              <w:rPr>
                <w:sz w:val="20"/>
                <w:szCs w:val="20"/>
                <w:color w:val="auto"/>
              </w:rPr>
            </w:pPr>
            <w:r>
              <w:rPr>
                <w:rFonts w:ascii="Arial" w:cs="Arial" w:eastAsia="Arial" w:hAnsi="Arial"/>
                <w:sz w:val="18"/>
                <w:szCs w:val="18"/>
                <w:color w:val="auto"/>
                <w:w w:val="93"/>
              </w:rPr>
              <w:t>A$0.7680</w:t>
            </w:r>
          </w:p>
        </w:tc>
      </w:tr>
      <w:tr>
        <w:trPr>
          <w:trHeight w:val="216"/>
        </w:trPr>
        <w:tc>
          <w:tcPr>
            <w:tcW w:w="1960" w:type="dxa"/>
            <w:vAlign w:val="bottom"/>
          </w:tcPr>
          <w:p>
            <w:pPr>
              <w:jc w:val="center"/>
              <w:spacing w:after="0"/>
              <w:rPr>
                <w:sz w:val="20"/>
                <w:szCs w:val="20"/>
                <w:color w:val="auto"/>
              </w:rPr>
            </w:pPr>
            <w:r>
              <w:rPr>
                <w:rFonts w:ascii="Arial" w:cs="Arial" w:eastAsia="Arial" w:hAnsi="Arial"/>
                <w:sz w:val="18"/>
                <w:szCs w:val="18"/>
                <w:color w:val="auto"/>
                <w:w w:val="89"/>
              </w:rPr>
              <w:t>2016</w:t>
            </w:r>
          </w:p>
        </w:tc>
        <w:tc>
          <w:tcPr>
            <w:tcW w:w="140" w:type="dxa"/>
            <w:vAlign w:val="bottom"/>
          </w:tcPr>
          <w:p>
            <w:pPr>
              <w:spacing w:after="0"/>
              <w:rPr>
                <w:sz w:val="18"/>
                <w:szCs w:val="18"/>
                <w:color w:val="auto"/>
              </w:rPr>
            </w:pPr>
          </w:p>
        </w:tc>
        <w:tc>
          <w:tcPr>
            <w:tcW w:w="2100" w:type="dxa"/>
            <w:vAlign w:val="bottom"/>
          </w:tcPr>
          <w:p>
            <w:pPr>
              <w:jc w:val="center"/>
              <w:spacing w:after="0"/>
              <w:rPr>
                <w:sz w:val="20"/>
                <w:szCs w:val="20"/>
                <w:color w:val="auto"/>
              </w:rPr>
            </w:pPr>
            <w:r>
              <w:rPr>
                <w:rFonts w:ascii="Arial" w:cs="Arial" w:eastAsia="Arial" w:hAnsi="Arial"/>
                <w:sz w:val="18"/>
                <w:szCs w:val="18"/>
                <w:color w:val="auto"/>
                <w:w w:val="93"/>
              </w:rPr>
              <w:t>A$0.7426</w:t>
            </w:r>
          </w:p>
        </w:tc>
      </w:tr>
      <w:tr>
        <w:trPr>
          <w:trHeight w:val="216"/>
        </w:trPr>
        <w:tc>
          <w:tcPr>
            <w:tcW w:w="1960" w:type="dxa"/>
            <w:vAlign w:val="bottom"/>
          </w:tcPr>
          <w:p>
            <w:pPr>
              <w:jc w:val="center"/>
              <w:spacing w:after="0"/>
              <w:rPr>
                <w:sz w:val="20"/>
                <w:szCs w:val="20"/>
                <w:color w:val="auto"/>
              </w:rPr>
            </w:pPr>
            <w:r>
              <w:rPr>
                <w:rFonts w:ascii="Arial" w:cs="Arial" w:eastAsia="Arial" w:hAnsi="Arial"/>
                <w:sz w:val="18"/>
                <w:szCs w:val="18"/>
                <w:color w:val="auto"/>
                <w:w w:val="89"/>
              </w:rPr>
              <w:t>2017</w:t>
            </w:r>
          </w:p>
        </w:tc>
        <w:tc>
          <w:tcPr>
            <w:tcW w:w="140" w:type="dxa"/>
            <w:vAlign w:val="bottom"/>
          </w:tcPr>
          <w:p>
            <w:pPr>
              <w:spacing w:after="0"/>
              <w:rPr>
                <w:sz w:val="18"/>
                <w:szCs w:val="18"/>
                <w:color w:val="auto"/>
              </w:rPr>
            </w:pPr>
          </w:p>
        </w:tc>
        <w:tc>
          <w:tcPr>
            <w:tcW w:w="2100" w:type="dxa"/>
            <w:vAlign w:val="bottom"/>
          </w:tcPr>
          <w:p>
            <w:pPr>
              <w:jc w:val="center"/>
              <w:spacing w:after="0"/>
              <w:rPr>
                <w:sz w:val="20"/>
                <w:szCs w:val="20"/>
                <w:color w:val="auto"/>
              </w:rPr>
            </w:pPr>
            <w:r>
              <w:rPr>
                <w:rFonts w:ascii="Arial" w:cs="Arial" w:eastAsia="Arial" w:hAnsi="Arial"/>
                <w:sz w:val="18"/>
                <w:szCs w:val="18"/>
                <w:color w:val="auto"/>
                <w:w w:val="93"/>
              </w:rPr>
              <w:t>A$0.7692</w:t>
            </w:r>
          </w:p>
        </w:tc>
      </w:tr>
      <w:tr>
        <w:trPr>
          <w:trHeight w:val="230"/>
        </w:trPr>
        <w:tc>
          <w:tcPr>
            <w:tcW w:w="1960" w:type="dxa"/>
            <w:vAlign w:val="bottom"/>
          </w:tcPr>
          <w:p>
            <w:pPr>
              <w:jc w:val="center"/>
              <w:spacing w:after="0"/>
              <w:rPr>
                <w:sz w:val="20"/>
                <w:szCs w:val="20"/>
                <w:color w:val="auto"/>
              </w:rPr>
            </w:pPr>
            <w:r>
              <w:rPr>
                <w:rFonts w:ascii="Arial" w:cs="Arial" w:eastAsia="Arial" w:hAnsi="Arial"/>
                <w:sz w:val="18"/>
                <w:szCs w:val="18"/>
                <w:color w:val="auto"/>
                <w:w w:val="89"/>
              </w:rPr>
              <w:t>2018</w:t>
            </w:r>
          </w:p>
        </w:tc>
        <w:tc>
          <w:tcPr>
            <w:tcW w:w="140" w:type="dxa"/>
            <w:vAlign w:val="bottom"/>
          </w:tcPr>
          <w:p>
            <w:pPr>
              <w:spacing w:after="0"/>
              <w:rPr>
                <w:sz w:val="20"/>
                <w:szCs w:val="20"/>
                <w:color w:val="auto"/>
              </w:rPr>
            </w:pPr>
          </w:p>
        </w:tc>
        <w:tc>
          <w:tcPr>
            <w:tcW w:w="2100" w:type="dxa"/>
            <w:vAlign w:val="bottom"/>
          </w:tcPr>
          <w:p>
            <w:pPr>
              <w:jc w:val="center"/>
              <w:spacing w:after="0"/>
              <w:rPr>
                <w:sz w:val="20"/>
                <w:szCs w:val="20"/>
                <w:color w:val="auto"/>
              </w:rPr>
            </w:pPr>
            <w:r>
              <w:rPr>
                <w:rFonts w:ascii="Arial" w:cs="Arial" w:eastAsia="Arial" w:hAnsi="Arial"/>
                <w:sz w:val="18"/>
                <w:szCs w:val="18"/>
                <w:color w:val="auto"/>
                <w:w w:val="93"/>
              </w:rPr>
              <w:t>A$0.7399</w:t>
            </w:r>
          </w:p>
        </w:tc>
      </w:tr>
    </w:tbl>
    <w:p>
      <w:pPr>
        <w:spacing w:after="0" w:line="20" w:lineRule="exact"/>
        <w:rPr>
          <w:sz w:val="20"/>
          <w:szCs w:val="20"/>
          <w:color w:val="auto"/>
        </w:rPr>
      </w:pPr>
      <w:r>
        <w:rPr>
          <w:sz w:val="20"/>
          <w:szCs w:val="20"/>
          <w:color w:val="auto"/>
        </w:rPr>
        <w:br w:type="column"/>
      </w:r>
    </w:p>
    <w:p>
      <w:pPr>
        <w:spacing w:after="0" w:line="322" w:lineRule="exact"/>
        <w:rPr>
          <w:sz w:val="20"/>
          <w:szCs w:val="20"/>
          <w:color w:val="auto"/>
        </w:rPr>
      </w:pPr>
    </w:p>
    <w:p>
      <w:pPr>
        <w:jc w:val="center"/>
        <w:ind w:right="80"/>
        <w:spacing w:after="0"/>
        <w:rPr>
          <w:sz w:val="20"/>
          <w:szCs w:val="20"/>
          <w:color w:val="auto"/>
        </w:rPr>
      </w:pPr>
      <w:r>
        <w:rPr>
          <w:rFonts w:ascii="Arial" w:cs="Arial" w:eastAsia="Arial" w:hAnsi="Arial"/>
          <w:sz w:val="12"/>
          <w:szCs w:val="12"/>
          <w:color w:val="auto"/>
        </w:rPr>
        <w:t>Average Ratio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-431800</wp:posOffset>
            </wp:positionH>
            <wp:positionV relativeFrom="paragraph">
              <wp:posOffset>27305</wp:posOffset>
            </wp:positionV>
            <wp:extent cx="1397635"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397635" cy="8890"/>
                    </a:xfrm>
                    <a:prstGeom prst="rect">
                      <a:avLst/>
                    </a:prstGeom>
                    <a:noFill/>
                  </pic:spPr>
                </pic:pic>
              </a:graphicData>
            </a:graphic>
          </wp:anchor>
        </w:drawing>
      </w:r>
    </w:p>
    <w:p>
      <w:pPr>
        <w:spacing w:after="0" w:line="24" w:lineRule="exact"/>
        <w:rPr>
          <w:sz w:val="20"/>
          <w:szCs w:val="20"/>
          <w:color w:val="auto"/>
        </w:rPr>
      </w:pPr>
    </w:p>
    <w:p>
      <w:pPr>
        <w:ind w:left="60"/>
        <w:spacing w:after="0"/>
        <w:rPr>
          <w:sz w:val="20"/>
          <w:szCs w:val="20"/>
          <w:color w:val="auto"/>
        </w:rPr>
      </w:pPr>
      <w:r>
        <w:rPr>
          <w:rFonts w:ascii="Arial" w:cs="Arial" w:eastAsia="Arial" w:hAnsi="Arial"/>
          <w:sz w:val="17"/>
          <w:szCs w:val="17"/>
          <w:color w:val="auto"/>
        </w:rPr>
        <w:t>A$0.9187</w:t>
      </w:r>
    </w:p>
    <w:p>
      <w:pPr>
        <w:spacing w:after="0" w:line="33" w:lineRule="exact"/>
        <w:rPr>
          <w:sz w:val="20"/>
          <w:szCs w:val="20"/>
          <w:color w:val="auto"/>
        </w:rPr>
      </w:pPr>
    </w:p>
    <w:p>
      <w:pPr>
        <w:ind w:left="60"/>
        <w:spacing w:after="0"/>
        <w:rPr>
          <w:sz w:val="20"/>
          <w:szCs w:val="20"/>
          <w:color w:val="auto"/>
        </w:rPr>
      </w:pPr>
      <w:r>
        <w:rPr>
          <w:rFonts w:ascii="Arial" w:cs="Arial" w:eastAsia="Arial" w:hAnsi="Arial"/>
          <w:sz w:val="17"/>
          <w:szCs w:val="17"/>
          <w:color w:val="auto"/>
        </w:rPr>
        <w:t>A$0.8382</w:t>
      </w:r>
    </w:p>
    <w:p>
      <w:pPr>
        <w:spacing w:after="0" w:line="21" w:lineRule="exact"/>
        <w:rPr>
          <w:sz w:val="20"/>
          <w:szCs w:val="20"/>
          <w:color w:val="auto"/>
        </w:rPr>
      </w:pPr>
    </w:p>
    <w:p>
      <w:pPr>
        <w:ind w:left="60"/>
        <w:spacing w:after="0"/>
        <w:rPr>
          <w:sz w:val="20"/>
          <w:szCs w:val="20"/>
          <w:color w:val="auto"/>
        </w:rPr>
      </w:pPr>
      <w:r>
        <w:rPr>
          <w:rFonts w:ascii="Arial" w:cs="Arial" w:eastAsia="Arial" w:hAnsi="Arial"/>
          <w:sz w:val="17"/>
          <w:szCs w:val="17"/>
          <w:color w:val="auto"/>
        </w:rPr>
        <w:t>A$0.7283</w:t>
      </w:r>
    </w:p>
    <w:p>
      <w:pPr>
        <w:spacing w:after="0" w:line="21" w:lineRule="exact"/>
        <w:rPr>
          <w:sz w:val="20"/>
          <w:szCs w:val="20"/>
          <w:color w:val="auto"/>
        </w:rPr>
      </w:pPr>
    </w:p>
    <w:p>
      <w:pPr>
        <w:ind w:left="60"/>
        <w:spacing w:after="0"/>
        <w:rPr>
          <w:sz w:val="20"/>
          <w:szCs w:val="20"/>
          <w:color w:val="auto"/>
        </w:rPr>
      </w:pPr>
      <w:r>
        <w:rPr>
          <w:rFonts w:ascii="Arial" w:cs="Arial" w:eastAsia="Arial" w:hAnsi="Arial"/>
          <w:sz w:val="17"/>
          <w:szCs w:val="17"/>
          <w:color w:val="auto"/>
        </w:rPr>
        <w:t>A$0.7545</w:t>
      </w:r>
    </w:p>
    <w:p>
      <w:pPr>
        <w:spacing w:after="0" w:line="21" w:lineRule="exact"/>
        <w:rPr>
          <w:sz w:val="20"/>
          <w:szCs w:val="20"/>
          <w:color w:val="auto"/>
        </w:rPr>
      </w:pPr>
    </w:p>
    <w:p>
      <w:pPr>
        <w:ind w:left="60"/>
        <w:spacing w:after="0"/>
        <w:rPr>
          <w:sz w:val="20"/>
          <w:szCs w:val="20"/>
          <w:color w:val="auto"/>
        </w:rPr>
      </w:pPr>
      <w:r>
        <w:rPr>
          <w:rFonts w:ascii="Arial" w:cs="Arial" w:eastAsia="Arial" w:hAnsi="Arial"/>
          <w:sz w:val="17"/>
          <w:szCs w:val="17"/>
          <w:color w:val="auto"/>
        </w:rPr>
        <w:t>A$0.7753</w:t>
      </w:r>
    </w:p>
    <w:p>
      <w:pPr>
        <w:spacing w:after="0" w:line="20" w:lineRule="exact"/>
        <w:rPr>
          <w:sz w:val="20"/>
          <w:szCs w:val="20"/>
          <w:color w:val="auto"/>
        </w:rPr>
      </w:pPr>
      <w:r>
        <w:rPr>
          <w:sz w:val="20"/>
          <w:szCs w:val="20"/>
          <w:color w:val="auto"/>
        </w:rPr>
        <w:br w:type="column"/>
      </w:r>
    </w:p>
    <w:p>
      <w:pPr>
        <w:spacing w:after="0" w:line="322"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81"/>
        </w:trPr>
        <w:tc>
          <w:tcPr>
            <w:tcW w:w="2320" w:type="dxa"/>
            <w:vAlign w:val="bottom"/>
            <w:gridSpan w:val="2"/>
          </w:tcPr>
          <w:p>
            <w:pPr>
              <w:jc w:val="center"/>
              <w:ind w:right="120"/>
              <w:spacing w:after="0"/>
              <w:rPr>
                <w:sz w:val="20"/>
                <w:szCs w:val="20"/>
                <w:color w:val="auto"/>
              </w:rPr>
            </w:pPr>
            <w:r>
              <w:rPr>
                <w:rFonts w:ascii="Arial" w:cs="Arial" w:eastAsia="Arial" w:hAnsi="Arial"/>
                <w:sz w:val="14"/>
                <w:szCs w:val="14"/>
                <w:color w:val="auto"/>
                <w:w w:val="97"/>
              </w:rPr>
              <w:t>High</w:t>
            </w:r>
          </w:p>
        </w:tc>
        <w:tc>
          <w:tcPr>
            <w:tcW w:w="2100" w:type="dxa"/>
            <w:vAlign w:val="bottom"/>
          </w:tcPr>
          <w:p>
            <w:pPr>
              <w:jc w:val="center"/>
              <w:spacing w:after="0"/>
              <w:rPr>
                <w:sz w:val="20"/>
                <w:szCs w:val="20"/>
                <w:color w:val="auto"/>
              </w:rPr>
            </w:pPr>
            <w:r>
              <w:rPr>
                <w:rFonts w:ascii="Arial" w:cs="Arial" w:eastAsia="Arial" w:hAnsi="Arial"/>
                <w:sz w:val="14"/>
                <w:szCs w:val="14"/>
                <w:color w:val="auto"/>
              </w:rPr>
              <w:t>Low</w:t>
            </w:r>
          </w:p>
        </w:tc>
      </w:tr>
      <w:tr>
        <w:trPr>
          <w:trHeight w:val="195"/>
        </w:trPr>
        <w:tc>
          <w:tcPr>
            <w:tcW w:w="2200" w:type="dxa"/>
            <w:vAlign w:val="bottom"/>
            <w:tcBorders>
              <w:top w:val="single" w:sz="8" w:color="auto"/>
            </w:tcBorders>
          </w:tcPr>
          <w:p>
            <w:pPr>
              <w:jc w:val="center"/>
              <w:spacing w:after="0" w:line="195" w:lineRule="exact"/>
              <w:rPr>
                <w:sz w:val="20"/>
                <w:szCs w:val="20"/>
                <w:color w:val="auto"/>
              </w:rPr>
            </w:pPr>
            <w:r>
              <w:rPr>
                <w:rFonts w:ascii="Arial" w:cs="Arial" w:eastAsia="Arial" w:hAnsi="Arial"/>
                <w:sz w:val="18"/>
                <w:szCs w:val="18"/>
                <w:color w:val="auto"/>
                <w:w w:val="93"/>
              </w:rPr>
              <w:t>A$0.9672</w:t>
            </w:r>
          </w:p>
        </w:tc>
        <w:tc>
          <w:tcPr>
            <w:tcW w:w="120" w:type="dxa"/>
            <w:vAlign w:val="bottom"/>
          </w:tcPr>
          <w:p>
            <w:pPr>
              <w:spacing w:after="0"/>
              <w:rPr>
                <w:sz w:val="16"/>
                <w:szCs w:val="16"/>
                <w:color w:val="auto"/>
              </w:rPr>
            </w:pPr>
          </w:p>
        </w:tc>
        <w:tc>
          <w:tcPr>
            <w:tcW w:w="2100" w:type="dxa"/>
            <w:vAlign w:val="bottom"/>
            <w:tcBorders>
              <w:top w:val="single" w:sz="8" w:color="auto"/>
            </w:tcBorders>
          </w:tcPr>
          <w:p>
            <w:pPr>
              <w:jc w:val="center"/>
              <w:spacing w:after="0" w:line="195" w:lineRule="exact"/>
              <w:rPr>
                <w:sz w:val="20"/>
                <w:szCs w:val="20"/>
                <w:color w:val="auto"/>
              </w:rPr>
            </w:pPr>
            <w:r>
              <w:rPr>
                <w:rFonts w:ascii="Arial" w:cs="Arial" w:eastAsia="Arial" w:hAnsi="Arial"/>
                <w:sz w:val="18"/>
                <w:szCs w:val="18"/>
                <w:color w:val="auto"/>
                <w:w w:val="93"/>
              </w:rPr>
              <w:t>A$0.8716</w:t>
            </w:r>
          </w:p>
        </w:tc>
      </w:tr>
      <w:tr>
        <w:trPr>
          <w:trHeight w:val="216"/>
        </w:trPr>
        <w:tc>
          <w:tcPr>
            <w:tcW w:w="2320" w:type="dxa"/>
            <w:vAlign w:val="bottom"/>
            <w:gridSpan w:val="2"/>
          </w:tcPr>
          <w:p>
            <w:pPr>
              <w:jc w:val="center"/>
              <w:ind w:right="120"/>
              <w:spacing w:after="0"/>
              <w:rPr>
                <w:sz w:val="20"/>
                <w:szCs w:val="20"/>
                <w:color w:val="auto"/>
              </w:rPr>
            </w:pPr>
            <w:r>
              <w:rPr>
                <w:rFonts w:ascii="Arial" w:cs="Arial" w:eastAsia="Arial" w:hAnsi="Arial"/>
                <w:sz w:val="18"/>
                <w:szCs w:val="18"/>
                <w:color w:val="auto"/>
                <w:w w:val="93"/>
              </w:rPr>
              <w:t>A$0.9452</w:t>
            </w:r>
          </w:p>
        </w:tc>
        <w:tc>
          <w:tcPr>
            <w:tcW w:w="2100" w:type="dxa"/>
            <w:vAlign w:val="bottom"/>
          </w:tcPr>
          <w:p>
            <w:pPr>
              <w:jc w:val="center"/>
              <w:spacing w:after="0"/>
              <w:rPr>
                <w:sz w:val="20"/>
                <w:szCs w:val="20"/>
                <w:color w:val="auto"/>
              </w:rPr>
            </w:pPr>
            <w:r>
              <w:rPr>
                <w:rFonts w:ascii="Arial" w:cs="Arial" w:eastAsia="Arial" w:hAnsi="Arial"/>
                <w:sz w:val="18"/>
                <w:szCs w:val="18"/>
                <w:color w:val="auto"/>
                <w:w w:val="93"/>
              </w:rPr>
              <w:t>A$0.7590</w:t>
            </w:r>
          </w:p>
        </w:tc>
      </w:tr>
      <w:tr>
        <w:trPr>
          <w:trHeight w:val="216"/>
        </w:trPr>
        <w:tc>
          <w:tcPr>
            <w:tcW w:w="2320" w:type="dxa"/>
            <w:vAlign w:val="bottom"/>
            <w:gridSpan w:val="2"/>
          </w:tcPr>
          <w:p>
            <w:pPr>
              <w:jc w:val="center"/>
              <w:ind w:right="120"/>
              <w:spacing w:after="0"/>
              <w:rPr>
                <w:sz w:val="20"/>
                <w:szCs w:val="20"/>
                <w:color w:val="auto"/>
              </w:rPr>
            </w:pPr>
            <w:r>
              <w:rPr>
                <w:rFonts w:ascii="Arial" w:cs="Arial" w:eastAsia="Arial" w:hAnsi="Arial"/>
                <w:sz w:val="18"/>
                <w:szCs w:val="18"/>
                <w:color w:val="auto"/>
                <w:w w:val="93"/>
              </w:rPr>
              <w:t>A$0.7812</w:t>
            </w:r>
          </w:p>
        </w:tc>
        <w:tc>
          <w:tcPr>
            <w:tcW w:w="2100" w:type="dxa"/>
            <w:vAlign w:val="bottom"/>
          </w:tcPr>
          <w:p>
            <w:pPr>
              <w:jc w:val="center"/>
              <w:spacing w:after="0"/>
              <w:rPr>
                <w:sz w:val="20"/>
                <w:szCs w:val="20"/>
                <w:color w:val="auto"/>
              </w:rPr>
            </w:pPr>
            <w:r>
              <w:rPr>
                <w:rFonts w:ascii="Arial" w:cs="Arial" w:eastAsia="Arial" w:hAnsi="Arial"/>
                <w:sz w:val="18"/>
                <w:szCs w:val="18"/>
                <w:color w:val="auto"/>
                <w:w w:val="93"/>
              </w:rPr>
              <w:t>A$0.6867</w:t>
            </w:r>
          </w:p>
        </w:tc>
      </w:tr>
      <w:tr>
        <w:trPr>
          <w:trHeight w:val="216"/>
        </w:trPr>
        <w:tc>
          <w:tcPr>
            <w:tcW w:w="2320" w:type="dxa"/>
            <w:vAlign w:val="bottom"/>
            <w:gridSpan w:val="2"/>
          </w:tcPr>
          <w:p>
            <w:pPr>
              <w:jc w:val="center"/>
              <w:ind w:right="120"/>
              <w:spacing w:after="0"/>
              <w:rPr>
                <w:sz w:val="20"/>
                <w:szCs w:val="20"/>
                <w:color w:val="auto"/>
              </w:rPr>
            </w:pPr>
            <w:r>
              <w:rPr>
                <w:rFonts w:ascii="Arial" w:cs="Arial" w:eastAsia="Arial" w:hAnsi="Arial"/>
                <w:sz w:val="18"/>
                <w:szCs w:val="18"/>
                <w:color w:val="auto"/>
                <w:w w:val="93"/>
              </w:rPr>
              <w:t>A$0.7724</w:t>
            </w:r>
          </w:p>
        </w:tc>
        <w:tc>
          <w:tcPr>
            <w:tcW w:w="2100" w:type="dxa"/>
            <w:vAlign w:val="bottom"/>
          </w:tcPr>
          <w:p>
            <w:pPr>
              <w:jc w:val="center"/>
              <w:spacing w:after="0"/>
              <w:rPr>
                <w:sz w:val="20"/>
                <w:szCs w:val="20"/>
                <w:color w:val="auto"/>
              </w:rPr>
            </w:pPr>
            <w:r>
              <w:rPr>
                <w:rFonts w:ascii="Arial" w:cs="Arial" w:eastAsia="Arial" w:hAnsi="Arial"/>
                <w:sz w:val="18"/>
                <w:szCs w:val="18"/>
                <w:color w:val="auto"/>
                <w:w w:val="93"/>
              </w:rPr>
              <w:t>A$0.7202</w:t>
            </w:r>
          </w:p>
        </w:tc>
      </w:tr>
      <w:tr>
        <w:trPr>
          <w:trHeight w:val="230"/>
        </w:trPr>
        <w:tc>
          <w:tcPr>
            <w:tcW w:w="2320" w:type="dxa"/>
            <w:vAlign w:val="bottom"/>
            <w:gridSpan w:val="2"/>
          </w:tcPr>
          <w:p>
            <w:pPr>
              <w:jc w:val="center"/>
              <w:ind w:right="120"/>
              <w:spacing w:after="0"/>
              <w:rPr>
                <w:sz w:val="20"/>
                <w:szCs w:val="20"/>
                <w:color w:val="auto"/>
              </w:rPr>
            </w:pPr>
            <w:r>
              <w:rPr>
                <w:rFonts w:ascii="Arial" w:cs="Arial" w:eastAsia="Arial" w:hAnsi="Arial"/>
                <w:sz w:val="18"/>
                <w:szCs w:val="18"/>
                <w:color w:val="auto"/>
                <w:w w:val="93"/>
              </w:rPr>
              <w:t>A$0.8105</w:t>
            </w:r>
          </w:p>
        </w:tc>
        <w:tc>
          <w:tcPr>
            <w:tcW w:w="2100" w:type="dxa"/>
            <w:vAlign w:val="bottom"/>
          </w:tcPr>
          <w:p>
            <w:pPr>
              <w:jc w:val="center"/>
              <w:spacing w:after="0"/>
              <w:rPr>
                <w:sz w:val="20"/>
                <w:szCs w:val="20"/>
                <w:color w:val="auto"/>
              </w:rPr>
            </w:pPr>
            <w:r>
              <w:rPr>
                <w:rFonts w:ascii="Arial" w:cs="Arial" w:eastAsia="Arial" w:hAnsi="Arial"/>
                <w:sz w:val="18"/>
                <w:szCs w:val="18"/>
                <w:color w:val="auto"/>
                <w:w w:val="93"/>
              </w:rPr>
              <w:t>A$0.7355</w:t>
            </w:r>
          </w:p>
        </w:tc>
      </w:tr>
    </w:tbl>
    <w:p>
      <w:pPr>
        <w:spacing w:after="0" w:line="200" w:lineRule="exact"/>
        <w:rPr>
          <w:sz w:val="20"/>
          <w:szCs w:val="20"/>
          <w:color w:val="auto"/>
        </w:rPr>
      </w:pPr>
    </w:p>
    <w:p>
      <w:pPr>
        <w:sectPr>
          <w:pgSz w:w="11900" w:h="16838" w:orient="portrait"/>
          <w:cols w:equalWidth="0" w:num="3">
            <w:col w:w="4480" w:space="720"/>
            <w:col w:w="900" w:space="720"/>
            <w:col w:w="4420"/>
          </w:cols>
          <w:pgMar w:left="240" w:top="459" w:right="419" w:bottom="1440" w:gutter="0" w:footer="0" w:header="0"/>
          <w:type w:val="continuous"/>
        </w:sectPr>
      </w:pPr>
    </w:p>
    <w:p>
      <w:pPr>
        <w:spacing w:after="0" w:line="150" w:lineRule="exact"/>
        <w:rPr>
          <w:sz w:val="20"/>
          <w:szCs w:val="20"/>
          <w:color w:val="auto"/>
        </w:rPr>
      </w:pPr>
    </w:p>
    <w:p>
      <w:pPr>
        <w:jc w:val="center"/>
        <w:ind w:right="-179"/>
        <w:spacing w:after="0"/>
        <w:rPr>
          <w:sz w:val="20"/>
          <w:szCs w:val="20"/>
          <w:color w:val="auto"/>
        </w:rPr>
      </w:pPr>
      <w:r>
        <w:rPr>
          <w:rFonts w:ascii="Arial" w:cs="Arial" w:eastAsia="Arial" w:hAnsi="Arial"/>
          <w:sz w:val="17"/>
          <w:szCs w:val="17"/>
          <w:color w:val="auto"/>
        </w:rPr>
        <w:t>4</w:t>
      </w:r>
    </w:p>
    <w:p>
      <w:pPr>
        <w:sectPr>
          <w:pgSz w:w="11900" w:h="16838" w:orient="portrait"/>
          <w:cols w:equalWidth="0" w:num="1">
            <w:col w:w="11240"/>
          </w:cols>
          <w:pgMar w:left="240" w:top="459" w:right="419" w:bottom="1440" w:gutter="0" w:footer="0" w:header="0"/>
          <w:type w:val="continuous"/>
        </w:sectPr>
      </w:pPr>
    </w:p>
    <w:bookmarkStart w:id="6" w:name="page7"/>
    <w:bookmarkEnd w:id="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tbl>
      <w:tblPr>
        <w:tblLayout w:type="fixed"/>
        <w:tblInd w:w="1520" w:type="dxa"/>
        <w:tblCellMar>
          <w:top w:w="0" w:type="dxa"/>
          <w:left w:w="0" w:type="dxa"/>
          <w:bottom w:w="0" w:type="dxa"/>
          <w:right w:w="0" w:type="dxa"/>
        </w:tblCellMar>
      </w:tblPr>
      <w:tr>
        <w:trPr>
          <w:trHeight w:val="167"/>
        </w:trPr>
        <w:tc>
          <w:tcPr>
            <w:tcW w:w="3660" w:type="dxa"/>
            <w:vAlign w:val="bottom"/>
            <w:gridSpan w:val="3"/>
          </w:tcPr>
          <w:p>
            <w:pPr>
              <w:spacing w:after="0"/>
              <w:rPr>
                <w:sz w:val="20"/>
                <w:szCs w:val="20"/>
                <w:color w:val="auto"/>
              </w:rPr>
            </w:pPr>
            <w:r>
              <w:rPr>
                <w:rFonts w:ascii="Arial" w:cs="Arial" w:eastAsia="Arial" w:hAnsi="Arial"/>
                <w:sz w:val="14"/>
                <w:szCs w:val="14"/>
                <w:color w:val="auto"/>
              </w:rPr>
              <w:t>Month</w:t>
            </w:r>
          </w:p>
        </w:tc>
        <w:tc>
          <w:tcPr>
            <w:tcW w:w="2480" w:type="dxa"/>
            <w:vAlign w:val="bottom"/>
          </w:tcPr>
          <w:p>
            <w:pPr>
              <w:spacing w:after="0"/>
              <w:rPr>
                <w:sz w:val="14"/>
                <w:szCs w:val="14"/>
                <w:color w:val="auto"/>
              </w:rPr>
            </w:pPr>
          </w:p>
        </w:tc>
        <w:tc>
          <w:tcPr>
            <w:tcW w:w="720" w:type="dxa"/>
            <w:vAlign w:val="bottom"/>
          </w:tcPr>
          <w:p>
            <w:pPr>
              <w:jc w:val="center"/>
              <w:spacing w:after="0"/>
              <w:rPr>
                <w:sz w:val="20"/>
                <w:szCs w:val="20"/>
                <w:color w:val="auto"/>
              </w:rPr>
            </w:pPr>
            <w:r>
              <w:rPr>
                <w:rFonts w:ascii="Arial" w:cs="Arial" w:eastAsia="Arial" w:hAnsi="Arial"/>
                <w:sz w:val="14"/>
                <w:szCs w:val="14"/>
                <w:color w:val="auto"/>
              </w:rPr>
              <w:t>High</w:t>
            </w:r>
          </w:p>
        </w:tc>
        <w:tc>
          <w:tcPr>
            <w:tcW w:w="740" w:type="dxa"/>
            <w:vAlign w:val="bottom"/>
          </w:tcPr>
          <w:p>
            <w:pPr>
              <w:spacing w:after="0"/>
              <w:rPr>
                <w:sz w:val="14"/>
                <w:szCs w:val="14"/>
                <w:color w:val="auto"/>
              </w:rPr>
            </w:pPr>
          </w:p>
        </w:tc>
        <w:tc>
          <w:tcPr>
            <w:tcW w:w="780" w:type="dxa"/>
            <w:vAlign w:val="bottom"/>
            <w:gridSpan w:val="2"/>
          </w:tcPr>
          <w:p>
            <w:pPr>
              <w:jc w:val="center"/>
              <w:ind w:right="40"/>
              <w:spacing w:after="0"/>
              <w:rPr>
                <w:sz w:val="20"/>
                <w:szCs w:val="20"/>
                <w:color w:val="auto"/>
              </w:rPr>
            </w:pPr>
            <w:r>
              <w:rPr>
                <w:rFonts w:ascii="Arial" w:cs="Arial" w:eastAsia="Arial" w:hAnsi="Arial"/>
                <w:sz w:val="14"/>
                <w:szCs w:val="14"/>
                <w:color w:val="auto"/>
              </w:rPr>
              <w:t>Low</w:t>
            </w:r>
          </w:p>
        </w:tc>
      </w:tr>
      <w:tr>
        <w:trPr>
          <w:trHeight w:val="20"/>
        </w:trPr>
        <w:tc>
          <w:tcPr>
            <w:tcW w:w="20" w:type="dxa"/>
            <w:vAlign w:val="bottom"/>
          </w:tcPr>
          <w:p>
            <w:pPr>
              <w:spacing w:after="0" w:line="20" w:lineRule="exact"/>
              <w:rPr>
                <w:sz w:val="1"/>
                <w:szCs w:val="1"/>
                <w:color w:val="auto"/>
              </w:rPr>
            </w:pPr>
          </w:p>
        </w:tc>
        <w:tc>
          <w:tcPr>
            <w:tcW w:w="380" w:type="dxa"/>
            <w:vAlign w:val="bottom"/>
            <w:tcBorders>
              <w:bottom w:val="single" w:sz="8" w:color="CCEEFF"/>
            </w:tcBorders>
            <w:shd w:val="clear" w:color="auto" w:fill="000000"/>
          </w:tcPr>
          <w:p>
            <w:pPr>
              <w:spacing w:after="0" w:line="20" w:lineRule="exact"/>
              <w:rPr>
                <w:sz w:val="1"/>
                <w:szCs w:val="1"/>
                <w:color w:val="auto"/>
              </w:rPr>
            </w:pPr>
          </w:p>
        </w:tc>
        <w:tc>
          <w:tcPr>
            <w:tcW w:w="3260" w:type="dxa"/>
            <w:vAlign w:val="bottom"/>
            <w:tcBorders>
              <w:bottom w:val="single" w:sz="8" w:color="CCEEFF"/>
            </w:tcBorders>
          </w:tcPr>
          <w:p>
            <w:pPr>
              <w:spacing w:after="0" w:line="20" w:lineRule="exact"/>
              <w:rPr>
                <w:sz w:val="1"/>
                <w:szCs w:val="1"/>
                <w:color w:val="auto"/>
              </w:rPr>
            </w:pPr>
          </w:p>
        </w:tc>
        <w:tc>
          <w:tcPr>
            <w:tcW w:w="2480" w:type="dxa"/>
            <w:vAlign w:val="bottom"/>
            <w:tcBorders>
              <w:bottom w:val="single" w:sz="8" w:color="CCEEFF"/>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CCEEFF"/>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r>
      <w:tr>
        <w:trPr>
          <w:trHeight w:val="203"/>
        </w:trPr>
        <w:tc>
          <w:tcPr>
            <w:tcW w:w="20" w:type="dxa"/>
            <w:vAlign w:val="bottom"/>
          </w:tcPr>
          <w:p>
            <w:pPr>
              <w:spacing w:after="0"/>
              <w:rPr>
                <w:sz w:val="17"/>
                <w:szCs w:val="17"/>
                <w:color w:val="auto"/>
              </w:rPr>
            </w:pPr>
          </w:p>
        </w:tc>
        <w:tc>
          <w:tcPr>
            <w:tcW w:w="3640" w:type="dxa"/>
            <w:vAlign w:val="bottom"/>
            <w:gridSpan w:val="2"/>
            <w:shd w:val="clear" w:color="auto" w:fill="CCEEFF"/>
          </w:tcPr>
          <w:p>
            <w:pPr>
              <w:spacing w:after="0" w:line="203" w:lineRule="exact"/>
              <w:rPr>
                <w:sz w:val="20"/>
                <w:szCs w:val="20"/>
                <w:color w:val="auto"/>
              </w:rPr>
            </w:pPr>
            <w:r>
              <w:rPr>
                <w:rFonts w:ascii="Arial" w:cs="Arial" w:eastAsia="Arial" w:hAnsi="Arial"/>
                <w:sz w:val="18"/>
                <w:szCs w:val="18"/>
                <w:color w:val="auto"/>
              </w:rPr>
              <w:t>July 2018</w:t>
            </w:r>
          </w:p>
        </w:tc>
        <w:tc>
          <w:tcPr>
            <w:tcW w:w="2480" w:type="dxa"/>
            <w:vAlign w:val="bottom"/>
            <w:shd w:val="clear" w:color="auto" w:fill="CCEEFF"/>
          </w:tcPr>
          <w:p>
            <w:pPr>
              <w:spacing w:after="0"/>
              <w:rPr>
                <w:sz w:val="17"/>
                <w:szCs w:val="17"/>
                <w:color w:val="auto"/>
              </w:rPr>
            </w:pPr>
          </w:p>
        </w:tc>
        <w:tc>
          <w:tcPr>
            <w:tcW w:w="720" w:type="dxa"/>
            <w:vAlign w:val="bottom"/>
            <w:shd w:val="clear" w:color="auto" w:fill="CCEEFF"/>
          </w:tcPr>
          <w:p>
            <w:pPr>
              <w:jc w:val="center"/>
              <w:spacing w:after="0" w:line="203" w:lineRule="exact"/>
              <w:rPr>
                <w:sz w:val="20"/>
                <w:szCs w:val="20"/>
                <w:color w:val="auto"/>
              </w:rPr>
            </w:pPr>
            <w:r>
              <w:rPr>
                <w:rFonts w:ascii="Arial" w:cs="Arial" w:eastAsia="Arial" w:hAnsi="Arial"/>
                <w:sz w:val="18"/>
                <w:szCs w:val="18"/>
                <w:color w:val="auto"/>
                <w:w w:val="93"/>
              </w:rPr>
              <w:t>A$0.7467</w:t>
            </w:r>
          </w:p>
        </w:tc>
        <w:tc>
          <w:tcPr>
            <w:tcW w:w="740" w:type="dxa"/>
            <w:vAlign w:val="bottom"/>
            <w:shd w:val="clear" w:color="auto" w:fill="CCEEFF"/>
          </w:tcPr>
          <w:p>
            <w:pPr>
              <w:spacing w:after="0"/>
              <w:rPr>
                <w:sz w:val="17"/>
                <w:szCs w:val="17"/>
                <w:color w:val="auto"/>
              </w:rPr>
            </w:pPr>
          </w:p>
        </w:tc>
        <w:tc>
          <w:tcPr>
            <w:tcW w:w="740" w:type="dxa"/>
            <w:vAlign w:val="bottom"/>
            <w:shd w:val="clear" w:color="auto" w:fill="CCEEFF"/>
          </w:tcPr>
          <w:p>
            <w:pPr>
              <w:jc w:val="center"/>
              <w:spacing w:after="0" w:line="203" w:lineRule="exact"/>
              <w:rPr>
                <w:sz w:val="20"/>
                <w:szCs w:val="20"/>
                <w:color w:val="auto"/>
              </w:rPr>
            </w:pPr>
            <w:r>
              <w:rPr>
                <w:rFonts w:ascii="Arial" w:cs="Arial" w:eastAsia="Arial" w:hAnsi="Arial"/>
                <w:sz w:val="18"/>
                <w:szCs w:val="18"/>
                <w:color w:val="auto"/>
                <w:w w:val="93"/>
              </w:rPr>
              <w:t>A$0.7360</w:t>
            </w:r>
          </w:p>
        </w:tc>
        <w:tc>
          <w:tcPr>
            <w:tcW w:w="40" w:type="dxa"/>
            <w:vAlign w:val="bottom"/>
            <w:shd w:val="clear" w:color="auto" w:fill="CCEEFF"/>
          </w:tcPr>
          <w:p>
            <w:pPr>
              <w:spacing w:after="0"/>
              <w:rPr>
                <w:sz w:val="17"/>
                <w:szCs w:val="17"/>
                <w:color w:val="auto"/>
              </w:rPr>
            </w:pPr>
          </w:p>
        </w:tc>
      </w:tr>
      <w:tr>
        <w:trPr>
          <w:trHeight w:val="216"/>
        </w:trPr>
        <w:tc>
          <w:tcPr>
            <w:tcW w:w="20" w:type="dxa"/>
            <w:vAlign w:val="bottom"/>
          </w:tcPr>
          <w:p>
            <w:pPr>
              <w:spacing w:after="0"/>
              <w:rPr>
                <w:sz w:val="18"/>
                <w:szCs w:val="18"/>
                <w:color w:val="auto"/>
              </w:rPr>
            </w:pPr>
          </w:p>
        </w:tc>
        <w:tc>
          <w:tcPr>
            <w:tcW w:w="3640" w:type="dxa"/>
            <w:vAlign w:val="bottom"/>
            <w:gridSpan w:val="2"/>
          </w:tcPr>
          <w:p>
            <w:pPr>
              <w:spacing w:after="0"/>
              <w:rPr>
                <w:sz w:val="20"/>
                <w:szCs w:val="20"/>
                <w:color w:val="auto"/>
              </w:rPr>
            </w:pPr>
            <w:r>
              <w:rPr>
                <w:rFonts w:ascii="Arial" w:cs="Arial" w:eastAsia="Arial" w:hAnsi="Arial"/>
                <w:sz w:val="18"/>
                <w:szCs w:val="18"/>
                <w:color w:val="auto"/>
              </w:rPr>
              <w:t>August 2018</w:t>
            </w:r>
          </w:p>
        </w:tc>
        <w:tc>
          <w:tcPr>
            <w:tcW w:w="3200" w:type="dxa"/>
            <w:vAlign w:val="bottom"/>
            <w:gridSpan w:val="2"/>
          </w:tcPr>
          <w:p>
            <w:pPr>
              <w:jc w:val="center"/>
              <w:ind w:left="2370"/>
              <w:spacing w:after="0"/>
              <w:rPr>
                <w:sz w:val="20"/>
                <w:szCs w:val="20"/>
                <w:color w:val="auto"/>
              </w:rPr>
            </w:pPr>
            <w:r>
              <w:rPr>
                <w:rFonts w:ascii="Arial" w:cs="Arial" w:eastAsia="Arial" w:hAnsi="Arial"/>
                <w:sz w:val="18"/>
                <w:szCs w:val="18"/>
                <w:color w:val="auto"/>
                <w:w w:val="95"/>
              </w:rPr>
              <w:t>A$0.7441</w:t>
            </w:r>
          </w:p>
        </w:tc>
        <w:tc>
          <w:tcPr>
            <w:tcW w:w="1520" w:type="dxa"/>
            <w:vAlign w:val="bottom"/>
            <w:gridSpan w:val="3"/>
          </w:tcPr>
          <w:p>
            <w:pPr>
              <w:jc w:val="center"/>
              <w:ind w:left="590"/>
              <w:spacing w:after="0"/>
              <w:rPr>
                <w:sz w:val="20"/>
                <w:szCs w:val="20"/>
                <w:color w:val="auto"/>
              </w:rPr>
            </w:pPr>
            <w:r>
              <w:rPr>
                <w:rFonts w:ascii="Arial" w:cs="Arial" w:eastAsia="Arial" w:hAnsi="Arial"/>
                <w:sz w:val="18"/>
                <w:szCs w:val="18"/>
                <w:color w:val="auto"/>
                <w:w w:val="93"/>
              </w:rPr>
              <w:t>A$0.7213</w:t>
            </w:r>
          </w:p>
        </w:tc>
      </w:tr>
      <w:tr>
        <w:trPr>
          <w:trHeight w:val="216"/>
        </w:trPr>
        <w:tc>
          <w:tcPr>
            <w:tcW w:w="20" w:type="dxa"/>
            <w:vAlign w:val="bottom"/>
          </w:tcPr>
          <w:p>
            <w:pPr>
              <w:spacing w:after="0"/>
              <w:rPr>
                <w:sz w:val="18"/>
                <w:szCs w:val="18"/>
                <w:color w:val="auto"/>
              </w:rPr>
            </w:pPr>
          </w:p>
        </w:tc>
        <w:tc>
          <w:tcPr>
            <w:tcW w:w="36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September 2018</w:t>
            </w:r>
          </w:p>
        </w:tc>
        <w:tc>
          <w:tcPr>
            <w:tcW w:w="3200" w:type="dxa"/>
            <w:vAlign w:val="bottom"/>
            <w:gridSpan w:val="2"/>
            <w:shd w:val="clear" w:color="auto" w:fill="CCEEFF"/>
          </w:tcPr>
          <w:p>
            <w:pPr>
              <w:jc w:val="center"/>
              <w:ind w:left="2370"/>
              <w:spacing w:after="0"/>
              <w:rPr>
                <w:sz w:val="20"/>
                <w:szCs w:val="20"/>
                <w:color w:val="auto"/>
              </w:rPr>
            </w:pPr>
            <w:r>
              <w:rPr>
                <w:rFonts w:ascii="Arial" w:cs="Arial" w:eastAsia="Arial" w:hAnsi="Arial"/>
                <w:sz w:val="18"/>
                <w:szCs w:val="18"/>
                <w:color w:val="auto"/>
                <w:w w:val="95"/>
              </w:rPr>
              <w:t>A$0.7296</w:t>
            </w:r>
          </w:p>
        </w:tc>
        <w:tc>
          <w:tcPr>
            <w:tcW w:w="1520" w:type="dxa"/>
            <w:vAlign w:val="bottom"/>
            <w:gridSpan w:val="3"/>
            <w:shd w:val="clear" w:color="auto" w:fill="CCEEFF"/>
          </w:tcPr>
          <w:p>
            <w:pPr>
              <w:jc w:val="center"/>
              <w:ind w:left="590"/>
              <w:spacing w:after="0"/>
              <w:rPr>
                <w:sz w:val="20"/>
                <w:szCs w:val="20"/>
                <w:color w:val="auto"/>
              </w:rPr>
            </w:pPr>
            <w:r>
              <w:rPr>
                <w:rFonts w:ascii="Arial" w:cs="Arial" w:eastAsia="Arial" w:hAnsi="Arial"/>
                <w:sz w:val="18"/>
                <w:szCs w:val="18"/>
                <w:color w:val="auto"/>
                <w:w w:val="93"/>
              </w:rPr>
              <w:t>A$0.7103</w:t>
            </w:r>
          </w:p>
        </w:tc>
      </w:tr>
      <w:tr>
        <w:trPr>
          <w:trHeight w:val="216"/>
        </w:trPr>
        <w:tc>
          <w:tcPr>
            <w:tcW w:w="20" w:type="dxa"/>
            <w:vAlign w:val="bottom"/>
          </w:tcPr>
          <w:p>
            <w:pPr>
              <w:spacing w:after="0"/>
              <w:rPr>
                <w:sz w:val="18"/>
                <w:szCs w:val="18"/>
                <w:color w:val="auto"/>
              </w:rPr>
            </w:pPr>
          </w:p>
        </w:tc>
        <w:tc>
          <w:tcPr>
            <w:tcW w:w="3640" w:type="dxa"/>
            <w:vAlign w:val="bottom"/>
            <w:gridSpan w:val="2"/>
          </w:tcPr>
          <w:p>
            <w:pPr>
              <w:spacing w:after="0"/>
              <w:rPr>
                <w:sz w:val="20"/>
                <w:szCs w:val="20"/>
                <w:color w:val="auto"/>
              </w:rPr>
            </w:pPr>
            <w:r>
              <w:rPr>
                <w:rFonts w:ascii="Arial" w:cs="Arial" w:eastAsia="Arial" w:hAnsi="Arial"/>
                <w:sz w:val="18"/>
                <w:szCs w:val="18"/>
                <w:color w:val="auto"/>
              </w:rPr>
              <w:t>October 2018</w:t>
            </w:r>
          </w:p>
        </w:tc>
        <w:tc>
          <w:tcPr>
            <w:tcW w:w="3200" w:type="dxa"/>
            <w:vAlign w:val="bottom"/>
            <w:gridSpan w:val="2"/>
          </w:tcPr>
          <w:p>
            <w:pPr>
              <w:jc w:val="center"/>
              <w:ind w:left="2370"/>
              <w:spacing w:after="0"/>
              <w:rPr>
                <w:sz w:val="20"/>
                <w:szCs w:val="20"/>
                <w:color w:val="auto"/>
              </w:rPr>
            </w:pPr>
            <w:r>
              <w:rPr>
                <w:rFonts w:ascii="Arial" w:cs="Arial" w:eastAsia="Arial" w:hAnsi="Arial"/>
                <w:sz w:val="18"/>
                <w:szCs w:val="18"/>
                <w:color w:val="auto"/>
                <w:w w:val="95"/>
              </w:rPr>
              <w:t>A$0.7200</w:t>
            </w:r>
          </w:p>
        </w:tc>
        <w:tc>
          <w:tcPr>
            <w:tcW w:w="1520" w:type="dxa"/>
            <w:vAlign w:val="bottom"/>
            <w:gridSpan w:val="3"/>
          </w:tcPr>
          <w:p>
            <w:pPr>
              <w:jc w:val="center"/>
              <w:ind w:left="590"/>
              <w:spacing w:after="0"/>
              <w:rPr>
                <w:sz w:val="20"/>
                <w:szCs w:val="20"/>
                <w:color w:val="auto"/>
              </w:rPr>
            </w:pPr>
            <w:r>
              <w:rPr>
                <w:rFonts w:ascii="Arial" w:cs="Arial" w:eastAsia="Arial" w:hAnsi="Arial"/>
                <w:sz w:val="18"/>
                <w:szCs w:val="18"/>
                <w:color w:val="auto"/>
                <w:w w:val="93"/>
              </w:rPr>
              <w:t>A$0.7034</w:t>
            </w:r>
          </w:p>
        </w:tc>
      </w:tr>
      <w:tr>
        <w:trPr>
          <w:trHeight w:val="216"/>
        </w:trPr>
        <w:tc>
          <w:tcPr>
            <w:tcW w:w="20" w:type="dxa"/>
            <w:vAlign w:val="bottom"/>
          </w:tcPr>
          <w:p>
            <w:pPr>
              <w:spacing w:after="0"/>
              <w:rPr>
                <w:sz w:val="18"/>
                <w:szCs w:val="18"/>
                <w:color w:val="auto"/>
              </w:rPr>
            </w:pPr>
          </w:p>
        </w:tc>
        <w:tc>
          <w:tcPr>
            <w:tcW w:w="36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November 2018</w:t>
            </w:r>
          </w:p>
        </w:tc>
        <w:tc>
          <w:tcPr>
            <w:tcW w:w="3200" w:type="dxa"/>
            <w:vAlign w:val="bottom"/>
            <w:gridSpan w:val="2"/>
            <w:shd w:val="clear" w:color="auto" w:fill="CCEEFF"/>
          </w:tcPr>
          <w:p>
            <w:pPr>
              <w:jc w:val="center"/>
              <w:ind w:left="2370"/>
              <w:spacing w:after="0"/>
              <w:rPr>
                <w:sz w:val="20"/>
                <w:szCs w:val="20"/>
                <w:color w:val="auto"/>
              </w:rPr>
            </w:pPr>
            <w:r>
              <w:rPr>
                <w:rFonts w:ascii="Arial" w:cs="Arial" w:eastAsia="Arial" w:hAnsi="Arial"/>
                <w:sz w:val="18"/>
                <w:szCs w:val="18"/>
                <w:color w:val="auto"/>
                <w:w w:val="95"/>
              </w:rPr>
              <w:t>A$0.7316</w:t>
            </w:r>
          </w:p>
        </w:tc>
        <w:tc>
          <w:tcPr>
            <w:tcW w:w="1520" w:type="dxa"/>
            <w:vAlign w:val="bottom"/>
            <w:gridSpan w:val="3"/>
            <w:shd w:val="clear" w:color="auto" w:fill="CCEEFF"/>
          </w:tcPr>
          <w:p>
            <w:pPr>
              <w:jc w:val="center"/>
              <w:ind w:left="590"/>
              <w:spacing w:after="0"/>
              <w:rPr>
                <w:sz w:val="20"/>
                <w:szCs w:val="20"/>
                <w:color w:val="auto"/>
              </w:rPr>
            </w:pPr>
            <w:r>
              <w:rPr>
                <w:rFonts w:ascii="Arial" w:cs="Arial" w:eastAsia="Arial" w:hAnsi="Arial"/>
                <w:sz w:val="18"/>
                <w:szCs w:val="18"/>
                <w:color w:val="auto"/>
                <w:w w:val="93"/>
              </w:rPr>
              <w:t>A$0.7130</w:t>
            </w:r>
          </w:p>
        </w:tc>
      </w:tr>
      <w:tr>
        <w:trPr>
          <w:trHeight w:val="216"/>
        </w:trPr>
        <w:tc>
          <w:tcPr>
            <w:tcW w:w="20" w:type="dxa"/>
            <w:vAlign w:val="bottom"/>
          </w:tcPr>
          <w:p>
            <w:pPr>
              <w:spacing w:after="0"/>
              <w:rPr>
                <w:sz w:val="18"/>
                <w:szCs w:val="18"/>
                <w:color w:val="auto"/>
              </w:rPr>
            </w:pPr>
          </w:p>
        </w:tc>
        <w:tc>
          <w:tcPr>
            <w:tcW w:w="3640" w:type="dxa"/>
            <w:vAlign w:val="bottom"/>
            <w:gridSpan w:val="2"/>
          </w:tcPr>
          <w:p>
            <w:pPr>
              <w:spacing w:after="0"/>
              <w:rPr>
                <w:sz w:val="20"/>
                <w:szCs w:val="20"/>
                <w:color w:val="auto"/>
              </w:rPr>
            </w:pPr>
            <w:r>
              <w:rPr>
                <w:rFonts w:ascii="Arial" w:cs="Arial" w:eastAsia="Arial" w:hAnsi="Arial"/>
                <w:sz w:val="18"/>
                <w:szCs w:val="18"/>
                <w:color w:val="auto"/>
              </w:rPr>
              <w:t>December 2018</w:t>
            </w:r>
          </w:p>
        </w:tc>
        <w:tc>
          <w:tcPr>
            <w:tcW w:w="3200" w:type="dxa"/>
            <w:vAlign w:val="bottom"/>
            <w:gridSpan w:val="2"/>
          </w:tcPr>
          <w:p>
            <w:pPr>
              <w:jc w:val="center"/>
              <w:ind w:left="2370"/>
              <w:spacing w:after="0"/>
              <w:rPr>
                <w:sz w:val="20"/>
                <w:szCs w:val="20"/>
                <w:color w:val="auto"/>
              </w:rPr>
            </w:pPr>
            <w:r>
              <w:rPr>
                <w:rFonts w:ascii="Arial" w:cs="Arial" w:eastAsia="Arial" w:hAnsi="Arial"/>
                <w:sz w:val="18"/>
                <w:szCs w:val="18"/>
                <w:color w:val="auto"/>
                <w:w w:val="95"/>
              </w:rPr>
              <w:t>A$0.7375</w:t>
            </w:r>
          </w:p>
        </w:tc>
        <w:tc>
          <w:tcPr>
            <w:tcW w:w="1520" w:type="dxa"/>
            <w:vAlign w:val="bottom"/>
            <w:gridSpan w:val="3"/>
          </w:tcPr>
          <w:p>
            <w:pPr>
              <w:jc w:val="center"/>
              <w:ind w:left="590"/>
              <w:spacing w:after="0"/>
              <w:rPr>
                <w:sz w:val="20"/>
                <w:szCs w:val="20"/>
                <w:color w:val="auto"/>
              </w:rPr>
            </w:pPr>
            <w:r>
              <w:rPr>
                <w:rFonts w:ascii="Arial" w:cs="Arial" w:eastAsia="Arial" w:hAnsi="Arial"/>
                <w:sz w:val="18"/>
                <w:szCs w:val="18"/>
                <w:color w:val="auto"/>
                <w:w w:val="93"/>
              </w:rPr>
              <w:t>A$0.7051</w:t>
            </w:r>
          </w:p>
        </w:tc>
      </w:tr>
      <w:tr>
        <w:trPr>
          <w:trHeight w:val="216"/>
        </w:trPr>
        <w:tc>
          <w:tcPr>
            <w:tcW w:w="20" w:type="dxa"/>
            <w:vAlign w:val="bottom"/>
          </w:tcPr>
          <w:p>
            <w:pPr>
              <w:spacing w:after="0"/>
              <w:rPr>
                <w:sz w:val="18"/>
                <w:szCs w:val="18"/>
                <w:color w:val="auto"/>
              </w:rPr>
            </w:pPr>
          </w:p>
        </w:tc>
        <w:tc>
          <w:tcPr>
            <w:tcW w:w="36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January 2019</w:t>
            </w:r>
          </w:p>
        </w:tc>
        <w:tc>
          <w:tcPr>
            <w:tcW w:w="3200" w:type="dxa"/>
            <w:vAlign w:val="bottom"/>
            <w:gridSpan w:val="2"/>
            <w:shd w:val="clear" w:color="auto" w:fill="CCEEFF"/>
          </w:tcPr>
          <w:p>
            <w:pPr>
              <w:jc w:val="center"/>
              <w:ind w:left="2370"/>
              <w:spacing w:after="0"/>
              <w:rPr>
                <w:sz w:val="20"/>
                <w:szCs w:val="20"/>
                <w:color w:val="auto"/>
              </w:rPr>
            </w:pPr>
            <w:r>
              <w:rPr>
                <w:rFonts w:ascii="Arial" w:cs="Arial" w:eastAsia="Arial" w:hAnsi="Arial"/>
                <w:sz w:val="18"/>
                <w:szCs w:val="18"/>
                <w:color w:val="auto"/>
                <w:w w:val="95"/>
              </w:rPr>
              <w:t>A$0.7268</w:t>
            </w:r>
          </w:p>
        </w:tc>
        <w:tc>
          <w:tcPr>
            <w:tcW w:w="1520" w:type="dxa"/>
            <w:vAlign w:val="bottom"/>
            <w:gridSpan w:val="3"/>
            <w:shd w:val="clear" w:color="auto" w:fill="CCEEFF"/>
          </w:tcPr>
          <w:p>
            <w:pPr>
              <w:jc w:val="center"/>
              <w:ind w:left="590"/>
              <w:spacing w:after="0"/>
              <w:rPr>
                <w:sz w:val="20"/>
                <w:szCs w:val="20"/>
                <w:color w:val="auto"/>
              </w:rPr>
            </w:pPr>
            <w:r>
              <w:rPr>
                <w:rFonts w:ascii="Arial" w:cs="Arial" w:eastAsia="Arial" w:hAnsi="Arial"/>
                <w:sz w:val="18"/>
                <w:szCs w:val="18"/>
                <w:color w:val="auto"/>
                <w:w w:val="93"/>
              </w:rPr>
              <w:t>A$0.6945</w:t>
            </w:r>
          </w:p>
        </w:tc>
      </w:tr>
      <w:tr>
        <w:trPr>
          <w:trHeight w:val="216"/>
        </w:trPr>
        <w:tc>
          <w:tcPr>
            <w:tcW w:w="20" w:type="dxa"/>
            <w:vAlign w:val="bottom"/>
          </w:tcPr>
          <w:p>
            <w:pPr>
              <w:spacing w:after="0"/>
              <w:rPr>
                <w:sz w:val="18"/>
                <w:szCs w:val="18"/>
                <w:color w:val="auto"/>
              </w:rPr>
            </w:pPr>
          </w:p>
        </w:tc>
        <w:tc>
          <w:tcPr>
            <w:tcW w:w="3640" w:type="dxa"/>
            <w:vAlign w:val="bottom"/>
            <w:gridSpan w:val="2"/>
          </w:tcPr>
          <w:p>
            <w:pPr>
              <w:spacing w:after="0"/>
              <w:rPr>
                <w:sz w:val="20"/>
                <w:szCs w:val="20"/>
                <w:color w:val="auto"/>
              </w:rPr>
            </w:pPr>
            <w:r>
              <w:rPr>
                <w:rFonts w:ascii="Arial" w:cs="Arial" w:eastAsia="Arial" w:hAnsi="Arial"/>
                <w:sz w:val="18"/>
                <w:szCs w:val="18"/>
                <w:color w:val="auto"/>
              </w:rPr>
              <w:t>February 2019</w:t>
            </w:r>
          </w:p>
        </w:tc>
        <w:tc>
          <w:tcPr>
            <w:tcW w:w="3200" w:type="dxa"/>
            <w:vAlign w:val="bottom"/>
            <w:gridSpan w:val="2"/>
          </w:tcPr>
          <w:p>
            <w:pPr>
              <w:jc w:val="center"/>
              <w:ind w:left="2370"/>
              <w:spacing w:after="0"/>
              <w:rPr>
                <w:sz w:val="20"/>
                <w:szCs w:val="20"/>
                <w:color w:val="auto"/>
              </w:rPr>
            </w:pPr>
            <w:r>
              <w:rPr>
                <w:rFonts w:ascii="Arial" w:cs="Arial" w:eastAsia="Arial" w:hAnsi="Arial"/>
                <w:sz w:val="18"/>
                <w:szCs w:val="18"/>
                <w:color w:val="auto"/>
                <w:w w:val="95"/>
              </w:rPr>
              <w:t>A$0.7260</w:t>
            </w:r>
          </w:p>
        </w:tc>
        <w:tc>
          <w:tcPr>
            <w:tcW w:w="1520" w:type="dxa"/>
            <w:vAlign w:val="bottom"/>
            <w:gridSpan w:val="3"/>
          </w:tcPr>
          <w:p>
            <w:pPr>
              <w:jc w:val="center"/>
              <w:ind w:left="590"/>
              <w:spacing w:after="0"/>
              <w:rPr>
                <w:sz w:val="20"/>
                <w:szCs w:val="20"/>
                <w:color w:val="auto"/>
              </w:rPr>
            </w:pPr>
            <w:r>
              <w:rPr>
                <w:rFonts w:ascii="Arial" w:cs="Arial" w:eastAsia="Arial" w:hAnsi="Arial"/>
                <w:sz w:val="18"/>
                <w:szCs w:val="18"/>
                <w:color w:val="auto"/>
                <w:w w:val="93"/>
              </w:rPr>
              <w:t>A$0.7072</w:t>
            </w:r>
          </w:p>
        </w:tc>
      </w:tr>
      <w:tr>
        <w:trPr>
          <w:trHeight w:val="216"/>
        </w:trPr>
        <w:tc>
          <w:tcPr>
            <w:tcW w:w="20" w:type="dxa"/>
            <w:vAlign w:val="bottom"/>
          </w:tcPr>
          <w:p>
            <w:pPr>
              <w:spacing w:after="0"/>
              <w:rPr>
                <w:sz w:val="18"/>
                <w:szCs w:val="18"/>
                <w:color w:val="auto"/>
              </w:rPr>
            </w:pPr>
          </w:p>
        </w:tc>
        <w:tc>
          <w:tcPr>
            <w:tcW w:w="36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March 2019</w:t>
            </w:r>
          </w:p>
        </w:tc>
        <w:tc>
          <w:tcPr>
            <w:tcW w:w="3200" w:type="dxa"/>
            <w:vAlign w:val="bottom"/>
            <w:gridSpan w:val="2"/>
            <w:shd w:val="clear" w:color="auto" w:fill="CCEEFF"/>
          </w:tcPr>
          <w:p>
            <w:pPr>
              <w:jc w:val="center"/>
              <w:ind w:left="2370"/>
              <w:spacing w:after="0"/>
              <w:rPr>
                <w:sz w:val="20"/>
                <w:szCs w:val="20"/>
                <w:color w:val="auto"/>
              </w:rPr>
            </w:pPr>
            <w:r>
              <w:rPr>
                <w:rFonts w:ascii="Arial" w:cs="Arial" w:eastAsia="Arial" w:hAnsi="Arial"/>
                <w:sz w:val="18"/>
                <w:szCs w:val="18"/>
                <w:color w:val="auto"/>
                <w:w w:val="95"/>
              </w:rPr>
              <w:t>A$0.7145</w:t>
            </w:r>
          </w:p>
        </w:tc>
        <w:tc>
          <w:tcPr>
            <w:tcW w:w="1520" w:type="dxa"/>
            <w:vAlign w:val="bottom"/>
            <w:gridSpan w:val="3"/>
            <w:shd w:val="clear" w:color="auto" w:fill="CCEEFF"/>
          </w:tcPr>
          <w:p>
            <w:pPr>
              <w:jc w:val="center"/>
              <w:ind w:left="590"/>
              <w:spacing w:after="0"/>
              <w:rPr>
                <w:sz w:val="20"/>
                <w:szCs w:val="20"/>
                <w:color w:val="auto"/>
              </w:rPr>
            </w:pPr>
            <w:r>
              <w:rPr>
                <w:rFonts w:ascii="Arial" w:cs="Arial" w:eastAsia="Arial" w:hAnsi="Arial"/>
                <w:sz w:val="18"/>
                <w:szCs w:val="18"/>
                <w:color w:val="auto"/>
                <w:w w:val="93"/>
              </w:rPr>
              <w:t>A$0.7009</w:t>
            </w:r>
          </w:p>
        </w:tc>
      </w:tr>
      <w:tr>
        <w:trPr>
          <w:trHeight w:val="230"/>
        </w:trPr>
        <w:tc>
          <w:tcPr>
            <w:tcW w:w="20" w:type="dxa"/>
            <w:vAlign w:val="bottom"/>
          </w:tcPr>
          <w:p>
            <w:pPr>
              <w:spacing w:after="0"/>
              <w:rPr>
                <w:sz w:val="20"/>
                <w:szCs w:val="20"/>
                <w:color w:val="auto"/>
              </w:rPr>
            </w:pPr>
          </w:p>
        </w:tc>
        <w:tc>
          <w:tcPr>
            <w:tcW w:w="3640" w:type="dxa"/>
            <w:vAlign w:val="bottom"/>
            <w:gridSpan w:val="2"/>
          </w:tcPr>
          <w:p>
            <w:pPr>
              <w:spacing w:after="0"/>
              <w:rPr>
                <w:sz w:val="20"/>
                <w:szCs w:val="20"/>
                <w:color w:val="auto"/>
              </w:rPr>
            </w:pPr>
            <w:r>
              <w:rPr>
                <w:rFonts w:ascii="Arial" w:cs="Arial" w:eastAsia="Arial" w:hAnsi="Arial"/>
                <w:sz w:val="18"/>
                <w:szCs w:val="18"/>
                <w:color w:val="auto"/>
              </w:rPr>
              <w:t>April 2019</w:t>
            </w:r>
          </w:p>
        </w:tc>
        <w:tc>
          <w:tcPr>
            <w:tcW w:w="3200" w:type="dxa"/>
            <w:vAlign w:val="bottom"/>
            <w:gridSpan w:val="2"/>
          </w:tcPr>
          <w:p>
            <w:pPr>
              <w:jc w:val="center"/>
              <w:ind w:left="2370"/>
              <w:spacing w:after="0"/>
              <w:rPr>
                <w:sz w:val="20"/>
                <w:szCs w:val="20"/>
                <w:color w:val="auto"/>
              </w:rPr>
            </w:pPr>
            <w:r>
              <w:rPr>
                <w:rFonts w:ascii="Arial" w:cs="Arial" w:eastAsia="Arial" w:hAnsi="Arial"/>
                <w:sz w:val="18"/>
                <w:szCs w:val="18"/>
                <w:color w:val="auto"/>
                <w:w w:val="95"/>
              </w:rPr>
              <w:t>A$0.7200</w:t>
            </w:r>
          </w:p>
        </w:tc>
        <w:tc>
          <w:tcPr>
            <w:tcW w:w="1520" w:type="dxa"/>
            <w:vAlign w:val="bottom"/>
            <w:gridSpan w:val="3"/>
          </w:tcPr>
          <w:p>
            <w:pPr>
              <w:jc w:val="center"/>
              <w:ind w:left="590"/>
              <w:spacing w:after="0"/>
              <w:rPr>
                <w:sz w:val="20"/>
                <w:szCs w:val="20"/>
                <w:color w:val="auto"/>
              </w:rPr>
            </w:pPr>
            <w:r>
              <w:rPr>
                <w:rFonts w:ascii="Arial" w:cs="Arial" w:eastAsia="Arial" w:hAnsi="Arial"/>
                <w:sz w:val="18"/>
                <w:szCs w:val="18"/>
                <w:color w:val="auto"/>
                <w:w w:val="93"/>
              </w:rPr>
              <w:t>A$0.7025</w:t>
            </w:r>
          </w:p>
        </w:tc>
      </w:tr>
    </w:tbl>
    <w:p>
      <w:pPr>
        <w:spacing w:after="0" w:line="291"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B. Capitalization and Indebtedness</w:t>
      </w:r>
    </w:p>
    <w:p>
      <w:pPr>
        <w:spacing w:after="0" w:line="121" w:lineRule="exact"/>
        <w:rPr>
          <w:sz w:val="20"/>
          <w:szCs w:val="20"/>
          <w:color w:val="auto"/>
        </w:rPr>
      </w:pPr>
    </w:p>
    <w:p>
      <w:pPr>
        <w:ind w:left="200" w:right="120" w:firstLine="441"/>
        <w:spacing w:after="0" w:line="264" w:lineRule="auto"/>
        <w:rPr>
          <w:sz w:val="20"/>
          <w:szCs w:val="20"/>
          <w:color w:val="auto"/>
        </w:rPr>
      </w:pPr>
      <w:r>
        <w:rPr>
          <w:rFonts w:ascii="Arial" w:cs="Arial" w:eastAsia="Arial" w:hAnsi="Arial"/>
          <w:sz w:val="18"/>
          <w:szCs w:val="18"/>
          <w:color w:val="auto"/>
        </w:rPr>
        <w:t>The table below sets forth our total indebtedness and shows our capitalization as of June 30, 2018. You should read this table in conjunction with our consolidated financial statements included in this Registration Statement on Form 20-F, together with the accompanying notes and the other information appearing under the heading “Item 5. Operating and Financial Review and Prospects”.</w:t>
      </w:r>
    </w:p>
    <w:p>
      <w:pPr>
        <w:spacing w:after="0" w:line="187" w:lineRule="exact"/>
        <w:rPr>
          <w:sz w:val="20"/>
          <w:szCs w:val="20"/>
          <w:color w:val="auto"/>
        </w:rPr>
      </w:pPr>
    </w:p>
    <w:tbl>
      <w:tblPr>
        <w:tblLayout w:type="fixed"/>
        <w:tblInd w:w="198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900" w:type="dxa"/>
            <w:vAlign w:val="bottom"/>
          </w:tcPr>
          <w:p>
            <w:pPr>
              <w:spacing w:after="0"/>
              <w:rPr>
                <w:sz w:val="14"/>
                <w:szCs w:val="14"/>
                <w:color w:val="auto"/>
              </w:rPr>
            </w:pPr>
          </w:p>
        </w:tc>
        <w:tc>
          <w:tcPr>
            <w:tcW w:w="2040" w:type="dxa"/>
            <w:vAlign w:val="bottom"/>
          </w:tcPr>
          <w:p>
            <w:pPr>
              <w:spacing w:after="0"/>
              <w:rPr>
                <w:sz w:val="14"/>
                <w:szCs w:val="14"/>
                <w:color w:val="auto"/>
              </w:rPr>
            </w:pPr>
          </w:p>
        </w:tc>
        <w:tc>
          <w:tcPr>
            <w:tcW w:w="1520" w:type="dxa"/>
            <w:vAlign w:val="bottom"/>
            <w:gridSpan w:val="3"/>
          </w:tcPr>
          <w:p>
            <w:pPr>
              <w:ind w:left="120"/>
              <w:spacing w:after="0"/>
              <w:rPr>
                <w:sz w:val="20"/>
                <w:szCs w:val="20"/>
                <w:color w:val="auto"/>
              </w:rPr>
            </w:pPr>
            <w:r>
              <w:rPr>
                <w:rFonts w:ascii="Arial" w:cs="Arial" w:eastAsia="Arial" w:hAnsi="Arial"/>
                <w:sz w:val="14"/>
                <w:szCs w:val="14"/>
                <w:b w:val="1"/>
                <w:bCs w:val="1"/>
                <w:color w:val="auto"/>
              </w:rPr>
              <w:t>As of June 30, 2018</w:t>
            </w:r>
          </w:p>
        </w:tc>
      </w:tr>
      <w:tr>
        <w:trPr>
          <w:trHeight w:val="171"/>
        </w:trPr>
        <w:tc>
          <w:tcPr>
            <w:tcW w:w="20" w:type="dxa"/>
            <w:vAlign w:val="bottom"/>
          </w:tcPr>
          <w:p>
            <w:pPr>
              <w:spacing w:after="0"/>
              <w:rPr>
                <w:sz w:val="14"/>
                <w:szCs w:val="14"/>
                <w:color w:val="auto"/>
              </w:rPr>
            </w:pPr>
          </w:p>
        </w:tc>
        <w:tc>
          <w:tcPr>
            <w:tcW w:w="3900" w:type="dxa"/>
            <w:vAlign w:val="bottom"/>
          </w:tcPr>
          <w:p>
            <w:pPr>
              <w:spacing w:after="0"/>
              <w:rPr>
                <w:sz w:val="14"/>
                <w:szCs w:val="14"/>
                <w:color w:val="auto"/>
              </w:rPr>
            </w:pPr>
          </w:p>
        </w:tc>
        <w:tc>
          <w:tcPr>
            <w:tcW w:w="3560" w:type="dxa"/>
            <w:vAlign w:val="bottom"/>
            <w:gridSpan w:val="4"/>
          </w:tcPr>
          <w:p>
            <w:pPr>
              <w:ind w:left="2040"/>
              <w:spacing w:after="0"/>
              <w:rPr>
                <w:sz w:val="20"/>
                <w:szCs w:val="20"/>
                <w:color w:val="auto"/>
              </w:rPr>
            </w:pPr>
            <w:r>
              <w:rPr>
                <w:rFonts w:ascii="Arial" w:cs="Arial" w:eastAsia="Arial" w:hAnsi="Arial"/>
                <w:sz w:val="14"/>
                <w:szCs w:val="14"/>
                <w:b w:val="1"/>
                <w:bCs w:val="1"/>
                <w:color w:val="auto"/>
              </w:rPr>
              <w:t>(In Australian Dollars)</w:t>
            </w:r>
          </w:p>
        </w:tc>
      </w:tr>
      <w:tr>
        <w:trPr>
          <w:trHeight w:val="210"/>
        </w:trPr>
        <w:tc>
          <w:tcPr>
            <w:tcW w:w="20" w:type="dxa"/>
            <w:vAlign w:val="bottom"/>
          </w:tcPr>
          <w:p>
            <w:pPr>
              <w:spacing w:after="0"/>
              <w:rPr>
                <w:sz w:val="18"/>
                <w:szCs w:val="18"/>
                <w:color w:val="auto"/>
              </w:rPr>
            </w:pPr>
          </w:p>
        </w:tc>
        <w:tc>
          <w:tcPr>
            <w:tcW w:w="39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Cash and cash equivalents</w:t>
            </w:r>
          </w:p>
        </w:tc>
        <w:tc>
          <w:tcPr>
            <w:tcW w:w="204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A$</w:t>
            </w: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14,825,532</w:t>
            </w:r>
          </w:p>
        </w:tc>
        <w:tc>
          <w:tcPr>
            <w:tcW w:w="100" w:type="dxa"/>
            <w:vAlign w:val="bottom"/>
            <w:tcBorders>
              <w:top w:val="single" w:sz="8" w:color="CCEEFF"/>
            </w:tcBorders>
            <w:shd w:val="clear" w:color="auto" w:fill="CCEEFF"/>
          </w:tcPr>
          <w:p>
            <w:pPr>
              <w:spacing w:after="0"/>
              <w:rPr>
                <w:sz w:val="18"/>
                <w:szCs w:val="18"/>
                <w:color w:val="auto"/>
              </w:rPr>
            </w:pPr>
          </w:p>
        </w:tc>
      </w:tr>
      <w:tr>
        <w:trPr>
          <w:trHeight w:val="230"/>
        </w:trPr>
        <w:tc>
          <w:tcPr>
            <w:tcW w:w="3920" w:type="dxa"/>
            <w:vAlign w:val="bottom"/>
            <w:gridSpan w:val="2"/>
          </w:tcPr>
          <w:p>
            <w:pPr>
              <w:spacing w:after="0"/>
              <w:rPr>
                <w:sz w:val="20"/>
                <w:szCs w:val="20"/>
                <w:color w:val="auto"/>
              </w:rPr>
            </w:pPr>
            <w:r>
              <w:rPr>
                <w:rFonts w:ascii="Arial" w:cs="Arial" w:eastAsia="Arial" w:hAnsi="Arial"/>
                <w:sz w:val="18"/>
                <w:szCs w:val="18"/>
                <w:color w:val="auto"/>
              </w:rPr>
              <w:t>Long-term debt</w:t>
            </w:r>
          </w:p>
        </w:tc>
        <w:tc>
          <w:tcPr>
            <w:tcW w:w="204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A$</w:t>
            </w:r>
          </w:p>
        </w:tc>
        <w:tc>
          <w:tcPr>
            <w:tcW w:w="10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r>
      <w:tr>
        <w:trPr>
          <w:trHeight w:val="216"/>
        </w:trPr>
        <w:tc>
          <w:tcPr>
            <w:tcW w:w="20" w:type="dxa"/>
            <w:vAlign w:val="bottom"/>
          </w:tcPr>
          <w:p>
            <w:pPr>
              <w:spacing w:after="0"/>
              <w:rPr>
                <w:sz w:val="18"/>
                <w:szCs w:val="18"/>
                <w:color w:val="auto"/>
              </w:rPr>
            </w:pPr>
          </w:p>
        </w:tc>
        <w:tc>
          <w:tcPr>
            <w:tcW w:w="3900" w:type="dxa"/>
            <w:vAlign w:val="bottom"/>
            <w:shd w:val="clear" w:color="auto" w:fill="CCEEFF"/>
          </w:tcPr>
          <w:p>
            <w:pPr>
              <w:spacing w:after="0"/>
              <w:rPr>
                <w:sz w:val="20"/>
                <w:szCs w:val="20"/>
                <w:color w:val="auto"/>
              </w:rPr>
            </w:pPr>
            <w:r>
              <w:rPr>
                <w:rFonts w:ascii="Arial" w:cs="Arial" w:eastAsia="Arial" w:hAnsi="Arial"/>
                <w:sz w:val="18"/>
                <w:szCs w:val="18"/>
                <w:color w:val="auto"/>
              </w:rPr>
              <w:t>Contributed equity</w:t>
            </w:r>
          </w:p>
        </w:tc>
        <w:tc>
          <w:tcPr>
            <w:tcW w:w="20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162,801,028</w:t>
            </w: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900" w:type="dxa"/>
            <w:vAlign w:val="bottom"/>
          </w:tcPr>
          <w:p>
            <w:pPr>
              <w:spacing w:after="0"/>
              <w:rPr>
                <w:sz w:val="20"/>
                <w:szCs w:val="20"/>
                <w:color w:val="auto"/>
              </w:rPr>
            </w:pPr>
            <w:r>
              <w:rPr>
                <w:rFonts w:ascii="Arial" w:cs="Arial" w:eastAsia="Arial" w:hAnsi="Arial"/>
                <w:sz w:val="18"/>
                <w:szCs w:val="18"/>
                <w:color w:val="auto"/>
              </w:rPr>
              <w:t>Accumulated losses</w:t>
            </w:r>
          </w:p>
        </w:tc>
        <w:tc>
          <w:tcPr>
            <w:tcW w:w="20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80" w:type="dxa"/>
            <w:vAlign w:val="bottom"/>
            <w:gridSpan w:val="2"/>
          </w:tcPr>
          <w:p>
            <w:pPr>
              <w:jc w:val="right"/>
              <w:ind w:right="60"/>
              <w:spacing w:after="0"/>
              <w:rPr>
                <w:sz w:val="20"/>
                <w:szCs w:val="20"/>
                <w:color w:val="auto"/>
              </w:rPr>
            </w:pPr>
            <w:r>
              <w:rPr>
                <w:rFonts w:ascii="Arial" w:cs="Arial" w:eastAsia="Arial" w:hAnsi="Arial"/>
                <w:sz w:val="18"/>
                <w:szCs w:val="18"/>
                <w:color w:val="auto"/>
                <w:w w:val="98"/>
              </w:rPr>
              <w:t>(148,592,879)</w:t>
            </w:r>
          </w:p>
        </w:tc>
      </w:tr>
      <w:tr>
        <w:trPr>
          <w:trHeight w:val="216"/>
        </w:trPr>
        <w:tc>
          <w:tcPr>
            <w:tcW w:w="20" w:type="dxa"/>
            <w:vAlign w:val="bottom"/>
          </w:tcPr>
          <w:p>
            <w:pPr>
              <w:spacing w:after="0"/>
              <w:rPr>
                <w:sz w:val="18"/>
                <w:szCs w:val="18"/>
                <w:color w:val="auto"/>
              </w:rPr>
            </w:pPr>
          </w:p>
        </w:tc>
        <w:tc>
          <w:tcPr>
            <w:tcW w:w="3900" w:type="dxa"/>
            <w:vAlign w:val="bottom"/>
            <w:shd w:val="clear" w:color="auto" w:fill="CCEEFF"/>
          </w:tcPr>
          <w:p>
            <w:pPr>
              <w:spacing w:after="0"/>
              <w:rPr>
                <w:sz w:val="20"/>
                <w:szCs w:val="20"/>
                <w:color w:val="auto"/>
              </w:rPr>
            </w:pPr>
            <w:r>
              <w:rPr>
                <w:rFonts w:ascii="Arial" w:cs="Arial" w:eastAsia="Arial" w:hAnsi="Arial"/>
                <w:sz w:val="18"/>
                <w:szCs w:val="18"/>
                <w:color w:val="auto"/>
              </w:rPr>
              <w:t>Reserves</w:t>
            </w:r>
          </w:p>
        </w:tc>
        <w:tc>
          <w:tcPr>
            <w:tcW w:w="204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4,791,410</w:t>
            </w:r>
          </w:p>
        </w:tc>
        <w:tc>
          <w:tcPr>
            <w:tcW w:w="100" w:type="dxa"/>
            <w:vAlign w:val="bottom"/>
            <w:shd w:val="clear" w:color="auto" w:fill="CCEEFF"/>
          </w:tcPr>
          <w:p>
            <w:pPr>
              <w:spacing w:after="0"/>
              <w:rPr>
                <w:sz w:val="18"/>
                <w:szCs w:val="18"/>
                <w:color w:val="auto"/>
              </w:rPr>
            </w:pPr>
          </w:p>
        </w:tc>
      </w:tr>
      <w:tr>
        <w:trPr>
          <w:trHeight w:val="223"/>
        </w:trPr>
        <w:tc>
          <w:tcPr>
            <w:tcW w:w="3920" w:type="dxa"/>
            <w:vAlign w:val="bottom"/>
            <w:gridSpan w:val="2"/>
          </w:tcPr>
          <w:p>
            <w:pPr>
              <w:spacing w:after="0"/>
              <w:rPr>
                <w:sz w:val="20"/>
                <w:szCs w:val="20"/>
                <w:color w:val="auto"/>
              </w:rPr>
            </w:pPr>
            <w:r>
              <w:rPr>
                <w:rFonts w:ascii="Arial" w:cs="Arial" w:eastAsia="Arial" w:hAnsi="Arial"/>
                <w:sz w:val="18"/>
                <w:szCs w:val="18"/>
                <w:color w:val="auto"/>
              </w:rPr>
              <w:t>Total</w:t>
            </w:r>
          </w:p>
        </w:tc>
        <w:tc>
          <w:tcPr>
            <w:tcW w:w="20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18,999,559</w:t>
            </w:r>
          </w:p>
        </w:tc>
        <w:tc>
          <w:tcPr>
            <w:tcW w:w="10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3900" w:type="dxa"/>
            <w:vAlign w:val="bottom"/>
            <w:shd w:val="clear" w:color="auto" w:fill="CCEEFF"/>
          </w:tcPr>
          <w:p>
            <w:pPr>
              <w:spacing w:after="0"/>
              <w:rPr>
                <w:sz w:val="20"/>
                <w:szCs w:val="20"/>
                <w:color w:val="auto"/>
              </w:rPr>
            </w:pPr>
            <w:r>
              <w:rPr>
                <w:rFonts w:ascii="Arial" w:cs="Arial" w:eastAsia="Arial" w:hAnsi="Arial"/>
                <w:sz w:val="18"/>
                <w:szCs w:val="18"/>
                <w:color w:val="auto"/>
              </w:rPr>
              <w:t>Total capitalization</w:t>
            </w:r>
          </w:p>
        </w:tc>
        <w:tc>
          <w:tcPr>
            <w:tcW w:w="2380" w:type="dxa"/>
            <w:vAlign w:val="bottom"/>
            <w:gridSpan w:val="2"/>
            <w:shd w:val="clear" w:color="auto" w:fill="CCEEFF"/>
          </w:tcPr>
          <w:p>
            <w:pPr>
              <w:ind w:left="2040"/>
              <w:spacing w:after="0"/>
              <w:rPr>
                <w:sz w:val="20"/>
                <w:szCs w:val="20"/>
                <w:color w:val="auto"/>
              </w:rPr>
            </w:pPr>
            <w:r>
              <w:rPr>
                <w:rFonts w:ascii="Arial" w:cs="Arial" w:eastAsia="Arial" w:hAnsi="Arial"/>
                <w:sz w:val="18"/>
                <w:szCs w:val="18"/>
                <w:color w:val="auto"/>
              </w:rPr>
              <w:t>A$</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18,999,559</w:t>
            </w:r>
          </w:p>
        </w:tc>
        <w:tc>
          <w:tcPr>
            <w:tcW w:w="100" w:type="dxa"/>
            <w:vAlign w:val="bottom"/>
            <w:shd w:val="clear" w:color="auto" w:fill="CCEEFF"/>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3900" w:type="dxa"/>
            <w:vAlign w:val="bottom"/>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319"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C. Reasons for the Offer and Use of Proceeds</w:t>
      </w:r>
    </w:p>
    <w:p>
      <w:pPr>
        <w:spacing w:after="0" w:line="121" w:lineRule="exact"/>
        <w:rPr>
          <w:sz w:val="20"/>
          <w:szCs w:val="20"/>
          <w:color w:val="auto"/>
        </w:rPr>
      </w:pPr>
    </w:p>
    <w:p>
      <w:pPr>
        <w:ind w:left="640"/>
        <w:spacing w:after="0"/>
        <w:rPr>
          <w:sz w:val="20"/>
          <w:szCs w:val="20"/>
          <w:color w:val="auto"/>
        </w:rPr>
      </w:pPr>
      <w:r>
        <w:rPr>
          <w:rFonts w:ascii="Arial" w:cs="Arial" w:eastAsia="Arial" w:hAnsi="Arial"/>
          <w:sz w:val="18"/>
          <w:szCs w:val="18"/>
          <w:color w:val="auto"/>
        </w:rPr>
        <w:t>Not applicable.</w:t>
      </w:r>
    </w:p>
    <w:p>
      <w:pPr>
        <w:spacing w:after="0" w:line="329"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D. Risk Factors</w:t>
      </w:r>
    </w:p>
    <w:p>
      <w:pPr>
        <w:spacing w:after="0" w:line="121" w:lineRule="exact"/>
        <w:rPr>
          <w:sz w:val="20"/>
          <w:szCs w:val="20"/>
          <w:color w:val="auto"/>
        </w:rPr>
      </w:pPr>
    </w:p>
    <w:p>
      <w:pPr>
        <w:ind w:left="200" w:right="40" w:firstLine="441"/>
        <w:spacing w:after="0" w:line="297" w:lineRule="auto"/>
        <w:rPr>
          <w:sz w:val="20"/>
          <w:szCs w:val="20"/>
          <w:color w:val="auto"/>
        </w:rPr>
      </w:pPr>
      <w:r>
        <w:rPr>
          <w:rFonts w:ascii="Arial" w:cs="Arial" w:eastAsia="Arial" w:hAnsi="Arial"/>
          <w:sz w:val="16"/>
          <w:szCs w:val="16"/>
          <w:color w:val="auto"/>
        </w:rPr>
        <w:t>Our business faces significant risks. You should carefully consider all of the information set forth in this registration statement, including the following risk factors. Our business, results of operations, and financial condition could be materially and adversely affected by any of these risks, and in such event, the trading price of our ordinary shares, which underlie our ADSs, would likely decline and you might lose all or part of your investment. This registration statement also contains forward-looking statements that involve risks and uncertainties and our results could materially differ from those anticipated in these forward-looking statements. See “Special Note Regarding Forward-Looking Statements” at the beginning of Item 5.</w:t>
      </w:r>
    </w:p>
    <w:p>
      <w:pPr>
        <w:spacing w:after="0" w:line="262"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Risks Related to Our Business</w:t>
      </w:r>
    </w:p>
    <w:p>
      <w:pPr>
        <w:spacing w:after="0" w:line="121" w:lineRule="exact"/>
        <w:rPr>
          <w:sz w:val="20"/>
          <w:szCs w:val="20"/>
          <w:color w:val="auto"/>
        </w:rPr>
      </w:pPr>
    </w:p>
    <w:p>
      <w:pPr>
        <w:ind w:left="200"/>
        <w:spacing w:after="0"/>
        <w:rPr>
          <w:sz w:val="20"/>
          <w:szCs w:val="20"/>
          <w:color w:val="auto"/>
        </w:rPr>
      </w:pPr>
      <w:r>
        <w:rPr>
          <w:rFonts w:ascii="Arial" w:cs="Arial" w:eastAsia="Arial" w:hAnsi="Arial"/>
          <w:sz w:val="16"/>
          <w:szCs w:val="16"/>
          <w:b w:val="1"/>
          <w:bCs w:val="1"/>
          <w:i w:val="1"/>
          <w:iCs w:val="1"/>
          <w:color w:val="auto"/>
        </w:rPr>
        <w:t>We have experienced significant losses, expect losses to continue for the foreseeable future and may never achieve or maintain profitability.</w:t>
      </w:r>
    </w:p>
    <w:p>
      <w:pPr>
        <w:spacing w:after="0" w:line="140" w:lineRule="exact"/>
        <w:rPr>
          <w:sz w:val="20"/>
          <w:szCs w:val="20"/>
          <w:color w:val="auto"/>
        </w:rPr>
      </w:pPr>
    </w:p>
    <w:p>
      <w:pPr>
        <w:jc w:val="both"/>
        <w:ind w:left="200" w:firstLine="441"/>
        <w:spacing w:after="0" w:line="264" w:lineRule="auto"/>
        <w:rPr>
          <w:sz w:val="20"/>
          <w:szCs w:val="20"/>
          <w:color w:val="auto"/>
        </w:rPr>
      </w:pPr>
      <w:r>
        <w:rPr>
          <w:rFonts w:ascii="Arial" w:cs="Arial" w:eastAsia="Arial" w:hAnsi="Arial"/>
          <w:sz w:val="18"/>
          <w:szCs w:val="18"/>
          <w:color w:val="auto"/>
        </w:rPr>
        <w:t>Although we have begun full scale marketing and sales of our RECELL System in the U.S. and other jurisdictions, such sales have been limited to date and we have not yet obtained profitability. We had a total comprehensive loss of A$16,519,155, A$11,511,024 and A$7,778,015 for our fiscal years ended June 30, 2018,</w:t>
      </w:r>
    </w:p>
    <w:p>
      <w:pPr>
        <w:spacing w:after="0" w:line="114"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200"/>
          </w:cols>
          <w:pgMar w:left="240" w:top="459" w:right="459" w:bottom="1440" w:gutter="0" w:footer="0" w:header="0"/>
        </w:sectPr>
      </w:pPr>
    </w:p>
    <w:bookmarkStart w:id="7" w:name="page8"/>
    <w:bookmarkEnd w:id="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160"/>
        <w:spacing w:after="0" w:line="259" w:lineRule="auto"/>
        <w:rPr>
          <w:sz w:val="20"/>
          <w:szCs w:val="20"/>
          <w:color w:val="auto"/>
        </w:rPr>
      </w:pPr>
      <w:r>
        <w:rPr>
          <w:rFonts w:ascii="Arial" w:cs="Arial" w:eastAsia="Arial" w:hAnsi="Arial"/>
          <w:sz w:val="18"/>
          <w:szCs w:val="18"/>
          <w:color w:val="auto"/>
        </w:rPr>
        <w:t>2017 and 2016, respectively. We have incurred a cumulative deficit of A$148,592,879 through June 30, 2018. We anticipate that we may continue to incur losses at least until margins from U.S. sales of the RECELL System are adequate to fund operating expenses. We may not be able to successfully achieve or sustain profitability. Successful transition to profitable operations is dependent upon achieving a level of revenues adequate to support our cost structure.</w:t>
      </w:r>
    </w:p>
    <w:p>
      <w:pPr>
        <w:spacing w:after="0" w:line="295" w:lineRule="exact"/>
        <w:rPr>
          <w:sz w:val="20"/>
          <w:szCs w:val="20"/>
          <w:color w:val="auto"/>
        </w:rPr>
      </w:pPr>
    </w:p>
    <w:p>
      <w:pPr>
        <w:ind w:left="200" w:right="240"/>
        <w:spacing w:after="0" w:line="277" w:lineRule="auto"/>
        <w:rPr>
          <w:sz w:val="20"/>
          <w:szCs w:val="20"/>
          <w:color w:val="auto"/>
        </w:rPr>
      </w:pPr>
      <w:r>
        <w:rPr>
          <w:rFonts w:ascii="Arial" w:cs="Arial" w:eastAsia="Arial" w:hAnsi="Arial"/>
          <w:sz w:val="18"/>
          <w:szCs w:val="18"/>
          <w:b w:val="1"/>
          <w:bCs w:val="1"/>
          <w:i w:val="1"/>
          <w:iCs w:val="1"/>
          <w:color w:val="auto"/>
        </w:rPr>
        <w:t>We may be unsuccessful in obtaining additional approvals for our RECELL System for the treatment of pediatric burns, trauma wounds and skin conditions such as vitiligo.</w:t>
      </w:r>
    </w:p>
    <w:p>
      <w:pPr>
        <w:spacing w:after="0" w:line="62" w:lineRule="exact"/>
        <w:rPr>
          <w:sz w:val="20"/>
          <w:szCs w:val="20"/>
          <w:color w:val="auto"/>
        </w:rPr>
      </w:pPr>
    </w:p>
    <w:p>
      <w:pPr>
        <w:ind w:left="200" w:right="60" w:firstLine="441"/>
        <w:spacing w:after="0" w:line="273" w:lineRule="auto"/>
        <w:rPr>
          <w:sz w:val="20"/>
          <w:szCs w:val="20"/>
          <w:color w:val="auto"/>
        </w:rPr>
      </w:pPr>
      <w:r>
        <w:rPr>
          <w:rFonts w:ascii="Arial" w:cs="Arial" w:eastAsia="Arial" w:hAnsi="Arial"/>
          <w:sz w:val="17"/>
          <w:szCs w:val="17"/>
          <w:color w:val="auto"/>
        </w:rPr>
        <w:t>Although our Premarket Approval (PMA) application for the RECELL System was approved by the U.S. Food and Drug Administration (FDA) for use the treatment of acute thermal burn wounds in patients 18 years and older in September 2018, it has not been approved for additional indications such as pediatric burns or trauma wounds, or for the treatment of vitiligo. We plan to expand into each of these indications and will need to apply for a supplement to our PMA approval with the FDA in connection with each proposed additional indication. While clinical trials for such uses are presently underway or planned, there can be no assurance that we will ever receive approval by the FDA for the use of our RECELL System for such additional applications. Such a failure of approval would have a material negative effect to our future prospects.</w:t>
      </w:r>
    </w:p>
    <w:p>
      <w:pPr>
        <w:spacing w:after="0" w:line="287" w:lineRule="exact"/>
        <w:rPr>
          <w:sz w:val="20"/>
          <w:szCs w:val="20"/>
          <w:color w:val="auto"/>
        </w:rPr>
      </w:pPr>
    </w:p>
    <w:p>
      <w:pPr>
        <w:ind w:left="200" w:right="80"/>
        <w:spacing w:after="0" w:line="277" w:lineRule="auto"/>
        <w:rPr>
          <w:sz w:val="20"/>
          <w:szCs w:val="20"/>
          <w:color w:val="auto"/>
        </w:rPr>
      </w:pPr>
      <w:r>
        <w:rPr>
          <w:rFonts w:ascii="Arial" w:cs="Arial" w:eastAsia="Arial" w:hAnsi="Arial"/>
          <w:sz w:val="18"/>
          <w:szCs w:val="18"/>
          <w:b w:val="1"/>
          <w:bCs w:val="1"/>
          <w:i w:val="1"/>
          <w:iCs w:val="1"/>
          <w:color w:val="auto"/>
        </w:rPr>
        <w:t>We are dependent on our contract with the U.S. Biomedical Advanced Research and Development Authority (BARDA), and if we do not continue to receive funding under this contract, we may need to obtain alternative sources of funding.</w:t>
      </w:r>
    </w:p>
    <w:p>
      <w:pPr>
        <w:spacing w:after="0" w:line="62" w:lineRule="exact"/>
        <w:rPr>
          <w:sz w:val="20"/>
          <w:szCs w:val="20"/>
          <w:color w:val="auto"/>
        </w:rPr>
      </w:pPr>
    </w:p>
    <w:p>
      <w:pPr>
        <w:ind w:left="200" w:firstLine="441"/>
        <w:spacing w:after="0" w:line="288" w:lineRule="auto"/>
        <w:rPr>
          <w:sz w:val="20"/>
          <w:szCs w:val="20"/>
          <w:color w:val="auto"/>
        </w:rPr>
      </w:pPr>
      <w:r>
        <w:rPr>
          <w:rFonts w:ascii="Arial" w:cs="Arial" w:eastAsia="Arial" w:hAnsi="Arial"/>
          <w:sz w:val="16"/>
          <w:szCs w:val="16"/>
          <w:color w:val="auto"/>
        </w:rPr>
        <w:t>We have a contract with BARDA valued currently at US$50.4 million (approximately A$68.1 million) related to funding for the development of the RECELL System and future use of the product to assist disaster preparedness and response in the U.S. for mass casualties involving burn victims. As of December 31, 2018, we had received cumulative payments of US$17.18 million (A$22.6 million) under the BARDA contract. Under the contract BARDA has agreed to fund and provide technical support for the development of the RECELL System including two randomized, controlled pivotal clinical trials, Compassionate Use and Continued Access programs, development of the health economic model demonstrating the cost savings associated with the RECELL System, and two randomized, controlled clinical trials in pediatric burn patients. Also included in the BARDA contract is a provision for the future procurement of the RECELL System by BARDA under a vendor-managed inventory system to bolster disaster preparedness. There can be no assurances that BARDA will not terminate the contract and changes in government agenda and annual budgets may result in changing priorities and funding mandates at BARDA. Any reduction or delay in BARDA funding may force us to seek alternative funding, which may not be available on non-dilutive terms, terms favorable to us or at all, or cease our development programs related to the BARDA contract.</w:t>
      </w:r>
    </w:p>
    <w:p>
      <w:pPr>
        <w:spacing w:after="0" w:line="277" w:lineRule="exact"/>
        <w:rPr>
          <w:sz w:val="20"/>
          <w:szCs w:val="20"/>
          <w:color w:val="auto"/>
        </w:rPr>
      </w:pPr>
    </w:p>
    <w:p>
      <w:pPr>
        <w:ind w:left="200"/>
        <w:spacing w:after="0"/>
        <w:rPr>
          <w:sz w:val="20"/>
          <w:szCs w:val="20"/>
          <w:color w:val="auto"/>
        </w:rPr>
      </w:pPr>
      <w:r>
        <w:rPr>
          <w:rFonts w:ascii="Arial" w:cs="Arial" w:eastAsia="Arial" w:hAnsi="Arial"/>
          <w:sz w:val="15"/>
          <w:szCs w:val="15"/>
          <w:b w:val="1"/>
          <w:bCs w:val="1"/>
          <w:i w:val="1"/>
          <w:iCs w:val="1"/>
          <w:color w:val="auto"/>
        </w:rPr>
        <w:t>Development and commercialization of any products requires successful completion of the regulatory approval process and may suffer delays or fail.</w:t>
      </w:r>
    </w:p>
    <w:p>
      <w:pPr>
        <w:spacing w:after="0" w:line="152" w:lineRule="exact"/>
        <w:rPr>
          <w:sz w:val="20"/>
          <w:szCs w:val="20"/>
          <w:color w:val="auto"/>
        </w:rPr>
      </w:pPr>
    </w:p>
    <w:p>
      <w:pPr>
        <w:ind w:left="200" w:right="20" w:firstLine="441"/>
        <w:spacing w:after="0" w:line="289" w:lineRule="auto"/>
        <w:rPr>
          <w:sz w:val="20"/>
          <w:szCs w:val="20"/>
          <w:color w:val="auto"/>
        </w:rPr>
      </w:pPr>
      <w:r>
        <w:rPr>
          <w:rFonts w:ascii="Arial" w:cs="Arial" w:eastAsia="Arial" w:hAnsi="Arial"/>
          <w:sz w:val="16"/>
          <w:szCs w:val="16"/>
          <w:color w:val="auto"/>
        </w:rPr>
        <w:t>In the U.S., as well as other jurisdictions, we have been and will be required to apply for and receive regulatory authorization before we can market our products. Although our RECELL System has been approved for use in the treatment of acute thermal burn wounds in patients 18 years and older in the U.S., we will have to apply for a supplement to our PMA approval to market the product for use in the treatment of pediatric burns, trauma injuries and vitiligo. In China and Australia, the RECELL System is approved use for the treatment of burns, acute wounds, scars and vitiligo. In Europe the product has been approved for the treatment of burns, chronic wounds, scars and vitiligo. We will require additional approvals from regulatory authorities within these countries to market the product for the treatment of other indications, and from any other jurisdictions in which we seek to market the product. This process can be time consuming and complicated and may result in unanticipated delays or fail altogether. To secure marketing authorization, an applicant generally is required to submit an application that includes the data supporting preclinical and clinical safety and effectiveness as well as detailed information on the manufacturing and control of the product, proposed labeling and other additional</w:t>
      </w:r>
    </w:p>
    <w:p>
      <w:pPr>
        <w:spacing w:after="0" w:line="99"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220"/>
          </w:cols>
          <w:pgMar w:left="240" w:top="459" w:right="439" w:bottom="1440" w:gutter="0" w:footer="0" w:header="0"/>
        </w:sectPr>
      </w:pPr>
    </w:p>
    <w:bookmarkStart w:id="8" w:name="page9"/>
    <w:bookmarkEnd w:id="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spacing w:after="0" w:line="264" w:lineRule="auto"/>
        <w:rPr>
          <w:sz w:val="20"/>
          <w:szCs w:val="20"/>
          <w:color w:val="auto"/>
        </w:rPr>
      </w:pPr>
      <w:r>
        <w:rPr>
          <w:rFonts w:ascii="Arial" w:cs="Arial" w:eastAsia="Arial" w:hAnsi="Arial"/>
          <w:sz w:val="18"/>
          <w:szCs w:val="18"/>
          <w:color w:val="auto"/>
        </w:rPr>
        <w:t>information. Before marketing authorization is granted, regulatory authorities may require the inspection of the manufacturing facility or facilities and quality systems (including those of third parties) at which the product candidate is manufactured and tested, as well as potential audits of the non-clinical and clinical trial sites that generated the data cited in the marketing authorization application.</w:t>
      </w:r>
    </w:p>
    <w:p>
      <w:pPr>
        <w:spacing w:after="0" w:line="181" w:lineRule="exact"/>
        <w:rPr>
          <w:sz w:val="20"/>
          <w:szCs w:val="20"/>
          <w:color w:val="auto"/>
        </w:rPr>
      </w:pPr>
    </w:p>
    <w:p>
      <w:pPr>
        <w:ind w:left="200" w:right="80" w:firstLine="441"/>
        <w:spacing w:after="0" w:line="291" w:lineRule="auto"/>
        <w:rPr>
          <w:sz w:val="20"/>
          <w:szCs w:val="20"/>
          <w:color w:val="auto"/>
        </w:rPr>
      </w:pPr>
      <w:r>
        <w:rPr>
          <w:rFonts w:ascii="Arial" w:cs="Arial" w:eastAsia="Arial" w:hAnsi="Arial"/>
          <w:sz w:val="16"/>
          <w:szCs w:val="16"/>
          <w:color w:val="auto"/>
        </w:rPr>
        <w:t>We cannot predict whether any additional marketing authorizations will ultimately be granted or how long the applicable regulatory authority or agency will take to do so. Regulatory agencies, including the FDA, have substantial discretion in the approval process. In addition, the approval process and the requirements governing clinical trials vary from country to country. The policies of the FDA or other regulatory authorities may change, and additional government regulations may be enacted that could prevent, limit or delay the necessary approval of any products we may develop and commercialize. We cannot predict the likelihood, nature or extent of government regulation that may arise from future legislation or administrative action, either in the U.S. or elsewhere. If we are slow or unable to adapt to new or changed requirements, or if we are not able to maintain regulatory compliance, we may lose any marketing approval that we may have obtained, and we may not achieve or sustain profitability.</w:t>
      </w:r>
    </w:p>
    <w:p>
      <w:pPr>
        <w:spacing w:after="0" w:line="167" w:lineRule="exact"/>
        <w:rPr>
          <w:sz w:val="20"/>
          <w:szCs w:val="20"/>
          <w:color w:val="auto"/>
        </w:rPr>
      </w:pPr>
    </w:p>
    <w:p>
      <w:pPr>
        <w:ind w:left="200" w:right="100" w:firstLine="441"/>
        <w:spacing w:after="0" w:line="257" w:lineRule="auto"/>
        <w:rPr>
          <w:sz w:val="20"/>
          <w:szCs w:val="20"/>
          <w:color w:val="auto"/>
        </w:rPr>
      </w:pPr>
      <w:r>
        <w:rPr>
          <w:rFonts w:ascii="Arial" w:cs="Arial" w:eastAsia="Arial" w:hAnsi="Arial"/>
          <w:sz w:val="18"/>
          <w:szCs w:val="18"/>
          <w:color w:val="auto"/>
        </w:rPr>
        <w:t>Additionally, any future regulatory approvals that we receive may also contain requirements for costly post-marketing testing and surveillance to monitor the safety and effectiveness of the product. Once a product is approved, the manufacturing processes, labeling, packaging, distribution, adverse event reporting, storage, advertising, promotion, import, export and recordkeeping for the product will be subject to extensive and ongoing regulatory requirements. These requirements include submission of safety and other post-marketing reports, registration and continued compliance with good manufacturing practices for any clinical trials that we conduct post-approval.</w:t>
      </w:r>
    </w:p>
    <w:p>
      <w:pPr>
        <w:spacing w:after="0" w:line="296" w:lineRule="exact"/>
        <w:rPr>
          <w:sz w:val="20"/>
          <w:szCs w:val="20"/>
          <w:color w:val="auto"/>
        </w:rPr>
      </w:pPr>
    </w:p>
    <w:p>
      <w:pPr>
        <w:ind w:left="200" w:right="300"/>
        <w:spacing w:after="0" w:line="277" w:lineRule="auto"/>
        <w:rPr>
          <w:sz w:val="20"/>
          <w:szCs w:val="20"/>
          <w:color w:val="auto"/>
        </w:rPr>
      </w:pPr>
      <w:r>
        <w:rPr>
          <w:rFonts w:ascii="Arial" w:cs="Arial" w:eastAsia="Arial" w:hAnsi="Arial"/>
          <w:sz w:val="18"/>
          <w:szCs w:val="18"/>
          <w:b w:val="1"/>
          <w:bCs w:val="1"/>
          <w:i w:val="1"/>
          <w:iCs w:val="1"/>
          <w:color w:val="auto"/>
        </w:rPr>
        <w:t>Obtaining and maintaining regulatory approval for a product candidate in one jurisdiction does not mean that we will be successful in obtaining regulatory approval for that product candidate in other jurisdictions.</w:t>
      </w:r>
    </w:p>
    <w:p>
      <w:pPr>
        <w:spacing w:after="0" w:line="62" w:lineRule="exact"/>
        <w:rPr>
          <w:sz w:val="20"/>
          <w:szCs w:val="20"/>
          <w:color w:val="auto"/>
        </w:rPr>
      </w:pPr>
    </w:p>
    <w:p>
      <w:pPr>
        <w:ind w:left="200" w:right="40" w:firstLine="441"/>
        <w:spacing w:after="0" w:line="270" w:lineRule="auto"/>
        <w:rPr>
          <w:sz w:val="20"/>
          <w:szCs w:val="20"/>
          <w:color w:val="auto"/>
        </w:rPr>
      </w:pPr>
      <w:r>
        <w:rPr>
          <w:rFonts w:ascii="Arial" w:cs="Arial" w:eastAsia="Arial" w:hAnsi="Arial"/>
          <w:sz w:val="17"/>
          <w:szCs w:val="17"/>
          <w:color w:val="auto"/>
        </w:rPr>
        <w:t>Obtaining and maintaining regulatory approval for a product in one jurisdiction does not guarantee that we will be able to obtain or maintain similar approval in other jurisdictions, while a failure or delay in obtaining regulatory approval in one jurisdiction may have a negative effect on the regulatory approval process in others. For example, even if the FDA grants marketing approval for use of our RECELL System for the treatment of pediatric burns, trauma injuries and/or vitiligo, comparable regulatory authorities in foreign jurisdictions must also approve the manufacturing, marketing and promotion of the product candidate in those countries if not currently approved today. Approval procedures vary among jurisdictions and can involve requirements and administrative review periods different from, and greater than, those in the U.S., including additional preclinical studies or clinical trials as clinical trials conducted in one jurisdiction may not be accepted by regulatory authorities in other jurisdictions. In many jurisdictions outside the U.S., a medical device must be approved for reimbursement before it can be approved for sale in that jurisdiction. In some cases, the price that we intend to charge for our products is also subject to approval.</w:t>
      </w:r>
    </w:p>
    <w:p>
      <w:pPr>
        <w:spacing w:after="0" w:line="290" w:lineRule="exact"/>
        <w:rPr>
          <w:sz w:val="20"/>
          <w:szCs w:val="20"/>
          <w:color w:val="auto"/>
        </w:rPr>
      </w:pPr>
    </w:p>
    <w:p>
      <w:pPr>
        <w:ind w:left="200" w:right="440"/>
        <w:spacing w:after="0" w:line="277" w:lineRule="auto"/>
        <w:rPr>
          <w:sz w:val="20"/>
          <w:szCs w:val="20"/>
          <w:color w:val="auto"/>
        </w:rPr>
      </w:pPr>
      <w:r>
        <w:rPr>
          <w:rFonts w:ascii="Arial" w:cs="Arial" w:eastAsia="Arial" w:hAnsi="Arial"/>
          <w:sz w:val="18"/>
          <w:szCs w:val="18"/>
          <w:b w:val="1"/>
          <w:bCs w:val="1"/>
          <w:i w:val="1"/>
          <w:iCs w:val="1"/>
          <w:color w:val="auto"/>
        </w:rPr>
        <w:t>We may encounter substantial delays in any further clinical studies necessary to support any regulatory applications for additional commercial applications of our technology.</w:t>
      </w:r>
    </w:p>
    <w:p>
      <w:pPr>
        <w:spacing w:after="0" w:line="62" w:lineRule="exact"/>
        <w:rPr>
          <w:sz w:val="20"/>
          <w:szCs w:val="20"/>
          <w:color w:val="auto"/>
        </w:rPr>
      </w:pPr>
    </w:p>
    <w:p>
      <w:pPr>
        <w:ind w:left="200" w:right="160" w:firstLine="441"/>
        <w:spacing w:after="0" w:line="264" w:lineRule="auto"/>
        <w:rPr>
          <w:sz w:val="20"/>
          <w:szCs w:val="20"/>
          <w:color w:val="auto"/>
        </w:rPr>
      </w:pPr>
      <w:r>
        <w:rPr>
          <w:rFonts w:ascii="Arial" w:cs="Arial" w:eastAsia="Arial" w:hAnsi="Arial"/>
          <w:sz w:val="18"/>
          <w:szCs w:val="18"/>
          <w:color w:val="auto"/>
        </w:rPr>
        <w:t>We cannot guarantee that any preclinical testing or clinical trials will be conducted as planned or completed on schedule, if at all. As a result, we may not achieve the expected clinical milestones necessary for approval by the FDA, or other regulators, for the use of our RECELL System for additional applications in the United States or other countries.</w:t>
      </w:r>
    </w:p>
    <w:p>
      <w:pPr>
        <w:spacing w:after="0" w:line="181" w:lineRule="exact"/>
        <w:rPr>
          <w:sz w:val="20"/>
          <w:szCs w:val="20"/>
          <w:color w:val="auto"/>
        </w:rPr>
      </w:pPr>
    </w:p>
    <w:p>
      <w:pPr>
        <w:ind w:left="200" w:right="380" w:firstLine="441"/>
        <w:spacing w:after="0" w:line="277" w:lineRule="auto"/>
        <w:rPr>
          <w:sz w:val="20"/>
          <w:szCs w:val="20"/>
          <w:color w:val="auto"/>
        </w:rPr>
      </w:pPr>
      <w:r>
        <w:rPr>
          <w:rFonts w:ascii="Arial" w:cs="Arial" w:eastAsia="Arial" w:hAnsi="Arial"/>
          <w:sz w:val="18"/>
          <w:szCs w:val="18"/>
          <w:color w:val="auto"/>
        </w:rPr>
        <w:t>A failure can occur at any stage of testing. Events that may prevent successful or timely commencement, enrollment or completion of clinical development include:</w:t>
      </w:r>
    </w:p>
    <w:p>
      <w:pPr>
        <w:spacing w:after="0" w:line="76" w:lineRule="exact"/>
        <w:rPr>
          <w:sz w:val="20"/>
          <w:szCs w:val="20"/>
          <w:color w:val="auto"/>
        </w:rPr>
      </w:pPr>
    </w:p>
    <w:p>
      <w:pPr>
        <w:ind w:left="5660" w:right="4220" w:hanging="4916"/>
        <w:spacing w:after="0" w:line="449" w:lineRule="auto"/>
        <w:tabs>
          <w:tab w:leader="none" w:pos="1167" w:val="left"/>
        </w:tabs>
        <w:numPr>
          <w:ilvl w:val="0"/>
          <w:numId w:val="5"/>
        </w:numPr>
        <w:rPr>
          <w:rFonts w:ascii="Arial" w:cs="Arial" w:eastAsia="Arial" w:hAnsi="Arial"/>
          <w:sz w:val="18"/>
          <w:szCs w:val="18"/>
          <w:color w:val="auto"/>
        </w:rPr>
      </w:pPr>
      <w:r>
        <w:rPr>
          <w:rFonts w:ascii="Arial" w:cs="Arial" w:eastAsia="Arial" w:hAnsi="Arial"/>
          <w:sz w:val="18"/>
          <w:szCs w:val="18"/>
          <w:color w:val="auto"/>
        </w:rPr>
        <w:t>delays in raising, or inability to raise, sufficient capital to fund the planned trials; 7</w:t>
      </w:r>
    </w:p>
    <w:p>
      <w:pPr>
        <w:sectPr>
          <w:pgSz w:w="11900" w:h="16838" w:orient="portrait"/>
          <w:cols w:equalWidth="0" w:num="1">
            <w:col w:w="11220"/>
          </w:cols>
          <w:pgMar w:left="240" w:top="459" w:right="439" w:bottom="1440" w:gutter="0" w:footer="0" w:header="0"/>
        </w:sectPr>
      </w:pPr>
    </w:p>
    <w:bookmarkStart w:id="9" w:name="page10"/>
    <w:bookmarkEnd w:id="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1180" w:hanging="436"/>
        <w:spacing w:after="0"/>
        <w:tabs>
          <w:tab w:leader="none" w:pos="1180" w:val="left"/>
        </w:tabs>
        <w:numPr>
          <w:ilvl w:val="0"/>
          <w:numId w:val="6"/>
        </w:numPr>
        <w:rPr>
          <w:rFonts w:ascii="Arial" w:cs="Arial" w:eastAsia="Arial" w:hAnsi="Arial"/>
          <w:sz w:val="18"/>
          <w:szCs w:val="18"/>
          <w:color w:val="auto"/>
        </w:rPr>
      </w:pPr>
      <w:r>
        <w:rPr>
          <w:rFonts w:ascii="Arial" w:cs="Arial" w:eastAsia="Arial" w:hAnsi="Arial"/>
          <w:sz w:val="18"/>
          <w:szCs w:val="18"/>
          <w:color w:val="auto"/>
        </w:rPr>
        <w:t>delays in reaching a consensus with regulatory agencies on trial design;</w:t>
      </w:r>
    </w:p>
    <w:p>
      <w:pPr>
        <w:spacing w:after="0" w:line="130" w:lineRule="exact"/>
        <w:rPr>
          <w:rFonts w:ascii="Arial" w:cs="Arial" w:eastAsia="Arial" w:hAnsi="Arial"/>
          <w:sz w:val="18"/>
          <w:szCs w:val="18"/>
          <w:color w:val="auto"/>
        </w:rPr>
      </w:pPr>
    </w:p>
    <w:p>
      <w:pPr>
        <w:ind w:left="1180" w:hanging="436"/>
        <w:spacing w:after="0"/>
        <w:tabs>
          <w:tab w:leader="none" w:pos="1180" w:val="left"/>
        </w:tabs>
        <w:numPr>
          <w:ilvl w:val="0"/>
          <w:numId w:val="6"/>
        </w:numPr>
        <w:rPr>
          <w:rFonts w:ascii="Arial" w:cs="Arial" w:eastAsia="Arial" w:hAnsi="Arial"/>
          <w:sz w:val="18"/>
          <w:szCs w:val="18"/>
          <w:color w:val="auto"/>
        </w:rPr>
      </w:pPr>
      <w:r>
        <w:rPr>
          <w:rFonts w:ascii="Arial" w:cs="Arial" w:eastAsia="Arial" w:hAnsi="Arial"/>
          <w:sz w:val="18"/>
          <w:szCs w:val="18"/>
          <w:color w:val="auto"/>
        </w:rPr>
        <w:t>changes in trial design;</w:t>
      </w:r>
    </w:p>
    <w:p>
      <w:pPr>
        <w:spacing w:after="0" w:line="130" w:lineRule="exact"/>
        <w:rPr>
          <w:rFonts w:ascii="Arial" w:cs="Arial" w:eastAsia="Arial" w:hAnsi="Arial"/>
          <w:sz w:val="18"/>
          <w:szCs w:val="18"/>
          <w:color w:val="auto"/>
        </w:rPr>
      </w:pPr>
    </w:p>
    <w:p>
      <w:pPr>
        <w:ind w:left="1180" w:hanging="436"/>
        <w:spacing w:after="0"/>
        <w:tabs>
          <w:tab w:leader="none" w:pos="1180" w:val="left"/>
        </w:tabs>
        <w:numPr>
          <w:ilvl w:val="0"/>
          <w:numId w:val="6"/>
        </w:numPr>
        <w:rPr>
          <w:rFonts w:ascii="Arial" w:cs="Arial" w:eastAsia="Arial" w:hAnsi="Arial"/>
          <w:sz w:val="18"/>
          <w:szCs w:val="18"/>
          <w:color w:val="auto"/>
        </w:rPr>
      </w:pPr>
      <w:r>
        <w:rPr>
          <w:rFonts w:ascii="Arial" w:cs="Arial" w:eastAsia="Arial" w:hAnsi="Arial"/>
          <w:sz w:val="18"/>
          <w:szCs w:val="18"/>
          <w:color w:val="auto"/>
        </w:rPr>
        <w:t>inability to identify, recruit and train suitable clinical investigators;</w:t>
      </w:r>
    </w:p>
    <w:p>
      <w:pPr>
        <w:spacing w:after="0" w:line="130" w:lineRule="exact"/>
        <w:rPr>
          <w:rFonts w:ascii="Arial" w:cs="Arial" w:eastAsia="Arial" w:hAnsi="Arial"/>
          <w:sz w:val="18"/>
          <w:szCs w:val="18"/>
          <w:color w:val="auto"/>
        </w:rPr>
      </w:pPr>
    </w:p>
    <w:p>
      <w:pPr>
        <w:ind w:left="1180" w:hanging="436"/>
        <w:spacing w:after="0"/>
        <w:tabs>
          <w:tab w:leader="none" w:pos="1180" w:val="left"/>
        </w:tabs>
        <w:numPr>
          <w:ilvl w:val="0"/>
          <w:numId w:val="6"/>
        </w:numPr>
        <w:rPr>
          <w:rFonts w:ascii="Arial" w:cs="Arial" w:eastAsia="Arial" w:hAnsi="Arial"/>
          <w:sz w:val="18"/>
          <w:szCs w:val="18"/>
          <w:color w:val="auto"/>
        </w:rPr>
      </w:pPr>
      <w:r>
        <w:rPr>
          <w:rFonts w:ascii="Arial" w:cs="Arial" w:eastAsia="Arial" w:hAnsi="Arial"/>
          <w:sz w:val="18"/>
          <w:szCs w:val="18"/>
          <w:color w:val="auto"/>
        </w:rPr>
        <w:t>inability to add new clinical trial sites;</w:t>
      </w:r>
    </w:p>
    <w:p>
      <w:pPr>
        <w:spacing w:after="0" w:line="130" w:lineRule="exact"/>
        <w:rPr>
          <w:rFonts w:ascii="Arial" w:cs="Arial" w:eastAsia="Arial" w:hAnsi="Arial"/>
          <w:sz w:val="18"/>
          <w:szCs w:val="18"/>
          <w:color w:val="auto"/>
        </w:rPr>
      </w:pPr>
    </w:p>
    <w:p>
      <w:pPr>
        <w:ind w:left="1180" w:right="320" w:hanging="436"/>
        <w:spacing w:after="0" w:line="277" w:lineRule="auto"/>
        <w:tabs>
          <w:tab w:leader="none" w:pos="1180" w:val="left"/>
        </w:tabs>
        <w:numPr>
          <w:ilvl w:val="0"/>
          <w:numId w:val="6"/>
        </w:numPr>
        <w:rPr>
          <w:rFonts w:ascii="Arial" w:cs="Arial" w:eastAsia="Arial" w:hAnsi="Arial"/>
          <w:sz w:val="18"/>
          <w:szCs w:val="18"/>
          <w:color w:val="auto"/>
        </w:rPr>
      </w:pPr>
      <w:r>
        <w:rPr>
          <w:rFonts w:ascii="Arial" w:cs="Arial" w:eastAsia="Arial" w:hAnsi="Arial"/>
          <w:sz w:val="18"/>
          <w:szCs w:val="18"/>
          <w:color w:val="auto"/>
        </w:rPr>
        <w:t>delays in reaching agreement on acceptable terms for the performance of the trials with prospective clinical research organizations and clinical trial sites;</w:t>
      </w:r>
    </w:p>
    <w:p>
      <w:pPr>
        <w:spacing w:after="0" w:line="75" w:lineRule="exact"/>
        <w:rPr>
          <w:rFonts w:ascii="Arial" w:cs="Arial" w:eastAsia="Arial" w:hAnsi="Arial"/>
          <w:sz w:val="18"/>
          <w:szCs w:val="18"/>
          <w:color w:val="auto"/>
        </w:rPr>
      </w:pPr>
    </w:p>
    <w:p>
      <w:pPr>
        <w:ind w:left="1180" w:hanging="436"/>
        <w:spacing w:after="0"/>
        <w:tabs>
          <w:tab w:leader="none" w:pos="1180" w:val="left"/>
        </w:tabs>
        <w:numPr>
          <w:ilvl w:val="0"/>
          <w:numId w:val="6"/>
        </w:numPr>
        <w:rPr>
          <w:rFonts w:ascii="Arial" w:cs="Arial" w:eastAsia="Arial" w:hAnsi="Arial"/>
          <w:sz w:val="18"/>
          <w:szCs w:val="18"/>
          <w:color w:val="auto"/>
        </w:rPr>
      </w:pPr>
      <w:r>
        <w:rPr>
          <w:rFonts w:ascii="Arial" w:cs="Arial" w:eastAsia="Arial" w:hAnsi="Arial"/>
          <w:sz w:val="18"/>
          <w:szCs w:val="18"/>
          <w:color w:val="auto"/>
        </w:rPr>
        <w:t>delays in recruiting suitable clinical sites and patients (i.e., subjects) to participate in clinical trials;</w:t>
      </w:r>
    </w:p>
    <w:p>
      <w:pPr>
        <w:spacing w:after="0" w:line="130" w:lineRule="exact"/>
        <w:rPr>
          <w:rFonts w:ascii="Arial" w:cs="Arial" w:eastAsia="Arial" w:hAnsi="Arial"/>
          <w:sz w:val="18"/>
          <w:szCs w:val="18"/>
          <w:color w:val="auto"/>
        </w:rPr>
      </w:pPr>
    </w:p>
    <w:p>
      <w:pPr>
        <w:ind w:left="1180" w:right="140" w:hanging="436"/>
        <w:spacing w:after="0" w:line="277" w:lineRule="auto"/>
        <w:tabs>
          <w:tab w:leader="none" w:pos="1180" w:val="left"/>
        </w:tabs>
        <w:numPr>
          <w:ilvl w:val="0"/>
          <w:numId w:val="6"/>
        </w:numPr>
        <w:rPr>
          <w:rFonts w:ascii="Arial" w:cs="Arial" w:eastAsia="Arial" w:hAnsi="Arial"/>
          <w:sz w:val="18"/>
          <w:szCs w:val="18"/>
          <w:color w:val="auto"/>
        </w:rPr>
      </w:pPr>
      <w:r>
        <w:rPr>
          <w:rFonts w:ascii="Arial" w:cs="Arial" w:eastAsia="Arial" w:hAnsi="Arial"/>
          <w:sz w:val="18"/>
          <w:szCs w:val="18"/>
          <w:color w:val="auto"/>
        </w:rPr>
        <w:t>imposition of a clinical hold by regulatory agencies for any reason, including negative clinical results, safety concerns or as a result of an inspection of manufacturing or clinical operations or trial sites;</w:t>
      </w:r>
    </w:p>
    <w:p>
      <w:pPr>
        <w:spacing w:after="0" w:line="75" w:lineRule="exact"/>
        <w:rPr>
          <w:rFonts w:ascii="Arial" w:cs="Arial" w:eastAsia="Arial" w:hAnsi="Arial"/>
          <w:sz w:val="18"/>
          <w:szCs w:val="18"/>
          <w:color w:val="auto"/>
        </w:rPr>
      </w:pPr>
    </w:p>
    <w:p>
      <w:pPr>
        <w:ind w:left="1180" w:hanging="436"/>
        <w:spacing w:after="0"/>
        <w:tabs>
          <w:tab w:leader="none" w:pos="1180" w:val="left"/>
        </w:tabs>
        <w:numPr>
          <w:ilvl w:val="0"/>
          <w:numId w:val="6"/>
        </w:numPr>
        <w:rPr>
          <w:rFonts w:ascii="Arial" w:cs="Arial" w:eastAsia="Arial" w:hAnsi="Arial"/>
          <w:sz w:val="18"/>
          <w:szCs w:val="18"/>
          <w:color w:val="auto"/>
        </w:rPr>
      </w:pPr>
      <w:r>
        <w:rPr>
          <w:rFonts w:ascii="Arial" w:cs="Arial" w:eastAsia="Arial" w:hAnsi="Arial"/>
          <w:sz w:val="18"/>
          <w:szCs w:val="18"/>
          <w:color w:val="auto"/>
        </w:rPr>
        <w:t>failure by any relevant parties to adhere to clinical trial requirements;</w:t>
      </w:r>
    </w:p>
    <w:p>
      <w:pPr>
        <w:spacing w:after="0" w:line="130" w:lineRule="exact"/>
        <w:rPr>
          <w:rFonts w:ascii="Arial" w:cs="Arial" w:eastAsia="Arial" w:hAnsi="Arial"/>
          <w:sz w:val="18"/>
          <w:szCs w:val="18"/>
          <w:color w:val="auto"/>
        </w:rPr>
      </w:pPr>
    </w:p>
    <w:p>
      <w:pPr>
        <w:ind w:left="1180" w:right="360" w:hanging="436"/>
        <w:spacing w:after="0" w:line="277" w:lineRule="auto"/>
        <w:tabs>
          <w:tab w:leader="none" w:pos="1180" w:val="left"/>
        </w:tabs>
        <w:numPr>
          <w:ilvl w:val="0"/>
          <w:numId w:val="6"/>
        </w:numPr>
        <w:rPr>
          <w:rFonts w:ascii="Arial" w:cs="Arial" w:eastAsia="Arial" w:hAnsi="Arial"/>
          <w:sz w:val="18"/>
          <w:szCs w:val="18"/>
          <w:color w:val="auto"/>
        </w:rPr>
      </w:pPr>
      <w:r>
        <w:rPr>
          <w:rFonts w:ascii="Arial" w:cs="Arial" w:eastAsia="Arial" w:hAnsi="Arial"/>
          <w:sz w:val="18"/>
          <w:szCs w:val="18"/>
          <w:color w:val="auto"/>
        </w:rPr>
        <w:t>failure to perform in accordance with the FDA’s current Good Clinical Practices, or cGCP, or applicable regulatory guidelines in other countries;</w:t>
      </w:r>
    </w:p>
    <w:p>
      <w:pPr>
        <w:spacing w:after="0" w:line="75" w:lineRule="exact"/>
        <w:rPr>
          <w:rFonts w:ascii="Arial" w:cs="Arial" w:eastAsia="Arial" w:hAnsi="Arial"/>
          <w:sz w:val="18"/>
          <w:szCs w:val="18"/>
          <w:color w:val="auto"/>
        </w:rPr>
      </w:pPr>
    </w:p>
    <w:p>
      <w:pPr>
        <w:ind w:left="1180" w:hanging="436"/>
        <w:spacing w:after="0"/>
        <w:tabs>
          <w:tab w:leader="none" w:pos="1180" w:val="left"/>
        </w:tabs>
        <w:numPr>
          <w:ilvl w:val="0"/>
          <w:numId w:val="6"/>
        </w:numPr>
        <w:rPr>
          <w:rFonts w:ascii="Arial" w:cs="Arial" w:eastAsia="Arial" w:hAnsi="Arial"/>
          <w:sz w:val="18"/>
          <w:szCs w:val="18"/>
          <w:color w:val="auto"/>
        </w:rPr>
      </w:pPr>
      <w:r>
        <w:rPr>
          <w:rFonts w:ascii="Arial" w:cs="Arial" w:eastAsia="Arial" w:hAnsi="Arial"/>
          <w:sz w:val="18"/>
          <w:szCs w:val="18"/>
          <w:color w:val="auto"/>
        </w:rPr>
        <w:t>delays in the testing, validation, manufacturing and delivery of the product candidates to the clinical sites;</w:t>
      </w:r>
    </w:p>
    <w:p>
      <w:pPr>
        <w:spacing w:after="0" w:line="130" w:lineRule="exact"/>
        <w:rPr>
          <w:rFonts w:ascii="Arial" w:cs="Arial" w:eastAsia="Arial" w:hAnsi="Arial"/>
          <w:sz w:val="18"/>
          <w:szCs w:val="18"/>
          <w:color w:val="auto"/>
        </w:rPr>
      </w:pPr>
    </w:p>
    <w:p>
      <w:pPr>
        <w:ind w:left="1180" w:hanging="436"/>
        <w:spacing w:after="0"/>
        <w:tabs>
          <w:tab w:leader="none" w:pos="1180" w:val="left"/>
        </w:tabs>
        <w:numPr>
          <w:ilvl w:val="0"/>
          <w:numId w:val="6"/>
        </w:numPr>
        <w:rPr>
          <w:rFonts w:ascii="Arial" w:cs="Arial" w:eastAsia="Arial" w:hAnsi="Arial"/>
          <w:sz w:val="18"/>
          <w:szCs w:val="18"/>
          <w:color w:val="auto"/>
        </w:rPr>
      </w:pPr>
      <w:r>
        <w:rPr>
          <w:rFonts w:ascii="Arial" w:cs="Arial" w:eastAsia="Arial" w:hAnsi="Arial"/>
          <w:sz w:val="18"/>
          <w:szCs w:val="18"/>
          <w:color w:val="auto"/>
        </w:rPr>
        <w:t>delays caused by clinical trial sites not completing a trial;</w:t>
      </w:r>
    </w:p>
    <w:p>
      <w:pPr>
        <w:spacing w:after="0" w:line="130" w:lineRule="exact"/>
        <w:rPr>
          <w:rFonts w:ascii="Arial" w:cs="Arial" w:eastAsia="Arial" w:hAnsi="Arial"/>
          <w:sz w:val="18"/>
          <w:szCs w:val="18"/>
          <w:color w:val="auto"/>
        </w:rPr>
      </w:pPr>
    </w:p>
    <w:p>
      <w:pPr>
        <w:ind w:left="1180" w:hanging="436"/>
        <w:spacing w:after="0"/>
        <w:tabs>
          <w:tab w:leader="none" w:pos="1180" w:val="left"/>
        </w:tabs>
        <w:numPr>
          <w:ilvl w:val="0"/>
          <w:numId w:val="6"/>
        </w:numPr>
        <w:rPr>
          <w:rFonts w:ascii="Arial" w:cs="Arial" w:eastAsia="Arial" w:hAnsi="Arial"/>
          <w:sz w:val="18"/>
          <w:szCs w:val="18"/>
          <w:color w:val="auto"/>
        </w:rPr>
      </w:pPr>
      <w:r>
        <w:rPr>
          <w:rFonts w:ascii="Arial" w:cs="Arial" w:eastAsia="Arial" w:hAnsi="Arial"/>
          <w:sz w:val="18"/>
          <w:szCs w:val="18"/>
          <w:color w:val="auto"/>
        </w:rPr>
        <w:t>failure to demonstrate adequate effectiveness;</w:t>
      </w:r>
    </w:p>
    <w:p>
      <w:pPr>
        <w:spacing w:after="0" w:line="130" w:lineRule="exact"/>
        <w:rPr>
          <w:rFonts w:ascii="Arial" w:cs="Arial" w:eastAsia="Arial" w:hAnsi="Arial"/>
          <w:sz w:val="18"/>
          <w:szCs w:val="18"/>
          <w:color w:val="auto"/>
        </w:rPr>
      </w:pPr>
    </w:p>
    <w:p>
      <w:pPr>
        <w:ind w:left="1180" w:right="540" w:hanging="436"/>
        <w:spacing w:after="0" w:line="277" w:lineRule="auto"/>
        <w:tabs>
          <w:tab w:leader="none" w:pos="1180" w:val="left"/>
        </w:tabs>
        <w:numPr>
          <w:ilvl w:val="0"/>
          <w:numId w:val="6"/>
        </w:numPr>
        <w:rPr>
          <w:rFonts w:ascii="Arial" w:cs="Arial" w:eastAsia="Arial" w:hAnsi="Arial"/>
          <w:sz w:val="18"/>
          <w:szCs w:val="18"/>
          <w:color w:val="auto"/>
        </w:rPr>
      </w:pPr>
      <w:r>
        <w:rPr>
          <w:rFonts w:ascii="Arial" w:cs="Arial" w:eastAsia="Arial" w:hAnsi="Arial"/>
          <w:sz w:val="18"/>
          <w:szCs w:val="18"/>
          <w:color w:val="auto"/>
        </w:rPr>
        <w:t>occurrence of serious adverse events in clinical trials that are associated with the product candidates that are viewed to outweigh its potential benefits;</w:t>
      </w:r>
    </w:p>
    <w:p>
      <w:pPr>
        <w:spacing w:after="0" w:line="75" w:lineRule="exact"/>
        <w:rPr>
          <w:rFonts w:ascii="Arial" w:cs="Arial" w:eastAsia="Arial" w:hAnsi="Arial"/>
          <w:sz w:val="18"/>
          <w:szCs w:val="18"/>
          <w:color w:val="auto"/>
        </w:rPr>
      </w:pPr>
    </w:p>
    <w:p>
      <w:pPr>
        <w:ind w:left="1180" w:hanging="436"/>
        <w:spacing w:after="0"/>
        <w:tabs>
          <w:tab w:leader="none" w:pos="1180" w:val="left"/>
        </w:tabs>
        <w:numPr>
          <w:ilvl w:val="0"/>
          <w:numId w:val="6"/>
        </w:numPr>
        <w:rPr>
          <w:rFonts w:ascii="Arial" w:cs="Arial" w:eastAsia="Arial" w:hAnsi="Arial"/>
          <w:sz w:val="18"/>
          <w:szCs w:val="18"/>
          <w:color w:val="auto"/>
        </w:rPr>
      </w:pPr>
      <w:r>
        <w:rPr>
          <w:rFonts w:ascii="Arial" w:cs="Arial" w:eastAsia="Arial" w:hAnsi="Arial"/>
          <w:sz w:val="18"/>
          <w:szCs w:val="18"/>
          <w:color w:val="auto"/>
        </w:rPr>
        <w:t>changes in regulatory requirements and guidance that require amending or submitting new clinical protocols; or</w:t>
      </w:r>
    </w:p>
    <w:p>
      <w:pPr>
        <w:spacing w:after="0" w:line="130" w:lineRule="exact"/>
        <w:rPr>
          <w:rFonts w:ascii="Arial" w:cs="Arial" w:eastAsia="Arial" w:hAnsi="Arial"/>
          <w:sz w:val="18"/>
          <w:szCs w:val="18"/>
          <w:color w:val="auto"/>
        </w:rPr>
      </w:pPr>
    </w:p>
    <w:p>
      <w:pPr>
        <w:ind w:left="1180" w:hanging="436"/>
        <w:spacing w:after="0"/>
        <w:tabs>
          <w:tab w:leader="none" w:pos="1180" w:val="left"/>
        </w:tabs>
        <w:numPr>
          <w:ilvl w:val="0"/>
          <w:numId w:val="6"/>
        </w:numPr>
        <w:rPr>
          <w:rFonts w:ascii="Arial" w:cs="Arial" w:eastAsia="Arial" w:hAnsi="Arial"/>
          <w:sz w:val="18"/>
          <w:szCs w:val="18"/>
          <w:color w:val="auto"/>
        </w:rPr>
      </w:pPr>
      <w:r>
        <w:rPr>
          <w:rFonts w:ascii="Arial" w:cs="Arial" w:eastAsia="Arial" w:hAnsi="Arial"/>
          <w:sz w:val="18"/>
          <w:szCs w:val="18"/>
          <w:color w:val="auto"/>
        </w:rPr>
        <w:t>disagreements with regulatory agencies in the interpretation of the data from our clinical trials.</w:t>
      </w:r>
    </w:p>
    <w:p>
      <w:pPr>
        <w:spacing w:after="0" w:line="225" w:lineRule="exact"/>
        <w:rPr>
          <w:sz w:val="20"/>
          <w:szCs w:val="20"/>
          <w:color w:val="auto"/>
        </w:rPr>
      </w:pPr>
    </w:p>
    <w:p>
      <w:pPr>
        <w:ind w:left="200" w:firstLine="441"/>
        <w:spacing w:after="0" w:line="259" w:lineRule="auto"/>
        <w:rPr>
          <w:sz w:val="20"/>
          <w:szCs w:val="20"/>
          <w:color w:val="auto"/>
        </w:rPr>
      </w:pPr>
      <w:r>
        <w:rPr>
          <w:rFonts w:ascii="Arial" w:cs="Arial" w:eastAsia="Arial" w:hAnsi="Arial"/>
          <w:sz w:val="18"/>
          <w:szCs w:val="18"/>
          <w:color w:val="auto"/>
        </w:rPr>
        <w:t>Delays, including delays caused by the above factors, can be costly and could negatively affect our ability to complete clinical trials for our product candidates. If we are not able to successfully complete clinical trials or are not able to do so in a timely and cost-effective manner, we will not be able to obtain regulatory approval for the use of our RECELL System for additional applications, all of which could have a material adverse effect on our business, financial condition and results of operations.</w:t>
      </w:r>
    </w:p>
    <w:p>
      <w:pPr>
        <w:spacing w:after="0" w:line="295" w:lineRule="exact"/>
        <w:rPr>
          <w:sz w:val="20"/>
          <w:szCs w:val="20"/>
          <w:color w:val="auto"/>
        </w:rPr>
      </w:pPr>
    </w:p>
    <w:p>
      <w:pPr>
        <w:ind w:left="200" w:right="220"/>
        <w:spacing w:after="0" w:line="277" w:lineRule="auto"/>
        <w:rPr>
          <w:sz w:val="20"/>
          <w:szCs w:val="20"/>
          <w:color w:val="auto"/>
        </w:rPr>
      </w:pPr>
      <w:r>
        <w:rPr>
          <w:rFonts w:ascii="Arial" w:cs="Arial" w:eastAsia="Arial" w:hAnsi="Arial"/>
          <w:sz w:val="18"/>
          <w:szCs w:val="18"/>
          <w:b w:val="1"/>
          <w:bCs w:val="1"/>
          <w:i w:val="1"/>
          <w:iCs w:val="1"/>
          <w:color w:val="auto"/>
        </w:rPr>
        <w:t>We may be unsuccessful in commercializing our RECELL System, or other future products, due to unfavorable pricing regulations or third-party coverage and reimbursement policies.</w:t>
      </w:r>
    </w:p>
    <w:p>
      <w:pPr>
        <w:spacing w:after="0" w:line="62" w:lineRule="exact"/>
        <w:rPr>
          <w:sz w:val="20"/>
          <w:szCs w:val="20"/>
          <w:color w:val="auto"/>
        </w:rPr>
      </w:pPr>
    </w:p>
    <w:p>
      <w:pPr>
        <w:ind w:left="200" w:right="40" w:firstLine="441"/>
        <w:spacing w:after="0" w:line="257" w:lineRule="auto"/>
        <w:rPr>
          <w:sz w:val="20"/>
          <w:szCs w:val="20"/>
          <w:color w:val="auto"/>
        </w:rPr>
      </w:pPr>
      <w:r>
        <w:rPr>
          <w:rFonts w:ascii="Arial" w:cs="Arial" w:eastAsia="Arial" w:hAnsi="Arial"/>
          <w:sz w:val="18"/>
          <w:szCs w:val="18"/>
          <w:color w:val="auto"/>
        </w:rPr>
        <w:t>We cannot guarantee that we will receive favorable pricing and reimbursement for use of our products. The rules and regulations that govern pricing and reimbursement for medical products vary widely from country to country or from indication to indication, and within the U.S. can also vary widely from one health system or hospital to the next. In some foreign jurisdictions, including the European Union, the government largely controls pricing of medical products. In other countries, coverage negotiations must occur at the regional or hospital level. Pricing negotiations can take considerable time after the receipt of marketing approval for a medical product.</w:t>
      </w:r>
    </w:p>
    <w:p>
      <w:pPr>
        <w:spacing w:after="0" w:line="188" w:lineRule="exact"/>
        <w:rPr>
          <w:sz w:val="20"/>
          <w:szCs w:val="20"/>
          <w:color w:val="auto"/>
        </w:rPr>
      </w:pPr>
    </w:p>
    <w:p>
      <w:pPr>
        <w:ind w:left="200" w:right="40" w:firstLine="441"/>
        <w:spacing w:after="0" w:line="259" w:lineRule="auto"/>
        <w:rPr>
          <w:sz w:val="20"/>
          <w:szCs w:val="20"/>
          <w:color w:val="auto"/>
        </w:rPr>
      </w:pPr>
      <w:r>
        <w:rPr>
          <w:rFonts w:ascii="Arial" w:cs="Arial" w:eastAsia="Arial" w:hAnsi="Arial"/>
          <w:sz w:val="18"/>
          <w:szCs w:val="18"/>
          <w:color w:val="auto"/>
        </w:rPr>
        <w:t>As a result, even after obtaining regulatory approval for a product in a particular country, we may be subject to price regulations or limited reimbursement, which may delay or limit our commercial launch of the product and negatively impact the revenue we are able to generate from the sale of the product in that country. Adverse pricing limitations may hinder our ability to recoup our total investment in our RECELL System or other future products, even after obtaining regulatory approval.</w:t>
      </w:r>
    </w:p>
    <w:p>
      <w:pPr>
        <w:spacing w:after="0" w:line="187" w:lineRule="exact"/>
        <w:rPr>
          <w:sz w:val="20"/>
          <w:szCs w:val="20"/>
          <w:color w:val="auto"/>
        </w:rPr>
      </w:pPr>
    </w:p>
    <w:p>
      <w:pPr>
        <w:ind w:left="200" w:right="220" w:firstLine="441"/>
        <w:spacing w:after="0" w:line="277" w:lineRule="auto"/>
        <w:rPr>
          <w:sz w:val="20"/>
          <w:szCs w:val="20"/>
          <w:color w:val="auto"/>
        </w:rPr>
      </w:pPr>
      <w:r>
        <w:rPr>
          <w:rFonts w:ascii="Arial" w:cs="Arial" w:eastAsia="Arial" w:hAnsi="Arial"/>
          <w:sz w:val="18"/>
          <w:szCs w:val="18"/>
          <w:color w:val="auto"/>
        </w:rPr>
        <w:t>If we are unable to promptly obtain coverage and profitable payment rates from hospital budget, government-funded and private purchasers for the RECELL System or any future products, this could have a</w:t>
      </w:r>
    </w:p>
    <w:p>
      <w:pPr>
        <w:spacing w:after="0" w:line="103"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180"/>
          </w:cols>
          <w:pgMar w:left="240" w:top="459" w:right="479" w:bottom="1440" w:gutter="0" w:footer="0" w:header="0"/>
        </w:sectPr>
      </w:pPr>
    </w:p>
    <w:bookmarkStart w:id="10" w:name="page11"/>
    <w:bookmarkEnd w:id="1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spacing w:after="0"/>
        <w:rPr>
          <w:sz w:val="20"/>
          <w:szCs w:val="20"/>
          <w:color w:val="auto"/>
        </w:rPr>
      </w:pPr>
      <w:r>
        <w:rPr>
          <w:rFonts w:ascii="Arial" w:cs="Arial" w:eastAsia="Arial" w:hAnsi="Arial"/>
          <w:sz w:val="17"/>
          <w:szCs w:val="17"/>
          <w:color w:val="auto"/>
        </w:rPr>
        <w:t>material adverse effect on our operating results, our ability to raise capital needed to commercialize products and our overall financial condition.</w:t>
      </w:r>
    </w:p>
    <w:p>
      <w:pPr>
        <w:spacing w:after="0" w:line="345" w:lineRule="exact"/>
        <w:rPr>
          <w:sz w:val="20"/>
          <w:szCs w:val="20"/>
          <w:color w:val="auto"/>
        </w:rPr>
      </w:pPr>
    </w:p>
    <w:p>
      <w:pPr>
        <w:ind w:left="200" w:right="40"/>
        <w:spacing w:after="0" w:line="286" w:lineRule="auto"/>
        <w:rPr>
          <w:sz w:val="20"/>
          <w:szCs w:val="20"/>
          <w:color w:val="auto"/>
        </w:rPr>
      </w:pPr>
      <w:r>
        <w:rPr>
          <w:rFonts w:ascii="Arial" w:cs="Arial" w:eastAsia="Arial" w:hAnsi="Arial"/>
          <w:sz w:val="17"/>
          <w:szCs w:val="17"/>
          <w:b w:val="1"/>
          <w:bCs w:val="1"/>
          <w:i w:val="1"/>
          <w:iCs w:val="1"/>
          <w:color w:val="auto"/>
        </w:rPr>
        <w:t>We have limited financial resources and will likely require additional financings to continue the development and commercialization of our RECELL System or any future products, which may cause dilution to our existing shareholders or place restrictions on our operations. If additional financing is not available, we may have to postpone, reduce or cease operations.</w:t>
      </w:r>
    </w:p>
    <w:p>
      <w:pPr>
        <w:spacing w:after="0" w:line="57" w:lineRule="exact"/>
        <w:rPr>
          <w:sz w:val="20"/>
          <w:szCs w:val="20"/>
          <w:color w:val="auto"/>
        </w:rPr>
      </w:pPr>
    </w:p>
    <w:p>
      <w:pPr>
        <w:ind w:left="200" w:right="120" w:firstLine="441"/>
        <w:spacing w:after="0" w:line="293" w:lineRule="auto"/>
        <w:rPr>
          <w:sz w:val="20"/>
          <w:szCs w:val="20"/>
          <w:color w:val="auto"/>
        </w:rPr>
      </w:pPr>
      <w:r>
        <w:rPr>
          <w:rFonts w:ascii="Arial" w:cs="Arial" w:eastAsia="Arial" w:hAnsi="Arial"/>
          <w:sz w:val="16"/>
          <w:szCs w:val="16"/>
          <w:color w:val="auto"/>
        </w:rPr>
        <w:t>If we are unable to achieve profitability sufficient to permit us to fund our operations and other planned actions, we may be required to raise additional capital. There can be no assurance that such capital would be available on favorable terms, or at all. If we raise additional capital through the issuance of equity or convertible debt securities, the percentage ownership held by existing shareholders may be reduced, and the market price of our ordinary shares which underlie our ADSs could fall due to an increased number of shares available for sale in the market. Debt financing, if available, may involve restrictive covenants, which may limit our operating flexibility with respect to certain business matters. If we are unable to secure additional capital as circumstances require, we may not be able to fund our planned activities or continue our operations.</w:t>
      </w:r>
    </w:p>
    <w:p>
      <w:pPr>
        <w:spacing w:after="0" w:line="273" w:lineRule="exact"/>
        <w:rPr>
          <w:sz w:val="20"/>
          <w:szCs w:val="20"/>
          <w:color w:val="auto"/>
        </w:rPr>
      </w:pPr>
    </w:p>
    <w:p>
      <w:pPr>
        <w:ind w:left="200" w:right="240"/>
        <w:spacing w:after="0" w:line="375" w:lineRule="auto"/>
        <w:rPr>
          <w:sz w:val="20"/>
          <w:szCs w:val="20"/>
          <w:color w:val="auto"/>
        </w:rPr>
      </w:pPr>
      <w:r>
        <w:rPr>
          <w:rFonts w:ascii="Arial" w:cs="Arial" w:eastAsia="Arial" w:hAnsi="Arial"/>
          <w:sz w:val="15"/>
          <w:szCs w:val="15"/>
          <w:b w:val="1"/>
          <w:bCs w:val="1"/>
          <w:i w:val="1"/>
          <w:iCs w:val="1"/>
          <w:color w:val="auto"/>
        </w:rPr>
        <w:t>We have limited experience manufacturing our products in large-scale commercial quantities and we may face manufacturing risks that may adversely affect our ability to manufacture products and could reduce our gross margins and negatively affect our business and operating results.</w:t>
      </w:r>
    </w:p>
    <w:p>
      <w:pPr>
        <w:spacing w:after="0" w:line="1" w:lineRule="exact"/>
        <w:rPr>
          <w:sz w:val="20"/>
          <w:szCs w:val="20"/>
          <w:color w:val="auto"/>
        </w:rPr>
      </w:pPr>
    </w:p>
    <w:p>
      <w:pPr>
        <w:ind w:left="200" w:firstLine="441"/>
        <w:spacing w:after="0" w:line="273" w:lineRule="auto"/>
        <w:rPr>
          <w:sz w:val="20"/>
          <w:szCs w:val="20"/>
          <w:color w:val="auto"/>
        </w:rPr>
      </w:pPr>
      <w:r>
        <w:rPr>
          <w:rFonts w:ascii="Arial" w:cs="Arial" w:eastAsia="Arial" w:hAnsi="Arial"/>
          <w:sz w:val="17"/>
          <w:szCs w:val="17"/>
          <w:color w:val="auto"/>
        </w:rPr>
        <w:t>Our success depends, in part, on our ability to manufacture our current and future products in sufficient quantities and on a timely basis to meet demand, while adhering to product quality standards, complying with regulatory quality system requirements and managing manufacturing costs. We have a manufacturing facility located in Ventura, California where we produce, package and warehouse the RECELL System. We also rely on global third-party manufacturers, Baxter International Inc., Hospira (a division of Pfizer), Thermo Fisher Scientific, Lyophilization Services of New England and Becton Dickinson and Company, for production of some of the components used in the RECELL System. If our facility, or the facilities of our third-party contract manufacturers, suffers damage, or a force majeure event, this could materially impact our ability to operate.</w:t>
      </w:r>
    </w:p>
    <w:p>
      <w:pPr>
        <w:spacing w:after="0" w:line="178" w:lineRule="exact"/>
        <w:rPr>
          <w:sz w:val="20"/>
          <w:szCs w:val="20"/>
          <w:color w:val="auto"/>
        </w:rPr>
      </w:pPr>
    </w:p>
    <w:p>
      <w:pPr>
        <w:ind w:left="640"/>
        <w:spacing w:after="0"/>
        <w:rPr>
          <w:sz w:val="20"/>
          <w:szCs w:val="20"/>
          <w:color w:val="auto"/>
        </w:rPr>
      </w:pPr>
      <w:r>
        <w:rPr>
          <w:rFonts w:ascii="Arial" w:cs="Arial" w:eastAsia="Arial" w:hAnsi="Arial"/>
          <w:sz w:val="18"/>
          <w:szCs w:val="18"/>
          <w:color w:val="auto"/>
        </w:rPr>
        <w:t>We are also subject to other risks relating to our manufacturing capabilities, including:</w:t>
      </w:r>
    </w:p>
    <w:p>
      <w:pPr>
        <w:spacing w:after="0" w:line="131" w:lineRule="exact"/>
        <w:rPr>
          <w:sz w:val="20"/>
          <w:szCs w:val="20"/>
          <w:color w:val="auto"/>
        </w:rPr>
      </w:pPr>
    </w:p>
    <w:p>
      <w:pPr>
        <w:ind w:left="1180" w:right="280" w:hanging="436"/>
        <w:spacing w:after="0" w:line="277" w:lineRule="auto"/>
        <w:tabs>
          <w:tab w:leader="none" w:pos="1180" w:val="left"/>
        </w:tabs>
        <w:numPr>
          <w:ilvl w:val="0"/>
          <w:numId w:val="7"/>
        </w:numPr>
        <w:rPr>
          <w:rFonts w:ascii="Arial" w:cs="Arial" w:eastAsia="Arial" w:hAnsi="Arial"/>
          <w:sz w:val="18"/>
          <w:szCs w:val="18"/>
          <w:color w:val="auto"/>
        </w:rPr>
      </w:pPr>
      <w:r>
        <w:rPr>
          <w:rFonts w:ascii="Arial" w:cs="Arial" w:eastAsia="Arial" w:hAnsi="Arial"/>
          <w:sz w:val="18"/>
          <w:szCs w:val="18"/>
          <w:color w:val="auto"/>
        </w:rPr>
        <w:t>Quality and reliability of components, sub-assemblies and materials that we source from third-party suppliers, who are required to meet our quality specifications, some of whom are our single-source suppliers for the products they supply;</w:t>
      </w:r>
    </w:p>
    <w:p>
      <w:pPr>
        <w:spacing w:after="0" w:line="75" w:lineRule="exact"/>
        <w:rPr>
          <w:rFonts w:ascii="Arial" w:cs="Arial" w:eastAsia="Arial" w:hAnsi="Arial"/>
          <w:sz w:val="18"/>
          <w:szCs w:val="18"/>
          <w:color w:val="auto"/>
        </w:rPr>
      </w:pPr>
    </w:p>
    <w:p>
      <w:pPr>
        <w:ind w:left="1180" w:hanging="436"/>
        <w:spacing w:after="0"/>
        <w:tabs>
          <w:tab w:leader="none" w:pos="1180" w:val="left"/>
        </w:tabs>
        <w:numPr>
          <w:ilvl w:val="0"/>
          <w:numId w:val="7"/>
        </w:numPr>
        <w:rPr>
          <w:rFonts w:ascii="Arial" w:cs="Arial" w:eastAsia="Arial" w:hAnsi="Arial"/>
          <w:sz w:val="16"/>
          <w:szCs w:val="16"/>
          <w:color w:val="auto"/>
        </w:rPr>
      </w:pPr>
      <w:r>
        <w:rPr>
          <w:rFonts w:ascii="Arial" w:cs="Arial" w:eastAsia="Arial" w:hAnsi="Arial"/>
          <w:sz w:val="16"/>
          <w:szCs w:val="16"/>
          <w:color w:val="auto"/>
        </w:rPr>
        <w:t>failure to secure raw materials, components and materials in a timely manner, in sufficient quantities or on commercially reasonable terms;</w:t>
      </w:r>
    </w:p>
    <w:p>
      <w:pPr>
        <w:spacing w:after="0" w:line="153" w:lineRule="exact"/>
        <w:rPr>
          <w:rFonts w:ascii="Arial" w:cs="Arial" w:eastAsia="Arial" w:hAnsi="Arial"/>
          <w:sz w:val="16"/>
          <w:szCs w:val="16"/>
          <w:color w:val="auto"/>
        </w:rPr>
      </w:pPr>
    </w:p>
    <w:p>
      <w:pPr>
        <w:ind w:left="1180" w:right="1020" w:hanging="436"/>
        <w:spacing w:after="0" w:line="277" w:lineRule="auto"/>
        <w:tabs>
          <w:tab w:leader="none" w:pos="1180" w:val="left"/>
        </w:tabs>
        <w:numPr>
          <w:ilvl w:val="0"/>
          <w:numId w:val="7"/>
        </w:numPr>
        <w:rPr>
          <w:rFonts w:ascii="Arial" w:cs="Arial" w:eastAsia="Arial" w:hAnsi="Arial"/>
          <w:sz w:val="18"/>
          <w:szCs w:val="18"/>
          <w:color w:val="auto"/>
        </w:rPr>
      </w:pPr>
      <w:r>
        <w:rPr>
          <w:rFonts w:ascii="Arial" w:cs="Arial" w:eastAsia="Arial" w:hAnsi="Arial"/>
          <w:sz w:val="18"/>
          <w:szCs w:val="18"/>
          <w:color w:val="auto"/>
        </w:rPr>
        <w:t>inability to secure raw materials, components and materials of sufficient quality to meet the exacting needs of medical device manufacturing;</w:t>
      </w:r>
    </w:p>
    <w:p>
      <w:pPr>
        <w:spacing w:after="0" w:line="75" w:lineRule="exact"/>
        <w:rPr>
          <w:rFonts w:ascii="Arial" w:cs="Arial" w:eastAsia="Arial" w:hAnsi="Arial"/>
          <w:sz w:val="18"/>
          <w:szCs w:val="18"/>
          <w:color w:val="auto"/>
        </w:rPr>
      </w:pPr>
    </w:p>
    <w:p>
      <w:pPr>
        <w:ind w:left="1180" w:hanging="436"/>
        <w:spacing w:after="0"/>
        <w:tabs>
          <w:tab w:leader="none" w:pos="1180" w:val="left"/>
        </w:tabs>
        <w:numPr>
          <w:ilvl w:val="0"/>
          <w:numId w:val="7"/>
        </w:numPr>
        <w:rPr>
          <w:rFonts w:ascii="Arial" w:cs="Arial" w:eastAsia="Arial" w:hAnsi="Arial"/>
          <w:sz w:val="18"/>
          <w:szCs w:val="18"/>
          <w:color w:val="auto"/>
        </w:rPr>
      </w:pPr>
      <w:r>
        <w:rPr>
          <w:rFonts w:ascii="Arial" w:cs="Arial" w:eastAsia="Arial" w:hAnsi="Arial"/>
          <w:sz w:val="18"/>
          <w:szCs w:val="18"/>
          <w:color w:val="auto"/>
        </w:rPr>
        <w:t>failure to maintain compliance with quality system requirements or pass regulatory quality inspections;</w:t>
      </w:r>
    </w:p>
    <w:p>
      <w:pPr>
        <w:spacing w:after="0" w:line="130" w:lineRule="exact"/>
        <w:rPr>
          <w:rFonts w:ascii="Arial" w:cs="Arial" w:eastAsia="Arial" w:hAnsi="Arial"/>
          <w:sz w:val="18"/>
          <w:szCs w:val="18"/>
          <w:color w:val="auto"/>
        </w:rPr>
      </w:pPr>
    </w:p>
    <w:p>
      <w:pPr>
        <w:ind w:left="1180" w:hanging="436"/>
        <w:spacing w:after="0"/>
        <w:tabs>
          <w:tab w:leader="none" w:pos="1180" w:val="left"/>
        </w:tabs>
        <w:numPr>
          <w:ilvl w:val="0"/>
          <w:numId w:val="7"/>
        </w:numPr>
        <w:rPr>
          <w:rFonts w:ascii="Arial" w:cs="Arial" w:eastAsia="Arial" w:hAnsi="Arial"/>
          <w:sz w:val="18"/>
          <w:szCs w:val="18"/>
          <w:color w:val="auto"/>
        </w:rPr>
      </w:pPr>
      <w:r>
        <w:rPr>
          <w:rFonts w:ascii="Arial" w:cs="Arial" w:eastAsia="Arial" w:hAnsi="Arial"/>
          <w:sz w:val="18"/>
          <w:szCs w:val="18"/>
          <w:color w:val="auto"/>
        </w:rPr>
        <w:t>inability to increase production capacity or volumes to meet demand; and</w:t>
      </w:r>
    </w:p>
    <w:p>
      <w:pPr>
        <w:spacing w:after="0" w:line="130" w:lineRule="exact"/>
        <w:rPr>
          <w:rFonts w:ascii="Arial" w:cs="Arial" w:eastAsia="Arial" w:hAnsi="Arial"/>
          <w:sz w:val="18"/>
          <w:szCs w:val="18"/>
          <w:color w:val="auto"/>
        </w:rPr>
      </w:pPr>
    </w:p>
    <w:p>
      <w:pPr>
        <w:ind w:left="1180" w:right="420" w:hanging="436"/>
        <w:spacing w:after="0" w:line="277" w:lineRule="auto"/>
        <w:tabs>
          <w:tab w:leader="none" w:pos="1180" w:val="left"/>
        </w:tabs>
        <w:numPr>
          <w:ilvl w:val="0"/>
          <w:numId w:val="7"/>
        </w:numPr>
        <w:rPr>
          <w:rFonts w:ascii="Arial" w:cs="Arial" w:eastAsia="Arial" w:hAnsi="Arial"/>
          <w:sz w:val="18"/>
          <w:szCs w:val="18"/>
          <w:color w:val="auto"/>
        </w:rPr>
      </w:pPr>
      <w:r>
        <w:rPr>
          <w:rFonts w:ascii="Arial" w:cs="Arial" w:eastAsia="Arial" w:hAnsi="Arial"/>
          <w:sz w:val="18"/>
          <w:szCs w:val="18"/>
          <w:color w:val="auto"/>
        </w:rPr>
        <w:t>inability to design or modify production processes to enable us to produce future products efficiently or implement changes in current products in response to design or regulatory requirements.</w:t>
      </w:r>
    </w:p>
    <w:p>
      <w:pPr>
        <w:spacing w:after="0" w:line="170" w:lineRule="exact"/>
        <w:rPr>
          <w:sz w:val="20"/>
          <w:szCs w:val="20"/>
          <w:color w:val="auto"/>
        </w:rPr>
      </w:pPr>
    </w:p>
    <w:p>
      <w:pPr>
        <w:ind w:left="200" w:right="20" w:firstLine="441"/>
        <w:spacing w:after="0" w:line="257" w:lineRule="auto"/>
        <w:rPr>
          <w:sz w:val="20"/>
          <w:szCs w:val="20"/>
          <w:color w:val="auto"/>
        </w:rPr>
      </w:pPr>
      <w:r>
        <w:rPr>
          <w:rFonts w:ascii="Arial" w:cs="Arial" w:eastAsia="Arial" w:hAnsi="Arial"/>
          <w:sz w:val="18"/>
          <w:szCs w:val="18"/>
          <w:color w:val="auto"/>
        </w:rPr>
        <w:t>These risks could be exacerbated by our limited experience as an entity with large-scale commercial manufacturing. As demand for our products increases, we will have to invest additional resources to purchase raw materials and components, sub-assemblies and materials, hire and train employees and enhance our manufacturing processes. If we fail to increase our production capacity efficiently to meet demand for our products, we may not be able to fill customer orders on a timely basis, our sales may not increase in line with our expectations and our operating margins could fluctuate or decline. It may not be possible for us to manufacture</w:t>
      </w:r>
    </w:p>
    <w:p>
      <w:pPr>
        <w:spacing w:after="0" w:line="121"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220"/>
          </w:cols>
          <w:pgMar w:left="240" w:top="459" w:right="439" w:bottom="1440" w:gutter="0" w:footer="0" w:header="0"/>
        </w:sectPr>
      </w:pPr>
    </w:p>
    <w:bookmarkStart w:id="11" w:name="page12"/>
    <w:bookmarkEnd w:id="1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60"/>
        <w:spacing w:after="0" w:line="286" w:lineRule="auto"/>
        <w:rPr>
          <w:sz w:val="20"/>
          <w:szCs w:val="20"/>
          <w:color w:val="auto"/>
        </w:rPr>
      </w:pPr>
      <w:r>
        <w:rPr>
          <w:rFonts w:ascii="Arial" w:cs="Arial" w:eastAsia="Arial" w:hAnsi="Arial"/>
          <w:sz w:val="17"/>
          <w:szCs w:val="17"/>
          <w:color w:val="auto"/>
        </w:rPr>
        <w:t>our products at a cost or in quantities sufficient to make these products commercially viable or to maintain current operating margins, all of which could have a material adverse effect on our business, financial condition and results of operations. In addition, the Company is continually identifying additional third-party manufacturers who could serve if necessary as replacement manufacturers should the need arise.</w:t>
      </w:r>
    </w:p>
    <w:p>
      <w:pPr>
        <w:spacing w:after="0" w:line="274" w:lineRule="exact"/>
        <w:rPr>
          <w:sz w:val="20"/>
          <w:szCs w:val="20"/>
          <w:color w:val="auto"/>
        </w:rPr>
      </w:pPr>
    </w:p>
    <w:p>
      <w:pPr>
        <w:ind w:left="200" w:right="340"/>
        <w:spacing w:after="0" w:line="264" w:lineRule="auto"/>
        <w:rPr>
          <w:sz w:val="20"/>
          <w:szCs w:val="20"/>
          <w:color w:val="auto"/>
        </w:rPr>
      </w:pPr>
      <w:r>
        <w:rPr>
          <w:rFonts w:ascii="Arial" w:cs="Arial" w:eastAsia="Arial" w:hAnsi="Arial"/>
          <w:sz w:val="18"/>
          <w:szCs w:val="18"/>
          <w:b w:val="1"/>
          <w:bCs w:val="1"/>
          <w:i w:val="1"/>
          <w:iCs w:val="1"/>
          <w:color w:val="auto"/>
        </w:rPr>
        <w:t>We rely on third parties to conduct, supervise and monitor our clinical trials. If these third parties do not successfully carry out their contractual duties or meet expected deadlines, we may not be able to obtain regulatory approval for or commercialize our drug product candidates and our business could be substantially harmed.</w:t>
      </w:r>
    </w:p>
    <w:p>
      <w:pPr>
        <w:spacing w:after="0" w:line="73" w:lineRule="exact"/>
        <w:rPr>
          <w:sz w:val="20"/>
          <w:szCs w:val="20"/>
          <w:color w:val="auto"/>
        </w:rPr>
      </w:pPr>
    </w:p>
    <w:p>
      <w:pPr>
        <w:ind w:left="200" w:right="40" w:firstLine="441"/>
        <w:spacing w:after="0" w:line="257" w:lineRule="auto"/>
        <w:rPr>
          <w:sz w:val="20"/>
          <w:szCs w:val="20"/>
          <w:color w:val="auto"/>
        </w:rPr>
      </w:pPr>
      <w:r>
        <w:rPr>
          <w:rFonts w:ascii="Arial" w:cs="Arial" w:eastAsia="Arial" w:hAnsi="Arial"/>
          <w:sz w:val="18"/>
          <w:szCs w:val="18"/>
          <w:color w:val="auto"/>
        </w:rPr>
        <w:t>We rely on clinical research organizations, or CROs, and clinical trial sites to ensure our clinical trials are conducted properly and on time. While we will have agreements governing their activities, we will have limited influence over their actual performance. CROs manage and monitor the clinical trials, duties and functions, and we will control only certain aspects of our CROs’ activities. Nevertheless, we will be responsible for ensuring that each of our clinical trials is conducted in accordance with the applicable protocol, legal, regulatory and scientific standards, and our reliance on the CROs does not relieve us of our regulatory responsibilities.</w:t>
      </w:r>
    </w:p>
    <w:p>
      <w:pPr>
        <w:spacing w:after="0" w:line="188" w:lineRule="exact"/>
        <w:rPr>
          <w:sz w:val="20"/>
          <w:szCs w:val="20"/>
          <w:color w:val="auto"/>
        </w:rPr>
      </w:pPr>
    </w:p>
    <w:p>
      <w:pPr>
        <w:ind w:left="200" w:right="20" w:firstLine="441"/>
        <w:spacing w:after="0" w:line="255" w:lineRule="auto"/>
        <w:rPr>
          <w:sz w:val="20"/>
          <w:szCs w:val="20"/>
          <w:color w:val="auto"/>
        </w:rPr>
      </w:pPr>
      <w:r>
        <w:rPr>
          <w:rFonts w:ascii="Arial" w:cs="Arial" w:eastAsia="Arial" w:hAnsi="Arial"/>
          <w:sz w:val="18"/>
          <w:szCs w:val="18"/>
          <w:color w:val="auto"/>
        </w:rPr>
        <w:t>We and our CROs are required to comply with the FDA’s Good Clinical Practices, or GCPs, for conducting, recording and reporting the results of clinical trials to assure that the data and reported results are credible and accurate and that the rights, integrity and confidentiality of clinical trial participants are protected. The FDA, and comparable foreign regulatory authorities, enforce these GCPs through periodic inspections of trial sponsors, principal investigators and clinical trial sites. If we or our CROs fail to comply with applicable GCPs, the clinical data generated in our future clinical trials may be deemed unreliable and the FDA or other foreign regulatory authorities may require us to perform additional clinical trials before approving any marketing applications.</w:t>
      </w:r>
    </w:p>
    <w:p>
      <w:pPr>
        <w:spacing w:after="0" w:line="193" w:lineRule="exact"/>
        <w:rPr>
          <w:sz w:val="20"/>
          <w:szCs w:val="20"/>
          <w:color w:val="auto"/>
        </w:rPr>
      </w:pPr>
    </w:p>
    <w:p>
      <w:pPr>
        <w:ind w:left="200" w:firstLine="441"/>
        <w:spacing w:after="0" w:line="288" w:lineRule="auto"/>
        <w:rPr>
          <w:sz w:val="20"/>
          <w:szCs w:val="20"/>
          <w:color w:val="auto"/>
        </w:rPr>
      </w:pPr>
      <w:r>
        <w:rPr>
          <w:rFonts w:ascii="Arial" w:cs="Arial" w:eastAsia="Arial" w:hAnsi="Arial"/>
          <w:sz w:val="16"/>
          <w:szCs w:val="16"/>
          <w:color w:val="auto"/>
        </w:rPr>
        <w:t>If our CROs do not successfully carry out their contractual duties or obligations, fail to meet expected deadlines, or if the quality or accuracy of the clinical data they obtain is compromised due to the failure to adhere to our clinical protocols or regulatory requirements, or for any other reasons, our clinical trials may be extended, delayed or terminated, and we may not be able to obtain regulatory approval for, or successfully commercialize, our product candidates. If any such event were to occur, our financial results and the commercial prospects for our product candidates would be harmed, our costs could increase, and our ability to generate revenues could be delayed. If any of our relationships with these third-party CROs terminate, we may not be able to enter into arrangements with alternative CROs or to do so on commercially reasonable terms. Further, switching or adding additional CROs involves additional costs and requires management time and focus. In addition, there is a natural transition period when a new CRO commences work. As a result, delays occur, which could materially impact our ability to meet our desired clinical development timelines. Though we carefully manage our relationships with our CROs, there can be no assurance that we will not encounter challenges or delays in the future or that these delays or challenges will not have a material adverse impact on our business, financial condition and prospects.</w:t>
      </w:r>
    </w:p>
    <w:p>
      <w:pPr>
        <w:spacing w:after="0" w:line="277" w:lineRule="exact"/>
        <w:rPr>
          <w:sz w:val="20"/>
          <w:szCs w:val="20"/>
          <w:color w:val="auto"/>
        </w:rPr>
      </w:pPr>
    </w:p>
    <w:p>
      <w:pPr>
        <w:ind w:left="200"/>
        <w:spacing w:after="0"/>
        <w:rPr>
          <w:sz w:val="20"/>
          <w:szCs w:val="20"/>
          <w:color w:val="auto"/>
        </w:rPr>
      </w:pPr>
      <w:r>
        <w:rPr>
          <w:rFonts w:ascii="Arial" w:cs="Arial" w:eastAsia="Arial" w:hAnsi="Arial"/>
          <w:sz w:val="17"/>
          <w:szCs w:val="17"/>
          <w:b w:val="1"/>
          <w:bCs w:val="1"/>
          <w:i w:val="1"/>
          <w:iCs w:val="1"/>
          <w:color w:val="auto"/>
        </w:rPr>
        <w:t>Product recalls or inventory losses caused by unforeseen events may adversely affect our operating results and financial condition.</w:t>
      </w:r>
    </w:p>
    <w:p>
      <w:pPr>
        <w:spacing w:after="0" w:line="129" w:lineRule="exact"/>
        <w:rPr>
          <w:sz w:val="20"/>
          <w:szCs w:val="20"/>
          <w:color w:val="auto"/>
        </w:rPr>
      </w:pPr>
    </w:p>
    <w:p>
      <w:pPr>
        <w:ind w:left="200" w:right="60" w:firstLine="441"/>
        <w:spacing w:after="0" w:line="271" w:lineRule="auto"/>
        <w:rPr>
          <w:sz w:val="20"/>
          <w:szCs w:val="20"/>
          <w:color w:val="auto"/>
        </w:rPr>
      </w:pPr>
      <w:r>
        <w:rPr>
          <w:rFonts w:ascii="Arial" w:cs="Arial" w:eastAsia="Arial" w:hAnsi="Arial"/>
          <w:sz w:val="17"/>
          <w:szCs w:val="17"/>
          <w:color w:val="auto"/>
        </w:rPr>
        <w:t>Our products are manufactured, stored and distributed using technically complex processes requiring specialized facilities, highly specific raw materials and other production constraints. The complexity of these processes, as well as strict company and government standards for the manufacture, storage and distribution of our product candidates, subjects us to risks. In addition, process deviations or unanticipated effects of approved process changes may result in production runs of our RECELL System not complying with stability requirements or specifications. The occurrence or suspected occurrence of production and distribution difficulties can lead to lost inventories and in some cases product recalls, with consequential reputational damage and the risk of product liability. The investigation and remediation of any identified problems can cause production delays, substantial expense, lost sales and delays of new product launches. In the event our production efforts require a recall or result in an inventory loss, our operating results and financial condition may be adversely affected.</w:t>
      </w:r>
    </w:p>
    <w:p>
      <w:pPr>
        <w:spacing w:after="0" w:line="111"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220"/>
          </w:cols>
          <w:pgMar w:left="240" w:top="459" w:right="439" w:bottom="1440" w:gutter="0" w:footer="0" w:header="0"/>
        </w:sectPr>
      </w:pPr>
    </w:p>
    <w:bookmarkStart w:id="12" w:name="page13"/>
    <w:bookmarkEnd w:id="1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If we fail to manage our growth effectively, our business could be disrupted.</w:t>
      </w:r>
    </w:p>
    <w:p>
      <w:pPr>
        <w:spacing w:after="0" w:line="117" w:lineRule="exact"/>
        <w:rPr>
          <w:sz w:val="20"/>
          <w:szCs w:val="20"/>
          <w:color w:val="auto"/>
        </w:rPr>
      </w:pPr>
    </w:p>
    <w:p>
      <w:pPr>
        <w:jc w:val="both"/>
        <w:ind w:left="200" w:right="180" w:firstLine="441"/>
        <w:spacing w:after="0" w:line="264" w:lineRule="auto"/>
        <w:rPr>
          <w:sz w:val="20"/>
          <w:szCs w:val="20"/>
          <w:color w:val="auto"/>
        </w:rPr>
      </w:pPr>
      <w:r>
        <w:rPr>
          <w:rFonts w:ascii="Arial" w:cs="Arial" w:eastAsia="Arial" w:hAnsi="Arial"/>
          <w:sz w:val="18"/>
          <w:szCs w:val="18"/>
          <w:color w:val="auto"/>
        </w:rPr>
        <w:t>Our future financial performance and ability to successfully commercialize our products, which is not guaranteed, and to compete in the market will depend, in part, on our ability to manage any future growth effectively. We expect to make significant investments to facilitate our future growth through, among other things:</w:t>
      </w:r>
    </w:p>
    <w:p>
      <w:pPr>
        <w:spacing w:after="0" w:line="87" w:lineRule="exact"/>
        <w:rPr>
          <w:sz w:val="20"/>
          <w:szCs w:val="20"/>
          <w:color w:val="auto"/>
        </w:rPr>
      </w:pPr>
    </w:p>
    <w:p>
      <w:pPr>
        <w:ind w:left="1180" w:hanging="436"/>
        <w:spacing w:after="0"/>
        <w:tabs>
          <w:tab w:leader="none" w:pos="1180" w:val="left"/>
        </w:tabs>
        <w:numPr>
          <w:ilvl w:val="0"/>
          <w:numId w:val="8"/>
        </w:numPr>
        <w:rPr>
          <w:rFonts w:ascii="Arial" w:cs="Arial" w:eastAsia="Arial" w:hAnsi="Arial"/>
          <w:sz w:val="18"/>
          <w:szCs w:val="18"/>
          <w:color w:val="auto"/>
        </w:rPr>
      </w:pPr>
      <w:r>
        <w:rPr>
          <w:rFonts w:ascii="Arial" w:cs="Arial" w:eastAsia="Arial" w:hAnsi="Arial"/>
          <w:sz w:val="18"/>
          <w:szCs w:val="18"/>
          <w:color w:val="auto"/>
        </w:rPr>
        <w:t>new product development;</w:t>
      </w:r>
    </w:p>
    <w:p>
      <w:pPr>
        <w:spacing w:after="0" w:line="130" w:lineRule="exact"/>
        <w:rPr>
          <w:rFonts w:ascii="Arial" w:cs="Arial" w:eastAsia="Arial" w:hAnsi="Arial"/>
          <w:sz w:val="18"/>
          <w:szCs w:val="18"/>
          <w:color w:val="auto"/>
        </w:rPr>
      </w:pPr>
    </w:p>
    <w:p>
      <w:pPr>
        <w:ind w:left="1180" w:hanging="436"/>
        <w:spacing w:after="0"/>
        <w:tabs>
          <w:tab w:leader="none" w:pos="1180" w:val="left"/>
        </w:tabs>
        <w:numPr>
          <w:ilvl w:val="0"/>
          <w:numId w:val="8"/>
        </w:numPr>
        <w:rPr>
          <w:rFonts w:ascii="Arial" w:cs="Arial" w:eastAsia="Arial" w:hAnsi="Arial"/>
          <w:sz w:val="18"/>
          <w:szCs w:val="18"/>
          <w:color w:val="auto"/>
        </w:rPr>
      </w:pPr>
      <w:r>
        <w:rPr>
          <w:rFonts w:ascii="Arial" w:cs="Arial" w:eastAsia="Arial" w:hAnsi="Arial"/>
          <w:sz w:val="18"/>
          <w:szCs w:val="18"/>
          <w:color w:val="auto"/>
        </w:rPr>
        <w:t>clinical development of our RECELL System to such areas as pediatric burns, trauma injuries and vitiligo;</w:t>
      </w:r>
    </w:p>
    <w:p>
      <w:pPr>
        <w:spacing w:after="0" w:line="130" w:lineRule="exact"/>
        <w:rPr>
          <w:rFonts w:ascii="Arial" w:cs="Arial" w:eastAsia="Arial" w:hAnsi="Arial"/>
          <w:sz w:val="18"/>
          <w:szCs w:val="18"/>
          <w:color w:val="auto"/>
        </w:rPr>
      </w:pPr>
    </w:p>
    <w:p>
      <w:pPr>
        <w:ind w:left="1180" w:hanging="436"/>
        <w:spacing w:after="0"/>
        <w:tabs>
          <w:tab w:leader="none" w:pos="1180" w:val="left"/>
        </w:tabs>
        <w:numPr>
          <w:ilvl w:val="0"/>
          <w:numId w:val="8"/>
        </w:numPr>
        <w:rPr>
          <w:rFonts w:ascii="Arial" w:cs="Arial" w:eastAsia="Arial" w:hAnsi="Arial"/>
          <w:sz w:val="18"/>
          <w:szCs w:val="18"/>
          <w:color w:val="auto"/>
        </w:rPr>
      </w:pPr>
      <w:r>
        <w:rPr>
          <w:rFonts w:ascii="Arial" w:cs="Arial" w:eastAsia="Arial" w:hAnsi="Arial"/>
          <w:sz w:val="18"/>
          <w:szCs w:val="18"/>
          <w:color w:val="auto"/>
        </w:rPr>
        <w:t>clinical trials for additional indications; and</w:t>
      </w:r>
    </w:p>
    <w:p>
      <w:pPr>
        <w:spacing w:after="0" w:line="130" w:lineRule="exact"/>
        <w:rPr>
          <w:rFonts w:ascii="Arial" w:cs="Arial" w:eastAsia="Arial" w:hAnsi="Arial"/>
          <w:sz w:val="18"/>
          <w:szCs w:val="18"/>
          <w:color w:val="auto"/>
        </w:rPr>
      </w:pPr>
    </w:p>
    <w:p>
      <w:pPr>
        <w:ind w:left="1180" w:hanging="436"/>
        <w:spacing w:after="0"/>
        <w:tabs>
          <w:tab w:leader="none" w:pos="1180" w:val="left"/>
        </w:tabs>
        <w:numPr>
          <w:ilvl w:val="0"/>
          <w:numId w:val="8"/>
        </w:numPr>
        <w:rPr>
          <w:rFonts w:ascii="Arial" w:cs="Arial" w:eastAsia="Arial" w:hAnsi="Arial"/>
          <w:sz w:val="18"/>
          <w:szCs w:val="18"/>
          <w:color w:val="auto"/>
        </w:rPr>
      </w:pPr>
      <w:r>
        <w:rPr>
          <w:rFonts w:ascii="Arial" w:cs="Arial" w:eastAsia="Arial" w:hAnsi="Arial"/>
          <w:sz w:val="18"/>
          <w:szCs w:val="18"/>
          <w:color w:val="auto"/>
        </w:rPr>
        <w:t>funding of our marketing and sales infrastructure.</w:t>
      </w:r>
    </w:p>
    <w:p>
      <w:pPr>
        <w:spacing w:after="0" w:line="225" w:lineRule="exact"/>
        <w:rPr>
          <w:sz w:val="20"/>
          <w:szCs w:val="20"/>
          <w:color w:val="auto"/>
        </w:rPr>
      </w:pPr>
    </w:p>
    <w:p>
      <w:pPr>
        <w:ind w:left="640"/>
        <w:spacing w:after="0"/>
        <w:rPr>
          <w:sz w:val="20"/>
          <w:szCs w:val="20"/>
          <w:color w:val="auto"/>
        </w:rPr>
      </w:pPr>
      <w:r>
        <w:rPr>
          <w:rFonts w:ascii="Arial" w:cs="Arial" w:eastAsia="Arial" w:hAnsi="Arial"/>
          <w:sz w:val="18"/>
          <w:szCs w:val="18"/>
          <w:color w:val="auto"/>
        </w:rPr>
        <w:t>Any failure to manage future growth effectively could have a material adverse effect on our business and results of operations.</w:t>
      </w:r>
    </w:p>
    <w:p>
      <w:pPr>
        <w:spacing w:after="0" w:line="333" w:lineRule="exact"/>
        <w:rPr>
          <w:sz w:val="20"/>
          <w:szCs w:val="20"/>
          <w:color w:val="auto"/>
        </w:rPr>
      </w:pPr>
    </w:p>
    <w:p>
      <w:pPr>
        <w:ind w:left="200" w:right="600"/>
        <w:spacing w:after="0" w:line="277" w:lineRule="auto"/>
        <w:rPr>
          <w:sz w:val="20"/>
          <w:szCs w:val="20"/>
          <w:color w:val="auto"/>
        </w:rPr>
      </w:pPr>
      <w:r>
        <w:rPr>
          <w:rFonts w:ascii="Arial" w:cs="Arial" w:eastAsia="Arial" w:hAnsi="Arial"/>
          <w:sz w:val="18"/>
          <w:szCs w:val="18"/>
          <w:b w:val="1"/>
          <w:bCs w:val="1"/>
          <w:i w:val="1"/>
          <w:iCs w:val="1"/>
          <w:color w:val="auto"/>
        </w:rPr>
        <w:t>Our growth and success depend on our ability to attract and retain additional highly qualified and skilled sales and marketing, research and development, operational, managerial and finance personnel.</w:t>
      </w:r>
    </w:p>
    <w:p>
      <w:pPr>
        <w:spacing w:after="0" w:line="62" w:lineRule="exact"/>
        <w:rPr>
          <w:sz w:val="20"/>
          <w:szCs w:val="20"/>
          <w:color w:val="auto"/>
        </w:rPr>
      </w:pPr>
    </w:p>
    <w:p>
      <w:pPr>
        <w:ind w:left="200" w:right="40" w:firstLine="441"/>
        <w:spacing w:after="0" w:line="279" w:lineRule="auto"/>
        <w:rPr>
          <w:sz w:val="20"/>
          <w:szCs w:val="20"/>
          <w:color w:val="auto"/>
        </w:rPr>
      </w:pPr>
      <w:r>
        <w:rPr>
          <w:rFonts w:ascii="Arial" w:cs="Arial" w:eastAsia="Arial" w:hAnsi="Arial"/>
          <w:sz w:val="17"/>
          <w:szCs w:val="17"/>
          <w:color w:val="auto"/>
        </w:rPr>
        <w:t>Competition for skilled personnel is intense and the unexpected loss of an employee with a particular skill could have a material adverse effect on our operations until a replacement can be found and trained. If we cannot attract and retain skilled scientific and operational personnel for our research and development and manufacturing operations on acceptable terms, we may not be able to develop and commercialize our products. Further, any failure to effectively integrate new personnel could prevent us from successfully growing our company.</w:t>
      </w:r>
    </w:p>
    <w:p>
      <w:pPr>
        <w:spacing w:after="0" w:line="280"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We currently report our financial results under IFRS, which differs in certain significant respects from U.S. GAAP.</w:t>
      </w:r>
    </w:p>
    <w:p>
      <w:pPr>
        <w:spacing w:after="0" w:line="117" w:lineRule="exact"/>
        <w:rPr>
          <w:sz w:val="20"/>
          <w:szCs w:val="20"/>
          <w:color w:val="auto"/>
        </w:rPr>
      </w:pPr>
    </w:p>
    <w:p>
      <w:pPr>
        <w:ind w:left="200" w:right="20" w:firstLine="441"/>
        <w:spacing w:after="0" w:line="272" w:lineRule="auto"/>
        <w:rPr>
          <w:sz w:val="20"/>
          <w:szCs w:val="20"/>
          <w:color w:val="auto"/>
        </w:rPr>
      </w:pPr>
      <w:r>
        <w:rPr>
          <w:rFonts w:ascii="Arial" w:cs="Arial" w:eastAsia="Arial" w:hAnsi="Arial"/>
          <w:sz w:val="17"/>
          <w:szCs w:val="17"/>
          <w:color w:val="auto"/>
        </w:rPr>
        <w:t>Currently we report our financial statements under IFRS. There have been and there may in the future be certain significant differences between IFRS and Generally Accepted Accounting Principles in the United States (“U.S. GAAP”), including differences related to revenue recognition, intangible assets, share-based compensation expense, income tax and earnings per share, and in the timing, frequency and format of annual and periodic financial statements. As a result, our financial information and reported earnings for historical or future periods could be significantly different if they were prepared in accordance with U.S. GAAP. In addition, we do not intend to provide a reconciliation between IFRS and U.S. GAAP unless it is required under applicable law. As a result, you may not be able to meaningfully compare our financial statements under IFRS with those companies that prepare financial statements under U.S. GAAP.</w:t>
      </w:r>
    </w:p>
    <w:p>
      <w:pPr>
        <w:spacing w:after="0" w:line="282"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Risks Relating to our Industry and Intellectual Property</w:t>
      </w:r>
    </w:p>
    <w:p>
      <w:pPr>
        <w:spacing w:after="0" w:line="121" w:lineRule="exact"/>
        <w:rPr>
          <w:sz w:val="20"/>
          <w:szCs w:val="20"/>
          <w:color w:val="auto"/>
        </w:rPr>
      </w:pPr>
    </w:p>
    <w:p>
      <w:pPr>
        <w:ind w:left="200" w:right="60"/>
        <w:spacing w:after="0" w:line="342" w:lineRule="auto"/>
        <w:rPr>
          <w:sz w:val="20"/>
          <w:szCs w:val="20"/>
          <w:color w:val="auto"/>
        </w:rPr>
      </w:pPr>
      <w:r>
        <w:rPr>
          <w:rFonts w:ascii="Arial" w:cs="Arial" w:eastAsia="Arial" w:hAnsi="Arial"/>
          <w:sz w:val="16"/>
          <w:szCs w:val="16"/>
          <w:b w:val="1"/>
          <w:bCs w:val="1"/>
          <w:i w:val="1"/>
          <w:iCs w:val="1"/>
          <w:color w:val="auto"/>
        </w:rPr>
        <w:t>We face competition from the existing standard of care and any future potential changes in medical practice and technology and the possibility that our competitors may develop products, treatments or procedures that are similar, more advanced, safer or more effective than ours.</w:t>
      </w:r>
    </w:p>
    <w:p>
      <w:pPr>
        <w:spacing w:after="0" w:line="16" w:lineRule="exact"/>
        <w:rPr>
          <w:sz w:val="20"/>
          <w:szCs w:val="20"/>
          <w:color w:val="auto"/>
        </w:rPr>
      </w:pPr>
    </w:p>
    <w:p>
      <w:pPr>
        <w:ind w:left="200" w:right="300" w:firstLine="441"/>
        <w:spacing w:after="0" w:line="286" w:lineRule="auto"/>
        <w:rPr>
          <w:sz w:val="20"/>
          <w:szCs w:val="20"/>
          <w:color w:val="auto"/>
        </w:rPr>
      </w:pPr>
      <w:r>
        <w:rPr>
          <w:rFonts w:ascii="Arial" w:cs="Arial" w:eastAsia="Arial" w:hAnsi="Arial"/>
          <w:sz w:val="17"/>
          <w:szCs w:val="17"/>
          <w:color w:val="auto"/>
        </w:rPr>
        <w:t>The medical device, biotechnology and pharmaceutical industries, specifically relating to the areas where we currently or intend to market our RECELL System, are intensely competitive and subject to significant changes due to technology and medical practice standards. We may face competition from any number of different sources with respect to any products we develop and commercialize.</w:t>
      </w:r>
    </w:p>
    <w:p>
      <w:pPr>
        <w:spacing w:after="0" w:line="166" w:lineRule="exact"/>
        <w:rPr>
          <w:sz w:val="20"/>
          <w:szCs w:val="20"/>
          <w:color w:val="auto"/>
        </w:rPr>
      </w:pPr>
    </w:p>
    <w:p>
      <w:pPr>
        <w:ind w:left="200" w:firstLine="441"/>
        <w:spacing w:after="0" w:line="277" w:lineRule="auto"/>
        <w:rPr>
          <w:sz w:val="20"/>
          <w:szCs w:val="20"/>
          <w:color w:val="auto"/>
        </w:rPr>
      </w:pPr>
      <w:r>
        <w:rPr>
          <w:rFonts w:ascii="Arial" w:cs="Arial" w:eastAsia="Arial" w:hAnsi="Arial"/>
          <w:sz w:val="18"/>
          <w:szCs w:val="18"/>
          <w:color w:val="auto"/>
        </w:rPr>
        <w:t>Our commercial opportunity could be reduced or eliminated if our competitors develop and commercialize products, treatments or procedures that are safer, more effective, have fewer or less severe side effects, are more</w:t>
      </w:r>
    </w:p>
    <w:p>
      <w:pPr>
        <w:spacing w:after="0" w:line="103"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180"/>
          </w:cols>
          <w:pgMar w:left="240" w:top="459" w:right="479" w:bottom="1440" w:gutter="0" w:footer="0" w:header="0"/>
        </w:sectPr>
      </w:pPr>
    </w:p>
    <w:bookmarkStart w:id="13" w:name="page14"/>
    <w:bookmarkEnd w:id="1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80"/>
        <w:spacing w:after="0" w:line="291" w:lineRule="auto"/>
        <w:rPr>
          <w:sz w:val="20"/>
          <w:szCs w:val="20"/>
          <w:color w:val="auto"/>
        </w:rPr>
      </w:pPr>
      <w:r>
        <w:rPr>
          <w:rFonts w:ascii="Arial" w:cs="Arial" w:eastAsia="Arial" w:hAnsi="Arial"/>
          <w:sz w:val="16"/>
          <w:szCs w:val="16"/>
          <w:color w:val="auto"/>
        </w:rPr>
        <w:t>convenient or are less expensive than our RECELL System or any future products we develop. Many of our current or future competitors may have significantly greater financial resources and experience and expertise in research and development, manufacturing, preclinical testing, conducting clinical trials, obtaining regulatory approvals and marketing approved products than we may have. Mergers and acquisitions in the pharmaceutical, medical device, and biotechnology industries or wound care markets may result in increased concentration of resources among a smaller number of our competitors. Other early stage companies may also prove to be significant competitors, particularly through collaborative arrangements with large and established companies. These companies compete with us in recruiting and retaining qualified scientific and management personnel, establishing clinical trial sites and patient registration for clinical trials, as well as in acquiring technologies complementary to, or necessary for, our programs.</w:t>
      </w:r>
    </w:p>
    <w:p>
      <w:pPr>
        <w:spacing w:after="0" w:line="275" w:lineRule="exact"/>
        <w:rPr>
          <w:sz w:val="20"/>
          <w:szCs w:val="20"/>
          <w:color w:val="auto"/>
        </w:rPr>
      </w:pPr>
    </w:p>
    <w:p>
      <w:pPr>
        <w:ind w:left="200"/>
        <w:spacing w:after="0"/>
        <w:rPr>
          <w:sz w:val="20"/>
          <w:szCs w:val="20"/>
          <w:color w:val="auto"/>
        </w:rPr>
      </w:pPr>
      <w:r>
        <w:rPr>
          <w:rFonts w:ascii="Arial" w:cs="Arial" w:eastAsia="Arial" w:hAnsi="Arial"/>
          <w:sz w:val="17"/>
          <w:szCs w:val="17"/>
          <w:b w:val="1"/>
          <w:bCs w:val="1"/>
          <w:i w:val="1"/>
          <w:iCs w:val="1"/>
          <w:color w:val="auto"/>
        </w:rPr>
        <w:t>We could be subject to product liability lawsuits, which could result in costly and time-consuming litigation and significant liabilities.</w:t>
      </w:r>
    </w:p>
    <w:p>
      <w:pPr>
        <w:spacing w:after="0" w:line="129" w:lineRule="exact"/>
        <w:rPr>
          <w:sz w:val="20"/>
          <w:szCs w:val="20"/>
          <w:color w:val="auto"/>
        </w:rPr>
      </w:pPr>
    </w:p>
    <w:p>
      <w:pPr>
        <w:ind w:left="200" w:firstLine="441"/>
        <w:spacing w:after="0" w:line="290" w:lineRule="auto"/>
        <w:rPr>
          <w:sz w:val="20"/>
          <w:szCs w:val="20"/>
          <w:color w:val="auto"/>
        </w:rPr>
      </w:pPr>
      <w:r>
        <w:rPr>
          <w:rFonts w:ascii="Arial" w:cs="Arial" w:eastAsia="Arial" w:hAnsi="Arial"/>
          <w:sz w:val="16"/>
          <w:szCs w:val="16"/>
          <w:color w:val="auto"/>
        </w:rPr>
        <w:t>The development of medical device products, such as our RECELL System, involves an inherent risk of product liability claims and associated financial liability and adverse publicity. Any products we may develop could be found to be harmful or to contain harmful substances and exposes us to substantial liability and risk of litigation or may force us to discontinue production. We may be unable to obtain or maintain insurance on reasonable terms or otherwise protect ourselves against potential product liability claims that could impede or prevent further business development of any products we may create and commercialize. Furthermore, a product liability claim could damage our reputation, whether or not such claims are covered by insurance or have merit. A product liability claim against us or the withdrawal of a product from the market could have a material adverse effect on our business or financial condition. Furthermore, product liability lawsuits, regardless of their success, would likely be time consuming and expensive to resolve and would divert management’s time and attention, which could seriously harm our business.</w:t>
      </w:r>
    </w:p>
    <w:p>
      <w:pPr>
        <w:spacing w:after="0" w:line="274" w:lineRule="exact"/>
        <w:rPr>
          <w:sz w:val="20"/>
          <w:szCs w:val="20"/>
          <w:color w:val="auto"/>
        </w:rPr>
      </w:pPr>
    </w:p>
    <w:p>
      <w:pPr>
        <w:ind w:left="200" w:right="140"/>
        <w:spacing w:after="0" w:line="277" w:lineRule="auto"/>
        <w:rPr>
          <w:sz w:val="20"/>
          <w:szCs w:val="20"/>
          <w:color w:val="auto"/>
        </w:rPr>
      </w:pPr>
      <w:r>
        <w:rPr>
          <w:rFonts w:ascii="Arial" w:cs="Arial" w:eastAsia="Arial" w:hAnsi="Arial"/>
          <w:sz w:val="18"/>
          <w:szCs w:val="18"/>
          <w:b w:val="1"/>
          <w:bCs w:val="1"/>
          <w:i w:val="1"/>
          <w:iCs w:val="1"/>
          <w:color w:val="auto"/>
        </w:rPr>
        <w:t>If we are unable to effectively protect our intellectual property, we may not be able to operate our business and third parties may be able to use and profit from our technology, both of which would impair our ability to be competitive</w:t>
      </w:r>
    </w:p>
    <w:p>
      <w:pPr>
        <w:spacing w:after="0" w:line="62" w:lineRule="exact"/>
        <w:rPr>
          <w:sz w:val="20"/>
          <w:szCs w:val="20"/>
          <w:color w:val="auto"/>
        </w:rPr>
      </w:pPr>
    </w:p>
    <w:p>
      <w:pPr>
        <w:ind w:left="200" w:right="20" w:firstLine="441"/>
        <w:spacing w:after="0" w:line="271" w:lineRule="auto"/>
        <w:rPr>
          <w:sz w:val="20"/>
          <w:szCs w:val="20"/>
          <w:color w:val="auto"/>
        </w:rPr>
      </w:pPr>
      <w:r>
        <w:rPr>
          <w:rFonts w:ascii="Arial" w:cs="Arial" w:eastAsia="Arial" w:hAnsi="Arial"/>
          <w:sz w:val="17"/>
          <w:szCs w:val="17"/>
          <w:color w:val="auto"/>
        </w:rPr>
        <w:t>Our success will be heavily dependent on our ability to obtain and maintain meaningful patent protection for our technologies and products throughout the world. Patent law relating to the scope of claims in the technology fields in which we will operate is still evolving. The amount of ongoing protection for our proprietary rights therefor is uncertain. We will rely on patents to protect a significant part of our intellectual property and to enhance our competitive position. However, our presently pending or future patent applications may be denied, and any patent previously issued to us or our subsidiaries may be challenged, invalidated, held unenforceable or circumvented. Furthermore, the patent protections we have been granted may not be broad enough to prevent competitors from producing products similar to ours. In addition, the laws of various foreign countries in which we plan to compete, such as China, may not protect our intellectual property to the same extent as do the laws of the U.S. If we fail to obtain adequate patent protection for our proprietary technology, our ability to be commercially competitive will be materially impaired.</w:t>
      </w:r>
    </w:p>
    <w:p>
      <w:pPr>
        <w:spacing w:after="0" w:line="179" w:lineRule="exact"/>
        <w:rPr>
          <w:sz w:val="20"/>
          <w:szCs w:val="20"/>
          <w:color w:val="auto"/>
        </w:rPr>
      </w:pPr>
    </w:p>
    <w:p>
      <w:pPr>
        <w:ind w:left="200" w:firstLine="441"/>
        <w:spacing w:after="0" w:line="279" w:lineRule="auto"/>
        <w:rPr>
          <w:sz w:val="20"/>
          <w:szCs w:val="20"/>
          <w:color w:val="auto"/>
        </w:rPr>
      </w:pPr>
      <w:r>
        <w:rPr>
          <w:rFonts w:ascii="Arial" w:cs="Arial" w:eastAsia="Arial" w:hAnsi="Arial"/>
          <w:sz w:val="17"/>
          <w:szCs w:val="17"/>
          <w:color w:val="auto"/>
        </w:rPr>
        <w:t>In the ordinary course of business and as appropriate, we intend to apply for additional patents covering both our technologies and products, as we deem appropriate. Our existing patents and any future patents we obtain may not be sufficiently broad to prevent others from practicing our technologies or developing competing products and technologies. In addition, because patent law is evolving in the life science industry, the patent positions of companies like ours are uncertain. As a result, the validity and enforceability of our patents cannot be predicted with certainty.</w:t>
      </w:r>
    </w:p>
    <w:p>
      <w:pPr>
        <w:spacing w:after="0" w:line="280"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We may find it difficult to protect our intellectual property rights throughout the world.</w:t>
      </w:r>
    </w:p>
    <w:p>
      <w:pPr>
        <w:spacing w:after="0" w:line="117" w:lineRule="exact"/>
        <w:rPr>
          <w:sz w:val="20"/>
          <w:szCs w:val="20"/>
          <w:color w:val="auto"/>
        </w:rPr>
      </w:pPr>
    </w:p>
    <w:p>
      <w:pPr>
        <w:ind w:left="200" w:right="300" w:firstLine="441"/>
        <w:spacing w:after="0" w:line="277" w:lineRule="auto"/>
        <w:rPr>
          <w:sz w:val="20"/>
          <w:szCs w:val="20"/>
          <w:color w:val="auto"/>
        </w:rPr>
      </w:pPr>
      <w:r>
        <w:rPr>
          <w:rFonts w:ascii="Arial" w:cs="Arial" w:eastAsia="Arial" w:hAnsi="Arial"/>
          <w:sz w:val="18"/>
          <w:szCs w:val="18"/>
          <w:color w:val="auto"/>
        </w:rPr>
        <w:t>Filing, prosecuting and defending patents on all of our technologies and products in every jurisdiction is expensive. Competitors could reverse engineer our technologies in jurisdictions where we have not obtained</w:t>
      </w:r>
    </w:p>
    <w:p>
      <w:pPr>
        <w:spacing w:after="0" w:line="103"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200"/>
          </w:cols>
          <w:pgMar w:left="240" w:top="459" w:right="459" w:bottom="1440" w:gutter="0" w:footer="0" w:header="0"/>
        </w:sectPr>
      </w:pPr>
    </w:p>
    <w:bookmarkStart w:id="14" w:name="page15"/>
    <w:bookmarkEnd w:id="1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140"/>
        <w:spacing w:after="0" w:line="277" w:lineRule="auto"/>
        <w:rPr>
          <w:sz w:val="20"/>
          <w:szCs w:val="20"/>
          <w:color w:val="auto"/>
        </w:rPr>
      </w:pPr>
      <w:r>
        <w:rPr>
          <w:rFonts w:ascii="Arial" w:cs="Arial" w:eastAsia="Arial" w:hAnsi="Arial"/>
          <w:sz w:val="18"/>
          <w:szCs w:val="18"/>
          <w:color w:val="auto"/>
        </w:rPr>
        <w:t>patent protection to develop their own products. These products may compete with our products and may not be covered by any patent claims or other intellectual property rights.</w:t>
      </w:r>
    </w:p>
    <w:p>
      <w:pPr>
        <w:spacing w:after="0" w:line="170" w:lineRule="exact"/>
        <w:rPr>
          <w:sz w:val="20"/>
          <w:szCs w:val="20"/>
          <w:color w:val="auto"/>
        </w:rPr>
      </w:pPr>
    </w:p>
    <w:p>
      <w:pPr>
        <w:ind w:left="200" w:right="340" w:firstLine="441"/>
        <w:spacing w:after="0" w:line="279" w:lineRule="auto"/>
        <w:rPr>
          <w:sz w:val="20"/>
          <w:szCs w:val="20"/>
          <w:color w:val="auto"/>
        </w:rPr>
      </w:pPr>
      <w:r>
        <w:rPr>
          <w:rFonts w:ascii="Arial" w:cs="Arial" w:eastAsia="Arial" w:hAnsi="Arial"/>
          <w:sz w:val="17"/>
          <w:szCs w:val="17"/>
          <w:color w:val="auto"/>
        </w:rPr>
        <w:t>The laws of some countries do not protect intellectual property rights to the same extent as the laws of the U.S. and many companies have encountered significant problems in protecting and defending such rights in foreign jurisdictions. This lack of protection, particularly in relation to biotechnology, could make it difficult for us to stop the infringement of our patents. Proceedings to enforce our patent rights in foreign jurisdictions could result in substantial cost and divert the efforts and attention of key personnel from other aspects of our business.</w:t>
      </w:r>
    </w:p>
    <w:p>
      <w:pPr>
        <w:spacing w:after="0" w:line="280" w:lineRule="exact"/>
        <w:rPr>
          <w:sz w:val="20"/>
          <w:szCs w:val="20"/>
          <w:color w:val="auto"/>
        </w:rPr>
      </w:pPr>
    </w:p>
    <w:p>
      <w:pPr>
        <w:ind w:left="200" w:right="140"/>
        <w:spacing w:after="0" w:line="277" w:lineRule="auto"/>
        <w:rPr>
          <w:sz w:val="20"/>
          <w:szCs w:val="20"/>
          <w:color w:val="auto"/>
        </w:rPr>
      </w:pPr>
      <w:r>
        <w:rPr>
          <w:rFonts w:ascii="Arial" w:cs="Arial" w:eastAsia="Arial" w:hAnsi="Arial"/>
          <w:sz w:val="18"/>
          <w:szCs w:val="18"/>
          <w:b w:val="1"/>
          <w:bCs w:val="1"/>
          <w:i w:val="1"/>
          <w:iCs w:val="1"/>
          <w:color w:val="auto"/>
        </w:rPr>
        <w:t>We may incur substantial costs as a result of litigation or other proceedings relating to patent and other intellectual property rights and we may be unable to protect our rights to, or use of, our technology.</w:t>
      </w:r>
    </w:p>
    <w:p>
      <w:pPr>
        <w:spacing w:after="0" w:line="62" w:lineRule="exact"/>
        <w:rPr>
          <w:sz w:val="20"/>
          <w:szCs w:val="20"/>
          <w:color w:val="auto"/>
        </w:rPr>
      </w:pPr>
    </w:p>
    <w:p>
      <w:pPr>
        <w:ind w:left="200" w:right="260" w:firstLine="441"/>
        <w:spacing w:after="0" w:line="273" w:lineRule="auto"/>
        <w:rPr>
          <w:sz w:val="20"/>
          <w:szCs w:val="20"/>
          <w:color w:val="auto"/>
        </w:rPr>
      </w:pPr>
      <w:r>
        <w:rPr>
          <w:rFonts w:ascii="Arial" w:cs="Arial" w:eastAsia="Arial" w:hAnsi="Arial"/>
          <w:sz w:val="17"/>
          <w:szCs w:val="17"/>
          <w:color w:val="auto"/>
        </w:rPr>
        <w:t>If we choose to go to court to stop someone else from using the inventions claimed in our patents or our licensed patents, that individual or company has the right to ask the court to rule that these patents are invalid and/or should not be enforced against that third party. These lawsuits are expensive and would distract our key personnel, consume time and other resources, even if we were successful in stopping the infringement of these patents. In addition, there is a risk that a court will decide that these patents are invalid or unenforceable and that we do not have the right to stop the other party from using the inventions or, even if the validity or enforceability of these patents is upheld, the court may refuse to stop the other party because the competitors’ activities do not infringe our rights.</w:t>
      </w:r>
    </w:p>
    <w:p>
      <w:pPr>
        <w:spacing w:after="0" w:line="287" w:lineRule="exact"/>
        <w:rPr>
          <w:sz w:val="20"/>
          <w:szCs w:val="20"/>
          <w:color w:val="auto"/>
        </w:rPr>
      </w:pPr>
    </w:p>
    <w:p>
      <w:pPr>
        <w:ind w:left="200" w:right="40"/>
        <w:spacing w:after="0" w:line="342" w:lineRule="auto"/>
        <w:rPr>
          <w:sz w:val="20"/>
          <w:szCs w:val="20"/>
          <w:color w:val="auto"/>
        </w:rPr>
      </w:pPr>
      <w:r>
        <w:rPr>
          <w:rFonts w:ascii="Arial" w:cs="Arial" w:eastAsia="Arial" w:hAnsi="Arial"/>
          <w:sz w:val="16"/>
          <w:szCs w:val="16"/>
          <w:b w:val="1"/>
          <w:bCs w:val="1"/>
          <w:i w:val="1"/>
          <w:iCs w:val="1"/>
          <w:color w:val="auto"/>
        </w:rPr>
        <w:t>If third parties make claims of intellectual property infringement against us, or otherwise seek to establish their intellectual property rights equal or superior to ours, we may have to spend time and money in response and potentially discontinue certain of our operations.</w:t>
      </w:r>
    </w:p>
    <w:p>
      <w:pPr>
        <w:spacing w:after="0" w:line="16" w:lineRule="exact"/>
        <w:rPr>
          <w:sz w:val="20"/>
          <w:szCs w:val="20"/>
          <w:color w:val="auto"/>
        </w:rPr>
      </w:pPr>
    </w:p>
    <w:p>
      <w:pPr>
        <w:ind w:left="200" w:right="100" w:firstLine="441"/>
        <w:spacing w:after="0" w:line="272" w:lineRule="auto"/>
        <w:rPr>
          <w:sz w:val="20"/>
          <w:szCs w:val="20"/>
          <w:color w:val="auto"/>
        </w:rPr>
      </w:pPr>
      <w:r>
        <w:rPr>
          <w:rFonts w:ascii="Arial" w:cs="Arial" w:eastAsia="Arial" w:hAnsi="Arial"/>
          <w:sz w:val="17"/>
          <w:szCs w:val="17"/>
          <w:color w:val="auto"/>
        </w:rPr>
        <w:t>While we currently do not believe it to be the case, third parties may claim that we are employing their proprietary technology without authorization or that we are infringing on their patents. If such claims were made, we could incur substantial costs coupled with diversion of our management and key technical personnel in defending against these claims. Furthermore, parties making claims against us may be able to obtain injunctive or other equitable relief which could effectively halt our ability to further develop, commercialize and sell products. In the event of a successful claim of infringement, courts may order us to pay damages and obtain one or more licenses from third parties. We may not be able to obtain these licenses at a reasonable cost, if at all. Defense of any lawsuit or failure to obtain any of these licenses could prevent us from commercializing available products and have a material negative effect on our business.</w:t>
      </w:r>
    </w:p>
    <w:p>
      <w:pPr>
        <w:spacing w:after="0" w:line="286" w:lineRule="exact"/>
        <w:rPr>
          <w:sz w:val="20"/>
          <w:szCs w:val="20"/>
          <w:color w:val="auto"/>
        </w:rPr>
      </w:pPr>
    </w:p>
    <w:p>
      <w:pPr>
        <w:ind w:left="200" w:right="260"/>
        <w:spacing w:after="0" w:line="277" w:lineRule="auto"/>
        <w:rPr>
          <w:sz w:val="20"/>
          <w:szCs w:val="20"/>
          <w:color w:val="auto"/>
        </w:rPr>
      </w:pPr>
      <w:r>
        <w:rPr>
          <w:rFonts w:ascii="Arial" w:cs="Arial" w:eastAsia="Arial" w:hAnsi="Arial"/>
          <w:sz w:val="18"/>
          <w:szCs w:val="18"/>
          <w:b w:val="1"/>
          <w:bCs w:val="1"/>
          <w:i w:val="1"/>
          <w:iCs w:val="1"/>
          <w:color w:val="auto"/>
        </w:rPr>
        <w:t>Any suits filed against us by third-parties alleging we infringe their intellectual property rights could harm our business and operating results as well as our reputation.</w:t>
      </w:r>
    </w:p>
    <w:p>
      <w:pPr>
        <w:spacing w:after="0" w:line="62" w:lineRule="exact"/>
        <w:rPr>
          <w:sz w:val="20"/>
          <w:szCs w:val="20"/>
          <w:color w:val="auto"/>
        </w:rPr>
      </w:pPr>
    </w:p>
    <w:p>
      <w:pPr>
        <w:ind w:left="200" w:firstLine="441"/>
        <w:spacing w:after="0" w:line="259" w:lineRule="auto"/>
        <w:rPr>
          <w:sz w:val="20"/>
          <w:szCs w:val="20"/>
          <w:color w:val="auto"/>
        </w:rPr>
      </w:pPr>
      <w:r>
        <w:rPr>
          <w:rFonts w:ascii="Arial" w:cs="Arial" w:eastAsia="Arial" w:hAnsi="Arial"/>
          <w:sz w:val="18"/>
          <w:szCs w:val="18"/>
          <w:color w:val="auto"/>
        </w:rPr>
        <w:t>There is considerable patent and other intellectual property activity in the industry in which we operate. We may be unaware of intellectual property rights of others that may cover some or all of our technology. Additionally, notwithstanding our receipt of a patent, a third-party may nevertheless challenge the validity of one or more claims included in the patent, which may require significant expenditure of funds, as well as time and effort by key personnel, to defend our claims.</w:t>
      </w:r>
    </w:p>
    <w:p>
      <w:pPr>
        <w:spacing w:after="0" w:line="295"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Healthcare legislative reform measures may have a material adverse effect on our business and results of operations.</w:t>
      </w:r>
    </w:p>
    <w:p>
      <w:pPr>
        <w:spacing w:after="0" w:line="117" w:lineRule="exact"/>
        <w:rPr>
          <w:sz w:val="20"/>
          <w:szCs w:val="20"/>
          <w:color w:val="auto"/>
        </w:rPr>
      </w:pPr>
    </w:p>
    <w:p>
      <w:pPr>
        <w:ind w:left="200" w:right="280" w:firstLine="441"/>
        <w:spacing w:after="0" w:line="279" w:lineRule="auto"/>
        <w:rPr>
          <w:sz w:val="20"/>
          <w:szCs w:val="20"/>
          <w:color w:val="auto"/>
        </w:rPr>
      </w:pPr>
      <w:r>
        <w:rPr>
          <w:rFonts w:ascii="Arial" w:cs="Arial" w:eastAsia="Arial" w:hAnsi="Arial"/>
          <w:sz w:val="17"/>
          <w:szCs w:val="17"/>
          <w:color w:val="auto"/>
        </w:rPr>
        <w:t>In the U.S., there have been and continue to be a number of legislative initiatives to contain healthcare costs. For example, in March 2010, the Patient Protection and Affordable Care Act, as amended by the Health Care and Education Reconciliation Act, or the Health Care Reform Law, was passed, which substantially changed the way health care is financed by both governmental and private insurers, and significantly impacts the U.S. healthcare industry. The Health Care Reform Law, among other things, (i) subjects biologic products to potential</w:t>
      </w:r>
    </w:p>
    <w:p>
      <w:pPr>
        <w:spacing w:after="0" w:line="104" w:lineRule="exact"/>
        <w:rPr>
          <w:sz w:val="20"/>
          <w:szCs w:val="20"/>
          <w:color w:val="auto"/>
        </w:rPr>
      </w:pPr>
    </w:p>
    <w:p>
      <w:pPr>
        <w:jc w:val="center"/>
        <w:ind w:right="-279"/>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160"/>
          </w:cols>
          <w:pgMar w:left="240" w:top="459" w:right="499" w:bottom="1440" w:gutter="0" w:footer="0" w:header="0"/>
        </w:sectPr>
      </w:pPr>
    </w:p>
    <w:bookmarkStart w:id="15" w:name="page16"/>
    <w:bookmarkEnd w:id="1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240"/>
        <w:spacing w:after="0" w:line="257" w:lineRule="auto"/>
        <w:rPr>
          <w:sz w:val="20"/>
          <w:szCs w:val="20"/>
          <w:color w:val="auto"/>
        </w:rPr>
      </w:pPr>
      <w:r>
        <w:rPr>
          <w:rFonts w:ascii="Arial" w:cs="Arial" w:eastAsia="Arial" w:hAnsi="Arial"/>
          <w:sz w:val="18"/>
          <w:szCs w:val="18"/>
          <w:color w:val="auto"/>
        </w:rPr>
        <w:t>competition by lower-cost biosimilars, (ii) addresses a new methodology by which rebates owed by manufacturers under the Medicaid Drug Rebate Program are calculated for drugs that are inhaled, infused, instilled, implanted, or injected, (iii) increases the minimum Medicaid rebates owed by manufacturers under the Medicaid Drug Rebate Program and extends the rebate program to individuals enrolled in Medicaid managed care organizations, (iv) establishes annual fees and taxes on manufacturers of certain branded prescription drugs, and (v) promotes a new Medicare Part D coverage gap discount program.</w:t>
      </w:r>
    </w:p>
    <w:p>
      <w:pPr>
        <w:spacing w:after="0" w:line="188" w:lineRule="exact"/>
        <w:rPr>
          <w:sz w:val="20"/>
          <w:szCs w:val="20"/>
          <w:color w:val="auto"/>
        </w:rPr>
      </w:pPr>
    </w:p>
    <w:p>
      <w:pPr>
        <w:ind w:left="200" w:right="60" w:firstLine="441"/>
        <w:spacing w:after="0" w:line="270" w:lineRule="auto"/>
        <w:rPr>
          <w:sz w:val="20"/>
          <w:szCs w:val="20"/>
          <w:color w:val="auto"/>
        </w:rPr>
      </w:pPr>
      <w:r>
        <w:rPr>
          <w:rFonts w:ascii="Arial" w:cs="Arial" w:eastAsia="Arial" w:hAnsi="Arial"/>
          <w:sz w:val="17"/>
          <w:szCs w:val="17"/>
          <w:color w:val="auto"/>
        </w:rPr>
        <w:t>In addition, other legislative changes have been proposed and adopted in the U.S. since the Health Care Reform Law was enacted. On August 2, 2011, the Budget Control Act of 2011, among other things, created measures for spending reductions by Congress. A Joint Select Committee on Deficit Reduction, tasked with recommending a targeted deficit reduction of at least $1.2 trillion for the years 2013 through 2021, was unable to reach required goals, thereby triggering the legislation’s automatic reduction to several government programs. This includes aggregate reductions of Medicare payments to providers up to 2% per fiscal year. On January 2, 2013, President Obama signed into law the American Taxpayer Relief Act of 2012, or the ATRA, which, among other things, delayed for another two months the budget cuts mandated by these sequestration provisions of the Budget Control Act of 2011. On March 1, 2013, the President signed an executive order implementing sequestration, and on April 1, 2013, the 2% Medicare payment reductions went into effect. Additional state and federal healthcare reform measures may be adopted in the future, any of which could limit the amounts that federal and state governments will pay for healthcare products and services, which could result in reduced demand for our product candidates or additional pricing pressures.</w:t>
      </w:r>
    </w:p>
    <w:p>
      <w:pPr>
        <w:spacing w:after="0" w:line="286" w:lineRule="exact"/>
        <w:rPr>
          <w:sz w:val="20"/>
          <w:szCs w:val="20"/>
          <w:color w:val="auto"/>
        </w:rPr>
      </w:pPr>
    </w:p>
    <w:p>
      <w:pPr>
        <w:ind w:left="200"/>
        <w:spacing w:after="0" w:line="277" w:lineRule="auto"/>
        <w:rPr>
          <w:sz w:val="20"/>
          <w:szCs w:val="20"/>
          <w:color w:val="auto"/>
        </w:rPr>
      </w:pPr>
      <w:r>
        <w:rPr>
          <w:rFonts w:ascii="Arial" w:cs="Arial" w:eastAsia="Arial" w:hAnsi="Arial"/>
          <w:sz w:val="18"/>
          <w:szCs w:val="18"/>
          <w:b w:val="1"/>
          <w:bCs w:val="1"/>
          <w:i w:val="1"/>
          <w:iCs w:val="1"/>
          <w:color w:val="auto"/>
        </w:rPr>
        <w:t>Our operations are subject to anti-corruption laws, including Australian bribery laws and the U.S. Foreign Corrupt Practices Act. (FCPA) and other anti-corruption laws that apply in countries where we do business.</w:t>
      </w:r>
    </w:p>
    <w:p>
      <w:pPr>
        <w:spacing w:after="0" w:line="62" w:lineRule="exact"/>
        <w:rPr>
          <w:sz w:val="20"/>
          <w:szCs w:val="20"/>
          <w:color w:val="auto"/>
        </w:rPr>
      </w:pPr>
    </w:p>
    <w:p>
      <w:pPr>
        <w:ind w:left="200" w:right="60" w:firstLine="441"/>
        <w:spacing w:after="0" w:line="257" w:lineRule="auto"/>
        <w:rPr>
          <w:sz w:val="20"/>
          <w:szCs w:val="20"/>
          <w:color w:val="auto"/>
        </w:rPr>
      </w:pPr>
      <w:r>
        <w:rPr>
          <w:rFonts w:ascii="Arial" w:cs="Arial" w:eastAsia="Arial" w:hAnsi="Arial"/>
          <w:sz w:val="18"/>
          <w:szCs w:val="18"/>
          <w:color w:val="auto"/>
        </w:rPr>
        <w:t>Anti-corruption laws generally prohibit us and our employees and intermediaries from bribing, being bribed or making other prohibited payments to government officials or other persons to obtain or retain business or gain some other business advantage. We participate in collaborations and relationships with third parties whose actions could potentially subject us to liability under these anti-corruption laws. In addition, we cannot predict the nature, scope or effect of future regulatory requirements to which our international operations might be subject or the manner in which existing laws might be administered or interpreted.</w:t>
      </w:r>
    </w:p>
    <w:p>
      <w:pPr>
        <w:spacing w:after="0" w:line="188" w:lineRule="exact"/>
        <w:rPr>
          <w:sz w:val="20"/>
          <w:szCs w:val="20"/>
          <w:color w:val="auto"/>
        </w:rPr>
      </w:pPr>
    </w:p>
    <w:p>
      <w:pPr>
        <w:ind w:left="200" w:right="20" w:firstLine="441"/>
        <w:spacing w:after="0" w:line="259" w:lineRule="auto"/>
        <w:rPr>
          <w:sz w:val="20"/>
          <w:szCs w:val="20"/>
          <w:color w:val="auto"/>
        </w:rPr>
      </w:pPr>
      <w:r>
        <w:rPr>
          <w:rFonts w:ascii="Arial" w:cs="Arial" w:eastAsia="Arial" w:hAnsi="Arial"/>
          <w:sz w:val="18"/>
          <w:szCs w:val="18"/>
          <w:color w:val="auto"/>
        </w:rPr>
        <w:t>There is no assurance that we will be completely effective in ensuring our compliance with all applicable anti-corruption laws or other laws including trade related laws. If we are not in compliance with these laws, we may be subject to criminal and civil penalties, disgorgement and other sanctions and remedial measures, and legal expenses, which could have an adverse impact on our business, financial condition, results of operations and liquidity.</w:t>
      </w:r>
    </w:p>
    <w:p>
      <w:pPr>
        <w:spacing w:after="0" w:line="187" w:lineRule="exact"/>
        <w:rPr>
          <w:sz w:val="20"/>
          <w:szCs w:val="20"/>
          <w:color w:val="auto"/>
        </w:rPr>
      </w:pPr>
    </w:p>
    <w:p>
      <w:pPr>
        <w:ind w:left="200" w:right="220" w:firstLine="441"/>
        <w:spacing w:after="0" w:line="277" w:lineRule="auto"/>
        <w:rPr>
          <w:sz w:val="20"/>
          <w:szCs w:val="20"/>
          <w:color w:val="auto"/>
        </w:rPr>
      </w:pPr>
      <w:r>
        <w:rPr>
          <w:rFonts w:ascii="Arial" w:cs="Arial" w:eastAsia="Arial" w:hAnsi="Arial"/>
          <w:sz w:val="18"/>
          <w:szCs w:val="18"/>
          <w:color w:val="auto"/>
        </w:rPr>
        <w:t>Likewise, any investigation of any potential violations of these laws by respective government bodies could also have an adverse impact on our reputation, our business, results of operations and financial condition</w:t>
      </w:r>
    </w:p>
    <w:p>
      <w:pPr>
        <w:spacing w:after="0" w:line="27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Risks Relating to Our Ordinary Shares and ADSs</w:t>
      </w:r>
    </w:p>
    <w:p>
      <w:pPr>
        <w:spacing w:after="0" w:line="121" w:lineRule="exact"/>
        <w:rPr>
          <w:sz w:val="20"/>
          <w:szCs w:val="20"/>
          <w:color w:val="auto"/>
        </w:rPr>
      </w:pPr>
    </w:p>
    <w:p>
      <w:pPr>
        <w:ind w:left="200" w:right="620"/>
        <w:spacing w:after="0" w:line="342" w:lineRule="auto"/>
        <w:rPr>
          <w:sz w:val="20"/>
          <w:szCs w:val="20"/>
          <w:color w:val="auto"/>
        </w:rPr>
      </w:pPr>
      <w:r>
        <w:rPr>
          <w:rFonts w:ascii="Arial" w:cs="Arial" w:eastAsia="Arial" w:hAnsi="Arial"/>
          <w:sz w:val="16"/>
          <w:szCs w:val="16"/>
          <w:b w:val="1"/>
          <w:bCs w:val="1"/>
          <w:i w:val="1"/>
          <w:iCs w:val="1"/>
          <w:color w:val="auto"/>
        </w:rPr>
        <w:t>We have never paid a dividend on our ordinary shares and do not intend to do so in the foreseeable future, and consequently, investors’ only opportunity to realize a return on their investment in our company is through the appreciation in the price of our ordinary shares.</w:t>
      </w:r>
    </w:p>
    <w:p>
      <w:pPr>
        <w:spacing w:after="0" w:line="16" w:lineRule="exact"/>
        <w:rPr>
          <w:sz w:val="20"/>
          <w:szCs w:val="20"/>
          <w:color w:val="auto"/>
        </w:rPr>
      </w:pPr>
    </w:p>
    <w:p>
      <w:pPr>
        <w:ind w:left="200" w:right="20" w:firstLine="441"/>
        <w:spacing w:after="0" w:line="257" w:lineRule="auto"/>
        <w:rPr>
          <w:sz w:val="20"/>
          <w:szCs w:val="20"/>
          <w:color w:val="auto"/>
        </w:rPr>
      </w:pPr>
      <w:r>
        <w:rPr>
          <w:rFonts w:ascii="Arial" w:cs="Arial" w:eastAsia="Arial" w:hAnsi="Arial"/>
          <w:sz w:val="18"/>
          <w:szCs w:val="18"/>
          <w:color w:val="auto"/>
        </w:rPr>
        <w:t>We do not anticipate paying cash dividends on our ordinary shares in the foreseeable future and intend to retain all earnings, if any, for our operations. If we decided to pay dividends at some future time, we may not have sufficient funds legally available to do so. Even if funds are legally available for distribution, we may be unable to pay any dividends to our shareholders because of limitations imposed by a lack of liquidity. Accordingly, our shareholders may have to sell some or all of their ordinary shares in order to generate cash flow from their investment. Our shareholders may not receive a gain on their investment when they sell their ordinary</w:t>
      </w:r>
    </w:p>
    <w:p>
      <w:pPr>
        <w:spacing w:after="0" w:line="121"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200"/>
          </w:cols>
          <w:pgMar w:left="240" w:top="459" w:right="459" w:bottom="1440" w:gutter="0" w:footer="0" w:header="0"/>
        </w:sectPr>
      </w:pPr>
    </w:p>
    <w:bookmarkStart w:id="16" w:name="page17"/>
    <w:bookmarkEnd w:id="1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280"/>
        <w:spacing w:after="0" w:line="264" w:lineRule="auto"/>
        <w:rPr>
          <w:sz w:val="20"/>
          <w:szCs w:val="20"/>
          <w:color w:val="auto"/>
        </w:rPr>
      </w:pPr>
      <w:r>
        <w:rPr>
          <w:rFonts w:ascii="Arial" w:cs="Arial" w:eastAsia="Arial" w:hAnsi="Arial"/>
          <w:sz w:val="18"/>
          <w:szCs w:val="18"/>
          <w:color w:val="auto"/>
        </w:rPr>
        <w:t>shares and may lose some or all of their investment. Any determination to pay dividends in the future on our ordinary shares will be made at the discretion of our board of directors and will depend on our results of operations, financial conditions, contractual restrictions, restrictions imposed by applicable law, capital requirements, and other factors that our board of directors deems relevant.</w:t>
      </w:r>
    </w:p>
    <w:p>
      <w:pPr>
        <w:spacing w:after="0" w:line="289" w:lineRule="exact"/>
        <w:rPr>
          <w:sz w:val="20"/>
          <w:szCs w:val="20"/>
          <w:color w:val="auto"/>
        </w:rPr>
      </w:pPr>
    </w:p>
    <w:p>
      <w:pPr>
        <w:ind w:left="200"/>
        <w:spacing w:after="0" w:line="312" w:lineRule="auto"/>
        <w:rPr>
          <w:sz w:val="20"/>
          <w:szCs w:val="20"/>
          <w:color w:val="auto"/>
        </w:rPr>
      </w:pPr>
      <w:r>
        <w:rPr>
          <w:rFonts w:ascii="Arial" w:cs="Arial" w:eastAsia="Arial" w:hAnsi="Arial"/>
          <w:sz w:val="16"/>
          <w:szCs w:val="16"/>
          <w:b w:val="1"/>
          <w:bCs w:val="1"/>
          <w:i w:val="1"/>
          <w:iCs w:val="1"/>
          <w:color w:val="auto"/>
        </w:rPr>
        <w:t>As long as we remain subject to the rules of the Australian Stock Exchange and if we list on NASDAQ, we will be unable to access equity capital without shareholder approval if such equity capital sales would result in an equity issuance above regulatory thresholds and consequently we may be unable to obtain financing sufficient to sustain our business if we are unsuccessful in soliciting requisite shareholder approvals.</w:t>
      </w:r>
    </w:p>
    <w:p>
      <w:pPr>
        <w:spacing w:after="0" w:line="39" w:lineRule="exact"/>
        <w:rPr>
          <w:sz w:val="20"/>
          <w:szCs w:val="20"/>
          <w:color w:val="auto"/>
        </w:rPr>
      </w:pPr>
    </w:p>
    <w:p>
      <w:pPr>
        <w:ind w:left="200" w:right="300" w:firstLine="441"/>
        <w:spacing w:after="0" w:line="276" w:lineRule="auto"/>
        <w:rPr>
          <w:sz w:val="20"/>
          <w:szCs w:val="20"/>
          <w:color w:val="auto"/>
        </w:rPr>
      </w:pPr>
      <w:r>
        <w:rPr>
          <w:rFonts w:ascii="Arial" w:cs="Arial" w:eastAsia="Arial" w:hAnsi="Arial"/>
          <w:sz w:val="17"/>
          <w:szCs w:val="17"/>
          <w:color w:val="auto"/>
        </w:rPr>
        <w:t>Our ability to access equity capital is currently limited by ASX Listing Rule 7.1 (and ASX Listing Rule 7.1A, if shareholder approval for ASX Listing Rule 7.1A additional capacity is obtained annually), which provides that a company must not, subject to specified exceptions (including approval by shareholders), issue or agree to issue during any consecutive 12-month period any equity securities, or other securities with rights to conversion to equity, if the number of those securities exceeds 15% (plus an additional 10%, if ASX Listing Rule 7.1A approval is obtained) of the number of securities in the same class on issue at the commencement of that 12-month period.</w:t>
      </w:r>
    </w:p>
    <w:p>
      <w:pPr>
        <w:spacing w:after="0" w:line="173" w:lineRule="exact"/>
        <w:rPr>
          <w:sz w:val="20"/>
          <w:szCs w:val="20"/>
          <w:color w:val="auto"/>
        </w:rPr>
      </w:pPr>
    </w:p>
    <w:p>
      <w:pPr>
        <w:jc w:val="both"/>
        <w:ind w:left="200" w:right="160" w:firstLine="441"/>
        <w:spacing w:after="0" w:line="264" w:lineRule="auto"/>
        <w:rPr>
          <w:sz w:val="20"/>
          <w:szCs w:val="20"/>
          <w:color w:val="auto"/>
        </w:rPr>
      </w:pPr>
      <w:r>
        <w:rPr>
          <w:rFonts w:ascii="Arial" w:cs="Arial" w:eastAsia="Arial" w:hAnsi="Arial"/>
          <w:sz w:val="18"/>
          <w:szCs w:val="18"/>
          <w:color w:val="auto"/>
        </w:rPr>
        <w:t>Our equity issuances will be limited by Rule 7.1 (and 7.1A, if applicable) as long as we continue to be listed on the ASX and this constraint may prevent us from raising the full amount of equity capital needed for operations without prior shareholder approval. There are also restraints on a single shareholder holding more than 20% of the issued share capital. See Risk Relating to Takeovers below.</w:t>
      </w:r>
    </w:p>
    <w:p>
      <w:pPr>
        <w:spacing w:after="0" w:line="181" w:lineRule="exact"/>
        <w:rPr>
          <w:sz w:val="20"/>
          <w:szCs w:val="20"/>
          <w:color w:val="auto"/>
        </w:rPr>
      </w:pPr>
    </w:p>
    <w:p>
      <w:pPr>
        <w:ind w:left="200" w:right="160" w:firstLine="441"/>
        <w:spacing w:after="0" w:line="290" w:lineRule="auto"/>
        <w:rPr>
          <w:sz w:val="20"/>
          <w:szCs w:val="20"/>
          <w:color w:val="auto"/>
        </w:rPr>
      </w:pPr>
      <w:r>
        <w:rPr>
          <w:rFonts w:ascii="Arial" w:cs="Arial" w:eastAsia="Arial" w:hAnsi="Arial"/>
          <w:sz w:val="16"/>
          <w:szCs w:val="16"/>
          <w:color w:val="auto"/>
        </w:rPr>
        <w:t>If we are successful in listing on NASDAQ (which approval is further discussed in Item 9.C under the heading “Markets”), we will be subject to NASDAQ Listing Rule 5635(d), commonly referred to as the NASDAQ 20% Rule, which requires shareholder approval of a transaction other than a public offering involving the sale, issuance, or potential issuance by a company of ordinary shares (or securities convertible into or exercisable for ordinary shares) equal to 20% or more of the ordinary shares, or 20% or more of the voting power outstanding before the issuance for less than the greater of book or market value of the shares. While less restrictive than ASX Listing Rule 7.1 (unless ASX Listing Rule 7.1A approval is obtained, in which case it is more restrictive), the operation of the NASDAQ 20% rule could limit our ability to raise capital through issuance of shares or convertible securities without jeopardizing our listing status. If we were to violate the NASDAQ 20% rule, assuming we obtain initial listing approval, our company would be subject to delisting from NASDAQ and share prices and trading volumes would likely suffer.</w:t>
      </w:r>
    </w:p>
    <w:p>
      <w:pPr>
        <w:spacing w:after="0" w:line="274"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There is no assurance that our NASDAQ listing application will be approved and that it will be successful.</w:t>
      </w:r>
    </w:p>
    <w:p>
      <w:pPr>
        <w:spacing w:after="0" w:line="117" w:lineRule="exact"/>
        <w:rPr>
          <w:sz w:val="20"/>
          <w:szCs w:val="20"/>
          <w:color w:val="auto"/>
        </w:rPr>
      </w:pPr>
    </w:p>
    <w:p>
      <w:pPr>
        <w:ind w:left="200" w:firstLine="441"/>
        <w:spacing w:after="0" w:line="264" w:lineRule="auto"/>
        <w:rPr>
          <w:sz w:val="20"/>
          <w:szCs w:val="20"/>
          <w:color w:val="auto"/>
        </w:rPr>
      </w:pPr>
      <w:r>
        <w:rPr>
          <w:rFonts w:ascii="Arial" w:cs="Arial" w:eastAsia="Arial" w:hAnsi="Arial"/>
          <w:sz w:val="18"/>
          <w:szCs w:val="18"/>
          <w:color w:val="auto"/>
        </w:rPr>
        <w:t>Although our ADSs are currently quoted on the OTCQX, we intend to be listed on the NASDAQ Capital Market in 2019. There is no assurance that our NASDAQ listing application will be approved or that an active public market for our ADSs will further develop or be sustained (which approval is further discussed in Item 9.C under the heading “Markets”).</w:t>
      </w:r>
    </w:p>
    <w:p>
      <w:pPr>
        <w:spacing w:after="0" w:line="181" w:lineRule="exact"/>
        <w:rPr>
          <w:sz w:val="20"/>
          <w:szCs w:val="20"/>
          <w:color w:val="auto"/>
        </w:rPr>
      </w:pPr>
    </w:p>
    <w:p>
      <w:pPr>
        <w:ind w:left="200" w:right="20" w:firstLine="441"/>
        <w:spacing w:after="0" w:line="255" w:lineRule="auto"/>
        <w:rPr>
          <w:sz w:val="20"/>
          <w:szCs w:val="20"/>
          <w:color w:val="auto"/>
        </w:rPr>
      </w:pPr>
      <w:r>
        <w:rPr>
          <w:rFonts w:ascii="Arial" w:cs="Arial" w:eastAsia="Arial" w:hAnsi="Arial"/>
          <w:sz w:val="18"/>
          <w:szCs w:val="18"/>
          <w:color w:val="auto"/>
        </w:rPr>
        <w:t>Further, if an active public market in the U.S. for the ADSs does not further develop, the market price and liquidity of the ADSs may be materially and adversely affected. While we have applied for the listing of the ADSs on the NASDAQ Capital Market, a liquid public market in the U.S. for the ADSs may not further develop or be sustained after the transition from the OTCQX market to the NASDAQ Capital Market. In the past, following periods of volatility in the market price of a company’s securities, shareholders often instituted securities class action litigation against that company. If we were involved in a class action suit, it could divert the attention of senior management and, if adversely determined, could have a material adverse effect on our results of operations and financial condition.</w:t>
      </w:r>
    </w:p>
    <w:p>
      <w:pPr>
        <w:spacing w:after="0" w:line="126"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220"/>
          </w:cols>
          <w:pgMar w:left="240" w:top="459" w:right="439" w:bottom="1440" w:gutter="0" w:footer="0" w:header="0"/>
        </w:sectPr>
      </w:pPr>
    </w:p>
    <w:bookmarkStart w:id="17" w:name="page18"/>
    <w:bookmarkEnd w:id="1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720"/>
        <w:spacing w:after="0" w:line="277" w:lineRule="auto"/>
        <w:rPr>
          <w:sz w:val="20"/>
          <w:szCs w:val="20"/>
          <w:color w:val="auto"/>
        </w:rPr>
      </w:pPr>
      <w:r>
        <w:rPr>
          <w:rFonts w:ascii="Arial" w:cs="Arial" w:eastAsia="Arial" w:hAnsi="Arial"/>
          <w:sz w:val="18"/>
          <w:szCs w:val="18"/>
          <w:b w:val="1"/>
          <w:bCs w:val="1"/>
          <w:i w:val="1"/>
          <w:iCs w:val="1"/>
          <w:color w:val="auto"/>
        </w:rPr>
        <w:t>The market price and trading volume of our ordinary shares and ADSs may be volatile and may be affected by variability in our company’s performance from period to period and economic conditions beyond management’s control.</w:t>
      </w:r>
    </w:p>
    <w:p>
      <w:pPr>
        <w:spacing w:after="0" w:line="62" w:lineRule="exact"/>
        <w:rPr>
          <w:sz w:val="20"/>
          <w:szCs w:val="20"/>
          <w:color w:val="auto"/>
        </w:rPr>
      </w:pPr>
    </w:p>
    <w:p>
      <w:pPr>
        <w:ind w:left="200" w:firstLine="441"/>
        <w:spacing w:after="0" w:line="255" w:lineRule="auto"/>
        <w:rPr>
          <w:sz w:val="20"/>
          <w:szCs w:val="20"/>
          <w:color w:val="auto"/>
        </w:rPr>
      </w:pPr>
      <w:r>
        <w:rPr>
          <w:rFonts w:ascii="Arial" w:cs="Arial" w:eastAsia="Arial" w:hAnsi="Arial"/>
          <w:sz w:val="18"/>
          <w:szCs w:val="18"/>
          <w:color w:val="auto"/>
        </w:rPr>
        <w:t>The market price of our ordinary shares and ADSs may be highly volatile and could be subject to wide fluctuations. This means that our shareholders could experience a decrease in the value of their ordinary shares regardless of our operating performance or prospects. The market prices of securities of companies operating in the medical device and biotech sectors have often experienced fluctuations that have been unrelated or disproportionate to the operating results of these companies. In addition, the trading volume of our ordinary shares and ADSs may fluctuate and cause significant price variations to occur. If the market price of our ordinary shares declines significantly, our shareholders may be unable to resell our ordinary shares at or above their purchase price, if at all. There can be no assurance that the market price of our ordinary shares will not fluctuate or significantly decline in the future.</w:t>
      </w:r>
    </w:p>
    <w:p>
      <w:pPr>
        <w:spacing w:after="0" w:line="189" w:lineRule="exact"/>
        <w:rPr>
          <w:sz w:val="20"/>
          <w:szCs w:val="20"/>
          <w:color w:val="auto"/>
        </w:rPr>
      </w:pPr>
    </w:p>
    <w:p>
      <w:pPr>
        <w:ind w:left="200" w:right="600" w:firstLine="441"/>
        <w:spacing w:after="0" w:line="277" w:lineRule="auto"/>
        <w:rPr>
          <w:sz w:val="20"/>
          <w:szCs w:val="20"/>
          <w:color w:val="auto"/>
        </w:rPr>
      </w:pPr>
      <w:r>
        <w:rPr>
          <w:rFonts w:ascii="Arial" w:cs="Arial" w:eastAsia="Arial" w:hAnsi="Arial"/>
          <w:sz w:val="18"/>
          <w:szCs w:val="18"/>
          <w:color w:val="auto"/>
        </w:rPr>
        <w:t>Some specific factors that could negatively affect the price of our ordinary shares or result in fluctuations in their price and trading volume include:</w:t>
      </w:r>
    </w:p>
    <w:p>
      <w:pPr>
        <w:spacing w:after="0" w:line="76" w:lineRule="exact"/>
        <w:rPr>
          <w:sz w:val="20"/>
          <w:szCs w:val="20"/>
          <w:color w:val="auto"/>
        </w:rPr>
      </w:pPr>
    </w:p>
    <w:p>
      <w:pPr>
        <w:ind w:left="1180" w:hanging="436"/>
        <w:spacing w:after="0"/>
        <w:tabs>
          <w:tab w:leader="none" w:pos="1180" w:val="left"/>
        </w:tabs>
        <w:numPr>
          <w:ilvl w:val="0"/>
          <w:numId w:val="9"/>
        </w:numPr>
        <w:rPr>
          <w:rFonts w:ascii="Arial" w:cs="Arial" w:eastAsia="Arial" w:hAnsi="Arial"/>
          <w:sz w:val="18"/>
          <w:szCs w:val="18"/>
          <w:color w:val="auto"/>
        </w:rPr>
      </w:pPr>
      <w:r>
        <w:rPr>
          <w:rFonts w:ascii="Arial" w:cs="Arial" w:eastAsia="Arial" w:hAnsi="Arial"/>
          <w:sz w:val="18"/>
          <w:szCs w:val="18"/>
          <w:color w:val="auto"/>
        </w:rPr>
        <w:t>actual or expected fluctuations in our operating results;</w:t>
      </w:r>
    </w:p>
    <w:p>
      <w:pPr>
        <w:spacing w:after="0" w:line="130" w:lineRule="exact"/>
        <w:rPr>
          <w:rFonts w:ascii="Arial" w:cs="Arial" w:eastAsia="Arial" w:hAnsi="Arial"/>
          <w:sz w:val="18"/>
          <w:szCs w:val="18"/>
          <w:color w:val="auto"/>
        </w:rPr>
      </w:pPr>
    </w:p>
    <w:p>
      <w:pPr>
        <w:ind w:left="1180" w:hanging="436"/>
        <w:spacing w:after="0"/>
        <w:tabs>
          <w:tab w:leader="none" w:pos="1180" w:val="left"/>
        </w:tabs>
        <w:numPr>
          <w:ilvl w:val="0"/>
          <w:numId w:val="9"/>
        </w:numPr>
        <w:rPr>
          <w:rFonts w:ascii="Arial" w:cs="Arial" w:eastAsia="Arial" w:hAnsi="Arial"/>
          <w:sz w:val="18"/>
          <w:szCs w:val="18"/>
          <w:color w:val="auto"/>
        </w:rPr>
      </w:pPr>
      <w:r>
        <w:rPr>
          <w:rFonts w:ascii="Arial" w:cs="Arial" w:eastAsia="Arial" w:hAnsi="Arial"/>
          <w:sz w:val="18"/>
          <w:szCs w:val="18"/>
          <w:color w:val="auto"/>
        </w:rPr>
        <w:t>actual or expected changes in our growth rates or our competitors’ growth rates;</w:t>
      </w:r>
    </w:p>
    <w:p>
      <w:pPr>
        <w:spacing w:after="0" w:line="130" w:lineRule="exact"/>
        <w:rPr>
          <w:rFonts w:ascii="Arial" w:cs="Arial" w:eastAsia="Arial" w:hAnsi="Arial"/>
          <w:sz w:val="18"/>
          <w:szCs w:val="18"/>
          <w:color w:val="auto"/>
        </w:rPr>
      </w:pPr>
    </w:p>
    <w:p>
      <w:pPr>
        <w:ind w:left="1180" w:hanging="436"/>
        <w:spacing w:after="0"/>
        <w:tabs>
          <w:tab w:leader="none" w:pos="1180" w:val="left"/>
        </w:tabs>
        <w:numPr>
          <w:ilvl w:val="0"/>
          <w:numId w:val="9"/>
        </w:numPr>
        <w:rPr>
          <w:rFonts w:ascii="Arial" w:cs="Arial" w:eastAsia="Arial" w:hAnsi="Arial"/>
          <w:sz w:val="18"/>
          <w:szCs w:val="18"/>
          <w:color w:val="auto"/>
        </w:rPr>
      </w:pPr>
      <w:r>
        <w:rPr>
          <w:rFonts w:ascii="Arial" w:cs="Arial" w:eastAsia="Arial" w:hAnsi="Arial"/>
          <w:sz w:val="18"/>
          <w:szCs w:val="18"/>
          <w:color w:val="auto"/>
        </w:rPr>
        <w:t>results of clinical trials of our product candidates;</w:t>
      </w:r>
    </w:p>
    <w:p>
      <w:pPr>
        <w:spacing w:after="0" w:line="130" w:lineRule="exact"/>
        <w:rPr>
          <w:rFonts w:ascii="Arial" w:cs="Arial" w:eastAsia="Arial" w:hAnsi="Arial"/>
          <w:sz w:val="18"/>
          <w:szCs w:val="18"/>
          <w:color w:val="auto"/>
        </w:rPr>
      </w:pPr>
    </w:p>
    <w:p>
      <w:pPr>
        <w:ind w:left="1180" w:hanging="436"/>
        <w:spacing w:after="0"/>
        <w:tabs>
          <w:tab w:leader="none" w:pos="1180" w:val="left"/>
        </w:tabs>
        <w:numPr>
          <w:ilvl w:val="0"/>
          <w:numId w:val="9"/>
        </w:numPr>
        <w:rPr>
          <w:rFonts w:ascii="Arial" w:cs="Arial" w:eastAsia="Arial" w:hAnsi="Arial"/>
          <w:sz w:val="18"/>
          <w:szCs w:val="18"/>
          <w:color w:val="auto"/>
        </w:rPr>
      </w:pPr>
      <w:r>
        <w:rPr>
          <w:rFonts w:ascii="Arial" w:cs="Arial" w:eastAsia="Arial" w:hAnsi="Arial"/>
          <w:sz w:val="18"/>
          <w:szCs w:val="18"/>
          <w:color w:val="auto"/>
        </w:rPr>
        <w:t>results of clinical trials of our competitors’ products;</w:t>
      </w:r>
    </w:p>
    <w:p>
      <w:pPr>
        <w:spacing w:after="0" w:line="130" w:lineRule="exact"/>
        <w:rPr>
          <w:rFonts w:ascii="Arial" w:cs="Arial" w:eastAsia="Arial" w:hAnsi="Arial"/>
          <w:sz w:val="18"/>
          <w:szCs w:val="18"/>
          <w:color w:val="auto"/>
        </w:rPr>
      </w:pPr>
    </w:p>
    <w:p>
      <w:pPr>
        <w:ind w:left="1180" w:hanging="436"/>
        <w:spacing w:after="0"/>
        <w:tabs>
          <w:tab w:leader="none" w:pos="1180" w:val="left"/>
        </w:tabs>
        <w:numPr>
          <w:ilvl w:val="0"/>
          <w:numId w:val="9"/>
        </w:numPr>
        <w:rPr>
          <w:rFonts w:ascii="Arial" w:cs="Arial" w:eastAsia="Arial" w:hAnsi="Arial"/>
          <w:sz w:val="18"/>
          <w:szCs w:val="18"/>
          <w:color w:val="auto"/>
        </w:rPr>
      </w:pPr>
      <w:r>
        <w:rPr>
          <w:rFonts w:ascii="Arial" w:cs="Arial" w:eastAsia="Arial" w:hAnsi="Arial"/>
          <w:sz w:val="18"/>
          <w:szCs w:val="18"/>
          <w:color w:val="auto"/>
        </w:rPr>
        <w:t>regulatory actions with respect to our products or our competitors’ products;</w:t>
      </w:r>
    </w:p>
    <w:p>
      <w:pPr>
        <w:spacing w:after="0" w:line="130" w:lineRule="exact"/>
        <w:rPr>
          <w:rFonts w:ascii="Arial" w:cs="Arial" w:eastAsia="Arial" w:hAnsi="Arial"/>
          <w:sz w:val="18"/>
          <w:szCs w:val="18"/>
          <w:color w:val="auto"/>
        </w:rPr>
      </w:pPr>
    </w:p>
    <w:p>
      <w:pPr>
        <w:ind w:left="1180" w:hanging="436"/>
        <w:spacing w:after="0"/>
        <w:tabs>
          <w:tab w:leader="none" w:pos="1180" w:val="left"/>
        </w:tabs>
        <w:numPr>
          <w:ilvl w:val="0"/>
          <w:numId w:val="9"/>
        </w:numPr>
        <w:rPr>
          <w:rFonts w:ascii="Arial" w:cs="Arial" w:eastAsia="Arial" w:hAnsi="Arial"/>
          <w:sz w:val="18"/>
          <w:szCs w:val="18"/>
          <w:color w:val="auto"/>
        </w:rPr>
      </w:pPr>
      <w:r>
        <w:rPr>
          <w:rFonts w:ascii="Arial" w:cs="Arial" w:eastAsia="Arial" w:hAnsi="Arial"/>
          <w:sz w:val="18"/>
          <w:szCs w:val="18"/>
          <w:color w:val="auto"/>
        </w:rPr>
        <w:t>reports of one or more patient serious adverse events;</w:t>
      </w:r>
    </w:p>
    <w:p>
      <w:pPr>
        <w:spacing w:after="0" w:line="130" w:lineRule="exact"/>
        <w:rPr>
          <w:rFonts w:ascii="Arial" w:cs="Arial" w:eastAsia="Arial" w:hAnsi="Arial"/>
          <w:sz w:val="18"/>
          <w:szCs w:val="18"/>
          <w:color w:val="auto"/>
        </w:rPr>
      </w:pPr>
    </w:p>
    <w:p>
      <w:pPr>
        <w:ind w:left="1180" w:hanging="436"/>
        <w:spacing w:after="0"/>
        <w:tabs>
          <w:tab w:leader="none" w:pos="1180" w:val="left"/>
        </w:tabs>
        <w:numPr>
          <w:ilvl w:val="0"/>
          <w:numId w:val="9"/>
        </w:numPr>
        <w:rPr>
          <w:rFonts w:ascii="Arial" w:cs="Arial" w:eastAsia="Arial" w:hAnsi="Arial"/>
          <w:sz w:val="18"/>
          <w:szCs w:val="18"/>
          <w:color w:val="auto"/>
        </w:rPr>
      </w:pPr>
      <w:r>
        <w:rPr>
          <w:rFonts w:ascii="Arial" w:cs="Arial" w:eastAsia="Arial" w:hAnsi="Arial"/>
          <w:sz w:val="18"/>
          <w:szCs w:val="18"/>
          <w:color w:val="auto"/>
        </w:rPr>
        <w:t>publication of research reports by securities analysts about us or our competitors in the industry;</w:t>
      </w:r>
    </w:p>
    <w:p>
      <w:pPr>
        <w:spacing w:after="0" w:line="130" w:lineRule="exact"/>
        <w:rPr>
          <w:rFonts w:ascii="Arial" w:cs="Arial" w:eastAsia="Arial" w:hAnsi="Arial"/>
          <w:sz w:val="18"/>
          <w:szCs w:val="18"/>
          <w:color w:val="auto"/>
        </w:rPr>
      </w:pPr>
    </w:p>
    <w:p>
      <w:pPr>
        <w:ind w:left="1180" w:hanging="436"/>
        <w:spacing w:after="0"/>
        <w:tabs>
          <w:tab w:leader="none" w:pos="1180" w:val="left"/>
        </w:tabs>
        <w:numPr>
          <w:ilvl w:val="0"/>
          <w:numId w:val="9"/>
        </w:numPr>
        <w:rPr>
          <w:rFonts w:ascii="Arial" w:cs="Arial" w:eastAsia="Arial" w:hAnsi="Arial"/>
          <w:sz w:val="16"/>
          <w:szCs w:val="16"/>
          <w:color w:val="auto"/>
        </w:rPr>
      </w:pPr>
      <w:r>
        <w:rPr>
          <w:rFonts w:ascii="Arial" w:cs="Arial" w:eastAsia="Arial" w:hAnsi="Arial"/>
          <w:sz w:val="16"/>
          <w:szCs w:val="16"/>
          <w:color w:val="auto"/>
        </w:rPr>
        <w:t>our failure or the failure of our competitors to meet analysts’ projections or guidance that we or our competitors may give to the market;</w:t>
      </w:r>
    </w:p>
    <w:p>
      <w:pPr>
        <w:spacing w:after="0" w:line="153" w:lineRule="exact"/>
        <w:rPr>
          <w:rFonts w:ascii="Arial" w:cs="Arial" w:eastAsia="Arial" w:hAnsi="Arial"/>
          <w:sz w:val="16"/>
          <w:szCs w:val="16"/>
          <w:color w:val="auto"/>
        </w:rPr>
      </w:pPr>
    </w:p>
    <w:p>
      <w:pPr>
        <w:ind w:left="1180" w:hanging="436"/>
        <w:spacing w:after="0"/>
        <w:tabs>
          <w:tab w:leader="none" w:pos="1180" w:val="left"/>
        </w:tabs>
        <w:numPr>
          <w:ilvl w:val="0"/>
          <w:numId w:val="9"/>
        </w:numPr>
        <w:rPr>
          <w:rFonts w:ascii="Arial" w:cs="Arial" w:eastAsia="Arial" w:hAnsi="Arial"/>
          <w:sz w:val="18"/>
          <w:szCs w:val="18"/>
          <w:color w:val="auto"/>
        </w:rPr>
      </w:pPr>
      <w:r>
        <w:rPr>
          <w:rFonts w:ascii="Arial" w:cs="Arial" w:eastAsia="Arial" w:hAnsi="Arial"/>
          <w:sz w:val="18"/>
          <w:szCs w:val="18"/>
          <w:color w:val="auto"/>
        </w:rPr>
        <w:t>fluctuations of exchange rates between the U.S. dollar and the Australian dollar;</w:t>
      </w:r>
    </w:p>
    <w:p>
      <w:pPr>
        <w:spacing w:after="0" w:line="130" w:lineRule="exact"/>
        <w:rPr>
          <w:rFonts w:ascii="Arial" w:cs="Arial" w:eastAsia="Arial" w:hAnsi="Arial"/>
          <w:sz w:val="18"/>
          <w:szCs w:val="18"/>
          <w:color w:val="auto"/>
        </w:rPr>
      </w:pPr>
    </w:p>
    <w:p>
      <w:pPr>
        <w:ind w:left="1180" w:hanging="436"/>
        <w:spacing w:after="0"/>
        <w:tabs>
          <w:tab w:leader="none" w:pos="1180" w:val="left"/>
        </w:tabs>
        <w:numPr>
          <w:ilvl w:val="0"/>
          <w:numId w:val="9"/>
        </w:numPr>
        <w:rPr>
          <w:rFonts w:ascii="Arial" w:cs="Arial" w:eastAsia="Arial" w:hAnsi="Arial"/>
          <w:sz w:val="18"/>
          <w:szCs w:val="18"/>
          <w:color w:val="auto"/>
        </w:rPr>
      </w:pPr>
      <w:r>
        <w:rPr>
          <w:rFonts w:ascii="Arial" w:cs="Arial" w:eastAsia="Arial" w:hAnsi="Arial"/>
          <w:sz w:val="18"/>
          <w:szCs w:val="18"/>
          <w:color w:val="auto"/>
        </w:rPr>
        <w:t>issuances by us of debt or equity securities;</w:t>
      </w:r>
    </w:p>
    <w:p>
      <w:pPr>
        <w:spacing w:after="0" w:line="130" w:lineRule="exact"/>
        <w:rPr>
          <w:rFonts w:ascii="Arial" w:cs="Arial" w:eastAsia="Arial" w:hAnsi="Arial"/>
          <w:sz w:val="18"/>
          <w:szCs w:val="18"/>
          <w:color w:val="auto"/>
        </w:rPr>
      </w:pPr>
    </w:p>
    <w:p>
      <w:pPr>
        <w:ind w:left="1180" w:right="660" w:hanging="436"/>
        <w:spacing w:after="0" w:line="277" w:lineRule="auto"/>
        <w:tabs>
          <w:tab w:leader="none" w:pos="1180" w:val="left"/>
        </w:tabs>
        <w:numPr>
          <w:ilvl w:val="0"/>
          <w:numId w:val="9"/>
        </w:numPr>
        <w:rPr>
          <w:rFonts w:ascii="Arial" w:cs="Arial" w:eastAsia="Arial" w:hAnsi="Arial"/>
          <w:sz w:val="18"/>
          <w:szCs w:val="18"/>
          <w:color w:val="auto"/>
        </w:rPr>
      </w:pPr>
      <w:r>
        <w:rPr>
          <w:rFonts w:ascii="Arial" w:cs="Arial" w:eastAsia="Arial" w:hAnsi="Arial"/>
          <w:sz w:val="18"/>
          <w:szCs w:val="18"/>
          <w:color w:val="auto"/>
        </w:rPr>
        <w:t>litigation involving our company, including: shareholder litigation; investigations or audits by regulators into the operations of our company; or proceedings initiated by our competitors or clients;</w:t>
      </w:r>
    </w:p>
    <w:p>
      <w:pPr>
        <w:spacing w:after="0" w:line="75" w:lineRule="exact"/>
        <w:rPr>
          <w:rFonts w:ascii="Arial" w:cs="Arial" w:eastAsia="Arial" w:hAnsi="Arial"/>
          <w:sz w:val="18"/>
          <w:szCs w:val="18"/>
          <w:color w:val="auto"/>
        </w:rPr>
      </w:pPr>
    </w:p>
    <w:p>
      <w:pPr>
        <w:ind w:left="1180" w:right="60" w:hanging="436"/>
        <w:spacing w:after="0" w:line="277" w:lineRule="auto"/>
        <w:tabs>
          <w:tab w:leader="none" w:pos="1180" w:val="left"/>
        </w:tabs>
        <w:numPr>
          <w:ilvl w:val="0"/>
          <w:numId w:val="9"/>
        </w:numPr>
        <w:rPr>
          <w:rFonts w:ascii="Arial" w:cs="Arial" w:eastAsia="Arial" w:hAnsi="Arial"/>
          <w:sz w:val="18"/>
          <w:szCs w:val="18"/>
          <w:color w:val="auto"/>
        </w:rPr>
      </w:pPr>
      <w:r>
        <w:rPr>
          <w:rFonts w:ascii="Arial" w:cs="Arial" w:eastAsia="Arial" w:hAnsi="Arial"/>
          <w:sz w:val="18"/>
          <w:szCs w:val="18"/>
          <w:color w:val="auto"/>
        </w:rPr>
        <w:t>strategic decisions by us or our competitors, such as acquisitions, divestitures, spin-offs, joint ventures, strategic investments or changes in business strategy;</w:t>
      </w:r>
    </w:p>
    <w:p>
      <w:pPr>
        <w:spacing w:after="0" w:line="75" w:lineRule="exact"/>
        <w:rPr>
          <w:rFonts w:ascii="Arial" w:cs="Arial" w:eastAsia="Arial" w:hAnsi="Arial"/>
          <w:sz w:val="18"/>
          <w:szCs w:val="18"/>
          <w:color w:val="auto"/>
        </w:rPr>
      </w:pPr>
    </w:p>
    <w:p>
      <w:pPr>
        <w:ind w:left="1180" w:hanging="436"/>
        <w:spacing w:after="0"/>
        <w:tabs>
          <w:tab w:leader="none" w:pos="1180" w:val="left"/>
        </w:tabs>
        <w:numPr>
          <w:ilvl w:val="0"/>
          <w:numId w:val="9"/>
        </w:numPr>
        <w:rPr>
          <w:rFonts w:ascii="Arial" w:cs="Arial" w:eastAsia="Arial" w:hAnsi="Arial"/>
          <w:sz w:val="16"/>
          <w:szCs w:val="16"/>
          <w:color w:val="auto"/>
        </w:rPr>
      </w:pPr>
      <w:r>
        <w:rPr>
          <w:rFonts w:ascii="Arial" w:cs="Arial" w:eastAsia="Arial" w:hAnsi="Arial"/>
          <w:sz w:val="16"/>
          <w:szCs w:val="16"/>
          <w:color w:val="auto"/>
        </w:rPr>
        <w:t>sales or perceived potential sales of the ADSs or ordinary shares by us, our directors, senior management or our shareholders in the future;</w:t>
      </w:r>
    </w:p>
    <w:p>
      <w:pPr>
        <w:spacing w:after="0" w:line="153" w:lineRule="exact"/>
        <w:rPr>
          <w:rFonts w:ascii="Arial" w:cs="Arial" w:eastAsia="Arial" w:hAnsi="Arial"/>
          <w:sz w:val="16"/>
          <w:szCs w:val="16"/>
          <w:color w:val="auto"/>
        </w:rPr>
      </w:pPr>
    </w:p>
    <w:p>
      <w:pPr>
        <w:ind w:left="1180" w:hanging="436"/>
        <w:spacing w:after="0"/>
        <w:tabs>
          <w:tab w:leader="none" w:pos="1180" w:val="left"/>
        </w:tabs>
        <w:numPr>
          <w:ilvl w:val="0"/>
          <w:numId w:val="9"/>
        </w:numPr>
        <w:rPr>
          <w:rFonts w:ascii="Arial" w:cs="Arial" w:eastAsia="Arial" w:hAnsi="Arial"/>
          <w:sz w:val="18"/>
          <w:szCs w:val="18"/>
          <w:color w:val="auto"/>
        </w:rPr>
      </w:pPr>
      <w:r>
        <w:rPr>
          <w:rFonts w:ascii="Arial" w:cs="Arial" w:eastAsia="Arial" w:hAnsi="Arial"/>
          <w:sz w:val="18"/>
          <w:szCs w:val="18"/>
          <w:color w:val="auto"/>
        </w:rPr>
        <w:t>short selling or other market manipulation activities;</w:t>
      </w:r>
    </w:p>
    <w:p>
      <w:pPr>
        <w:spacing w:after="0" w:line="130" w:lineRule="exact"/>
        <w:rPr>
          <w:rFonts w:ascii="Arial" w:cs="Arial" w:eastAsia="Arial" w:hAnsi="Arial"/>
          <w:sz w:val="18"/>
          <w:szCs w:val="18"/>
          <w:color w:val="auto"/>
        </w:rPr>
      </w:pPr>
    </w:p>
    <w:p>
      <w:pPr>
        <w:ind w:left="1180" w:hanging="436"/>
        <w:spacing w:after="0"/>
        <w:tabs>
          <w:tab w:leader="none" w:pos="1180" w:val="left"/>
        </w:tabs>
        <w:numPr>
          <w:ilvl w:val="0"/>
          <w:numId w:val="9"/>
        </w:numPr>
        <w:rPr>
          <w:rFonts w:ascii="Arial" w:cs="Arial" w:eastAsia="Arial" w:hAnsi="Arial"/>
          <w:sz w:val="18"/>
          <w:szCs w:val="18"/>
          <w:color w:val="auto"/>
        </w:rPr>
      </w:pPr>
      <w:r>
        <w:rPr>
          <w:rFonts w:ascii="Arial" w:cs="Arial" w:eastAsia="Arial" w:hAnsi="Arial"/>
          <w:sz w:val="18"/>
          <w:szCs w:val="18"/>
          <w:color w:val="auto"/>
        </w:rPr>
        <w:t>announcement or expectation of additional financing efforts;</w:t>
      </w:r>
    </w:p>
    <w:p>
      <w:pPr>
        <w:spacing w:after="0" w:line="130" w:lineRule="exact"/>
        <w:rPr>
          <w:rFonts w:ascii="Arial" w:cs="Arial" w:eastAsia="Arial" w:hAnsi="Arial"/>
          <w:sz w:val="18"/>
          <w:szCs w:val="18"/>
          <w:color w:val="auto"/>
        </w:rPr>
      </w:pPr>
    </w:p>
    <w:p>
      <w:pPr>
        <w:ind w:left="1180" w:hanging="436"/>
        <w:spacing w:after="0"/>
        <w:tabs>
          <w:tab w:leader="none" w:pos="1180" w:val="left"/>
        </w:tabs>
        <w:numPr>
          <w:ilvl w:val="0"/>
          <w:numId w:val="9"/>
        </w:numPr>
        <w:rPr>
          <w:rFonts w:ascii="Arial" w:cs="Arial" w:eastAsia="Arial" w:hAnsi="Arial"/>
          <w:sz w:val="18"/>
          <w:szCs w:val="18"/>
          <w:color w:val="auto"/>
        </w:rPr>
      </w:pPr>
      <w:r>
        <w:rPr>
          <w:rFonts w:ascii="Arial" w:cs="Arial" w:eastAsia="Arial" w:hAnsi="Arial"/>
          <w:sz w:val="18"/>
          <w:szCs w:val="18"/>
          <w:color w:val="auto"/>
        </w:rPr>
        <w:t>terrorist acts, acts of war or periods of widespread civil unrest;</w:t>
      </w:r>
    </w:p>
    <w:p>
      <w:pPr>
        <w:spacing w:after="0" w:line="130" w:lineRule="exact"/>
        <w:rPr>
          <w:rFonts w:ascii="Arial" w:cs="Arial" w:eastAsia="Arial" w:hAnsi="Arial"/>
          <w:sz w:val="18"/>
          <w:szCs w:val="18"/>
          <w:color w:val="auto"/>
        </w:rPr>
      </w:pPr>
    </w:p>
    <w:p>
      <w:pPr>
        <w:ind w:left="1180" w:hanging="436"/>
        <w:spacing w:after="0"/>
        <w:tabs>
          <w:tab w:leader="none" w:pos="1180" w:val="left"/>
        </w:tabs>
        <w:numPr>
          <w:ilvl w:val="0"/>
          <w:numId w:val="9"/>
        </w:numPr>
        <w:rPr>
          <w:rFonts w:ascii="Arial" w:cs="Arial" w:eastAsia="Arial" w:hAnsi="Arial"/>
          <w:sz w:val="18"/>
          <w:szCs w:val="18"/>
          <w:color w:val="auto"/>
        </w:rPr>
      </w:pPr>
      <w:r>
        <w:rPr>
          <w:rFonts w:ascii="Arial" w:cs="Arial" w:eastAsia="Arial" w:hAnsi="Arial"/>
          <w:sz w:val="18"/>
          <w:szCs w:val="18"/>
          <w:color w:val="auto"/>
        </w:rPr>
        <w:t>natural disasters and other calamities;</w:t>
      </w:r>
    </w:p>
    <w:p>
      <w:pPr>
        <w:spacing w:after="0" w:line="130" w:lineRule="exact"/>
        <w:rPr>
          <w:rFonts w:ascii="Arial" w:cs="Arial" w:eastAsia="Arial" w:hAnsi="Arial"/>
          <w:sz w:val="18"/>
          <w:szCs w:val="18"/>
          <w:color w:val="auto"/>
        </w:rPr>
      </w:pPr>
    </w:p>
    <w:p>
      <w:pPr>
        <w:ind w:left="1180" w:hanging="436"/>
        <w:spacing w:after="0"/>
        <w:tabs>
          <w:tab w:leader="none" w:pos="1180" w:val="left"/>
        </w:tabs>
        <w:numPr>
          <w:ilvl w:val="0"/>
          <w:numId w:val="9"/>
        </w:numPr>
        <w:rPr>
          <w:rFonts w:ascii="Arial" w:cs="Arial" w:eastAsia="Arial" w:hAnsi="Arial"/>
          <w:sz w:val="18"/>
          <w:szCs w:val="18"/>
          <w:color w:val="auto"/>
        </w:rPr>
      </w:pPr>
      <w:r>
        <w:rPr>
          <w:rFonts w:ascii="Arial" w:cs="Arial" w:eastAsia="Arial" w:hAnsi="Arial"/>
          <w:sz w:val="18"/>
          <w:szCs w:val="18"/>
          <w:color w:val="auto"/>
        </w:rPr>
        <w:t>changes in market conditions for biopharmaceutical stocks;</w:t>
      </w:r>
    </w:p>
    <w:p>
      <w:pPr>
        <w:spacing w:after="0" w:line="130" w:lineRule="exact"/>
        <w:rPr>
          <w:rFonts w:ascii="Arial" w:cs="Arial" w:eastAsia="Arial" w:hAnsi="Arial"/>
          <w:sz w:val="18"/>
          <w:szCs w:val="18"/>
          <w:color w:val="auto"/>
        </w:rPr>
      </w:pPr>
    </w:p>
    <w:p>
      <w:pPr>
        <w:ind w:left="1180" w:hanging="436"/>
        <w:spacing w:after="0"/>
        <w:tabs>
          <w:tab w:leader="none" w:pos="1180" w:val="left"/>
        </w:tabs>
        <w:numPr>
          <w:ilvl w:val="0"/>
          <w:numId w:val="9"/>
        </w:numPr>
        <w:rPr>
          <w:rFonts w:ascii="Arial" w:cs="Arial" w:eastAsia="Arial" w:hAnsi="Arial"/>
          <w:sz w:val="18"/>
          <w:szCs w:val="18"/>
          <w:color w:val="auto"/>
        </w:rPr>
      </w:pPr>
      <w:r>
        <w:rPr>
          <w:rFonts w:ascii="Arial" w:cs="Arial" w:eastAsia="Arial" w:hAnsi="Arial"/>
          <w:sz w:val="18"/>
          <w:szCs w:val="18"/>
          <w:color w:val="auto"/>
        </w:rPr>
        <w:t>our inability to raise additional capital, limiting our ability to continue as a going concern;</w:t>
      </w:r>
    </w:p>
    <w:p>
      <w:pPr>
        <w:spacing w:after="0" w:line="130" w:lineRule="exact"/>
        <w:rPr>
          <w:rFonts w:ascii="Arial" w:cs="Arial" w:eastAsia="Arial" w:hAnsi="Arial"/>
          <w:sz w:val="18"/>
          <w:szCs w:val="18"/>
          <w:color w:val="auto"/>
        </w:rPr>
      </w:pPr>
    </w:p>
    <w:p>
      <w:pPr>
        <w:ind w:left="1180" w:hanging="436"/>
        <w:spacing w:after="0"/>
        <w:tabs>
          <w:tab w:leader="none" w:pos="1180" w:val="left"/>
        </w:tabs>
        <w:numPr>
          <w:ilvl w:val="0"/>
          <w:numId w:val="9"/>
        </w:numPr>
        <w:rPr>
          <w:rFonts w:ascii="Arial" w:cs="Arial" w:eastAsia="Arial" w:hAnsi="Arial"/>
          <w:sz w:val="18"/>
          <w:szCs w:val="18"/>
          <w:color w:val="auto"/>
        </w:rPr>
      </w:pPr>
      <w:r>
        <w:rPr>
          <w:rFonts w:ascii="Arial" w:cs="Arial" w:eastAsia="Arial" w:hAnsi="Arial"/>
          <w:sz w:val="18"/>
          <w:szCs w:val="18"/>
          <w:color w:val="auto"/>
        </w:rPr>
        <w:t>changes in market prices for our product or for our raw materials;</w:t>
      </w:r>
    </w:p>
    <w:p>
      <w:pPr>
        <w:spacing w:after="0" w:line="130" w:lineRule="exact"/>
        <w:rPr>
          <w:rFonts w:ascii="Arial" w:cs="Arial" w:eastAsia="Arial" w:hAnsi="Arial"/>
          <w:sz w:val="18"/>
          <w:szCs w:val="18"/>
          <w:color w:val="auto"/>
        </w:rPr>
      </w:pPr>
    </w:p>
    <w:p>
      <w:pPr>
        <w:ind w:left="1180" w:hanging="436"/>
        <w:spacing w:after="0"/>
        <w:tabs>
          <w:tab w:leader="none" w:pos="1180" w:val="left"/>
        </w:tabs>
        <w:numPr>
          <w:ilvl w:val="0"/>
          <w:numId w:val="9"/>
        </w:numPr>
        <w:rPr>
          <w:rFonts w:ascii="Arial" w:cs="Arial" w:eastAsia="Arial" w:hAnsi="Arial"/>
          <w:sz w:val="18"/>
          <w:szCs w:val="18"/>
          <w:color w:val="auto"/>
        </w:rPr>
      </w:pPr>
      <w:r>
        <w:rPr>
          <w:rFonts w:ascii="Arial" w:cs="Arial" w:eastAsia="Arial" w:hAnsi="Arial"/>
          <w:sz w:val="18"/>
          <w:szCs w:val="18"/>
          <w:color w:val="auto"/>
        </w:rPr>
        <w:t>changes in market valuations of similar companies;</w:t>
      </w:r>
    </w:p>
    <w:p>
      <w:pPr>
        <w:spacing w:after="0" w:line="130" w:lineRule="exact"/>
        <w:rPr>
          <w:rFonts w:ascii="Arial" w:cs="Arial" w:eastAsia="Arial" w:hAnsi="Arial"/>
          <w:sz w:val="18"/>
          <w:szCs w:val="18"/>
          <w:color w:val="auto"/>
        </w:rPr>
      </w:pPr>
    </w:p>
    <w:p>
      <w:pPr>
        <w:ind w:left="1180" w:hanging="436"/>
        <w:spacing w:after="0"/>
        <w:tabs>
          <w:tab w:leader="none" w:pos="1180" w:val="left"/>
        </w:tabs>
        <w:numPr>
          <w:ilvl w:val="0"/>
          <w:numId w:val="9"/>
        </w:numPr>
        <w:rPr>
          <w:rFonts w:ascii="Arial" w:cs="Arial" w:eastAsia="Arial" w:hAnsi="Arial"/>
          <w:sz w:val="18"/>
          <w:szCs w:val="18"/>
          <w:color w:val="auto"/>
        </w:rPr>
      </w:pPr>
      <w:r>
        <w:rPr>
          <w:rFonts w:ascii="Arial" w:cs="Arial" w:eastAsia="Arial" w:hAnsi="Arial"/>
          <w:sz w:val="18"/>
          <w:szCs w:val="18"/>
          <w:color w:val="auto"/>
        </w:rPr>
        <w:t>changes in key personnel for us or our competitors;</w:t>
      </w:r>
    </w:p>
    <w:p>
      <w:pPr>
        <w:spacing w:after="0" w:line="158"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220"/>
          </w:cols>
          <w:pgMar w:left="240" w:top="459" w:right="439" w:bottom="1440" w:gutter="0" w:footer="0" w:header="0"/>
        </w:sectPr>
      </w:pPr>
    </w:p>
    <w:bookmarkStart w:id="18" w:name="page19"/>
    <w:bookmarkEnd w:id="1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1180" w:hanging="436"/>
        <w:spacing w:after="0"/>
        <w:tabs>
          <w:tab w:leader="none" w:pos="11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speculation in the press or investment community;</w:t>
      </w:r>
    </w:p>
    <w:p>
      <w:pPr>
        <w:spacing w:after="0" w:line="130" w:lineRule="exact"/>
        <w:rPr>
          <w:rFonts w:ascii="Arial" w:cs="Arial" w:eastAsia="Arial" w:hAnsi="Arial"/>
          <w:sz w:val="18"/>
          <w:szCs w:val="18"/>
          <w:color w:val="auto"/>
        </w:rPr>
      </w:pPr>
    </w:p>
    <w:p>
      <w:pPr>
        <w:ind w:left="1180" w:hanging="436"/>
        <w:spacing w:after="0"/>
        <w:tabs>
          <w:tab w:leader="none" w:pos="11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changes or proposed changes in laws and regulations affecting our industry;</w:t>
      </w:r>
    </w:p>
    <w:p>
      <w:pPr>
        <w:spacing w:after="0" w:line="130" w:lineRule="exact"/>
        <w:rPr>
          <w:rFonts w:ascii="Arial" w:cs="Arial" w:eastAsia="Arial" w:hAnsi="Arial"/>
          <w:sz w:val="18"/>
          <w:szCs w:val="18"/>
          <w:color w:val="auto"/>
        </w:rPr>
      </w:pPr>
    </w:p>
    <w:p>
      <w:pPr>
        <w:ind w:left="1180" w:hanging="436"/>
        <w:spacing w:after="0"/>
        <w:tabs>
          <w:tab w:leader="none" w:pos="11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conditions in the financial markets in general or changes in general economic conditions.</w:t>
      </w:r>
    </w:p>
    <w:p>
      <w:pPr>
        <w:spacing w:after="0" w:line="333"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The requirements of being a public company in the U.S. may strain our resources and divert management’s attention.</w:t>
      </w:r>
    </w:p>
    <w:p>
      <w:pPr>
        <w:spacing w:after="0" w:line="117" w:lineRule="exact"/>
        <w:rPr>
          <w:sz w:val="20"/>
          <w:szCs w:val="20"/>
          <w:color w:val="auto"/>
        </w:rPr>
      </w:pPr>
    </w:p>
    <w:p>
      <w:pPr>
        <w:ind w:left="200" w:right="120" w:firstLine="441"/>
        <w:spacing w:after="0" w:line="289" w:lineRule="auto"/>
        <w:rPr>
          <w:sz w:val="20"/>
          <w:szCs w:val="20"/>
          <w:color w:val="auto"/>
        </w:rPr>
      </w:pPr>
      <w:r>
        <w:rPr>
          <w:rFonts w:ascii="Arial" w:cs="Arial" w:eastAsia="Arial" w:hAnsi="Arial"/>
          <w:sz w:val="16"/>
          <w:szCs w:val="16"/>
          <w:color w:val="auto"/>
        </w:rPr>
        <w:t>As a public company, we will be subject to the reporting requirements of the U.S. Securities Exchange Act of 1934, as amended (the “Exchange Act”), the U.S. Sarbanes-Oxley Act of 2002 (the “Sarbanes-Oxley Act”), the Dodd-Frank Act, the listing standards of the NASDAQ Capital Market as applicable to a foreign private issuer, which are different in some material respects from those required for a U.S. public company, as well as the reporting requirements under the ASX. We expect that the requirements of these rules and regulations will increase our legal, accounting and financial compliance costs, make some activities more difficult, time consuming and costly, and place significant strain on our personnel, systems and resources. As a result of disclosure of information in this filing or future filings required of a public company, our business and financial condition will become more visible, which may result in threatened or actual litigation, including by competitors, shareholders or third parties. If such claims are successful, our business and operating results could be harmed, and even if the claims do not result in litigation or are resolved in our favor, these claims, and the time and resources necessary to resolve them, could divert the resources of our management and harm our business and operating results.</w:t>
      </w:r>
    </w:p>
    <w:p>
      <w:pPr>
        <w:spacing w:after="0" w:line="275" w:lineRule="exact"/>
        <w:rPr>
          <w:sz w:val="20"/>
          <w:szCs w:val="20"/>
          <w:color w:val="auto"/>
        </w:rPr>
      </w:pPr>
    </w:p>
    <w:p>
      <w:pPr>
        <w:jc w:val="both"/>
        <w:ind w:left="200" w:right="500"/>
        <w:spacing w:after="0" w:line="264" w:lineRule="auto"/>
        <w:rPr>
          <w:sz w:val="20"/>
          <w:szCs w:val="20"/>
          <w:color w:val="auto"/>
        </w:rPr>
      </w:pPr>
      <w:r>
        <w:rPr>
          <w:rFonts w:ascii="Arial" w:cs="Arial" w:eastAsia="Arial" w:hAnsi="Arial"/>
          <w:sz w:val="18"/>
          <w:szCs w:val="18"/>
          <w:b w:val="1"/>
          <w:bCs w:val="1"/>
          <w:i w:val="1"/>
          <w:iCs w:val="1"/>
          <w:color w:val="auto"/>
        </w:rPr>
        <w:t>As a foreign private issuer, if and after our shares are listed on the NASDAQ Capital Market, we will be permitted and intend to follow certain home-country corporate governance practices in lieu of certain NASDAQ requirements applicable to U.S. issuers, affording less protection to holders of our ordinary shares.</w:t>
      </w:r>
    </w:p>
    <w:p>
      <w:pPr>
        <w:spacing w:after="0" w:line="73" w:lineRule="exact"/>
        <w:rPr>
          <w:sz w:val="20"/>
          <w:szCs w:val="20"/>
          <w:color w:val="auto"/>
        </w:rPr>
      </w:pPr>
    </w:p>
    <w:p>
      <w:pPr>
        <w:jc w:val="both"/>
        <w:ind w:left="200" w:right="60" w:firstLine="441"/>
        <w:spacing w:after="0" w:line="264" w:lineRule="auto"/>
        <w:rPr>
          <w:sz w:val="20"/>
          <w:szCs w:val="20"/>
          <w:color w:val="auto"/>
        </w:rPr>
      </w:pPr>
      <w:r>
        <w:rPr>
          <w:rFonts w:ascii="Arial" w:cs="Arial" w:eastAsia="Arial" w:hAnsi="Arial"/>
          <w:sz w:val="18"/>
          <w:szCs w:val="18"/>
          <w:color w:val="auto"/>
        </w:rPr>
        <w:t>As a foreign private issuer, if and after our ADSs are listed on the NASDAQ Capital Market, we will be permitted to follow certain home-country corporate governance practices in lieu of certain NASDAQ requirements. We intend to avail ourselves of all such exemptions available to us, including without limitation, the following:</w:t>
      </w:r>
    </w:p>
    <w:p>
      <w:pPr>
        <w:spacing w:after="0" w:line="87" w:lineRule="exact"/>
        <w:rPr>
          <w:sz w:val="20"/>
          <w:szCs w:val="20"/>
          <w:color w:val="auto"/>
        </w:rPr>
      </w:pPr>
    </w:p>
    <w:p>
      <w:pPr>
        <w:ind w:left="1180" w:right="720" w:hanging="436"/>
        <w:spacing w:after="0" w:line="277" w:lineRule="auto"/>
        <w:tabs>
          <w:tab w:leader="none" w:pos="11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As a company incorporated in Australia and listed on the ASX, we expect to follow our home country practice with respect to the composition of our Board and committees;</w:t>
      </w:r>
    </w:p>
    <w:p>
      <w:pPr>
        <w:spacing w:after="0" w:line="75" w:lineRule="exact"/>
        <w:rPr>
          <w:rFonts w:ascii="Arial" w:cs="Arial" w:eastAsia="Arial" w:hAnsi="Arial"/>
          <w:sz w:val="18"/>
          <w:szCs w:val="18"/>
          <w:color w:val="auto"/>
        </w:rPr>
      </w:pPr>
    </w:p>
    <w:p>
      <w:pPr>
        <w:ind w:left="1180" w:hanging="436"/>
        <w:spacing w:after="0" w:line="279" w:lineRule="auto"/>
        <w:tabs>
          <w:tab w:leader="none" w:pos="1180" w:val="left"/>
        </w:tabs>
        <w:numPr>
          <w:ilvl w:val="0"/>
          <w:numId w:val="11"/>
        </w:numPr>
        <w:rPr>
          <w:rFonts w:ascii="Arial" w:cs="Arial" w:eastAsia="Arial" w:hAnsi="Arial"/>
          <w:sz w:val="17"/>
          <w:szCs w:val="17"/>
          <w:color w:val="auto"/>
        </w:rPr>
      </w:pPr>
      <w:r>
        <w:rPr>
          <w:rFonts w:ascii="Arial" w:cs="Arial" w:eastAsia="Arial" w:hAnsi="Arial"/>
          <w:sz w:val="17"/>
          <w:szCs w:val="17"/>
          <w:color w:val="auto"/>
        </w:rPr>
        <w:t>Unlike the NASDAQ requirements, the corporate governance practice and requirements in Australia do not require us to have a majority of our board of directors to be independent, but if we do not do so, the Company is required to disclose annually to all shareholders which corporate governance recommendations (such as having a majority of our board of directors to be independent) have not been adhered to, why they have not been and what has been done in place of compliance with those recommendations;</w:t>
      </w:r>
    </w:p>
    <w:p>
      <w:pPr>
        <w:spacing w:after="0" w:line="76" w:lineRule="exact"/>
        <w:rPr>
          <w:rFonts w:ascii="Arial" w:cs="Arial" w:eastAsia="Arial" w:hAnsi="Arial"/>
          <w:sz w:val="17"/>
          <w:szCs w:val="17"/>
          <w:color w:val="auto"/>
        </w:rPr>
      </w:pPr>
    </w:p>
    <w:p>
      <w:pPr>
        <w:jc w:val="both"/>
        <w:ind w:left="1180" w:right="180" w:hanging="436"/>
        <w:spacing w:after="0" w:line="312" w:lineRule="auto"/>
        <w:tabs>
          <w:tab w:leader="none" w:pos="1180" w:val="left"/>
        </w:tabs>
        <w:numPr>
          <w:ilvl w:val="0"/>
          <w:numId w:val="11"/>
        </w:numPr>
        <w:rPr>
          <w:rFonts w:ascii="Arial" w:cs="Arial" w:eastAsia="Arial" w:hAnsi="Arial"/>
          <w:sz w:val="16"/>
          <w:szCs w:val="16"/>
          <w:color w:val="auto"/>
        </w:rPr>
      </w:pPr>
      <w:r>
        <w:rPr>
          <w:rFonts w:ascii="Arial" w:cs="Arial" w:eastAsia="Arial" w:hAnsi="Arial"/>
          <w:sz w:val="16"/>
          <w:szCs w:val="16"/>
          <w:color w:val="auto"/>
        </w:rPr>
        <w:t>Our Board is not required under home country regulations to hold regular executive sessions (but is free to do so at any time) where only independent directors are present (but any director with a personal interest in the outcome of an item being voted on is excluded from the deliberation and/or voting, unless the Board determines otherwise) and we do not intend to do so if our listing on NASDAQ is approved.</w:t>
      </w:r>
    </w:p>
    <w:p>
      <w:pPr>
        <w:spacing w:after="0" w:line="147" w:lineRule="exact"/>
        <w:rPr>
          <w:sz w:val="20"/>
          <w:szCs w:val="20"/>
          <w:color w:val="auto"/>
        </w:rPr>
      </w:pPr>
    </w:p>
    <w:p>
      <w:pPr>
        <w:ind w:left="200" w:right="20" w:firstLine="441"/>
        <w:spacing w:after="0" w:line="257" w:lineRule="auto"/>
        <w:rPr>
          <w:sz w:val="20"/>
          <w:szCs w:val="20"/>
          <w:color w:val="auto"/>
        </w:rPr>
      </w:pPr>
      <w:r>
        <w:rPr>
          <w:rFonts w:ascii="Arial" w:cs="Arial" w:eastAsia="Arial" w:hAnsi="Arial"/>
          <w:sz w:val="18"/>
          <w:szCs w:val="18"/>
          <w:color w:val="auto"/>
        </w:rPr>
        <w:t>Such Australian home-country practices may afford less protection to holders of our ordinary shares than would be available to our shareholders if we were incorporated in the U.S., governed by U.S. law and subject to all applicable NASDAQ regulations. At any general meeting of shareholders a resolution put to the vote of the meeting must be decided on a show of hands unless a poll is effectively demanded, and the demand is not withdrawn. On a show of hands, each member present in person and each other person present as a proxy, attorney or representative of a member has one vote. On a poll, each member present in person has one vote for</w:t>
      </w:r>
    </w:p>
    <w:p>
      <w:pPr>
        <w:spacing w:after="0" w:line="121"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220"/>
          </w:cols>
          <w:pgMar w:left="240" w:top="459" w:right="439" w:bottom="1440" w:gutter="0" w:footer="0" w:header="0"/>
        </w:sectPr>
      </w:pPr>
    </w:p>
    <w:bookmarkStart w:id="19" w:name="page20"/>
    <w:bookmarkEnd w:id="1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100"/>
        <w:spacing w:after="0" w:line="253" w:lineRule="auto"/>
        <w:rPr>
          <w:sz w:val="20"/>
          <w:szCs w:val="20"/>
          <w:color w:val="auto"/>
        </w:rPr>
      </w:pPr>
      <w:r>
        <w:rPr>
          <w:rFonts w:ascii="Arial" w:cs="Arial" w:eastAsia="Arial" w:hAnsi="Arial"/>
          <w:sz w:val="18"/>
          <w:szCs w:val="18"/>
          <w:color w:val="auto"/>
        </w:rPr>
        <w:t>each share held by the member and each person present as proxy, attorney or representative of a member has one vote for each share held by such member that the person represents. Voting based on a show of hands may make it more difficult for shareholders to influence our management. NASDAQ rules require that the quorum required for a meeting of shareholders be not be less than 33 1/3 percent of the outstanding shares of the Company’s ordinary shares, however, we intend to follow our home-country corporate governance practices with respect to quorum, and as a result, the quorum required for an ordinary meeting of shareholders will consist of at least three shareholders present in person, or by proxy, attorney or representative appointed pursuant to our Constitution. As required for foreign private issuers, each NASDAQ requirement with which we do not intend to comply, if and after our ordinary shares are listed on the NASDAQ Capital Market, is listed below under Item 6.C, together with a description of our applicable home-country practice. Please refer also to Item 9.C under the heading “Markets” for further discussion about the status of our NASDAQ listing application.</w:t>
      </w:r>
    </w:p>
    <w:p>
      <w:pPr>
        <w:spacing w:after="0" w:line="305" w:lineRule="exact"/>
        <w:rPr>
          <w:sz w:val="20"/>
          <w:szCs w:val="20"/>
          <w:color w:val="auto"/>
        </w:rPr>
      </w:pPr>
    </w:p>
    <w:p>
      <w:pPr>
        <w:ind w:left="200" w:right="140"/>
        <w:spacing w:after="0" w:line="277" w:lineRule="auto"/>
        <w:rPr>
          <w:sz w:val="20"/>
          <w:szCs w:val="20"/>
          <w:color w:val="auto"/>
        </w:rPr>
      </w:pPr>
      <w:r>
        <w:rPr>
          <w:rFonts w:ascii="Arial" w:cs="Arial" w:eastAsia="Arial" w:hAnsi="Arial"/>
          <w:sz w:val="18"/>
          <w:szCs w:val="18"/>
          <w:b w:val="1"/>
          <w:bCs w:val="1"/>
          <w:i w:val="1"/>
          <w:iCs w:val="1"/>
          <w:color w:val="auto"/>
        </w:rPr>
        <w:t>We are a “foreign private issuer” under the rules and regulations of the SEC and are thus exempt from a number of rules under the Exchange Act and will be permitted to file less information with the SEC than a company incorporated in the U.S.</w:t>
      </w:r>
    </w:p>
    <w:p>
      <w:pPr>
        <w:spacing w:after="0" w:line="62" w:lineRule="exact"/>
        <w:rPr>
          <w:sz w:val="20"/>
          <w:szCs w:val="20"/>
          <w:color w:val="auto"/>
        </w:rPr>
      </w:pPr>
    </w:p>
    <w:p>
      <w:pPr>
        <w:ind w:left="200" w:right="120" w:firstLine="441"/>
        <w:spacing w:after="0" w:line="289" w:lineRule="auto"/>
        <w:rPr>
          <w:sz w:val="20"/>
          <w:szCs w:val="20"/>
          <w:color w:val="auto"/>
        </w:rPr>
      </w:pPr>
      <w:r>
        <w:rPr>
          <w:rFonts w:ascii="Arial" w:cs="Arial" w:eastAsia="Arial" w:hAnsi="Arial"/>
          <w:sz w:val="16"/>
          <w:szCs w:val="16"/>
          <w:color w:val="auto"/>
        </w:rPr>
        <w:t>As a “foreign private issuer” under the Exchange Act, we are exempt from certain rules under the Exchange Act and will not be required to file periodic reports and financial statements with the SEC as frequently or as promptly as U.S. companies whose securities are registered under the Exchange Act, or to comply with Regulation FD, which restricts the selective disclosure of material nonpublic information. In addition, we will be exempt from certain disclosure and procedural requirements applicable to proxy solicitations under Section 14 of the Exchange Act. Our officers, directors and principal shareholders are exempt from the reporting and “short-swing” profit recovery provisions of Section 16 of the Exchange Act. Accordingly, there may be less publicly available information concerning us than there is for a company domiciled in the U.S., and such information may not be provided as promptly as it is currently provided by companies domiciled in the U.S. If we lose our status as a foreign private issuer, we will no longer be exempt from such rules and, among other things, will be required to file periodic reports and financial statements with the SEC as if we were a company incorporated in the U.S. The costs incurred in complying with these additional requirements could be substantial.</w:t>
      </w:r>
    </w:p>
    <w:p>
      <w:pPr>
        <w:spacing w:after="0" w:line="275"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The dual listing of our ordinary shares and the ADSs may adversely affect the liquidity and value of the ADSs.</w:t>
      </w:r>
    </w:p>
    <w:p>
      <w:pPr>
        <w:spacing w:after="0" w:line="117" w:lineRule="exact"/>
        <w:rPr>
          <w:sz w:val="20"/>
          <w:szCs w:val="20"/>
          <w:color w:val="auto"/>
        </w:rPr>
      </w:pPr>
    </w:p>
    <w:p>
      <w:pPr>
        <w:ind w:left="200" w:right="120" w:firstLine="441"/>
        <w:spacing w:after="0" w:line="276" w:lineRule="auto"/>
        <w:rPr>
          <w:sz w:val="20"/>
          <w:szCs w:val="20"/>
          <w:color w:val="auto"/>
        </w:rPr>
      </w:pPr>
      <w:r>
        <w:rPr>
          <w:rFonts w:ascii="Arial" w:cs="Arial" w:eastAsia="Arial" w:hAnsi="Arial"/>
          <w:sz w:val="17"/>
          <w:szCs w:val="17"/>
          <w:color w:val="auto"/>
        </w:rPr>
        <w:t>After the ADSs are listed on the NASDAQ Capital Market, our ordinary shares will continue to be listed on the ASX. Although the ADSs currently trade on the OTCQX market, we cannot predict the effect of the transition of this dual listing to trading on of the ADSs on NASDAQ Capital Market will have on the value of our ordinary shares and ADSs. However, the dual listing of our ordinary shares and ADSs may dilute the liquidity of these securities in one or both markets and may adversely affect the further development of an active trading market for the ADSs in the U.S. The price of the ADSs could also be adversely affected by trading in our ordinary shares on the ASX.</w:t>
      </w:r>
    </w:p>
    <w:p>
      <w:pPr>
        <w:spacing w:after="0" w:line="173" w:lineRule="exact"/>
        <w:rPr>
          <w:sz w:val="20"/>
          <w:szCs w:val="20"/>
          <w:color w:val="auto"/>
        </w:rPr>
      </w:pPr>
    </w:p>
    <w:p>
      <w:pPr>
        <w:ind w:left="200" w:right="560" w:firstLine="441"/>
        <w:spacing w:after="0" w:line="277" w:lineRule="auto"/>
        <w:rPr>
          <w:sz w:val="20"/>
          <w:szCs w:val="20"/>
          <w:color w:val="auto"/>
        </w:rPr>
      </w:pPr>
      <w:r>
        <w:rPr>
          <w:rFonts w:ascii="Arial" w:cs="Arial" w:eastAsia="Arial" w:hAnsi="Arial"/>
          <w:sz w:val="18"/>
          <w:szCs w:val="18"/>
          <w:color w:val="auto"/>
        </w:rPr>
        <w:t>Changes in foreign currency exchange rates could impact amounts you receive as a result of any dividend or distribution we declare on our ordinary shares.</w:t>
      </w:r>
    </w:p>
    <w:p>
      <w:pPr>
        <w:spacing w:after="0" w:line="170" w:lineRule="exact"/>
        <w:rPr>
          <w:sz w:val="20"/>
          <w:szCs w:val="20"/>
          <w:color w:val="auto"/>
        </w:rPr>
      </w:pPr>
    </w:p>
    <w:p>
      <w:pPr>
        <w:ind w:left="200" w:right="660" w:firstLine="441"/>
        <w:spacing w:after="0" w:line="277" w:lineRule="auto"/>
        <w:rPr>
          <w:sz w:val="20"/>
          <w:szCs w:val="20"/>
          <w:color w:val="auto"/>
        </w:rPr>
      </w:pPr>
      <w:r>
        <w:rPr>
          <w:rFonts w:ascii="Arial" w:cs="Arial" w:eastAsia="Arial" w:hAnsi="Arial"/>
          <w:sz w:val="18"/>
          <w:szCs w:val="18"/>
          <w:color w:val="auto"/>
        </w:rPr>
        <w:t>Any significant change in the value of the Australian dollar may impact amounts you receive in U.S. dollars as a result of any dividend or distribution we declare on our ordinary shares as a holder of our ADSs.</w:t>
      </w:r>
    </w:p>
    <w:p>
      <w:pPr>
        <w:spacing w:after="0" w:line="170" w:lineRule="exact"/>
        <w:rPr>
          <w:sz w:val="20"/>
          <w:szCs w:val="20"/>
          <w:color w:val="auto"/>
        </w:rPr>
      </w:pPr>
    </w:p>
    <w:p>
      <w:pPr>
        <w:ind w:left="200" w:firstLine="441"/>
        <w:spacing w:after="0" w:line="276" w:lineRule="auto"/>
        <w:rPr>
          <w:sz w:val="20"/>
          <w:szCs w:val="20"/>
          <w:color w:val="auto"/>
        </w:rPr>
      </w:pPr>
      <w:r>
        <w:rPr>
          <w:rFonts w:ascii="Arial" w:cs="Arial" w:eastAsia="Arial" w:hAnsi="Arial"/>
          <w:sz w:val="17"/>
          <w:szCs w:val="17"/>
          <w:color w:val="auto"/>
        </w:rPr>
        <w:t>More specifically, at present any dividends that we may pay on our ordinary shares will be in Australian dollars. The depositary for the ADSs has agreed to pay to you the cash dividends or other distributions it or the custodian receives on our ordinary shares or other deposited securities after deducting its fees and expenses, including any such fees or expenses incurred to convert any such Australian dollars into U.S. dollars. You will receive any such distributions in U.S. dollars in proportion to the number of our ordinary shares your ADSs represent. Depreciation of the U.S. dollar against the Australian dollar would have a negative effect on any such distribution payable to you.</w:t>
      </w:r>
    </w:p>
    <w:p>
      <w:pPr>
        <w:spacing w:after="0" w:line="105"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220"/>
          </w:cols>
          <w:pgMar w:left="240" w:top="459" w:right="439" w:bottom="1440" w:gutter="0" w:footer="0" w:header="0"/>
        </w:sectPr>
      </w:pPr>
    </w:p>
    <w:bookmarkStart w:id="20" w:name="page21"/>
    <w:bookmarkEnd w:id="2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500"/>
        <w:spacing w:after="0" w:line="277" w:lineRule="auto"/>
        <w:rPr>
          <w:sz w:val="20"/>
          <w:szCs w:val="20"/>
          <w:color w:val="auto"/>
        </w:rPr>
      </w:pPr>
      <w:r>
        <w:rPr>
          <w:rFonts w:ascii="Arial" w:cs="Arial" w:eastAsia="Arial" w:hAnsi="Arial"/>
          <w:sz w:val="18"/>
          <w:szCs w:val="18"/>
          <w:b w:val="1"/>
          <w:bCs w:val="1"/>
          <w:i w:val="1"/>
          <w:iCs w:val="1"/>
          <w:color w:val="auto"/>
        </w:rPr>
        <w:t>Holders of our ADSs have fewer rights than shareholders under Australian law, and their voting rights are limited by the terms of the deposit agreement.</w:t>
      </w:r>
    </w:p>
    <w:p>
      <w:pPr>
        <w:spacing w:after="0" w:line="62" w:lineRule="exact"/>
        <w:rPr>
          <w:sz w:val="20"/>
          <w:szCs w:val="20"/>
          <w:color w:val="auto"/>
        </w:rPr>
      </w:pPr>
    </w:p>
    <w:p>
      <w:pPr>
        <w:ind w:left="200" w:firstLine="441"/>
        <w:spacing w:after="0" w:line="259" w:lineRule="auto"/>
        <w:rPr>
          <w:sz w:val="20"/>
          <w:szCs w:val="20"/>
          <w:color w:val="auto"/>
        </w:rPr>
      </w:pPr>
      <w:r>
        <w:rPr>
          <w:rFonts w:ascii="Arial" w:cs="Arial" w:eastAsia="Arial" w:hAnsi="Arial"/>
          <w:sz w:val="18"/>
          <w:szCs w:val="18"/>
          <w:color w:val="auto"/>
        </w:rPr>
        <w:t>The rights of shareholders under Australian law to take actions, such as voting their shares, receiving dividends and distributions, examining our accounting books and records, bringing derivative actions, and exercising appraisal rights, are available only to shareholders of record. Because the depositary, through its custodian agents, is the record holder of the ordinary shares underlying the ADSs, only the depositary can exercise those rights in connection with the deposited shares.</w:t>
      </w:r>
    </w:p>
    <w:p>
      <w:pPr>
        <w:spacing w:after="0" w:line="187" w:lineRule="exact"/>
        <w:rPr>
          <w:sz w:val="20"/>
          <w:szCs w:val="20"/>
          <w:color w:val="auto"/>
        </w:rPr>
      </w:pPr>
    </w:p>
    <w:p>
      <w:pPr>
        <w:ind w:left="200" w:firstLine="441"/>
        <w:spacing w:after="0" w:line="291" w:lineRule="auto"/>
        <w:rPr>
          <w:sz w:val="20"/>
          <w:szCs w:val="20"/>
          <w:color w:val="auto"/>
        </w:rPr>
      </w:pPr>
      <w:r>
        <w:rPr>
          <w:rFonts w:ascii="Arial" w:cs="Arial" w:eastAsia="Arial" w:hAnsi="Arial"/>
          <w:sz w:val="16"/>
          <w:szCs w:val="16"/>
          <w:color w:val="auto"/>
        </w:rPr>
        <w:t>Holders of ADSs may exercise their voting rights only in accordance with the provisions of the deposit agreement. For more information see the description of the deposit agreement in Item 12C. Upon receipt of voting instructions from them in the manner set forth in the deposit agreement, the depositary will make efforts to vote the shares underlying the ADSs in accordance with the instructions of ADS holders. The depositary and its agents may not be able to send voting instructions to holders of ADSs or carry out their voting instructions in a timely manner. Furthermore, the depositary and its agents will not be responsible for any failure to carry out any instructions to vote, for the manner in which any vote is cast or for the effect of any such vote. As a result, holders of ADSs may not be able to exercise their right to vote. If we do not request the depositary to solicit your voting instructions, you can still send voting instructions, and, in that case, the depositary may try to vote as you instruct, but it is not required to do so.</w:t>
      </w:r>
    </w:p>
    <w:p>
      <w:pPr>
        <w:spacing w:after="0" w:line="275" w:lineRule="exact"/>
        <w:rPr>
          <w:sz w:val="20"/>
          <w:szCs w:val="20"/>
          <w:color w:val="auto"/>
        </w:rPr>
      </w:pPr>
    </w:p>
    <w:p>
      <w:pPr>
        <w:ind w:left="200" w:right="120"/>
        <w:spacing w:after="0" w:line="277" w:lineRule="auto"/>
        <w:rPr>
          <w:sz w:val="20"/>
          <w:szCs w:val="20"/>
          <w:color w:val="auto"/>
        </w:rPr>
      </w:pPr>
      <w:r>
        <w:rPr>
          <w:rFonts w:ascii="Arial" w:cs="Arial" w:eastAsia="Arial" w:hAnsi="Arial"/>
          <w:sz w:val="18"/>
          <w:szCs w:val="18"/>
          <w:b w:val="1"/>
          <w:bCs w:val="1"/>
          <w:i w:val="1"/>
          <w:iCs w:val="1"/>
          <w:color w:val="auto"/>
        </w:rPr>
        <w:t>Holders of ADSs may not receive distributions on our ordinary shares or any value for them if it is illegal or impractical to make them available to such holders.</w:t>
      </w:r>
    </w:p>
    <w:p>
      <w:pPr>
        <w:spacing w:after="0" w:line="62" w:lineRule="exact"/>
        <w:rPr>
          <w:sz w:val="20"/>
          <w:szCs w:val="20"/>
          <w:color w:val="auto"/>
        </w:rPr>
      </w:pPr>
    </w:p>
    <w:p>
      <w:pPr>
        <w:ind w:left="200" w:right="20" w:firstLine="441"/>
        <w:spacing w:after="0" w:line="270" w:lineRule="auto"/>
        <w:rPr>
          <w:sz w:val="20"/>
          <w:szCs w:val="20"/>
          <w:color w:val="auto"/>
        </w:rPr>
      </w:pPr>
      <w:r>
        <w:rPr>
          <w:rFonts w:ascii="Arial" w:cs="Arial" w:eastAsia="Arial" w:hAnsi="Arial"/>
          <w:sz w:val="17"/>
          <w:szCs w:val="17"/>
          <w:color w:val="auto"/>
        </w:rPr>
        <w:t>The depositary of our ADSs has agreed to pay holders of ADSs the cash dividends or other distributions it or the custodian for our ADSs receives on our ordinary shares or other deposited securities after deducting its fees and expenses. Holders of ADSs will receive these distributions in proportion to the number of our ordinary shares that such ADSs represent. However, the depositary is not responsible for making such payments or distributions if it is unlawful or impractical to make a distribution available to any holders of ADSs. For example, it would be unlawful to make a distribution to a holder of ADSs if it consists of securities that require registration under the Securities Act of 1933, as amended (the “Securities Act”), but that are not properly registered or distributed pursuant to an applicable exemption from registration. The depositary is not responsible for making a distribution available to any holders of ADSs if any registration or other governmental approval required for such distribution cannot be obtained after reasonable efforts. We have no obligation to take any other action to permit distributions on our ordinary shares to holders of ADSs. This means that holders of ADSs may not receive the distributions we make on our ordinary shares if it is illegal or impractical to make them available to such holders. These restrictions may materially reduce the value of our ADSs.</w:t>
      </w:r>
    </w:p>
    <w:p>
      <w:pPr>
        <w:spacing w:after="0" w:line="286"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Holders of ADSs may be subject to transfer limitations.</w:t>
      </w:r>
    </w:p>
    <w:p>
      <w:pPr>
        <w:spacing w:after="0" w:line="117" w:lineRule="exact"/>
        <w:rPr>
          <w:sz w:val="20"/>
          <w:szCs w:val="20"/>
          <w:color w:val="auto"/>
        </w:rPr>
      </w:pPr>
    </w:p>
    <w:p>
      <w:pPr>
        <w:jc w:val="both"/>
        <w:ind w:left="200" w:right="60" w:firstLine="441"/>
        <w:spacing w:after="0" w:line="302" w:lineRule="auto"/>
        <w:rPr>
          <w:sz w:val="20"/>
          <w:szCs w:val="20"/>
          <w:color w:val="auto"/>
        </w:rPr>
      </w:pPr>
      <w:r>
        <w:rPr>
          <w:rFonts w:ascii="Arial" w:cs="Arial" w:eastAsia="Arial" w:hAnsi="Arial"/>
          <w:sz w:val="16"/>
          <w:szCs w:val="16"/>
          <w:color w:val="auto"/>
        </w:rPr>
        <w:t>The ADSs are transferable on the books of the depositary. However, the depositary may close its transfer books at any time or from time to time when it deems expedient in connection with the performance of its duties. In addition, the depositary may refuse to deliver, transfer or register transfers of ADSs generally when our books or the books of the depositary are closed, or at any time if we or the depositary deems it advisable to do so because of any government or governmental body or legal requirement, or under any provision of the deposit agreement, or for any other reason.</w:t>
      </w:r>
    </w:p>
    <w:p>
      <w:pPr>
        <w:spacing w:after="0" w:line="262" w:lineRule="exact"/>
        <w:rPr>
          <w:sz w:val="20"/>
          <w:szCs w:val="20"/>
          <w:color w:val="auto"/>
        </w:rPr>
      </w:pPr>
    </w:p>
    <w:p>
      <w:pPr>
        <w:ind w:left="200" w:right="480"/>
        <w:spacing w:after="0" w:line="277" w:lineRule="auto"/>
        <w:rPr>
          <w:sz w:val="20"/>
          <w:szCs w:val="20"/>
          <w:color w:val="auto"/>
        </w:rPr>
      </w:pPr>
      <w:r>
        <w:rPr>
          <w:rFonts w:ascii="Arial" w:cs="Arial" w:eastAsia="Arial" w:hAnsi="Arial"/>
          <w:sz w:val="18"/>
          <w:szCs w:val="18"/>
          <w:b w:val="1"/>
          <w:bCs w:val="1"/>
          <w:i w:val="1"/>
          <w:iCs w:val="1"/>
          <w:color w:val="auto"/>
        </w:rPr>
        <w:t>ADS holders may not be entitled to a jury trial with respect to claims arising under the deposit agreement, which could result in less favorable outcomes to the plaintiff(s) in any such action.</w:t>
      </w:r>
    </w:p>
    <w:p>
      <w:pPr>
        <w:spacing w:after="0" w:line="62" w:lineRule="exact"/>
        <w:rPr>
          <w:sz w:val="20"/>
          <w:szCs w:val="20"/>
          <w:color w:val="auto"/>
        </w:rPr>
      </w:pPr>
    </w:p>
    <w:p>
      <w:pPr>
        <w:ind w:left="200" w:right="200" w:firstLine="441"/>
        <w:spacing w:after="0" w:line="264" w:lineRule="auto"/>
        <w:rPr>
          <w:sz w:val="20"/>
          <w:szCs w:val="20"/>
          <w:color w:val="auto"/>
        </w:rPr>
      </w:pPr>
      <w:r>
        <w:rPr>
          <w:rFonts w:ascii="Arial" w:cs="Arial" w:eastAsia="Arial" w:hAnsi="Arial"/>
          <w:sz w:val="18"/>
          <w:szCs w:val="18"/>
          <w:color w:val="auto"/>
        </w:rPr>
        <w:t>The deposit agreement governing the ADSs representing our shares provides that holders and beneficial owners of ADSs irrevocably waive the right to a trial by jury in any legal proceeding arising out of or relating to the deposit agreement or the ADSs, including in respect of claims under federal securities laws, against us or the</w:t>
      </w:r>
    </w:p>
    <w:p>
      <w:pPr>
        <w:spacing w:after="0" w:line="114" w:lineRule="exact"/>
        <w:rPr>
          <w:sz w:val="20"/>
          <w:szCs w:val="20"/>
          <w:color w:val="auto"/>
        </w:rPr>
      </w:pPr>
    </w:p>
    <w:p>
      <w:pPr>
        <w:jc w:val="center"/>
        <w:ind w:right="-259"/>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160"/>
          </w:cols>
          <w:pgMar w:left="240" w:top="459" w:right="499" w:bottom="1440" w:gutter="0" w:footer="0" w:header="0"/>
        </w:sectPr>
      </w:pPr>
    </w:p>
    <w:bookmarkStart w:id="21" w:name="page22"/>
    <w:bookmarkEnd w:id="2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380"/>
        <w:spacing w:after="0" w:line="264" w:lineRule="auto"/>
        <w:rPr>
          <w:sz w:val="20"/>
          <w:szCs w:val="20"/>
          <w:color w:val="auto"/>
        </w:rPr>
      </w:pPr>
      <w:r>
        <w:rPr>
          <w:rFonts w:ascii="Arial" w:cs="Arial" w:eastAsia="Arial" w:hAnsi="Arial"/>
          <w:sz w:val="18"/>
          <w:szCs w:val="18"/>
          <w:color w:val="auto"/>
        </w:rPr>
        <w:t>depositary to the fullest extent permitted by applicable law. If this jury trial waiver provision is prohibited by applicable law, an action could nevertheless proceed under the terms of the deposit agreement with a jury trial. To our knowledge, the enforceability of a jury trial waiver under the federal securities laws has not been finally adjudicated by a federal court.</w:t>
      </w:r>
    </w:p>
    <w:p>
      <w:pPr>
        <w:spacing w:after="0" w:line="181" w:lineRule="exact"/>
        <w:rPr>
          <w:sz w:val="20"/>
          <w:szCs w:val="20"/>
          <w:color w:val="auto"/>
        </w:rPr>
      </w:pPr>
    </w:p>
    <w:p>
      <w:pPr>
        <w:ind w:left="200" w:right="20" w:firstLine="441"/>
        <w:spacing w:after="0" w:line="285" w:lineRule="auto"/>
        <w:rPr>
          <w:sz w:val="20"/>
          <w:szCs w:val="20"/>
          <w:color w:val="auto"/>
        </w:rPr>
      </w:pPr>
      <w:r>
        <w:rPr>
          <w:rFonts w:ascii="Arial" w:cs="Arial" w:eastAsia="Arial" w:hAnsi="Arial"/>
          <w:sz w:val="16"/>
          <w:szCs w:val="16"/>
          <w:color w:val="auto"/>
        </w:rPr>
        <w:t>However, we believe that a jury trial waiver provision is generally enforceable under the laws of the State of New York, which govern the deposit agreement, by a court of the State of New York or a federal court, which have non-exclusive jurisdiction over matters arising under the deposit agreement, applying such law. In determining whether to enforce a jury trial waiver provision, New York courts and federal courts will consider whether the visibility of the jury trial waiver provision within the agreement is sufficiently prominent such that a party has knowingly waived any right to trial by jury. We believe that this is the case with respect to the deposit agreement and the ADSs. In addition, New York courts will not enforce a jury trial waiver provision in order to bar a viable setoff or counterclaim sounding in fraud or one which is based upon a creditor’s negligence in failing to liquidate collateral upon a guarantor’s demand, or in the case of an intentional tort claim (as opposed to a contract dispute), none of which we believe are applicable in the case of the deposit agreement or the ADSs. Neither do we believe that any condition, stipulation or provision of the deposit agreement or ADSs serves as a waiver by any holder or beneficial owner of ADSs of compliance with any provision of the Securities Act or the Exchange Act or the rules and regulations promulgated by the SEC thereunder. Neither does the waiver provision serve as a waiver of our or the depositary’s compliance with federal securities laws. If you or any other holder or beneficial owner of ADSs brings a claim against us or the depositary in connection with such matters, you or such other holder or beneficial owner may not be entitled to a jury trial with respect to such claims, which may have the effect of limiting and discouraging lawsuits against us and/or the depositary. If a lawsuit is brought against us and/or the depositary under the deposit agreement, it may be heard only by a judge or justice of the applicable trial court, which would be conducted according to different civil procedures and may result in different outcomes than a trial by jury would have had, including results that could be less favorable to the plaintiff(s) in any such action, depending on, among other things, the nature of the claims, the judge or justice hearing such claims, and the venue of the hearing.</w:t>
      </w:r>
    </w:p>
    <w:p>
      <w:pPr>
        <w:spacing w:after="0" w:line="286" w:lineRule="exact"/>
        <w:rPr>
          <w:sz w:val="20"/>
          <w:szCs w:val="20"/>
          <w:color w:val="auto"/>
        </w:rPr>
      </w:pPr>
    </w:p>
    <w:p>
      <w:pPr>
        <w:ind w:left="200"/>
        <w:spacing w:after="0" w:line="277" w:lineRule="auto"/>
        <w:rPr>
          <w:sz w:val="20"/>
          <w:szCs w:val="20"/>
          <w:color w:val="auto"/>
        </w:rPr>
      </w:pPr>
      <w:r>
        <w:rPr>
          <w:rFonts w:ascii="Arial" w:cs="Arial" w:eastAsia="Arial" w:hAnsi="Arial"/>
          <w:sz w:val="18"/>
          <w:szCs w:val="18"/>
          <w:b w:val="1"/>
          <w:bCs w:val="1"/>
          <w:i w:val="1"/>
          <w:iCs w:val="1"/>
          <w:color w:val="auto"/>
        </w:rPr>
        <w:t>We are incorporated under the laws of Australia, and U.S. investors may face difficulties in protecting their interests, and their ability to protect their rights through the U.S. federal courts may be limited.</w:t>
      </w:r>
    </w:p>
    <w:p>
      <w:pPr>
        <w:spacing w:after="0" w:line="62" w:lineRule="exact"/>
        <w:rPr>
          <w:sz w:val="20"/>
          <w:szCs w:val="20"/>
          <w:color w:val="auto"/>
        </w:rPr>
      </w:pPr>
    </w:p>
    <w:p>
      <w:pPr>
        <w:ind w:left="200" w:right="300" w:firstLine="441"/>
        <w:spacing w:after="0" w:line="264" w:lineRule="auto"/>
        <w:rPr>
          <w:sz w:val="20"/>
          <w:szCs w:val="20"/>
          <w:color w:val="auto"/>
        </w:rPr>
      </w:pPr>
      <w:r>
        <w:rPr>
          <w:rFonts w:ascii="Arial" w:cs="Arial" w:eastAsia="Arial" w:hAnsi="Arial"/>
          <w:sz w:val="18"/>
          <w:szCs w:val="18"/>
          <w:color w:val="auto"/>
        </w:rPr>
        <w:t>It may be difficult to bring and enforce actions against us because we are incorporated under the laws of Australia. Some or all of our directors will reside in various jurisdictions outside the U.S. As a result, it may be difficult for investors to effect service of process within the U.S. upon our non-U.S. directors, or enforce judgments obtained in the U.S. courts against us or our non-U.S. directors.</w:t>
      </w:r>
    </w:p>
    <w:p>
      <w:pPr>
        <w:spacing w:after="0" w:line="181" w:lineRule="exact"/>
        <w:rPr>
          <w:sz w:val="20"/>
          <w:szCs w:val="20"/>
          <w:color w:val="auto"/>
        </w:rPr>
      </w:pPr>
    </w:p>
    <w:p>
      <w:pPr>
        <w:ind w:left="200" w:right="100" w:firstLine="441"/>
        <w:spacing w:after="0" w:line="255" w:lineRule="auto"/>
        <w:rPr>
          <w:sz w:val="20"/>
          <w:szCs w:val="20"/>
          <w:color w:val="auto"/>
        </w:rPr>
      </w:pPr>
      <w:r>
        <w:rPr>
          <w:rFonts w:ascii="Arial" w:cs="Arial" w:eastAsia="Arial" w:hAnsi="Arial"/>
          <w:sz w:val="18"/>
          <w:szCs w:val="18"/>
          <w:color w:val="auto"/>
        </w:rPr>
        <w:t>In addition, there is some doubt as to whether the courts of Australia and other countries would recognize or enforce judgments of U.S. courts obtained against us or our directors or officers based on the civil liabilities provisions of the federal or state securities laws of the U.S. or would hear actions against us or those persons based on those laws. Some remedies available under the laws of U.S. jurisdictions, including some remedies available under the U.S. federal securities laws, may not be allowed in Australia courts. Therefore, a final judgment for the payment of money rendered by any federal or state court in the U.S. based on civil liability, whether or not based solely on U.S. federal or state securities laws, may not be enforceable in countries other than the U.S.</w:t>
      </w:r>
    </w:p>
    <w:p>
      <w:pPr>
        <w:spacing w:after="0" w:line="301" w:lineRule="exact"/>
        <w:rPr>
          <w:sz w:val="20"/>
          <w:szCs w:val="20"/>
          <w:color w:val="auto"/>
        </w:rPr>
      </w:pPr>
    </w:p>
    <w:p>
      <w:pPr>
        <w:ind w:left="200" w:right="580"/>
        <w:spacing w:after="0" w:line="277" w:lineRule="auto"/>
        <w:rPr>
          <w:sz w:val="20"/>
          <w:szCs w:val="20"/>
          <w:color w:val="auto"/>
        </w:rPr>
      </w:pPr>
      <w:r>
        <w:rPr>
          <w:rFonts w:ascii="Arial" w:cs="Arial" w:eastAsia="Arial" w:hAnsi="Arial"/>
          <w:sz w:val="18"/>
          <w:szCs w:val="18"/>
          <w:b w:val="1"/>
          <w:bCs w:val="1"/>
          <w:i w:val="1"/>
          <w:iCs w:val="1"/>
          <w:color w:val="auto"/>
        </w:rPr>
        <w:t>If research analysts publish unfavorable commentary or downgrade our ordinary shares it could adversely affect our share price and trading volume.</w:t>
      </w:r>
    </w:p>
    <w:p>
      <w:pPr>
        <w:spacing w:after="0" w:line="62" w:lineRule="exact"/>
        <w:rPr>
          <w:sz w:val="20"/>
          <w:szCs w:val="20"/>
          <w:color w:val="auto"/>
        </w:rPr>
      </w:pPr>
    </w:p>
    <w:p>
      <w:pPr>
        <w:ind w:left="200" w:right="100" w:firstLine="441"/>
        <w:spacing w:after="0" w:line="312" w:lineRule="auto"/>
        <w:rPr>
          <w:sz w:val="20"/>
          <w:szCs w:val="20"/>
          <w:color w:val="auto"/>
        </w:rPr>
      </w:pPr>
      <w:r>
        <w:rPr>
          <w:rFonts w:ascii="Arial" w:cs="Arial" w:eastAsia="Arial" w:hAnsi="Arial"/>
          <w:sz w:val="16"/>
          <w:szCs w:val="16"/>
          <w:color w:val="auto"/>
        </w:rPr>
        <w:t>The trading market for our ordinary shares will depend, in part, on the research and reports that research analysts publish about us and our business and industry. If one or more research analysts downgrade our shares, publish unfavorable commentary about the Company or cease publishing reports about us or our business, the price of our ordinary shares could decline. If one or more of the research analysts ceases coverage of our</w:t>
      </w:r>
    </w:p>
    <w:p>
      <w:pPr>
        <w:spacing w:after="0" w:line="79"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220"/>
          </w:cols>
          <w:pgMar w:left="240" w:top="459" w:right="439" w:bottom="1440" w:gutter="0" w:footer="0" w:header="0"/>
        </w:sectPr>
      </w:pPr>
    </w:p>
    <w:bookmarkStart w:id="22" w:name="page23"/>
    <w:bookmarkEnd w:id="2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40"/>
        <w:spacing w:after="0" w:line="277" w:lineRule="auto"/>
        <w:rPr>
          <w:sz w:val="20"/>
          <w:szCs w:val="20"/>
          <w:color w:val="auto"/>
        </w:rPr>
      </w:pPr>
      <w:r>
        <w:rPr>
          <w:rFonts w:ascii="Arial" w:cs="Arial" w:eastAsia="Arial" w:hAnsi="Arial"/>
          <w:sz w:val="18"/>
          <w:szCs w:val="18"/>
          <w:color w:val="auto"/>
        </w:rPr>
        <w:t>company or fails to publish reports on us regularly, demand for our ordinary shares could decrease, which could cause our share price or trading volume to decline.</w:t>
      </w:r>
    </w:p>
    <w:p>
      <w:pPr>
        <w:spacing w:after="0" w:line="279" w:lineRule="exact"/>
        <w:rPr>
          <w:sz w:val="20"/>
          <w:szCs w:val="20"/>
          <w:color w:val="auto"/>
        </w:rPr>
      </w:pPr>
    </w:p>
    <w:p>
      <w:pPr>
        <w:ind w:left="200" w:right="520"/>
        <w:spacing w:after="0" w:line="277" w:lineRule="auto"/>
        <w:rPr>
          <w:sz w:val="20"/>
          <w:szCs w:val="20"/>
          <w:color w:val="auto"/>
        </w:rPr>
      </w:pPr>
      <w:r>
        <w:rPr>
          <w:rFonts w:ascii="Arial" w:cs="Arial" w:eastAsia="Arial" w:hAnsi="Arial"/>
          <w:sz w:val="18"/>
          <w:szCs w:val="18"/>
          <w:b w:val="1"/>
          <w:bCs w:val="1"/>
          <w:i w:val="1"/>
          <w:iCs w:val="1"/>
          <w:color w:val="auto"/>
        </w:rPr>
        <w:t>We may be classified as a passive foreign investment company for U.S. federal income tax purposes, which could subject U.S. investors in our ordinary shares to significant adverse U.S. income tax consequences.</w:t>
      </w:r>
    </w:p>
    <w:p>
      <w:pPr>
        <w:spacing w:after="0" w:line="62" w:lineRule="exact"/>
        <w:rPr>
          <w:sz w:val="20"/>
          <w:szCs w:val="20"/>
          <w:color w:val="auto"/>
        </w:rPr>
      </w:pPr>
    </w:p>
    <w:p>
      <w:pPr>
        <w:ind w:left="200" w:firstLine="441"/>
        <w:spacing w:after="0" w:line="290" w:lineRule="auto"/>
        <w:rPr>
          <w:sz w:val="20"/>
          <w:szCs w:val="20"/>
          <w:color w:val="auto"/>
        </w:rPr>
      </w:pPr>
      <w:r>
        <w:rPr>
          <w:rFonts w:ascii="Arial" w:cs="Arial" w:eastAsia="Arial" w:hAnsi="Arial"/>
          <w:sz w:val="16"/>
          <w:szCs w:val="16"/>
          <w:color w:val="auto"/>
        </w:rPr>
        <w:t>Depending upon the value of our ordinary shares, which underlie the value of our ADSs, and the nature of our assets and income over time, we could be classified as a “passive foreign investment company”, or “PFIC”, for U.S. federal income tax purposes. Based upon our current income and assets and projections as to the value of our ordinary shares, we do not presently expect to be a PFIC for the current taxable year or the foreseeable future. While we do not expect to become a PFIC, if among other matters, our market capitalization is less than anticipated or subsequently declines, we may be a PFIC for the current or future taxable years. The determination of whether we are or will be a PFIC will also depend, in part, on the composition of our income and assets, which will be affected by how, and how quickly, we use our liquid assets. Because PFIC status is a factual determination made annually after the close of each taxable year, including ascertaining the fair market value of our assets on a quarterly basis and the character of each item of income we earn, we can provide no assurance that we will not be a PFIC for the current taxable year or any future taxable year.</w:t>
      </w:r>
    </w:p>
    <w:p>
      <w:pPr>
        <w:spacing w:after="0" w:line="166" w:lineRule="exact"/>
        <w:rPr>
          <w:sz w:val="20"/>
          <w:szCs w:val="20"/>
          <w:color w:val="auto"/>
        </w:rPr>
      </w:pPr>
    </w:p>
    <w:p>
      <w:pPr>
        <w:ind w:left="200" w:right="120"/>
        <w:spacing w:after="0" w:line="255" w:lineRule="auto"/>
        <w:rPr>
          <w:sz w:val="20"/>
          <w:szCs w:val="20"/>
          <w:color w:val="auto"/>
        </w:rPr>
      </w:pPr>
      <w:r>
        <w:rPr>
          <w:rFonts w:ascii="Arial" w:cs="Arial" w:eastAsia="Arial" w:hAnsi="Arial"/>
          <w:sz w:val="18"/>
          <w:szCs w:val="18"/>
          <w:color w:val="auto"/>
        </w:rPr>
        <w:t>If we were to be classified as a PFIC in any taxable year, a U.S. holder (as defined in Item 10E under the heading “</w:t>
      </w:r>
      <w:r>
        <w:rPr>
          <w:rFonts w:ascii="Arial" w:cs="Arial" w:eastAsia="Arial" w:hAnsi="Arial"/>
          <w:sz w:val="18"/>
          <w:szCs w:val="18"/>
          <w:i w:val="1"/>
          <w:iCs w:val="1"/>
          <w:color w:val="auto"/>
        </w:rPr>
        <w:t>U.S. Federal Income Tax</w:t>
      </w:r>
      <w:r>
        <w:rPr>
          <w:rFonts w:ascii="Arial" w:cs="Arial" w:eastAsia="Arial" w:hAnsi="Arial"/>
          <w:sz w:val="18"/>
          <w:szCs w:val="18"/>
          <w:color w:val="auto"/>
        </w:rPr>
        <w:t xml:space="preserve"> </w:t>
      </w:r>
      <w:r>
        <w:rPr>
          <w:rFonts w:ascii="Arial" w:cs="Arial" w:eastAsia="Arial" w:hAnsi="Arial"/>
          <w:sz w:val="18"/>
          <w:szCs w:val="18"/>
          <w:i w:val="1"/>
          <w:iCs w:val="1"/>
          <w:color w:val="auto"/>
        </w:rPr>
        <w:t>Considerations”</w:t>
      </w:r>
      <w:r>
        <w:rPr>
          <w:rFonts w:ascii="Arial" w:cs="Arial" w:eastAsia="Arial" w:hAnsi="Arial"/>
          <w:sz w:val="18"/>
          <w:szCs w:val="18"/>
          <w:color w:val="auto"/>
        </w:rPr>
        <w:t>) would be subject to special rules generally intended to reduce or eliminate any benefits from the deferral of U.S. federal income tax</w:t>
      </w:r>
      <w:r>
        <w:rPr>
          <w:rFonts w:ascii="Arial" w:cs="Arial" w:eastAsia="Arial" w:hAnsi="Arial"/>
          <w:sz w:val="18"/>
          <w:szCs w:val="18"/>
          <w:i w:val="1"/>
          <w:iCs w:val="1"/>
          <w:color w:val="auto"/>
        </w:rPr>
        <w:t xml:space="preserve"> </w:t>
      </w:r>
      <w:r>
        <w:rPr>
          <w:rFonts w:ascii="Arial" w:cs="Arial" w:eastAsia="Arial" w:hAnsi="Arial"/>
          <w:sz w:val="18"/>
          <w:szCs w:val="18"/>
          <w:color w:val="auto"/>
        </w:rPr>
        <w:t>that a U.S. holder could derive from investing in a non-U.S. corporation that doses not distribute all of its earnings on a current basis. Further, if we are classified as a PFIC for any year during which a U.S. holder holds our ordinary shares, we generally will continue to be treated as a PFIC for all succeeding years during which such U.S. holder holds our ordinary shares. For more information see Item 10E.2 under the heading “</w:t>
      </w:r>
      <w:r>
        <w:rPr>
          <w:rFonts w:ascii="Arial" w:cs="Arial" w:eastAsia="Arial" w:hAnsi="Arial"/>
          <w:sz w:val="18"/>
          <w:szCs w:val="18"/>
          <w:i w:val="1"/>
          <w:iCs w:val="1"/>
          <w:color w:val="auto"/>
        </w:rPr>
        <w:t>U.S. Federal</w:t>
      </w:r>
      <w:r>
        <w:rPr>
          <w:rFonts w:ascii="Arial" w:cs="Arial" w:eastAsia="Arial" w:hAnsi="Arial"/>
          <w:sz w:val="18"/>
          <w:szCs w:val="18"/>
          <w:color w:val="auto"/>
        </w:rPr>
        <w:t xml:space="preserve"> </w:t>
      </w:r>
      <w:r>
        <w:rPr>
          <w:rFonts w:ascii="Arial" w:cs="Arial" w:eastAsia="Arial" w:hAnsi="Arial"/>
          <w:sz w:val="18"/>
          <w:szCs w:val="18"/>
          <w:i w:val="1"/>
          <w:iCs w:val="1"/>
          <w:color w:val="auto"/>
        </w:rPr>
        <w:t>Income Tax Considerations – Passive Foreign Investment Company Rules</w:t>
      </w:r>
      <w:r>
        <w:rPr>
          <w:rFonts w:ascii="Arial" w:cs="Arial" w:eastAsia="Arial" w:hAnsi="Arial"/>
          <w:sz w:val="18"/>
          <w:szCs w:val="18"/>
          <w:color w:val="auto"/>
        </w:rPr>
        <w:t>”.</w:t>
      </w:r>
    </w:p>
    <w:p>
      <w:pPr>
        <w:spacing w:after="0" w:line="297"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Risks Relating to Takeovers</w:t>
      </w:r>
    </w:p>
    <w:p>
      <w:pPr>
        <w:spacing w:after="0" w:line="121" w:lineRule="exact"/>
        <w:rPr>
          <w:sz w:val="20"/>
          <w:szCs w:val="20"/>
          <w:color w:val="auto"/>
        </w:rPr>
      </w:pPr>
    </w:p>
    <w:p>
      <w:pPr>
        <w:ind w:left="200" w:right="540" w:firstLine="441"/>
        <w:spacing w:after="0" w:line="277" w:lineRule="auto"/>
        <w:rPr>
          <w:sz w:val="20"/>
          <w:szCs w:val="20"/>
          <w:color w:val="auto"/>
        </w:rPr>
      </w:pPr>
      <w:r>
        <w:rPr>
          <w:rFonts w:ascii="Arial" w:cs="Arial" w:eastAsia="Arial" w:hAnsi="Arial"/>
          <w:sz w:val="18"/>
          <w:szCs w:val="18"/>
          <w:b w:val="1"/>
          <w:bCs w:val="1"/>
          <w:i w:val="1"/>
          <w:iCs w:val="1"/>
          <w:color w:val="auto"/>
        </w:rPr>
        <w:t>Australian takeovers laws may discourage takeover offers being made for us or may discourage the acquisition of large numbers of our ordinary shares, which could constrain our share price and reduce investor returns.</w:t>
      </w:r>
    </w:p>
    <w:p>
      <w:pPr>
        <w:spacing w:after="0" w:line="62" w:lineRule="exact"/>
        <w:rPr>
          <w:sz w:val="20"/>
          <w:szCs w:val="20"/>
          <w:color w:val="auto"/>
        </w:rPr>
      </w:pPr>
    </w:p>
    <w:p>
      <w:pPr>
        <w:ind w:left="200" w:right="40" w:firstLine="441"/>
        <w:spacing w:after="0" w:line="254" w:lineRule="auto"/>
        <w:rPr>
          <w:sz w:val="20"/>
          <w:szCs w:val="20"/>
          <w:color w:val="auto"/>
        </w:rPr>
      </w:pPr>
      <w:r>
        <w:rPr>
          <w:rFonts w:ascii="Arial" w:cs="Arial" w:eastAsia="Arial" w:hAnsi="Arial"/>
          <w:sz w:val="18"/>
          <w:szCs w:val="18"/>
          <w:color w:val="auto"/>
        </w:rPr>
        <w:t>We are incorporated in Australia and are subject to the takeover laws of Australia, including the Australian Corporations Act 2001 (“Corporations Act”). Subject to a range of exceptions, the Corporations Act prohibits the acquisition of a direct or indirect interest in a company’s issued voting shares if the acquisition of that interest will lead to a person’s voting power in such company increasing from 20% or below to more than 20%, or increasing from a starting point that is above 20% and below 90% without prior shareholder approval or the acquisition otherwise being exempt under the Corporations Act. Australian takeovers laws may discourage takeover offers being made for us or may discourage the acquisition of large numbers of our ordinary shares. This may have the ancillary effect of depriving or limiting our shareholders’ strategic opportunities to sell their ordinary shares and may restrict the ability of our shareholders to obtain a premium from such transactions. See Item 10D under the heading, “</w:t>
      </w:r>
      <w:r>
        <w:rPr>
          <w:rFonts w:ascii="Arial" w:cs="Arial" w:eastAsia="Arial" w:hAnsi="Arial"/>
          <w:sz w:val="18"/>
          <w:szCs w:val="18"/>
          <w:i w:val="1"/>
          <w:iCs w:val="1"/>
          <w:color w:val="auto"/>
        </w:rPr>
        <w:t>The Foreign Acquisitions and</w:t>
      </w:r>
      <w:r>
        <w:rPr>
          <w:rFonts w:ascii="Arial" w:cs="Arial" w:eastAsia="Arial" w:hAnsi="Arial"/>
          <w:sz w:val="18"/>
          <w:szCs w:val="18"/>
          <w:color w:val="auto"/>
        </w:rPr>
        <w:t xml:space="preserve"> </w:t>
      </w:r>
      <w:r>
        <w:rPr>
          <w:rFonts w:ascii="Arial" w:cs="Arial" w:eastAsia="Arial" w:hAnsi="Arial"/>
          <w:sz w:val="18"/>
          <w:szCs w:val="18"/>
          <w:i w:val="1"/>
          <w:iCs w:val="1"/>
          <w:color w:val="auto"/>
        </w:rPr>
        <w:t>Takeovers Act 1975</w:t>
      </w:r>
      <w:r>
        <w:rPr>
          <w:rFonts w:ascii="Arial" w:cs="Arial" w:eastAsia="Arial" w:hAnsi="Arial"/>
          <w:sz w:val="18"/>
          <w:szCs w:val="18"/>
          <w:color w:val="auto"/>
        </w:rPr>
        <w:t>.”</w:t>
      </w:r>
    </w:p>
    <w:p>
      <w:pPr>
        <w:spacing w:after="0" w:line="300" w:lineRule="exact"/>
        <w:rPr>
          <w:sz w:val="20"/>
          <w:szCs w:val="20"/>
          <w:color w:val="auto"/>
        </w:rPr>
      </w:pPr>
    </w:p>
    <w:p>
      <w:pPr>
        <w:ind w:left="200" w:right="40" w:firstLine="441"/>
        <w:spacing w:after="0" w:line="277" w:lineRule="auto"/>
        <w:rPr>
          <w:sz w:val="20"/>
          <w:szCs w:val="20"/>
          <w:color w:val="auto"/>
        </w:rPr>
      </w:pPr>
      <w:r>
        <w:rPr>
          <w:rFonts w:ascii="Arial" w:cs="Arial" w:eastAsia="Arial" w:hAnsi="Arial"/>
          <w:sz w:val="18"/>
          <w:szCs w:val="18"/>
          <w:b w:val="1"/>
          <w:bCs w:val="1"/>
          <w:i w:val="1"/>
          <w:iCs w:val="1"/>
          <w:color w:val="auto"/>
        </w:rPr>
        <w:t>Our constitution and applicable Australian laws and regulations may adversely affect our ability to take actions that could be beneficial to our shareholders.</w:t>
      </w:r>
    </w:p>
    <w:p>
      <w:pPr>
        <w:spacing w:after="0" w:line="62" w:lineRule="exact"/>
        <w:rPr>
          <w:sz w:val="20"/>
          <w:szCs w:val="20"/>
          <w:color w:val="auto"/>
        </w:rPr>
      </w:pPr>
    </w:p>
    <w:p>
      <w:pPr>
        <w:ind w:left="200" w:right="40" w:firstLine="441"/>
        <w:spacing w:after="0" w:line="255" w:lineRule="auto"/>
        <w:rPr>
          <w:sz w:val="20"/>
          <w:szCs w:val="20"/>
          <w:color w:val="auto"/>
        </w:rPr>
      </w:pPr>
      <w:r>
        <w:rPr>
          <w:rFonts w:ascii="Arial" w:cs="Arial" w:eastAsia="Arial" w:hAnsi="Arial"/>
          <w:sz w:val="18"/>
          <w:szCs w:val="18"/>
          <w:color w:val="auto"/>
        </w:rPr>
        <w:t>As an Australian company we are subject to different corporate requirements than a corporation organized under the laws of the U.S. Our Constitution, as well as the Corporations Act, set forth various rights and obligations that are unique to Australian companies. These requirements operate differently than from many U.S. companies and may limit or otherwise adversely affect our ability to take actions that could be beneficial to our shareholders. Prior to investing in our ordinary shares investors should carefully review the summary of these matters set forth under Item 10B, under the heading “</w:t>
      </w:r>
      <w:r>
        <w:rPr>
          <w:rFonts w:ascii="Arial" w:cs="Arial" w:eastAsia="Arial" w:hAnsi="Arial"/>
          <w:sz w:val="18"/>
          <w:szCs w:val="18"/>
          <w:i w:val="1"/>
          <w:iCs w:val="1"/>
          <w:color w:val="auto"/>
        </w:rPr>
        <w:t>Memorandum and Articles of Association</w:t>
      </w:r>
      <w:r>
        <w:rPr>
          <w:rFonts w:ascii="Arial" w:cs="Arial" w:eastAsia="Arial" w:hAnsi="Arial"/>
          <w:sz w:val="18"/>
          <w:szCs w:val="18"/>
          <w:color w:val="auto"/>
        </w:rPr>
        <w:t>”, as well as the copy of our complete Constitution, which is included as an exhibit to this registration statement.</w:t>
      </w:r>
    </w:p>
    <w:p>
      <w:pPr>
        <w:spacing w:after="0" w:line="126"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200"/>
          </w:cols>
          <w:pgMar w:left="240" w:top="459" w:right="459" w:bottom="1440" w:gutter="0" w:footer="0" w:header="0"/>
        </w:sectPr>
      </w:pPr>
    </w:p>
    <w:bookmarkStart w:id="23" w:name="page24"/>
    <w:bookmarkEnd w:id="2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ITEM 4. INFORMATION ON THE COMPANY</w:t>
      </w:r>
    </w:p>
    <w:p>
      <w:pPr>
        <w:spacing w:after="0" w:line="117"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A. History and Development of the Company</w:t>
      </w:r>
    </w:p>
    <w:p>
      <w:pPr>
        <w:spacing w:after="0" w:line="121" w:lineRule="exact"/>
        <w:rPr>
          <w:sz w:val="20"/>
          <w:szCs w:val="20"/>
          <w:color w:val="auto"/>
        </w:rPr>
      </w:pPr>
    </w:p>
    <w:p>
      <w:pPr>
        <w:ind w:left="200" w:right="20" w:firstLine="441"/>
        <w:spacing w:after="0" w:line="276" w:lineRule="auto"/>
        <w:rPr>
          <w:sz w:val="20"/>
          <w:szCs w:val="20"/>
          <w:color w:val="auto"/>
        </w:rPr>
      </w:pPr>
      <w:r>
        <w:rPr>
          <w:rFonts w:ascii="Arial" w:cs="Arial" w:eastAsia="Arial" w:hAnsi="Arial"/>
          <w:sz w:val="17"/>
          <w:szCs w:val="17"/>
          <w:color w:val="auto"/>
        </w:rPr>
        <w:t xml:space="preserve">We were incorporated under the laws of the Commonwealth of Australia on December 21, 1992 and commenced operating under the name “AVITA Medical Limited” October 6, 2008. The registered office is located at c/o Mertons Corporate Services Pty Ltd Level 7 330 Collins Street Melbourne VIC 3000, Australia, telephone number is +61 (0) 3 8689 9997 and fax number +61 (0) 8 9474 7742. Our corporate office and principal U.S. office is located at 28159 Avenue Stanford, Suite 220, Valencia, CA 91355, telephone number is+1 661 367 9170. Our address on the Internet is </w:t>
      </w:r>
      <w:r>
        <w:rPr>
          <w:rFonts w:ascii="Arial" w:cs="Arial" w:eastAsia="Arial" w:hAnsi="Arial"/>
          <w:sz w:val="17"/>
          <w:szCs w:val="17"/>
          <w:u w:val="single" w:color="auto"/>
          <w:color w:val="auto"/>
        </w:rPr>
        <w:t>https://avitamedical.com</w:t>
      </w:r>
      <w:r>
        <w:rPr>
          <w:rFonts w:ascii="Arial" w:cs="Arial" w:eastAsia="Arial" w:hAnsi="Arial"/>
          <w:sz w:val="17"/>
          <w:szCs w:val="17"/>
          <w:color w:val="auto"/>
        </w:rPr>
        <w:t>. The information on, or accessible through, our website is not part of this registration statement on Form 20-F.</w:t>
      </w:r>
    </w:p>
    <w:p>
      <w:pPr>
        <w:spacing w:after="0" w:line="277"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B. Business Overview</w:t>
      </w:r>
    </w:p>
    <w:p>
      <w:pPr>
        <w:spacing w:after="0" w:line="121" w:lineRule="exact"/>
        <w:rPr>
          <w:sz w:val="20"/>
          <w:szCs w:val="20"/>
          <w:color w:val="auto"/>
        </w:rPr>
      </w:pPr>
    </w:p>
    <w:p>
      <w:pPr>
        <w:ind w:left="200" w:firstLine="441"/>
        <w:spacing w:after="0" w:line="257" w:lineRule="auto"/>
        <w:rPr>
          <w:sz w:val="20"/>
          <w:szCs w:val="20"/>
          <w:color w:val="auto"/>
        </w:rPr>
      </w:pPr>
      <w:r>
        <w:rPr>
          <w:rFonts w:ascii="Arial" w:cs="Arial" w:eastAsia="Arial" w:hAnsi="Arial"/>
          <w:sz w:val="18"/>
          <w:szCs w:val="18"/>
          <w:color w:val="auto"/>
        </w:rPr>
        <w:t>We are a regenerative medicine company with a technology platform positioned to address unmet medical needs in burn injuries, trauma injuries, chronic wounds, and dermatological and aesthetics indications. Our patented and proprietary platform technology provides innovative treatment solutions derived from the regenerative properties of a patient’s own skin. The medical devices work by preparing Spray-On Skin™ Cells, an autologous cellular suspension comprised of the patient’s skin cells necessary to regenerate natural healthy epidermis. This autologous suspension is sprayed onto the areas of the patient requiring treatment.</w:t>
      </w:r>
    </w:p>
    <w:p>
      <w:pPr>
        <w:spacing w:after="0" w:line="188" w:lineRule="exact"/>
        <w:rPr>
          <w:sz w:val="20"/>
          <w:szCs w:val="20"/>
          <w:color w:val="auto"/>
        </w:rPr>
      </w:pPr>
    </w:p>
    <w:p>
      <w:pPr>
        <w:ind w:left="200" w:right="80" w:firstLine="441"/>
        <w:spacing w:after="0" w:line="255" w:lineRule="auto"/>
        <w:rPr>
          <w:sz w:val="20"/>
          <w:szCs w:val="20"/>
          <w:color w:val="auto"/>
        </w:rPr>
      </w:pPr>
      <w:r>
        <w:rPr>
          <w:rFonts w:ascii="Arial" w:cs="Arial" w:eastAsia="Arial" w:hAnsi="Arial"/>
          <w:sz w:val="18"/>
          <w:szCs w:val="18"/>
          <w:color w:val="auto"/>
        </w:rPr>
        <w:t>Our first U.S. product, the RECELL® System, was approved by the U.S. Food and Drug Administration (FDA) in September 2018 for the treatment of acute thermal burn injuries in patients 18 years and older. The RECELL System is used to prepare Spray-On Skin Cells using a small amount of a patient’s own skin, providing a new way to treat severe burns that significantly reduces the amount of donor skin required. The RECELL System is designed to be used at the point of care alone or in combination with split-thickness skin autografts depending on the depth of the burn injury. Compelling data from prospective, randomized, controlled clinical trials conducted at major U.S. burn centers and real-world use globally, demonstrate that the RECELL System is a significant advancement over the current standard of care for burn patients and offers benefits in clinical outcomes and cost savings.</w:t>
      </w:r>
    </w:p>
    <w:p>
      <w:pPr>
        <w:spacing w:after="0" w:line="189" w:lineRule="exact"/>
        <w:rPr>
          <w:sz w:val="20"/>
          <w:szCs w:val="20"/>
          <w:color w:val="auto"/>
        </w:rPr>
      </w:pPr>
    </w:p>
    <w:p>
      <w:pPr>
        <w:ind w:left="200" w:right="120" w:firstLine="441"/>
        <w:spacing w:after="0" w:line="264" w:lineRule="auto"/>
        <w:rPr>
          <w:sz w:val="20"/>
          <w:szCs w:val="20"/>
          <w:color w:val="auto"/>
        </w:rPr>
      </w:pPr>
      <w:r>
        <w:rPr>
          <w:rFonts w:ascii="Arial" w:cs="Arial" w:eastAsia="Arial" w:hAnsi="Arial"/>
          <w:sz w:val="18"/>
          <w:szCs w:val="18"/>
          <w:color w:val="auto"/>
        </w:rPr>
        <w:t>The RECELL System is Therapeutic Goods Administration (TGA)-registered in Australia and China Food and Drug Administration (CFDA)-cleared in China for use in the treatment of burns, acute wounds, scars and vitiligo. In Europe, the RECELL System received CE-mark approval for the treatment of burns, chronic wounds, scars and vitiligo.</w:t>
      </w:r>
    </w:p>
    <w:p>
      <w:pPr>
        <w:spacing w:after="0" w:line="28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Markets and Limitations of Standard of Care</w:t>
      </w:r>
    </w:p>
    <w:p>
      <w:pPr>
        <w:spacing w:after="0" w:line="121" w:lineRule="exact"/>
        <w:rPr>
          <w:sz w:val="20"/>
          <w:szCs w:val="20"/>
          <w:color w:val="auto"/>
        </w:rPr>
      </w:pPr>
    </w:p>
    <w:p>
      <w:pPr>
        <w:ind w:left="200"/>
        <w:spacing w:after="0"/>
        <w:rPr>
          <w:sz w:val="20"/>
          <w:szCs w:val="20"/>
          <w:color w:val="auto"/>
        </w:rPr>
      </w:pPr>
      <w:r>
        <w:rPr>
          <w:rFonts w:ascii="Arial" w:cs="Arial" w:eastAsia="Arial" w:hAnsi="Arial"/>
          <w:sz w:val="18"/>
          <w:szCs w:val="18"/>
          <w:u w:val="single" w:color="auto"/>
          <w:color w:val="auto"/>
        </w:rPr>
        <w:t>Acute Thermal Burns</w:t>
      </w:r>
    </w:p>
    <w:p>
      <w:pPr>
        <w:spacing w:after="0" w:line="225" w:lineRule="exact"/>
        <w:rPr>
          <w:sz w:val="20"/>
          <w:szCs w:val="20"/>
          <w:color w:val="auto"/>
        </w:rPr>
      </w:pPr>
    </w:p>
    <w:p>
      <w:pPr>
        <w:ind w:left="200" w:right="60" w:firstLine="441"/>
        <w:spacing w:after="0" w:line="273" w:lineRule="auto"/>
        <w:rPr>
          <w:sz w:val="20"/>
          <w:szCs w:val="20"/>
          <w:color w:val="auto"/>
        </w:rPr>
      </w:pPr>
      <w:r>
        <w:rPr>
          <w:rFonts w:ascii="Arial" w:cs="Arial" w:eastAsia="Arial" w:hAnsi="Arial"/>
          <w:sz w:val="17"/>
          <w:szCs w:val="17"/>
          <w:color w:val="auto"/>
        </w:rPr>
        <w:t>Acute thermal burns are life-threatening and debilitating injuries that are among the most expensive traumatic injuries to manage because of complex surgical procedures, long and costly hospitalization, rehabilitation and scar treatment. In the U.S., the largest market for the treatment of burns, approximately 486,000 people seek treatment for burns each year. Of these, at least 40,000 have burn injuries severe enough to require in-patient treatment, and it is estimated that 3,300 die each year. The majority of patients treated on an in-patient basis in the U.S. are treated in specialized burn centers. Countries outside the U.S. are smaller markets for the treatment of burns. For example, in Japan, the second largest healthcare market in the world, approximately 6,000 patients with severe burns treated in hospitals each year.</w:t>
      </w:r>
    </w:p>
    <w:p>
      <w:pPr>
        <w:spacing w:after="0" w:line="178" w:lineRule="exact"/>
        <w:rPr>
          <w:sz w:val="20"/>
          <w:szCs w:val="20"/>
          <w:color w:val="auto"/>
        </w:rPr>
      </w:pPr>
    </w:p>
    <w:p>
      <w:pPr>
        <w:jc w:val="both"/>
        <w:ind w:left="200" w:right="160" w:firstLine="441"/>
        <w:spacing w:after="0" w:line="264" w:lineRule="auto"/>
        <w:rPr>
          <w:sz w:val="20"/>
          <w:szCs w:val="20"/>
          <w:color w:val="auto"/>
        </w:rPr>
      </w:pPr>
      <w:r>
        <w:rPr>
          <w:rFonts w:ascii="Arial" w:cs="Arial" w:eastAsia="Arial" w:hAnsi="Arial"/>
          <w:sz w:val="18"/>
          <w:szCs w:val="18"/>
          <w:color w:val="auto"/>
        </w:rPr>
        <w:t>The severity of the burn is generally assessed based on the extent of the area burned, and the depth of the burns. The extent of the patient’s burn injury is typically described in terms of percent of total body surface area, or “TBSA.” For example, a burn covering an average sized adult arm would be roughly a 9% TBSA, while a</w:t>
      </w:r>
    </w:p>
    <w:p>
      <w:pPr>
        <w:spacing w:after="0" w:line="114"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220"/>
          </w:cols>
          <w:pgMar w:left="240" w:top="459" w:right="439" w:bottom="1440" w:gutter="0" w:footer="0" w:header="0"/>
        </w:sectPr>
      </w:pPr>
    </w:p>
    <w:bookmarkStart w:id="24" w:name="page25"/>
    <w:bookmarkEnd w:id="2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380"/>
        <w:spacing w:after="0" w:line="277" w:lineRule="auto"/>
        <w:rPr>
          <w:sz w:val="20"/>
          <w:szCs w:val="20"/>
          <w:color w:val="auto"/>
        </w:rPr>
      </w:pPr>
      <w:r>
        <w:rPr>
          <w:rFonts w:ascii="Arial" w:cs="Arial" w:eastAsia="Arial" w:hAnsi="Arial"/>
          <w:sz w:val="18"/>
          <w:szCs w:val="18"/>
          <w:color w:val="auto"/>
        </w:rPr>
        <w:t>burn covering an entire leg would be roughly an 18% TBSA. The depth of the burn, referred to in terms of “degree” is generally classified into four categories:</w:t>
      </w:r>
    </w:p>
    <w:p>
      <w:pPr>
        <w:spacing w:after="0" w:line="76" w:lineRule="exact"/>
        <w:rPr>
          <w:sz w:val="20"/>
          <w:szCs w:val="20"/>
          <w:color w:val="auto"/>
        </w:rPr>
      </w:pPr>
    </w:p>
    <w:p>
      <w:pPr>
        <w:ind w:left="1180" w:hanging="436"/>
        <w:spacing w:after="0"/>
        <w:tabs>
          <w:tab w:leader="none" w:pos="11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Superficial or first-degree burns: Burns that do not penetrate through the epidermis and typically heal naturally.</w:t>
      </w:r>
    </w:p>
    <w:p>
      <w:pPr>
        <w:spacing w:after="0" w:line="130" w:lineRule="exact"/>
        <w:rPr>
          <w:rFonts w:ascii="Arial" w:cs="Arial" w:eastAsia="Arial" w:hAnsi="Arial"/>
          <w:sz w:val="18"/>
          <w:szCs w:val="18"/>
          <w:color w:val="auto"/>
        </w:rPr>
      </w:pPr>
    </w:p>
    <w:p>
      <w:pPr>
        <w:ind w:left="1180" w:right="260" w:hanging="436"/>
        <w:spacing w:after="0" w:line="277" w:lineRule="auto"/>
        <w:tabs>
          <w:tab w:leader="none" w:pos="11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Partial-thickness or second-degree burns: Characterized by extending through the epidermis and including varying amounts of damaged dermis. Can be further subdivided into superficial and deep partial-thickness burns.</w:t>
      </w:r>
    </w:p>
    <w:p>
      <w:pPr>
        <w:spacing w:after="0" w:line="75" w:lineRule="exact"/>
        <w:rPr>
          <w:rFonts w:ascii="Arial" w:cs="Arial" w:eastAsia="Arial" w:hAnsi="Arial"/>
          <w:sz w:val="18"/>
          <w:szCs w:val="18"/>
          <w:color w:val="auto"/>
        </w:rPr>
      </w:pPr>
    </w:p>
    <w:p>
      <w:pPr>
        <w:ind w:left="1180" w:hanging="436"/>
        <w:spacing w:after="0"/>
        <w:tabs>
          <w:tab w:leader="none" w:pos="11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Full thickness or third-degree burns: Characterized by injury to the entire dermal tissue down to the subcutaneous fat.</w:t>
      </w:r>
    </w:p>
    <w:p>
      <w:pPr>
        <w:spacing w:after="0" w:line="130" w:lineRule="exact"/>
        <w:rPr>
          <w:rFonts w:ascii="Arial" w:cs="Arial" w:eastAsia="Arial" w:hAnsi="Arial"/>
          <w:sz w:val="18"/>
          <w:szCs w:val="18"/>
          <w:color w:val="auto"/>
        </w:rPr>
      </w:pPr>
    </w:p>
    <w:p>
      <w:pPr>
        <w:ind w:left="1180" w:right="200" w:hanging="436"/>
        <w:spacing w:after="0" w:line="277" w:lineRule="auto"/>
        <w:tabs>
          <w:tab w:leader="none" w:pos="11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Fourth-degree burns: Such burns are rare and extend beyond the subcutaneous fat tissue into the underlying structures, such as muscle or bone.</w:t>
      </w:r>
    </w:p>
    <w:p>
      <w:pPr>
        <w:spacing w:after="0" w:line="170" w:lineRule="exact"/>
        <w:rPr>
          <w:sz w:val="20"/>
          <w:szCs w:val="20"/>
          <w:color w:val="auto"/>
        </w:rPr>
      </w:pPr>
    </w:p>
    <w:p>
      <w:pPr>
        <w:ind w:left="200" w:right="80" w:firstLine="441"/>
        <w:spacing w:after="0" w:line="259" w:lineRule="auto"/>
        <w:rPr>
          <w:sz w:val="20"/>
          <w:szCs w:val="20"/>
          <w:color w:val="auto"/>
        </w:rPr>
      </w:pPr>
      <w:r>
        <w:rPr>
          <w:rFonts w:ascii="Arial" w:cs="Arial" w:eastAsia="Arial" w:hAnsi="Arial"/>
          <w:sz w:val="18"/>
          <w:szCs w:val="18"/>
          <w:color w:val="auto"/>
        </w:rPr>
        <w:t>Burn treatment is dictated by the depth and extent of the injury, and deeper and more extensive injuries are most commonly treated with autologous split-thickness skin grafts (STSG) to achieve definitive closure of the burn wound. In a STSG, or autograft, the donor skin is harvested from a healthy part of the patient using a device called a dermatone as detailed in the pictures below. The donor skin is then transferred to the burn injury that has been prepared (debrided or cleaned).</w:t>
      </w:r>
    </w:p>
    <w:p>
      <w:pPr>
        <w:spacing w:after="0" w:line="291"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Harvesting of Donor Skin for Use in Autografting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579755</wp:posOffset>
            </wp:positionH>
            <wp:positionV relativeFrom="paragraph">
              <wp:posOffset>172085</wp:posOffset>
            </wp:positionV>
            <wp:extent cx="6123305" cy="89217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6123305" cy="892175"/>
                    </a:xfrm>
                    <a:prstGeom prst="rect">
                      <a:avLst/>
                    </a:prstGeom>
                    <a:noFill/>
                  </pic:spPr>
                </pic:pic>
              </a:graphicData>
            </a:graphic>
          </wp:anchor>
        </w:drawing>
      </w:r>
    </w:p>
    <w:p>
      <w:pPr>
        <w:sectPr>
          <w:pgSz w:w="11900" w:h="16838" w:orient="portrait"/>
          <w:cols w:equalWidth="0" w:num="1">
            <w:col w:w="11220"/>
          </w:cols>
          <w:pgMar w:left="240" w:top="459" w:right="4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jc w:val="center"/>
        <w:ind w:left="660"/>
        <w:spacing w:after="0"/>
        <w:rPr>
          <w:sz w:val="20"/>
          <w:szCs w:val="20"/>
          <w:color w:val="auto"/>
        </w:rPr>
      </w:pPr>
      <w:r>
        <w:rPr>
          <w:rFonts w:ascii="Arial" w:cs="Arial" w:eastAsia="Arial" w:hAnsi="Arial"/>
          <w:sz w:val="16"/>
          <w:szCs w:val="16"/>
          <w:color w:val="auto"/>
        </w:rPr>
        <w:t>Harvesting skin from donor site</w:t>
      </w:r>
    </w:p>
    <w:p>
      <w:pPr>
        <w:spacing w:after="0" w:line="46" w:lineRule="exact"/>
        <w:rPr>
          <w:sz w:val="20"/>
          <w:szCs w:val="20"/>
          <w:color w:val="auto"/>
        </w:rPr>
      </w:pPr>
    </w:p>
    <w:p>
      <w:pPr>
        <w:jc w:val="center"/>
        <w:ind w:left="660"/>
        <w:spacing w:after="0"/>
        <w:rPr>
          <w:sz w:val="20"/>
          <w:szCs w:val="20"/>
          <w:color w:val="auto"/>
        </w:rPr>
      </w:pPr>
      <w:r>
        <w:rPr>
          <w:rFonts w:ascii="Arial" w:cs="Arial" w:eastAsia="Arial" w:hAnsi="Arial"/>
          <w:sz w:val="18"/>
          <w:szCs w:val="18"/>
          <w:color w:val="auto"/>
        </w:rPr>
        <w:t>for autograft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Donor site wound created while harvesting skin</w:t>
      </w:r>
    </w:p>
    <w:p>
      <w:pPr>
        <w:spacing w:after="0" w:line="4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for autograft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2" w:lineRule="exact"/>
        <w:rPr>
          <w:sz w:val="20"/>
          <w:szCs w:val="20"/>
          <w:color w:val="auto"/>
        </w:rPr>
      </w:pPr>
    </w:p>
    <w:p>
      <w:pPr>
        <w:jc w:val="center"/>
        <w:ind w:right="240"/>
        <w:spacing w:after="0"/>
        <w:rPr>
          <w:sz w:val="20"/>
          <w:szCs w:val="20"/>
          <w:color w:val="auto"/>
        </w:rPr>
      </w:pPr>
      <w:r>
        <w:rPr>
          <w:rFonts w:ascii="Arial" w:cs="Arial" w:eastAsia="Arial" w:hAnsi="Arial"/>
          <w:sz w:val="16"/>
          <w:szCs w:val="16"/>
          <w:color w:val="auto"/>
        </w:rPr>
        <w:t>Typical donor site scar 52 weeks post</w:t>
      </w:r>
    </w:p>
    <w:p>
      <w:pPr>
        <w:spacing w:after="0" w:line="46" w:lineRule="exact"/>
        <w:rPr>
          <w:sz w:val="20"/>
          <w:szCs w:val="20"/>
          <w:color w:val="auto"/>
        </w:rPr>
      </w:pPr>
    </w:p>
    <w:p>
      <w:pPr>
        <w:jc w:val="center"/>
        <w:ind w:right="240"/>
        <w:spacing w:after="0"/>
        <w:rPr>
          <w:sz w:val="20"/>
          <w:szCs w:val="20"/>
          <w:color w:val="auto"/>
        </w:rPr>
      </w:pPr>
      <w:r>
        <w:rPr>
          <w:rFonts w:ascii="Arial" w:cs="Arial" w:eastAsia="Arial" w:hAnsi="Arial"/>
          <w:sz w:val="18"/>
          <w:szCs w:val="18"/>
          <w:color w:val="auto"/>
        </w:rPr>
        <w:t>procedure</w:t>
      </w:r>
    </w:p>
    <w:p>
      <w:pPr>
        <w:spacing w:after="0" w:line="200" w:lineRule="exact"/>
        <w:rPr>
          <w:sz w:val="20"/>
          <w:szCs w:val="20"/>
          <w:color w:val="auto"/>
        </w:rPr>
      </w:pPr>
    </w:p>
    <w:p>
      <w:pPr>
        <w:sectPr>
          <w:pgSz w:w="11900" w:h="16838" w:orient="portrait"/>
          <w:cols w:equalWidth="0" w:num="3">
            <w:col w:w="3620" w:space="720"/>
            <w:col w:w="3440" w:space="500"/>
            <w:col w:w="2940"/>
          </w:cols>
          <w:pgMar w:left="240" w:top="459" w:right="439" w:bottom="1440" w:gutter="0" w:footer="0" w:header="0"/>
          <w:type w:val="continuous"/>
        </w:sectPr>
      </w:pPr>
    </w:p>
    <w:p>
      <w:pPr>
        <w:spacing w:after="0" w:line="24" w:lineRule="exact"/>
        <w:rPr>
          <w:sz w:val="20"/>
          <w:szCs w:val="20"/>
          <w:color w:val="auto"/>
        </w:rPr>
      </w:pPr>
    </w:p>
    <w:p>
      <w:pPr>
        <w:ind w:left="200" w:firstLine="441"/>
        <w:spacing w:after="0" w:line="264" w:lineRule="auto"/>
        <w:rPr>
          <w:sz w:val="20"/>
          <w:szCs w:val="20"/>
          <w:color w:val="auto"/>
        </w:rPr>
      </w:pPr>
      <w:r>
        <w:rPr>
          <w:rFonts w:ascii="Arial" w:cs="Arial" w:eastAsia="Arial" w:hAnsi="Arial"/>
          <w:sz w:val="18"/>
          <w:szCs w:val="18"/>
          <w:color w:val="auto"/>
        </w:rPr>
        <w:t>Treatment with STSG creates additional trauma for the patient due to the harvesting of healthy donor skin. Although the use of STSG has been a standard treatment for more than 50 years, grafting is associated with significant pain, pruritus, infection, dyschromia, dyspigmentation, delayed healing, and hypertrophic scarring of the donor site.</w:t>
      </w:r>
    </w:p>
    <w:p>
      <w:pPr>
        <w:spacing w:after="0" w:line="181" w:lineRule="exact"/>
        <w:rPr>
          <w:sz w:val="20"/>
          <w:szCs w:val="20"/>
          <w:color w:val="auto"/>
        </w:rPr>
      </w:pPr>
    </w:p>
    <w:p>
      <w:pPr>
        <w:ind w:left="200" w:right="240" w:firstLine="441"/>
        <w:spacing w:after="0" w:line="290" w:lineRule="auto"/>
        <w:rPr>
          <w:sz w:val="20"/>
          <w:szCs w:val="20"/>
          <w:color w:val="auto"/>
        </w:rPr>
      </w:pPr>
      <w:r>
        <w:rPr>
          <w:rFonts w:ascii="Arial" w:cs="Arial" w:eastAsia="Arial" w:hAnsi="Arial"/>
          <w:sz w:val="16"/>
          <w:szCs w:val="16"/>
          <w:color w:val="auto"/>
        </w:rPr>
        <w:t>The clinical benefits of earlier intervention for burn wounds are well recognized and include increased survival, reduced hospital length of stay, decreased pain duration, and reduced infection-related complications. However, in large TBSA injuries, the patient may not have enough donor skin available to allow for immediate treatment of the entire area of burn injuries with traditional grafting techniques. The lack of available healthy donor skin in patients with high TBSA burn injuries is often the central problem impacting time to autografting and definitive closure of the wounds. In severely burned patients, doctors often must wait until the donor sites have healed so that they can reharvest from the site, resulting in delays in treatment and healing, requiring multiple procedures and extended hospital time. While waiting for donor skin the burn wounds may be temporarily covered by allogenic skin graft, for example allograft (cadaver skin) or xenograft (typically pig skin). The overall cost of treatment with STSG is expensive, for example approximately US$579,000 and 59.4 days in hospital for a patient with a 40% TBSA mixed or full-thickness burn.</w:t>
      </w:r>
    </w:p>
    <w:p>
      <w:pPr>
        <w:spacing w:after="0" w:line="166" w:lineRule="exact"/>
        <w:rPr>
          <w:sz w:val="20"/>
          <w:szCs w:val="20"/>
          <w:color w:val="auto"/>
        </w:rPr>
      </w:pPr>
    </w:p>
    <w:p>
      <w:pPr>
        <w:ind w:left="200" w:right="240" w:firstLine="441"/>
        <w:spacing w:after="0" w:line="264" w:lineRule="auto"/>
        <w:rPr>
          <w:sz w:val="20"/>
          <w:szCs w:val="20"/>
          <w:color w:val="auto"/>
        </w:rPr>
      </w:pPr>
      <w:r>
        <w:rPr>
          <w:rFonts w:ascii="Arial" w:cs="Arial" w:eastAsia="Arial" w:hAnsi="Arial"/>
          <w:sz w:val="18"/>
          <w:szCs w:val="18"/>
          <w:color w:val="auto"/>
        </w:rPr>
        <w:t>Because of the limited donor skin available for harvest in patients with high TBSA injuries, researchers have developed alternatives such as cultured epidermal autografts (CEA) in which a skin biopsy is taken from a patient and the cells are grown into sheets of skin in a laboratory and then returned for autografting onto the</w:t>
      </w:r>
    </w:p>
    <w:p>
      <w:pPr>
        <w:spacing w:after="0" w:line="114"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220"/>
          </w:cols>
          <w:pgMar w:left="240" w:top="459" w:right="439" w:bottom="1440" w:gutter="0" w:footer="0" w:header="0"/>
          <w:type w:val="continuous"/>
        </w:sectPr>
      </w:pPr>
    </w:p>
    <w:bookmarkStart w:id="25" w:name="page26"/>
    <w:bookmarkEnd w:id="2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spacing w:after="0" w:line="259" w:lineRule="auto"/>
        <w:rPr>
          <w:sz w:val="20"/>
          <w:szCs w:val="20"/>
          <w:color w:val="auto"/>
        </w:rPr>
      </w:pPr>
      <w:r>
        <w:rPr>
          <w:rFonts w:ascii="Arial" w:cs="Arial" w:eastAsia="Arial" w:hAnsi="Arial"/>
          <w:sz w:val="18"/>
          <w:szCs w:val="18"/>
          <w:color w:val="auto"/>
        </w:rPr>
        <w:t>patient. Limitations associated with CEAs, including Epicel</w:t>
      </w:r>
      <w:r>
        <w:rPr>
          <w:rFonts w:ascii="Arial" w:cs="Arial" w:eastAsia="Arial" w:hAnsi="Arial"/>
          <w:sz w:val="15"/>
          <w:szCs w:val="15"/>
          <w:color w:val="auto"/>
        </w:rPr>
        <w:t>®</w:t>
      </w:r>
      <w:r>
        <w:rPr>
          <w:rFonts w:ascii="Arial" w:cs="Arial" w:eastAsia="Arial" w:hAnsi="Arial"/>
          <w:sz w:val="18"/>
          <w:szCs w:val="18"/>
          <w:color w:val="auto"/>
        </w:rPr>
        <w:t xml:space="preserve"> from Vericel Corporation, include the time to grow the sheets of skin (approximately three weeks), the fact that the skin grown contains only keratinocytes and therefore lack the melanocytes that provide pigmentation, and the high cost. As a result, CEAs have been lifesaving in very high TBSA patients (&gt; 30% TBSA) but in the U.S. the use of CEAs have been limited to approximately 100 patients per year.</w:t>
      </w:r>
    </w:p>
    <w:p>
      <w:pPr>
        <w:spacing w:after="0" w:line="295" w:lineRule="exact"/>
        <w:rPr>
          <w:sz w:val="20"/>
          <w:szCs w:val="20"/>
          <w:color w:val="auto"/>
        </w:rPr>
      </w:pPr>
    </w:p>
    <w:p>
      <w:pPr>
        <w:ind w:left="200"/>
        <w:spacing w:after="0"/>
        <w:rPr>
          <w:sz w:val="20"/>
          <w:szCs w:val="20"/>
          <w:color w:val="auto"/>
        </w:rPr>
      </w:pPr>
      <w:r>
        <w:rPr>
          <w:rFonts w:ascii="Arial" w:cs="Arial" w:eastAsia="Arial" w:hAnsi="Arial"/>
          <w:sz w:val="18"/>
          <w:szCs w:val="18"/>
          <w:u w:val="single" w:color="auto"/>
          <w:color w:val="auto"/>
        </w:rPr>
        <w:t>Trauma Wounds (Soft Tissue Injuries)</w:t>
      </w:r>
    </w:p>
    <w:p>
      <w:pPr>
        <w:spacing w:after="0" w:line="117" w:lineRule="exact"/>
        <w:rPr>
          <w:sz w:val="20"/>
          <w:szCs w:val="20"/>
          <w:color w:val="auto"/>
        </w:rPr>
      </w:pPr>
    </w:p>
    <w:p>
      <w:pPr>
        <w:ind w:left="200" w:right="100" w:firstLine="441"/>
        <w:spacing w:after="0" w:line="293" w:lineRule="auto"/>
        <w:rPr>
          <w:sz w:val="20"/>
          <w:szCs w:val="20"/>
          <w:color w:val="auto"/>
        </w:rPr>
      </w:pPr>
      <w:r>
        <w:rPr>
          <w:rFonts w:ascii="Arial" w:cs="Arial" w:eastAsia="Arial" w:hAnsi="Arial"/>
          <w:sz w:val="16"/>
          <w:szCs w:val="16"/>
          <w:color w:val="auto"/>
        </w:rPr>
        <w:t>Trauma wounds or soft tissue injuries include abrasions, lacerations, punctures, gunshot wounds, crush wounds, and degloving. Severe traumatic wounds may require surgical intervention to close the wound and stabilize the patient. The most common trauma injuries requiring autografting are degloving and crush wounds. The harvesting and autografting procedures for trauma wounds are similar to the treatment of severe burn injuries, as are the limitations and shortcomings. Patients requiring autografting for trauma wounds are often treated in trauma centers in hospitals by plastic surgeons. Approximately half of the surgeons treating patients with severe burns requiring autografting in the U.S. also treat trauma patients requiring autografting, therefore the soft tissue injury market complements our commercialization efforts related to the U.S. burn market.</w:t>
      </w:r>
    </w:p>
    <w:p>
      <w:pPr>
        <w:spacing w:after="0" w:line="273" w:lineRule="exact"/>
        <w:rPr>
          <w:sz w:val="20"/>
          <w:szCs w:val="20"/>
          <w:color w:val="auto"/>
        </w:rPr>
      </w:pPr>
    </w:p>
    <w:p>
      <w:pPr>
        <w:ind w:left="200"/>
        <w:spacing w:after="0"/>
        <w:rPr>
          <w:sz w:val="20"/>
          <w:szCs w:val="20"/>
          <w:color w:val="auto"/>
        </w:rPr>
      </w:pPr>
      <w:r>
        <w:rPr>
          <w:rFonts w:ascii="Arial" w:cs="Arial" w:eastAsia="Arial" w:hAnsi="Arial"/>
          <w:sz w:val="18"/>
          <w:szCs w:val="18"/>
          <w:u w:val="single" w:color="auto"/>
          <w:color w:val="auto"/>
        </w:rPr>
        <w:t>Vitiligo and Other Dermatological Indications</w:t>
      </w:r>
    </w:p>
    <w:p>
      <w:pPr>
        <w:spacing w:after="0" w:line="117" w:lineRule="exact"/>
        <w:rPr>
          <w:sz w:val="20"/>
          <w:szCs w:val="20"/>
          <w:color w:val="auto"/>
        </w:rPr>
      </w:pPr>
    </w:p>
    <w:p>
      <w:pPr>
        <w:ind w:left="200" w:firstLine="441"/>
        <w:spacing w:after="0" w:line="259" w:lineRule="auto"/>
        <w:rPr>
          <w:sz w:val="20"/>
          <w:szCs w:val="20"/>
          <w:color w:val="auto"/>
        </w:rPr>
      </w:pPr>
      <w:r>
        <w:rPr>
          <w:rFonts w:ascii="Arial" w:cs="Arial" w:eastAsia="Arial" w:hAnsi="Arial"/>
          <w:sz w:val="18"/>
          <w:szCs w:val="18"/>
          <w:color w:val="auto"/>
        </w:rPr>
        <w:t>Vitiligo is a disease that causes the loss of skin pigmentation or color in patches which tend to increase in size over time. The extent and rate of color loss from vitiligo is unpredictable, can affect the skin on any part of the body, and may also affect hair and the inside of the mouth. Non-segmental vitiligo is the most common variant and impacts the majority of patients and is characterized by symmetrical patches that appear on both sides of the body; as on hands and knees.</w:t>
      </w:r>
    </w:p>
    <w:p>
      <w:pPr>
        <w:spacing w:after="0" w:line="187" w:lineRule="exact"/>
        <w:rPr>
          <w:sz w:val="20"/>
          <w:szCs w:val="20"/>
          <w:color w:val="auto"/>
        </w:rPr>
      </w:pPr>
    </w:p>
    <w:p>
      <w:pPr>
        <w:jc w:val="both"/>
        <w:ind w:left="200" w:right="280" w:firstLine="441"/>
        <w:spacing w:after="0" w:line="276" w:lineRule="auto"/>
        <w:rPr>
          <w:sz w:val="20"/>
          <w:szCs w:val="20"/>
          <w:color w:val="auto"/>
        </w:rPr>
      </w:pPr>
      <w:r>
        <w:rPr>
          <w:rFonts w:ascii="Arial" w:cs="Arial" w:eastAsia="Arial" w:hAnsi="Arial"/>
          <w:sz w:val="17"/>
          <w:szCs w:val="17"/>
          <w:color w:val="auto"/>
        </w:rPr>
        <w:t>Vitiligo occurs when melanocytes, the pigment-producing skin cells, die or stop producing melanin, the pigment that gives skin, hair and eyes color. Vitiligo is believed to be an autoimmune disorder in which a patient’s immune system attacks and destroys the melanocytes in the skin. It may also be caused by heredity factors or a triggering event, such as sunburn, stress or exposure to industrial chemicals. Vitiligo affects people of all skin types, but it may be more noticeable in people with darker skin. The condition is not life-threatening or physically painful but can significantly alter physical appearance, have negative emotional and psychological consequences, and impair quality of life.</w:t>
      </w:r>
    </w:p>
    <w:p>
      <w:pPr>
        <w:spacing w:after="0" w:line="173" w:lineRule="exact"/>
        <w:rPr>
          <w:sz w:val="20"/>
          <w:szCs w:val="20"/>
          <w:color w:val="auto"/>
        </w:rPr>
      </w:pPr>
    </w:p>
    <w:p>
      <w:pPr>
        <w:ind w:left="640"/>
        <w:spacing w:after="0"/>
        <w:rPr>
          <w:sz w:val="20"/>
          <w:szCs w:val="20"/>
          <w:color w:val="auto"/>
        </w:rPr>
      </w:pPr>
      <w:r>
        <w:rPr>
          <w:rFonts w:ascii="Arial" w:cs="Arial" w:eastAsia="Arial" w:hAnsi="Arial"/>
          <w:sz w:val="18"/>
          <w:szCs w:val="18"/>
          <w:color w:val="auto"/>
        </w:rPr>
        <w:t>Vitiligo cannot be cured at present, and medical treatments generally fall into one of two categories:</w:t>
      </w:r>
    </w:p>
    <w:p>
      <w:pPr>
        <w:spacing w:after="0" w:line="131" w:lineRule="exact"/>
        <w:rPr>
          <w:sz w:val="20"/>
          <w:szCs w:val="20"/>
          <w:color w:val="auto"/>
        </w:rPr>
      </w:pPr>
    </w:p>
    <w:p>
      <w:pPr>
        <w:jc w:val="both"/>
        <w:ind w:left="1180" w:right="40" w:hanging="436"/>
        <w:spacing w:after="0" w:line="286" w:lineRule="auto"/>
        <w:tabs>
          <w:tab w:leader="none" w:pos="1180" w:val="left"/>
        </w:tabs>
        <w:numPr>
          <w:ilvl w:val="0"/>
          <w:numId w:val="13"/>
        </w:numPr>
        <w:rPr>
          <w:rFonts w:ascii="Arial" w:cs="Arial" w:eastAsia="Arial" w:hAnsi="Arial"/>
          <w:sz w:val="17"/>
          <w:szCs w:val="17"/>
          <w:color w:val="auto"/>
        </w:rPr>
      </w:pPr>
      <w:r>
        <w:rPr>
          <w:rFonts w:ascii="Arial" w:cs="Arial" w:eastAsia="Arial" w:hAnsi="Arial"/>
          <w:sz w:val="17"/>
          <w:szCs w:val="17"/>
          <w:color w:val="auto"/>
        </w:rPr>
        <w:t>Treatments to arrest the spread of vitiligo, such as steroid creams and non-steroidal anti-inflammatory creams. There are also a number of therapies under development designed to target the underling autoimmune disease. One challenge in terms of achieving the desired patient outcome is that stopping the spread of vitiligo will not restore pigmentation to the areas already damaged.</w:t>
      </w:r>
    </w:p>
    <w:p>
      <w:pPr>
        <w:spacing w:after="0" w:line="70" w:lineRule="exact"/>
        <w:rPr>
          <w:rFonts w:ascii="Arial" w:cs="Arial" w:eastAsia="Arial" w:hAnsi="Arial"/>
          <w:sz w:val="17"/>
          <w:szCs w:val="17"/>
          <w:color w:val="auto"/>
        </w:rPr>
      </w:pPr>
    </w:p>
    <w:p>
      <w:pPr>
        <w:ind w:left="1180" w:hanging="436"/>
        <w:spacing w:after="0"/>
        <w:tabs>
          <w:tab w:leader="none" w:pos="1180" w:val="left"/>
        </w:tabs>
        <w:numPr>
          <w:ilvl w:val="0"/>
          <w:numId w:val="13"/>
        </w:numPr>
        <w:rPr>
          <w:rFonts w:ascii="Arial" w:cs="Arial" w:eastAsia="Arial" w:hAnsi="Arial"/>
          <w:sz w:val="17"/>
          <w:szCs w:val="17"/>
          <w:color w:val="auto"/>
        </w:rPr>
      </w:pPr>
      <w:r>
        <w:rPr>
          <w:rFonts w:ascii="Arial" w:cs="Arial" w:eastAsia="Arial" w:hAnsi="Arial"/>
          <w:sz w:val="17"/>
          <w:szCs w:val="17"/>
          <w:color w:val="auto"/>
        </w:rPr>
        <w:t>Treatments to restore pigmentation include makeup and coverups, dermabrasion, laser, drug-light combinations, and autografts.</w:t>
      </w:r>
    </w:p>
    <w:p>
      <w:pPr>
        <w:spacing w:after="0" w:line="237" w:lineRule="exact"/>
        <w:rPr>
          <w:sz w:val="20"/>
          <w:szCs w:val="20"/>
          <w:color w:val="auto"/>
        </w:rPr>
      </w:pPr>
    </w:p>
    <w:p>
      <w:pPr>
        <w:jc w:val="both"/>
        <w:ind w:left="200" w:right="140" w:firstLine="441"/>
        <w:spacing w:after="0" w:line="264" w:lineRule="auto"/>
        <w:rPr>
          <w:sz w:val="20"/>
          <w:szCs w:val="20"/>
          <w:color w:val="auto"/>
        </w:rPr>
      </w:pPr>
      <w:r>
        <w:rPr>
          <w:rFonts w:ascii="Arial" w:cs="Arial" w:eastAsia="Arial" w:hAnsi="Arial"/>
          <w:sz w:val="18"/>
          <w:szCs w:val="18"/>
          <w:color w:val="auto"/>
        </w:rPr>
        <w:t>Survey results reveal a low level of patient satisfaction with current treatment options. The majority of vitiligo patients in the U.S. are treated by dermatologists. In 2016, China accounted for the highest prevalence in the world with 7.7 million cases, followed by the U.S. 2.6 million cases, Japan with 2.1 million and the EU with 1.4 million.</w:t>
      </w:r>
    </w:p>
    <w:p>
      <w:pPr>
        <w:spacing w:after="0" w:line="181" w:lineRule="exact"/>
        <w:rPr>
          <w:sz w:val="20"/>
          <w:szCs w:val="20"/>
          <w:color w:val="auto"/>
        </w:rPr>
      </w:pPr>
    </w:p>
    <w:p>
      <w:pPr>
        <w:ind w:left="200" w:right="320" w:firstLine="441"/>
        <w:spacing w:after="0" w:line="286" w:lineRule="auto"/>
        <w:rPr>
          <w:sz w:val="20"/>
          <w:szCs w:val="20"/>
          <w:color w:val="auto"/>
        </w:rPr>
      </w:pPr>
      <w:r>
        <w:rPr>
          <w:rFonts w:ascii="Arial" w:cs="Arial" w:eastAsia="Arial" w:hAnsi="Arial"/>
          <w:sz w:val="17"/>
          <w:szCs w:val="17"/>
          <w:color w:val="auto"/>
        </w:rPr>
        <w:t>We expect to explore potential benefits of variants of the RECELL System platform in the aesthetics markets, estimated to be a US$10 billion market in the U.S. alone in 2018. As part of this program the Company may also target certain orphan diseases, such as epidermolysis bullosa and Hutchinson-Gilford progeria syndrome (HGPS) which are both rare genetic condition that require more effective treatments.</w:t>
      </w:r>
    </w:p>
    <w:p>
      <w:pPr>
        <w:spacing w:after="0" w:line="98"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180"/>
          </w:cols>
          <w:pgMar w:left="240" w:top="459" w:right="479" w:bottom="1440" w:gutter="0" w:footer="0" w:header="0"/>
        </w:sectPr>
      </w:pPr>
    </w:p>
    <w:bookmarkStart w:id="26" w:name="page27"/>
    <w:bookmarkEnd w:id="2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spacing w:after="0"/>
        <w:rPr>
          <w:sz w:val="20"/>
          <w:szCs w:val="20"/>
          <w:color w:val="auto"/>
        </w:rPr>
      </w:pPr>
      <w:r>
        <w:rPr>
          <w:rFonts w:ascii="Arial" w:cs="Arial" w:eastAsia="Arial" w:hAnsi="Arial"/>
          <w:sz w:val="18"/>
          <w:szCs w:val="18"/>
          <w:u w:val="single" w:color="auto"/>
          <w:color w:val="auto"/>
        </w:rPr>
        <w:t>Chronic Wounds</w:t>
      </w:r>
    </w:p>
    <w:p>
      <w:pPr>
        <w:spacing w:after="0" w:line="117" w:lineRule="exact"/>
        <w:rPr>
          <w:sz w:val="20"/>
          <w:szCs w:val="20"/>
          <w:color w:val="auto"/>
        </w:rPr>
      </w:pPr>
    </w:p>
    <w:p>
      <w:pPr>
        <w:ind w:left="200" w:right="320" w:firstLine="441"/>
        <w:spacing w:after="0" w:line="297" w:lineRule="auto"/>
        <w:rPr>
          <w:sz w:val="20"/>
          <w:szCs w:val="20"/>
          <w:color w:val="auto"/>
        </w:rPr>
      </w:pPr>
      <w:r>
        <w:rPr>
          <w:rFonts w:ascii="Arial" w:cs="Arial" w:eastAsia="Arial" w:hAnsi="Arial"/>
          <w:sz w:val="16"/>
          <w:szCs w:val="16"/>
          <w:color w:val="auto"/>
        </w:rPr>
        <w:t>The chronic and other hard-to-heal wound market consists of a broad population of more than 6 million patients in the U.S. suffering from condition such as venous leg ulcers, diabetic foot ulcers, pressure ulcers and non-healing surgical wounds. Chronic and other hard-to-heal wounds represent a US$25 billion burden to the U.S. healthcare system. Chronic and hard-to-heal wounds are caused by impairment in the biochemical and cellular healing processes due to local or systemic conditions and generally can take weeks or months to heal, if not longer. Such wounds can lead to significant morbidity, including pain, infection, impaired mobility, hospitalization, reduced productivity, amputation and mortality.</w:t>
      </w:r>
    </w:p>
    <w:p>
      <w:pPr>
        <w:spacing w:after="0" w:line="266" w:lineRule="exact"/>
        <w:rPr>
          <w:sz w:val="20"/>
          <w:szCs w:val="20"/>
          <w:color w:val="auto"/>
        </w:rPr>
      </w:pPr>
    </w:p>
    <w:p>
      <w:pPr>
        <w:ind w:left="200"/>
        <w:spacing w:after="0"/>
        <w:rPr>
          <w:sz w:val="20"/>
          <w:szCs w:val="20"/>
          <w:color w:val="auto"/>
        </w:rPr>
      </w:pPr>
      <w:r>
        <w:rPr>
          <w:rFonts w:ascii="Arial" w:cs="Arial" w:eastAsia="Arial" w:hAnsi="Arial"/>
          <w:sz w:val="18"/>
          <w:szCs w:val="18"/>
          <w:color w:val="auto"/>
        </w:rPr>
        <w:t>Venous Leg Ulcers:</w:t>
      </w:r>
    </w:p>
    <w:p>
      <w:pPr>
        <w:spacing w:after="0" w:line="117" w:lineRule="exact"/>
        <w:rPr>
          <w:sz w:val="20"/>
          <w:szCs w:val="20"/>
          <w:color w:val="auto"/>
        </w:rPr>
      </w:pPr>
    </w:p>
    <w:p>
      <w:pPr>
        <w:ind w:left="200" w:right="20" w:firstLine="441"/>
        <w:spacing w:after="0" w:line="255" w:lineRule="auto"/>
        <w:rPr>
          <w:sz w:val="20"/>
          <w:szCs w:val="20"/>
          <w:color w:val="auto"/>
        </w:rPr>
      </w:pPr>
      <w:r>
        <w:rPr>
          <w:rFonts w:ascii="Arial" w:cs="Arial" w:eastAsia="Arial" w:hAnsi="Arial"/>
          <w:sz w:val="18"/>
          <w:szCs w:val="18"/>
          <w:color w:val="auto"/>
        </w:rPr>
        <w:t>Venous leg ulcers (VLUs) are associated with poor venous return (ischemia), primarily occurring as a result of age, obesity, previous leg injuries, deep venous thrombosis, and phlebitis. Venous ulcers are often recurrent, and an open ulcer can persist for weeks to many years. Treatment options for venous ulcers include leg elevation, compression therapy, dressings, pentoxifylline, and aspirin therapy. Surgical management is also indicated for ulcers that are large, of prolonged duration, or refractory to conservative measures. The refractory nature of these ulcers increases the risk of morbidity and mortality and they have a significant impact on patient quality of life. The financial burden of venous ulcers is estimated to be $2 billion per year in the U.S.</w:t>
      </w:r>
    </w:p>
    <w:p>
      <w:pPr>
        <w:spacing w:after="0" w:line="301" w:lineRule="exact"/>
        <w:rPr>
          <w:sz w:val="20"/>
          <w:szCs w:val="20"/>
          <w:color w:val="auto"/>
        </w:rPr>
      </w:pPr>
    </w:p>
    <w:p>
      <w:pPr>
        <w:ind w:left="200"/>
        <w:spacing w:after="0"/>
        <w:rPr>
          <w:sz w:val="20"/>
          <w:szCs w:val="20"/>
          <w:color w:val="auto"/>
        </w:rPr>
      </w:pPr>
      <w:r>
        <w:rPr>
          <w:rFonts w:ascii="Arial" w:cs="Arial" w:eastAsia="Arial" w:hAnsi="Arial"/>
          <w:sz w:val="18"/>
          <w:szCs w:val="18"/>
          <w:color w:val="auto"/>
        </w:rPr>
        <w:t>Diabetic Foot Ulcers:</w:t>
      </w:r>
    </w:p>
    <w:p>
      <w:pPr>
        <w:spacing w:after="0" w:line="117" w:lineRule="exact"/>
        <w:rPr>
          <w:sz w:val="20"/>
          <w:szCs w:val="20"/>
          <w:color w:val="auto"/>
        </w:rPr>
      </w:pPr>
    </w:p>
    <w:p>
      <w:pPr>
        <w:ind w:left="200" w:firstLine="441"/>
        <w:spacing w:after="0" w:line="293" w:lineRule="auto"/>
        <w:rPr>
          <w:sz w:val="20"/>
          <w:szCs w:val="20"/>
          <w:color w:val="auto"/>
        </w:rPr>
      </w:pPr>
      <w:r>
        <w:rPr>
          <w:rFonts w:ascii="Arial" w:cs="Arial" w:eastAsia="Arial" w:hAnsi="Arial"/>
          <w:sz w:val="16"/>
          <w:szCs w:val="16"/>
          <w:color w:val="auto"/>
        </w:rPr>
        <w:t>A diabetic foot ulcer (DFU) is an open sore or wound and is commonly located on the bottom of the foot. Approximately 5% to 7% of people with diabetes currently have or previously had a DFU, and approximately 25% will develop a DFU in their lifetime. Of those who develop a foot ulcer, 6% will be hospitalized due to infection or other ulcer-related complication. DFUs are the leading cause of non-traumatic lower extremity amputations in the U.S. In the U.S., it is estimated that 1.3 million people have DFUs, and over US$15 billion was spent on the care of this condition. Depending on the severity of the DFU, treatment includes offloading therapy to help redistribute foot pressure away from the ulcer, advanced wound dressings, and negative pressure wound therapy. For DFUs that require surgical closure, autografts, skin substitutes, or biologics can be utilized.</w:t>
      </w:r>
    </w:p>
    <w:p>
      <w:pPr>
        <w:spacing w:after="0" w:line="269"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The RECELL System</w:t>
      </w:r>
    </w:p>
    <w:p>
      <w:pPr>
        <w:spacing w:after="0" w:line="121" w:lineRule="exact"/>
        <w:rPr>
          <w:sz w:val="20"/>
          <w:szCs w:val="20"/>
          <w:color w:val="auto"/>
        </w:rPr>
      </w:pPr>
    </w:p>
    <w:p>
      <w:pPr>
        <w:ind w:left="200" w:firstLine="441"/>
        <w:spacing w:after="0" w:line="255" w:lineRule="auto"/>
        <w:rPr>
          <w:sz w:val="20"/>
          <w:szCs w:val="20"/>
          <w:color w:val="auto"/>
        </w:rPr>
      </w:pPr>
      <w:r>
        <w:rPr>
          <w:rFonts w:ascii="Arial" w:cs="Arial" w:eastAsia="Arial" w:hAnsi="Arial"/>
          <w:sz w:val="18"/>
          <w:szCs w:val="18"/>
          <w:color w:val="auto"/>
        </w:rPr>
        <w:t>The RECELL® Autologous Cell Harvesting System (RECELL System) uses a small amount of a patient’s own skin to prepare Spray-On Skin Cells, an autologous cellular suspension comprised of the patient’s skin cells necessary to regenerate natural healthy epidermis. These Spray-On Skin Cells are prepared using the RECELL System at the point of care in as little as 30 minutes, providing a new way to treat thermal burns and other wounds or defects of the skin. The regenerative skin cell suspension includes keratinocytes, fibroblasts, and melanocytes, all of which play a critical role in wound healing. The ability of the RECELL System to retain melanocytes in the cell suspension is notable as these cells are fragile and are critical for the restoration of natural pigmentation to the area treated.</w:t>
      </w:r>
    </w:p>
    <w:p>
      <w:pPr>
        <w:spacing w:after="0" w:line="193" w:lineRule="exact"/>
        <w:rPr>
          <w:sz w:val="20"/>
          <w:szCs w:val="20"/>
          <w:color w:val="auto"/>
        </w:rPr>
      </w:pPr>
    </w:p>
    <w:p>
      <w:pPr>
        <w:ind w:left="200" w:right="40" w:firstLine="441"/>
        <w:spacing w:after="0" w:line="286" w:lineRule="auto"/>
        <w:rPr>
          <w:sz w:val="20"/>
          <w:szCs w:val="20"/>
          <w:color w:val="auto"/>
        </w:rPr>
      </w:pPr>
      <w:r>
        <w:rPr>
          <w:rFonts w:ascii="Arial" w:cs="Arial" w:eastAsia="Arial" w:hAnsi="Arial"/>
          <w:sz w:val="16"/>
          <w:szCs w:val="16"/>
          <w:color w:val="auto"/>
        </w:rPr>
        <w:t>The RECELL System is a single-use (disposable), stand-alone, battery operated, autologous cell harvesting device containing enzymatic and buffer solutions, sterile surgical instruments, and actuators to achieve the disaggregation and delivery of skin cells. A small skin sample from a patient is enzymatically and mechanically processed in the RECELL System at the point of care to isolate skin cells and to produce a suspension of Spray-On Skin Cells for immediate delivery onto a prepared wound bed. The RECELL System can be used to prepare enough suspension to treat a wound up to</w:t>
      </w:r>
    </w:p>
    <w:p>
      <w:pPr>
        <w:spacing w:after="0" w:line="2" w:lineRule="exact"/>
        <w:rPr>
          <w:sz w:val="20"/>
          <w:szCs w:val="20"/>
          <w:color w:val="auto"/>
        </w:rPr>
      </w:pPr>
    </w:p>
    <w:p>
      <w:pPr>
        <w:ind w:left="200" w:right="200"/>
        <w:spacing w:after="0" w:line="261" w:lineRule="auto"/>
        <w:rPr>
          <w:sz w:val="20"/>
          <w:szCs w:val="20"/>
          <w:color w:val="auto"/>
        </w:rPr>
      </w:pPr>
      <w:r>
        <w:rPr>
          <w:rFonts w:ascii="Arial" w:cs="Arial" w:eastAsia="Arial" w:hAnsi="Arial"/>
          <w:sz w:val="18"/>
          <w:szCs w:val="18"/>
          <w:color w:val="auto"/>
        </w:rPr>
        <w:t>80 times the size of the donor skin sample. For example, a skin sample approximately the size of a credit card can be used to treat a wound that covers an adult patient’s entire back.</w:t>
      </w:r>
    </w:p>
    <w:p>
      <w:pPr>
        <w:spacing w:after="0" w:line="116"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220"/>
          </w:cols>
          <w:pgMar w:left="240" w:top="459" w:right="439" w:bottom="1440" w:gutter="0" w:footer="0" w:header="0"/>
        </w:sectPr>
      </w:pPr>
    </w:p>
    <w:bookmarkStart w:id="27" w:name="page28"/>
    <w:bookmarkEnd w:id="2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99"/>
        <w:spacing w:after="0"/>
        <w:rPr>
          <w:sz w:val="20"/>
          <w:szCs w:val="20"/>
          <w:color w:val="auto"/>
        </w:rPr>
      </w:pPr>
      <w:r>
        <w:rPr>
          <w:rFonts w:ascii="Arial" w:cs="Arial" w:eastAsia="Arial" w:hAnsi="Arial"/>
          <w:sz w:val="16"/>
          <w:szCs w:val="16"/>
          <w:b w:val="1"/>
          <w:bCs w:val="1"/>
          <w:color w:val="auto"/>
        </w:rPr>
        <w:t>Preparation and Application of Spray-On Skin Cells Using the RECELL System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785495</wp:posOffset>
            </wp:positionH>
            <wp:positionV relativeFrom="paragraph">
              <wp:posOffset>186690</wp:posOffset>
            </wp:positionV>
            <wp:extent cx="5840095" cy="13804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5840095" cy="1380490"/>
                    </a:xfrm>
                    <a:prstGeom prst="rect">
                      <a:avLst/>
                    </a:prstGeom>
                    <a:noFill/>
                  </pic:spPr>
                </pic:pic>
              </a:graphicData>
            </a:graphic>
          </wp:anchor>
        </w:drawing>
      </w:r>
    </w:p>
    <w:p>
      <w:pPr>
        <w:sectPr>
          <w:pgSz w:w="11900" w:h="16838" w:orient="portrait"/>
          <w:cols w:equalWidth="0" w:num="1">
            <w:col w:w="11220"/>
          </w:cols>
          <w:pgMar w:left="240" w:top="459" w:right="4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p>
      <w:pPr>
        <w:jc w:val="center"/>
        <w:ind w:right="580"/>
        <w:spacing w:after="0"/>
        <w:rPr>
          <w:sz w:val="20"/>
          <w:szCs w:val="20"/>
          <w:color w:val="auto"/>
        </w:rPr>
      </w:pPr>
      <w:r>
        <w:rPr>
          <w:rFonts w:ascii="Arial" w:cs="Arial" w:eastAsia="Arial" w:hAnsi="Arial"/>
          <w:sz w:val="16"/>
          <w:szCs w:val="16"/>
          <w:color w:val="auto"/>
        </w:rPr>
        <w:t>Processing of skin sample in RECELL System to</w:t>
      </w:r>
    </w:p>
    <w:p>
      <w:pPr>
        <w:spacing w:after="0" w:line="46" w:lineRule="exact"/>
        <w:rPr>
          <w:sz w:val="20"/>
          <w:szCs w:val="20"/>
          <w:color w:val="auto"/>
        </w:rPr>
      </w:pPr>
    </w:p>
    <w:p>
      <w:pPr>
        <w:jc w:val="center"/>
        <w:ind w:right="580"/>
        <w:spacing w:after="0"/>
        <w:rPr>
          <w:sz w:val="20"/>
          <w:szCs w:val="20"/>
          <w:color w:val="auto"/>
        </w:rPr>
      </w:pPr>
      <w:r>
        <w:rPr>
          <w:rFonts w:ascii="Arial" w:cs="Arial" w:eastAsia="Arial" w:hAnsi="Arial"/>
          <w:sz w:val="18"/>
          <w:szCs w:val="18"/>
          <w:color w:val="auto"/>
        </w:rPr>
        <w:t>prepare Spray-On Skin Cells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jc w:val="center"/>
        <w:ind w:right="1300"/>
        <w:spacing w:after="0"/>
        <w:rPr>
          <w:sz w:val="20"/>
          <w:szCs w:val="20"/>
          <w:color w:val="auto"/>
        </w:rPr>
      </w:pPr>
      <w:r>
        <w:rPr>
          <w:rFonts w:ascii="Arial" w:cs="Arial" w:eastAsia="Arial" w:hAnsi="Arial"/>
          <w:sz w:val="16"/>
          <w:szCs w:val="16"/>
          <w:color w:val="auto"/>
        </w:rPr>
        <w:t>Application of Spray-On Skin Cells</w:t>
      </w:r>
    </w:p>
    <w:p>
      <w:pPr>
        <w:spacing w:after="0" w:line="46" w:lineRule="exact"/>
        <w:rPr>
          <w:sz w:val="20"/>
          <w:szCs w:val="20"/>
          <w:color w:val="auto"/>
        </w:rPr>
      </w:pPr>
    </w:p>
    <w:p>
      <w:pPr>
        <w:jc w:val="center"/>
        <w:ind w:right="1300"/>
        <w:spacing w:after="0"/>
        <w:rPr>
          <w:sz w:val="20"/>
          <w:szCs w:val="20"/>
          <w:color w:val="auto"/>
        </w:rPr>
      </w:pPr>
      <w:r>
        <w:rPr>
          <w:rFonts w:ascii="Arial" w:cs="Arial" w:eastAsia="Arial" w:hAnsi="Arial"/>
          <w:sz w:val="18"/>
          <w:szCs w:val="18"/>
          <w:color w:val="auto"/>
        </w:rPr>
        <w:t>to a patient’s burn injury</w:t>
      </w:r>
    </w:p>
    <w:p>
      <w:pPr>
        <w:spacing w:after="0" w:line="200" w:lineRule="exact"/>
        <w:rPr>
          <w:sz w:val="20"/>
          <w:szCs w:val="20"/>
          <w:color w:val="auto"/>
        </w:rPr>
      </w:pPr>
    </w:p>
    <w:p>
      <w:pPr>
        <w:sectPr>
          <w:pgSz w:w="11900" w:h="16838" w:orient="portrait"/>
          <w:cols w:equalWidth="0" w:num="2">
            <w:col w:w="6620" w:space="720"/>
            <w:col w:w="3880"/>
          </w:cols>
          <w:pgMar w:left="240" w:top="459" w:right="439" w:bottom="1440" w:gutter="0" w:footer="0" w:header="0"/>
          <w:type w:val="continuous"/>
        </w:sectPr>
      </w:pPr>
    </w:p>
    <w:p>
      <w:pPr>
        <w:spacing w:after="0" w:line="24" w:lineRule="exact"/>
        <w:rPr>
          <w:sz w:val="20"/>
          <w:szCs w:val="20"/>
          <w:color w:val="auto"/>
        </w:rPr>
      </w:pPr>
    </w:p>
    <w:p>
      <w:pPr>
        <w:ind w:left="200" w:firstLine="441"/>
        <w:spacing w:after="0" w:line="257" w:lineRule="auto"/>
        <w:rPr>
          <w:sz w:val="20"/>
          <w:szCs w:val="20"/>
          <w:color w:val="auto"/>
        </w:rPr>
      </w:pPr>
      <w:r>
        <w:rPr>
          <w:rFonts w:ascii="Arial" w:cs="Arial" w:eastAsia="Arial" w:hAnsi="Arial"/>
          <w:sz w:val="18"/>
          <w:szCs w:val="18"/>
          <w:color w:val="auto"/>
        </w:rPr>
        <w:t>In the U.S., the RECELL System is approved by the FDA for use in the treatment of acute thermal burn wounds in patients 18 years and older. The RECELL System is approved for use by appropriately-licensed healthcare professionals at the patients point of care to prepare autologous Spray-On Skin Cells for direct application to acute partial-thickness burns, or application in combination with meshed autografting for acute full-thickness burns. In the U.S., the RECELL System is produced in a configuration that allows the preparation of up to 24 ml of cell suspension which can be used to cover an acute wound area up to 1,920 cm², or approximately 10% of a patient’s body.</w:t>
      </w:r>
    </w:p>
    <w:p>
      <w:pPr>
        <w:spacing w:after="0" w:line="188" w:lineRule="exact"/>
        <w:rPr>
          <w:sz w:val="20"/>
          <w:szCs w:val="20"/>
          <w:color w:val="auto"/>
        </w:rPr>
      </w:pPr>
    </w:p>
    <w:p>
      <w:pPr>
        <w:jc w:val="both"/>
        <w:ind w:left="200" w:firstLine="441"/>
        <w:spacing w:after="0" w:line="259" w:lineRule="auto"/>
        <w:rPr>
          <w:sz w:val="20"/>
          <w:szCs w:val="20"/>
          <w:color w:val="auto"/>
        </w:rPr>
      </w:pPr>
      <w:r>
        <w:rPr>
          <w:rFonts w:ascii="Arial" w:cs="Arial" w:eastAsia="Arial" w:hAnsi="Arial"/>
          <w:sz w:val="18"/>
          <w:szCs w:val="18"/>
          <w:color w:val="auto"/>
        </w:rPr>
        <w:t>In Australia, the RECELL System is TGA-registered for the treatment of burns, acute wounds, scars and vitiligo. In China, the RECELL System is CFDA-cleared for the treatment of burns, acute wounds, scars and vitiligo. The RECELL system is produced in a configuration that allows for treatment of up to 320 cm² for the markets in Australia and China. In Europe, the RECELL System received CE-mark approval for the treatment of burns, chronic wounds, scars and vitiligo.</w:t>
      </w:r>
    </w:p>
    <w:p>
      <w:pPr>
        <w:spacing w:after="0" w:line="291"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The RECELL System Clinical Results and Ongoing and Planned Clinical Trials</w:t>
      </w:r>
    </w:p>
    <w:p>
      <w:pPr>
        <w:spacing w:after="0" w:line="121" w:lineRule="exact"/>
        <w:rPr>
          <w:sz w:val="20"/>
          <w:szCs w:val="20"/>
          <w:color w:val="auto"/>
        </w:rPr>
      </w:pPr>
    </w:p>
    <w:p>
      <w:pPr>
        <w:ind w:left="200" w:right="40" w:firstLine="441"/>
        <w:spacing w:after="0" w:line="288" w:lineRule="auto"/>
        <w:rPr>
          <w:sz w:val="20"/>
          <w:szCs w:val="20"/>
          <w:color w:val="auto"/>
        </w:rPr>
      </w:pPr>
      <w:r>
        <w:rPr>
          <w:rFonts w:ascii="Arial" w:cs="Arial" w:eastAsia="Arial" w:hAnsi="Arial"/>
          <w:sz w:val="16"/>
          <w:szCs w:val="16"/>
          <w:color w:val="auto"/>
        </w:rPr>
        <w:t>The September 2018 FDA approval of the RECELL System for use in the treatment of acute thermal burns in patients 18 and older was supported by two prospective, randomized, controlled pivotal clinical trials, one in deep partial-thickness (second-degree) burns and one in mixed and full-thickness (third-degree) burns. The randomized, controlled trials demonstrated that treatment using the RECELL System requires substantially less donor skin than required with conventional split-thickness autografts to achieve closure of burn wounds. Reduction in donor skin requirements provides key clinical benefits to patients and significant reductions in the cost of treatment. The results of these clinical studies have been published in peer-reviewed scientific publications and have been presented at burn meetings and other major scientific conferences. Presentations by key opinion leaders have been made at over 20 scientific conferences in 2018 and 2019, including presentations of the pivotal clinical trial results and the clinical results related to use of the RECELL System in the treatment of burns in specific subgroups of patients and types of burn injuries, including facial burns and large TBSA burns. Patients included in many of these presentations were treated as part of the FDA-approved Investigational Device Exemption (IDE) Compassionate Use and Continued Access programs made available to burn patients prior to the FDA approval.</w:t>
      </w:r>
    </w:p>
    <w:p>
      <w:pPr>
        <w:spacing w:after="0" w:line="169" w:lineRule="exact"/>
        <w:rPr>
          <w:sz w:val="20"/>
          <w:szCs w:val="20"/>
          <w:color w:val="auto"/>
        </w:rPr>
      </w:pPr>
    </w:p>
    <w:p>
      <w:pPr>
        <w:jc w:val="both"/>
        <w:ind w:left="200" w:right="200" w:firstLine="441"/>
        <w:spacing w:after="0" w:line="264" w:lineRule="auto"/>
        <w:rPr>
          <w:sz w:val="20"/>
          <w:szCs w:val="20"/>
          <w:color w:val="auto"/>
        </w:rPr>
      </w:pPr>
      <w:r>
        <w:rPr>
          <w:rFonts w:ascii="Arial" w:cs="Arial" w:eastAsia="Arial" w:hAnsi="Arial"/>
          <w:sz w:val="18"/>
          <w:szCs w:val="18"/>
          <w:color w:val="auto"/>
        </w:rPr>
        <w:t>In addition to and extensive clinical trial program in acute thermal burns in adults, earlier-stage clinical studies have been conducted in pediatric burns, scald injuries, treatment of donor sites, vitiligo, chronic wounds (venous leg ulcers and diabetic foot ulcers), scar hypopigmentation, and acute trauma.</w:t>
      </w:r>
    </w:p>
    <w:p>
      <w:pPr>
        <w:spacing w:after="0" w:line="114"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220"/>
          </w:cols>
          <w:pgMar w:left="240" w:top="459" w:right="439" w:bottom="1440" w:gutter="0" w:footer="0" w:header="0"/>
          <w:type w:val="continuous"/>
        </w:sectPr>
      </w:pPr>
    </w:p>
    <w:bookmarkStart w:id="28" w:name="page29"/>
    <w:bookmarkEnd w:id="2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spacing w:after="0"/>
        <w:rPr>
          <w:sz w:val="20"/>
          <w:szCs w:val="20"/>
          <w:color w:val="auto"/>
        </w:rPr>
      </w:pPr>
      <w:r>
        <w:rPr>
          <w:rFonts w:ascii="Arial" w:cs="Arial" w:eastAsia="Arial" w:hAnsi="Arial"/>
          <w:sz w:val="18"/>
          <w:szCs w:val="18"/>
          <w:u w:val="single" w:color="auto"/>
          <w:color w:val="auto"/>
        </w:rPr>
        <w:t>The RECELL System Clinical Results in Thermal Burns</w:t>
      </w:r>
    </w:p>
    <w:p>
      <w:pPr>
        <w:spacing w:after="0" w:line="117" w:lineRule="exact"/>
        <w:rPr>
          <w:sz w:val="20"/>
          <w:szCs w:val="20"/>
          <w:color w:val="auto"/>
        </w:rPr>
      </w:pPr>
    </w:p>
    <w:p>
      <w:pPr>
        <w:ind w:left="200"/>
        <w:spacing w:after="0"/>
        <w:rPr>
          <w:sz w:val="20"/>
          <w:szCs w:val="20"/>
          <w:color w:val="auto"/>
        </w:rPr>
      </w:pPr>
      <w:r>
        <w:rPr>
          <w:rFonts w:ascii="Arial" w:cs="Arial" w:eastAsia="Arial" w:hAnsi="Arial"/>
          <w:sz w:val="18"/>
          <w:szCs w:val="18"/>
          <w:i w:val="1"/>
          <w:iCs w:val="1"/>
          <w:color w:val="auto"/>
        </w:rPr>
        <w:t>RECELL Pivotal Clinical Trial in Second-Degree Acute Thermal Burns</w:t>
      </w:r>
    </w:p>
    <w:p>
      <w:pPr>
        <w:spacing w:after="0" w:line="117" w:lineRule="exact"/>
        <w:rPr>
          <w:sz w:val="20"/>
          <w:szCs w:val="20"/>
          <w:color w:val="auto"/>
        </w:rPr>
      </w:pPr>
    </w:p>
    <w:p>
      <w:pPr>
        <w:ind w:left="200" w:right="260" w:firstLine="441"/>
        <w:spacing w:after="0" w:line="276" w:lineRule="auto"/>
        <w:rPr>
          <w:sz w:val="20"/>
          <w:szCs w:val="20"/>
          <w:color w:val="auto"/>
        </w:rPr>
      </w:pPr>
      <w:r>
        <w:rPr>
          <w:rFonts w:ascii="Arial" w:cs="Arial" w:eastAsia="Arial" w:hAnsi="Arial"/>
          <w:sz w:val="17"/>
          <w:szCs w:val="17"/>
          <w:color w:val="auto"/>
        </w:rPr>
        <w:t>One of the two randomized, controlled clinical trials of the RECELL System supporting the September 2018 FDA approval was a study of patients with partial-thickness (second-degree burns) conducted at 12 U.S. burn centers. The pivotal trial evaluated 101 adult patients with thermal, partial-thickness burns covering 1% to 20% of their total body surface area. Patients served as their own control, and two comparable burn sites were selected for comparative testing on each patient. One burn site on each patient was treated with Spray-On-Skin Cells prepared using the RECELL System, while the other burn site was treated with the standard treatment, consisting of meshed autograft expanded 2:1.</w:t>
      </w:r>
    </w:p>
    <w:p>
      <w:pPr>
        <w:spacing w:after="0" w:line="173" w:lineRule="exact"/>
        <w:rPr>
          <w:sz w:val="20"/>
          <w:szCs w:val="20"/>
          <w:color w:val="auto"/>
        </w:rPr>
      </w:pPr>
    </w:p>
    <w:p>
      <w:pPr>
        <w:ind w:left="200" w:firstLine="441"/>
        <w:spacing w:after="0" w:line="259" w:lineRule="auto"/>
        <w:rPr>
          <w:sz w:val="20"/>
          <w:szCs w:val="20"/>
          <w:color w:val="auto"/>
        </w:rPr>
      </w:pPr>
      <w:r>
        <w:rPr>
          <w:rFonts w:ascii="Arial" w:cs="Arial" w:eastAsia="Arial" w:hAnsi="Arial"/>
          <w:sz w:val="18"/>
          <w:szCs w:val="18"/>
          <w:color w:val="auto"/>
        </w:rPr>
        <w:t>During the pivotal trial, the patient donor skin required to be harvested to treat burn sites using the RECELL System was 97.5% less than the amount harvested to treat burn sites with the standard of care (p&lt;0.001). Despite the statistically significant reduction in donor skin required to treat with the RECELL System, burn sites treated using the RECELL System achieved definitive closure and long-term outcomes, including durability, comparable to the burn sites treated with standard of care.</w:t>
      </w:r>
    </w:p>
    <w:p>
      <w:pPr>
        <w:spacing w:after="0" w:line="399"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Reduction in Donor Skin Requirements in Pivotal Trial in Second-Degree Burns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699770</wp:posOffset>
            </wp:positionH>
            <wp:positionV relativeFrom="paragraph">
              <wp:posOffset>172085</wp:posOffset>
            </wp:positionV>
            <wp:extent cx="5994400" cy="206692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5994400" cy="20669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tbl>
      <w:tblPr>
        <w:tblLayout w:type="fixed"/>
        <w:tblInd w:w="980" w:type="dxa"/>
        <w:tblCellMar>
          <w:top w:w="0" w:type="dxa"/>
          <w:left w:w="0" w:type="dxa"/>
          <w:bottom w:w="0" w:type="dxa"/>
          <w:right w:w="0" w:type="dxa"/>
        </w:tblCellMar>
      </w:tblPr>
      <w:tr>
        <w:trPr>
          <w:trHeight w:val="216"/>
        </w:trPr>
        <w:tc>
          <w:tcPr>
            <w:tcW w:w="4820" w:type="dxa"/>
            <w:vAlign w:val="bottom"/>
          </w:tcPr>
          <w:p>
            <w:pPr>
              <w:jc w:val="center"/>
              <w:ind w:right="650"/>
              <w:spacing w:after="0"/>
              <w:rPr>
                <w:sz w:val="20"/>
                <w:szCs w:val="20"/>
                <w:color w:val="auto"/>
              </w:rPr>
            </w:pPr>
            <w:r>
              <w:rPr>
                <w:rFonts w:ascii="Arial" w:cs="Arial" w:eastAsia="Arial" w:hAnsi="Arial"/>
                <w:sz w:val="18"/>
                <w:szCs w:val="18"/>
                <w:color w:val="auto"/>
                <w:w w:val="93"/>
              </w:rPr>
              <w:t>Statistically significant reduction in donor skin</w:t>
            </w:r>
          </w:p>
        </w:tc>
        <w:tc>
          <w:tcPr>
            <w:tcW w:w="4820" w:type="dxa"/>
            <w:vAlign w:val="bottom"/>
          </w:tcPr>
          <w:p>
            <w:pPr>
              <w:jc w:val="center"/>
              <w:ind w:left="670"/>
              <w:spacing w:after="0"/>
              <w:rPr>
                <w:sz w:val="20"/>
                <w:szCs w:val="20"/>
                <w:color w:val="auto"/>
              </w:rPr>
            </w:pPr>
            <w:r>
              <w:rPr>
                <w:rFonts w:ascii="Arial" w:cs="Arial" w:eastAsia="Arial" w:hAnsi="Arial"/>
                <w:sz w:val="18"/>
                <w:szCs w:val="18"/>
                <w:color w:val="auto"/>
                <w:w w:val="92"/>
              </w:rPr>
              <w:t>Comparison of donor skin requirement for participant in</w:t>
            </w:r>
          </w:p>
        </w:tc>
      </w:tr>
      <w:tr>
        <w:trPr>
          <w:trHeight w:val="216"/>
        </w:trPr>
        <w:tc>
          <w:tcPr>
            <w:tcW w:w="4820" w:type="dxa"/>
            <w:vAlign w:val="bottom"/>
          </w:tcPr>
          <w:p>
            <w:pPr>
              <w:jc w:val="center"/>
              <w:ind w:right="650"/>
              <w:spacing w:after="0"/>
              <w:rPr>
                <w:sz w:val="20"/>
                <w:szCs w:val="20"/>
                <w:color w:val="auto"/>
              </w:rPr>
            </w:pPr>
            <w:r>
              <w:rPr>
                <w:rFonts w:ascii="Arial" w:cs="Arial" w:eastAsia="Arial" w:hAnsi="Arial"/>
                <w:sz w:val="18"/>
                <w:szCs w:val="18"/>
                <w:color w:val="auto"/>
                <w:w w:val="91"/>
              </w:rPr>
              <w:t>requirement for use of the RECELL System in treatment</w:t>
            </w:r>
          </w:p>
        </w:tc>
        <w:tc>
          <w:tcPr>
            <w:tcW w:w="4820" w:type="dxa"/>
            <w:vAlign w:val="bottom"/>
          </w:tcPr>
          <w:p>
            <w:pPr>
              <w:jc w:val="center"/>
              <w:ind w:left="670"/>
              <w:spacing w:after="0"/>
              <w:rPr>
                <w:sz w:val="20"/>
                <w:szCs w:val="20"/>
                <w:color w:val="auto"/>
              </w:rPr>
            </w:pPr>
            <w:r>
              <w:rPr>
                <w:rFonts w:ascii="Arial" w:cs="Arial" w:eastAsia="Arial" w:hAnsi="Arial"/>
                <w:sz w:val="18"/>
                <w:szCs w:val="18"/>
                <w:color w:val="auto"/>
                <w:w w:val="92"/>
              </w:rPr>
              <w:t>clinical trial. Requirement for 2:1 mesh autograft</w:t>
            </w:r>
          </w:p>
        </w:tc>
      </w:tr>
      <w:tr>
        <w:trPr>
          <w:trHeight w:val="216"/>
        </w:trPr>
        <w:tc>
          <w:tcPr>
            <w:tcW w:w="4820" w:type="dxa"/>
            <w:vAlign w:val="bottom"/>
          </w:tcPr>
          <w:p>
            <w:pPr>
              <w:jc w:val="center"/>
              <w:ind w:right="650"/>
              <w:spacing w:after="0"/>
              <w:rPr>
                <w:sz w:val="20"/>
                <w:szCs w:val="20"/>
                <w:color w:val="auto"/>
              </w:rPr>
            </w:pPr>
            <w:r>
              <w:rPr>
                <w:rFonts w:ascii="Arial" w:cs="Arial" w:eastAsia="Arial" w:hAnsi="Arial"/>
                <w:sz w:val="18"/>
                <w:szCs w:val="18"/>
                <w:color w:val="auto"/>
                <w:w w:val="88"/>
              </w:rPr>
              <w:t>versus standard 2:1 meshed autograft</w:t>
            </w:r>
          </w:p>
        </w:tc>
        <w:tc>
          <w:tcPr>
            <w:tcW w:w="4820" w:type="dxa"/>
            <w:vAlign w:val="bottom"/>
          </w:tcPr>
          <w:p>
            <w:pPr>
              <w:jc w:val="center"/>
              <w:ind w:left="670"/>
              <w:spacing w:after="0"/>
              <w:rPr>
                <w:sz w:val="20"/>
                <w:szCs w:val="20"/>
                <w:color w:val="auto"/>
              </w:rPr>
            </w:pPr>
            <w:r>
              <w:rPr>
                <w:rFonts w:ascii="Arial" w:cs="Arial" w:eastAsia="Arial" w:hAnsi="Arial"/>
                <w:sz w:val="18"/>
                <w:szCs w:val="18"/>
                <w:color w:val="auto"/>
                <w:w w:val="90"/>
              </w:rPr>
              <w:t>(STSG) versus requirement for treatment using the</w:t>
            </w:r>
          </w:p>
        </w:tc>
      </w:tr>
      <w:tr>
        <w:trPr>
          <w:trHeight w:val="230"/>
        </w:trPr>
        <w:tc>
          <w:tcPr>
            <w:tcW w:w="4820" w:type="dxa"/>
            <w:vAlign w:val="bottom"/>
          </w:tcPr>
          <w:p>
            <w:pPr>
              <w:spacing w:after="0"/>
              <w:rPr>
                <w:sz w:val="20"/>
                <w:szCs w:val="20"/>
                <w:color w:val="auto"/>
              </w:rPr>
            </w:pPr>
          </w:p>
        </w:tc>
        <w:tc>
          <w:tcPr>
            <w:tcW w:w="4820" w:type="dxa"/>
            <w:vAlign w:val="bottom"/>
          </w:tcPr>
          <w:p>
            <w:pPr>
              <w:jc w:val="center"/>
              <w:ind w:left="670"/>
              <w:spacing w:after="0"/>
              <w:rPr>
                <w:sz w:val="20"/>
                <w:szCs w:val="20"/>
                <w:color w:val="auto"/>
              </w:rPr>
            </w:pPr>
            <w:r>
              <w:rPr>
                <w:rFonts w:ascii="Arial" w:cs="Arial" w:eastAsia="Arial" w:hAnsi="Arial"/>
                <w:sz w:val="18"/>
                <w:szCs w:val="18"/>
                <w:color w:val="auto"/>
                <w:w w:val="93"/>
              </w:rPr>
              <w:t>RECELL System</w:t>
            </w:r>
          </w:p>
        </w:tc>
      </w:tr>
    </w:tbl>
    <w:p>
      <w:pPr>
        <w:spacing w:after="0" w:line="215" w:lineRule="exact"/>
        <w:rPr>
          <w:sz w:val="20"/>
          <w:szCs w:val="20"/>
          <w:color w:val="auto"/>
        </w:rPr>
      </w:pPr>
    </w:p>
    <w:p>
      <w:pPr>
        <w:ind w:left="200" w:right="20" w:firstLine="441"/>
        <w:spacing w:after="0" w:line="277" w:lineRule="auto"/>
        <w:rPr>
          <w:sz w:val="20"/>
          <w:szCs w:val="20"/>
          <w:color w:val="auto"/>
        </w:rPr>
      </w:pPr>
      <w:r>
        <w:rPr>
          <w:rFonts w:ascii="Arial" w:cs="Arial" w:eastAsia="Arial" w:hAnsi="Arial"/>
          <w:sz w:val="18"/>
          <w:szCs w:val="18"/>
          <w:color w:val="auto"/>
        </w:rPr>
        <w:t>Secondary endpoints measured in the trial highlighted additional clinical benefits of the significant reduction in donor skin harvested for treatment using the RECELL System, including:</w:t>
      </w:r>
    </w:p>
    <w:p>
      <w:pPr>
        <w:spacing w:after="0" w:line="76" w:lineRule="exact"/>
        <w:rPr>
          <w:sz w:val="20"/>
          <w:szCs w:val="20"/>
          <w:color w:val="auto"/>
        </w:rPr>
      </w:pPr>
    </w:p>
    <w:p>
      <w:pPr>
        <w:ind w:left="1180" w:hanging="436"/>
        <w:spacing w:after="0"/>
        <w:tabs>
          <w:tab w:leader="none" w:pos="11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Significantly less donor-site pain (p£0.0025)</w:t>
      </w:r>
    </w:p>
    <w:p>
      <w:pPr>
        <w:spacing w:after="0" w:line="130" w:lineRule="exact"/>
        <w:rPr>
          <w:rFonts w:ascii="Arial" w:cs="Arial" w:eastAsia="Arial" w:hAnsi="Arial"/>
          <w:sz w:val="18"/>
          <w:szCs w:val="18"/>
          <w:color w:val="auto"/>
        </w:rPr>
      </w:pPr>
    </w:p>
    <w:p>
      <w:pPr>
        <w:ind w:left="1180" w:hanging="436"/>
        <w:spacing w:after="0"/>
        <w:tabs>
          <w:tab w:leader="none" w:pos="11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Significantly higher patient satisfaction with donor-site appearance (p£0.0025)</w:t>
      </w:r>
    </w:p>
    <w:p>
      <w:pPr>
        <w:spacing w:after="0" w:line="130" w:lineRule="exact"/>
        <w:rPr>
          <w:rFonts w:ascii="Arial" w:cs="Arial" w:eastAsia="Arial" w:hAnsi="Arial"/>
          <w:sz w:val="18"/>
          <w:szCs w:val="18"/>
          <w:color w:val="auto"/>
        </w:rPr>
      </w:pPr>
    </w:p>
    <w:p>
      <w:pPr>
        <w:ind w:left="1180" w:hanging="436"/>
        <w:spacing w:after="0"/>
        <w:tabs>
          <w:tab w:leader="none" w:pos="11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Significantly better donor-site scarring results (p£0.0025)</w:t>
      </w:r>
    </w:p>
    <w:p>
      <w:pPr>
        <w:spacing w:after="0" w:line="130" w:lineRule="exact"/>
        <w:rPr>
          <w:rFonts w:ascii="Arial" w:cs="Arial" w:eastAsia="Arial" w:hAnsi="Arial"/>
          <w:sz w:val="18"/>
          <w:szCs w:val="18"/>
          <w:color w:val="auto"/>
        </w:rPr>
      </w:pPr>
    </w:p>
    <w:p>
      <w:pPr>
        <w:ind w:left="1180" w:hanging="436"/>
        <w:spacing w:after="0"/>
        <w:tabs>
          <w:tab w:leader="none" w:pos="11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Significantly greater incidence of donor-site healing at two weeks (p&lt;0.001), with an odds ration of 4:3</w:t>
      </w:r>
    </w:p>
    <w:p>
      <w:pPr>
        <w:spacing w:after="0" w:line="225" w:lineRule="exact"/>
        <w:rPr>
          <w:sz w:val="20"/>
          <w:szCs w:val="20"/>
          <w:color w:val="auto"/>
        </w:rPr>
      </w:pPr>
    </w:p>
    <w:p>
      <w:pPr>
        <w:ind w:left="200" w:right="60" w:firstLine="441"/>
        <w:spacing w:after="0" w:line="342" w:lineRule="auto"/>
        <w:rPr>
          <w:sz w:val="20"/>
          <w:szCs w:val="20"/>
          <w:color w:val="auto"/>
        </w:rPr>
      </w:pPr>
      <w:r>
        <w:rPr>
          <w:rFonts w:ascii="Arial" w:cs="Arial" w:eastAsia="Arial" w:hAnsi="Arial"/>
          <w:sz w:val="16"/>
          <w:szCs w:val="16"/>
          <w:color w:val="auto"/>
        </w:rPr>
        <w:t xml:space="preserve">In the clinical trial, use of the RECELL System in the trial was safe and well tolerated with adverse experiences typical for the type of burn injury sustained. The results of this trial were published in a peer-reviewed scientific publication, the </w:t>
      </w:r>
      <w:r>
        <w:rPr>
          <w:rFonts w:ascii="Arial" w:cs="Arial" w:eastAsia="Arial" w:hAnsi="Arial"/>
          <w:sz w:val="16"/>
          <w:szCs w:val="16"/>
          <w:i w:val="1"/>
          <w:iCs w:val="1"/>
          <w:color w:val="auto"/>
        </w:rPr>
        <w:t>Journal of Burn Care &amp; Research</w:t>
      </w:r>
      <w:r>
        <w:rPr>
          <w:rFonts w:ascii="Arial" w:cs="Arial" w:eastAsia="Arial" w:hAnsi="Arial"/>
          <w:sz w:val="16"/>
          <w:szCs w:val="16"/>
          <w:color w:val="auto"/>
        </w:rPr>
        <w:t>, in September 2018.</w:t>
      </w:r>
    </w:p>
    <w:p>
      <w:pPr>
        <w:spacing w:after="0" w:line="56"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200"/>
          </w:cols>
          <w:pgMar w:left="240" w:top="459" w:right="459" w:bottom="1440" w:gutter="0" w:footer="0" w:header="0"/>
        </w:sectPr>
      </w:pPr>
    </w:p>
    <w:bookmarkStart w:id="29" w:name="page30"/>
    <w:bookmarkEnd w:id="2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spacing w:after="0"/>
        <w:rPr>
          <w:sz w:val="20"/>
          <w:szCs w:val="20"/>
          <w:color w:val="auto"/>
        </w:rPr>
      </w:pPr>
      <w:r>
        <w:rPr>
          <w:rFonts w:ascii="Arial" w:cs="Arial" w:eastAsia="Arial" w:hAnsi="Arial"/>
          <w:sz w:val="18"/>
          <w:szCs w:val="18"/>
          <w:i w:val="1"/>
          <w:iCs w:val="1"/>
          <w:color w:val="auto"/>
        </w:rPr>
        <w:t>RECELL Pivotal Clinical Trial in Third-Degree Acute Thermal Burns</w:t>
      </w:r>
    </w:p>
    <w:p>
      <w:pPr>
        <w:spacing w:after="0" w:line="117" w:lineRule="exact"/>
        <w:rPr>
          <w:sz w:val="20"/>
          <w:szCs w:val="20"/>
          <w:color w:val="auto"/>
        </w:rPr>
      </w:pPr>
    </w:p>
    <w:p>
      <w:pPr>
        <w:ind w:left="200" w:firstLine="441"/>
        <w:spacing w:after="0" w:line="271" w:lineRule="auto"/>
        <w:rPr>
          <w:sz w:val="20"/>
          <w:szCs w:val="20"/>
          <w:color w:val="auto"/>
        </w:rPr>
      </w:pPr>
      <w:r>
        <w:rPr>
          <w:rFonts w:ascii="Arial" w:cs="Arial" w:eastAsia="Arial" w:hAnsi="Arial"/>
          <w:sz w:val="17"/>
          <w:szCs w:val="17"/>
          <w:color w:val="auto"/>
        </w:rPr>
        <w:t>The second randomized, controlled clinical trial of the RECELL System supporting the September 2018 FDA approval was a study of patients with mixed and full-thickness (third-degree burns) conducted at seven U.S. burn centers. The pivotal trial evaluated 30 patients ranging in age from nine to 68 years old with thermal, mixed-thickness burns, including full-thickness burns, covering 5% to 46% of their total body surface area. Patients served as their own control, and two comparable burn sites were selected for comparative testing on each patient. One burn site was treated with the standard treatment, meshed autograft, while the other was treated with Spray-On-Skin Cells prepared using the RECELL System combined with more widely meshed autografts (for example, if a 2:1 meshed autograft was used to treat the control burn site, then a 3:1 meshed autograft used in combination with Spray-On Skin Cells was used to treat the RECELL site). The co-primary endpoints of the pivotal trial were reduction in donor skin requirements and non-inferiority in complete wound closure.</w:t>
      </w:r>
    </w:p>
    <w:p>
      <w:pPr>
        <w:spacing w:after="0" w:line="179" w:lineRule="exact"/>
        <w:rPr>
          <w:sz w:val="20"/>
          <w:szCs w:val="20"/>
          <w:color w:val="auto"/>
        </w:rPr>
      </w:pPr>
    </w:p>
    <w:p>
      <w:pPr>
        <w:ind w:left="200" w:right="40" w:firstLine="441"/>
        <w:spacing w:after="0" w:line="255" w:lineRule="auto"/>
        <w:rPr>
          <w:sz w:val="20"/>
          <w:szCs w:val="20"/>
          <w:color w:val="auto"/>
        </w:rPr>
      </w:pPr>
      <w:r>
        <w:rPr>
          <w:rFonts w:ascii="Arial" w:cs="Arial" w:eastAsia="Arial" w:hAnsi="Arial"/>
          <w:sz w:val="18"/>
          <w:szCs w:val="18"/>
          <w:color w:val="auto"/>
        </w:rPr>
        <w:t>The pivotal clinical trial achieved its co-primary endpoints, demonstrating a statistically significant reduction in donor skin requirements versus standard of care while achieving comparable definitive wound closure. Treatment using the RECELL System achieved comparable healing, long-term scar and patient satisfaction outcomes using significantly less donor skin with no safety concerns. During the pivotal trial, the patient donor skin required to be harvested to treat burn sites with the RECELL System was 32% less than the amount harvested to treat burn sites with the standard of care (p&lt;0.001). Despite the statistically significant reduction in donor skin required to treat using the RECELL System, eight weeks post treatment 92% of the burn sites treated using the RECELL System achieved complete healing versus 85% for the sites treated with the standard of care, demonstrating non-inferiority.</w:t>
      </w:r>
    </w:p>
    <w:p>
      <w:pPr>
        <w:spacing w:after="0" w:line="200" w:lineRule="exact"/>
        <w:rPr>
          <w:sz w:val="20"/>
          <w:szCs w:val="20"/>
          <w:color w:val="auto"/>
        </w:rPr>
      </w:pPr>
    </w:p>
    <w:p>
      <w:pPr>
        <w:spacing w:after="0" w:line="201" w:lineRule="exact"/>
        <w:rPr>
          <w:sz w:val="20"/>
          <w:szCs w:val="20"/>
          <w:color w:val="auto"/>
        </w:rPr>
      </w:pPr>
    </w:p>
    <w:p>
      <w:pPr>
        <w:jc w:val="center"/>
        <w:ind w:right="-239"/>
        <w:spacing w:after="0"/>
        <w:rPr>
          <w:sz w:val="20"/>
          <w:szCs w:val="20"/>
          <w:color w:val="auto"/>
        </w:rPr>
      </w:pPr>
      <w:r>
        <w:rPr>
          <w:rFonts w:ascii="Arial" w:cs="Arial" w:eastAsia="Arial" w:hAnsi="Arial"/>
          <w:sz w:val="18"/>
          <w:szCs w:val="18"/>
          <w:b w:val="1"/>
          <w:bCs w:val="1"/>
          <w:color w:val="auto"/>
        </w:rPr>
        <w:t>Reduction in Donor Skin Requirements in Pivotal Trial in Second-Degree Burns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2432050</wp:posOffset>
            </wp:positionH>
            <wp:positionV relativeFrom="paragraph">
              <wp:posOffset>172085</wp:posOffset>
            </wp:positionV>
            <wp:extent cx="2400935" cy="196405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2400935" cy="19640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ind w:left="3280"/>
        <w:spacing w:after="0"/>
        <w:rPr>
          <w:sz w:val="20"/>
          <w:szCs w:val="20"/>
          <w:color w:val="auto"/>
        </w:rPr>
      </w:pPr>
      <w:r>
        <w:rPr>
          <w:rFonts w:ascii="Arial" w:cs="Arial" w:eastAsia="Arial" w:hAnsi="Arial"/>
          <w:sz w:val="18"/>
          <w:szCs w:val="18"/>
          <w:color w:val="auto"/>
        </w:rPr>
        <w:t>Statistically significant reduction in donor skin</w:t>
      </w:r>
    </w:p>
    <w:p>
      <w:pPr>
        <w:spacing w:after="0" w:line="23" w:lineRule="exact"/>
        <w:rPr>
          <w:sz w:val="20"/>
          <w:szCs w:val="20"/>
          <w:color w:val="auto"/>
        </w:rPr>
      </w:pPr>
    </w:p>
    <w:p>
      <w:pPr>
        <w:ind w:left="3280"/>
        <w:spacing w:after="0"/>
        <w:rPr>
          <w:sz w:val="20"/>
          <w:szCs w:val="20"/>
          <w:color w:val="auto"/>
        </w:rPr>
      </w:pPr>
      <w:r>
        <w:rPr>
          <w:rFonts w:ascii="Arial" w:cs="Arial" w:eastAsia="Arial" w:hAnsi="Arial"/>
          <w:sz w:val="18"/>
          <w:szCs w:val="18"/>
          <w:color w:val="auto"/>
        </w:rPr>
        <w:t>requirement for use of the RECELL System in</w:t>
      </w:r>
    </w:p>
    <w:p>
      <w:pPr>
        <w:spacing w:after="0" w:line="9" w:lineRule="exact"/>
        <w:rPr>
          <w:sz w:val="20"/>
          <w:szCs w:val="20"/>
          <w:color w:val="auto"/>
        </w:rPr>
      </w:pPr>
    </w:p>
    <w:p>
      <w:pPr>
        <w:ind w:left="3280"/>
        <w:spacing w:after="0"/>
        <w:rPr>
          <w:sz w:val="20"/>
          <w:szCs w:val="20"/>
          <w:color w:val="auto"/>
        </w:rPr>
      </w:pPr>
      <w:r>
        <w:rPr>
          <w:rFonts w:ascii="Arial" w:cs="Arial" w:eastAsia="Arial" w:hAnsi="Arial"/>
          <w:sz w:val="18"/>
          <w:szCs w:val="18"/>
          <w:color w:val="auto"/>
        </w:rPr>
        <w:t>combination with widely-meshed autographs</w:t>
      </w:r>
    </w:p>
    <w:p>
      <w:pPr>
        <w:spacing w:after="0" w:line="9" w:lineRule="exact"/>
        <w:rPr>
          <w:sz w:val="20"/>
          <w:szCs w:val="20"/>
          <w:color w:val="auto"/>
        </w:rPr>
      </w:pPr>
    </w:p>
    <w:p>
      <w:pPr>
        <w:ind w:left="3280"/>
        <w:spacing w:after="0"/>
        <w:rPr>
          <w:sz w:val="20"/>
          <w:szCs w:val="20"/>
          <w:color w:val="auto"/>
        </w:rPr>
      </w:pPr>
      <w:r>
        <w:rPr>
          <w:rFonts w:ascii="Arial" w:cs="Arial" w:eastAsia="Arial" w:hAnsi="Arial"/>
          <w:sz w:val="18"/>
          <w:szCs w:val="18"/>
          <w:color w:val="auto"/>
        </w:rPr>
        <w:t>treatment versus standard meshed autograft.</w:t>
      </w:r>
    </w:p>
    <w:p>
      <w:pPr>
        <w:spacing w:after="0" w:line="224" w:lineRule="exact"/>
        <w:rPr>
          <w:sz w:val="20"/>
          <w:szCs w:val="20"/>
          <w:color w:val="auto"/>
        </w:rPr>
      </w:pPr>
    </w:p>
    <w:p>
      <w:pPr>
        <w:ind w:left="200" w:right="400" w:firstLine="441"/>
        <w:spacing w:after="0" w:line="342" w:lineRule="auto"/>
        <w:rPr>
          <w:sz w:val="20"/>
          <w:szCs w:val="20"/>
          <w:color w:val="auto"/>
        </w:rPr>
      </w:pPr>
      <w:r>
        <w:rPr>
          <w:rFonts w:ascii="Arial" w:cs="Arial" w:eastAsia="Arial" w:hAnsi="Arial"/>
          <w:sz w:val="16"/>
          <w:szCs w:val="16"/>
          <w:color w:val="auto"/>
        </w:rPr>
        <w:t xml:space="preserve">Use of the RECELL System was safe and well tolerated with no device-related adverse events. The results of this trial were published online ahead of print in a peer-reviewed scientific publication, </w:t>
      </w:r>
      <w:r>
        <w:rPr>
          <w:rFonts w:ascii="Arial" w:cs="Arial" w:eastAsia="Arial" w:hAnsi="Arial"/>
          <w:sz w:val="16"/>
          <w:szCs w:val="16"/>
          <w:i w:val="1"/>
          <w:iCs w:val="1"/>
          <w:color w:val="auto"/>
        </w:rPr>
        <w:t>Burns</w:t>
      </w:r>
      <w:r>
        <w:rPr>
          <w:rFonts w:ascii="Arial" w:cs="Arial" w:eastAsia="Arial" w:hAnsi="Arial"/>
          <w:sz w:val="16"/>
          <w:szCs w:val="16"/>
          <w:color w:val="auto"/>
        </w:rPr>
        <w:t>, in December 2018, and will appear in the print version of the journal in 2019.</w:t>
      </w:r>
    </w:p>
    <w:p>
      <w:pPr>
        <w:spacing w:after="0" w:line="56"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180"/>
          </w:cols>
          <w:pgMar w:left="240" w:top="459" w:right="479" w:bottom="1440" w:gutter="0" w:footer="0" w:header="0"/>
        </w:sectPr>
      </w:pPr>
    </w:p>
    <w:bookmarkStart w:id="30" w:name="page31"/>
    <w:bookmarkEnd w:id="3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spacing w:after="0"/>
        <w:rPr>
          <w:sz w:val="20"/>
          <w:szCs w:val="20"/>
          <w:color w:val="auto"/>
        </w:rPr>
      </w:pPr>
      <w:r>
        <w:rPr>
          <w:rFonts w:ascii="Arial" w:cs="Arial" w:eastAsia="Arial" w:hAnsi="Arial"/>
          <w:sz w:val="18"/>
          <w:szCs w:val="18"/>
          <w:i w:val="1"/>
          <w:iCs w:val="1"/>
          <w:color w:val="auto"/>
        </w:rPr>
        <w:t>BEACON Cost-Effectiveness Model Demonstrates Costs Savings Associated with use of RECELL System in Treatment of Severe Burns</w:t>
      </w:r>
    </w:p>
    <w:p>
      <w:pPr>
        <w:spacing w:after="0" w:line="117" w:lineRule="exact"/>
        <w:rPr>
          <w:sz w:val="20"/>
          <w:szCs w:val="20"/>
          <w:color w:val="auto"/>
        </w:rPr>
      </w:pPr>
    </w:p>
    <w:p>
      <w:pPr>
        <w:ind w:left="200" w:firstLine="441"/>
        <w:spacing w:after="0" w:line="255" w:lineRule="auto"/>
        <w:rPr>
          <w:sz w:val="20"/>
          <w:szCs w:val="20"/>
          <w:color w:val="auto"/>
        </w:rPr>
      </w:pPr>
      <w:r>
        <w:rPr>
          <w:rFonts w:ascii="Arial" w:cs="Arial" w:eastAsia="Arial" w:hAnsi="Arial"/>
          <w:sz w:val="18"/>
          <w:szCs w:val="18"/>
          <w:color w:val="auto"/>
        </w:rPr>
        <w:t>To investigate the value proposition and potential transformative health economic impact of the RECELL System in burn care, a hospital-perspective cost-effectiveness model was developed by IQVIA</w:t>
      </w:r>
      <w:r>
        <w:rPr>
          <w:rFonts w:ascii="Arial" w:cs="Arial" w:eastAsia="Arial" w:hAnsi="Arial"/>
          <w:sz w:val="15"/>
          <w:szCs w:val="15"/>
          <w:color w:val="auto"/>
        </w:rPr>
        <w:t>™</w:t>
      </w:r>
      <w:r>
        <w:rPr>
          <w:rFonts w:ascii="Arial" w:cs="Arial" w:eastAsia="Arial" w:hAnsi="Arial"/>
          <w:sz w:val="18"/>
          <w:szCs w:val="18"/>
          <w:color w:val="auto"/>
        </w:rPr>
        <w:t>, the Biomedical Advanced Research and Development Authority (BARDA), and AVITA Medical. The Burn-MCM (Medical Counter Measure) Effectiveness Assessment Cost Outcomes Nexus (BEACON) model evaluates how practice patterns, interventions and patient characteristics interact across all phases of care (wound assessment, debridement/excision, temporary coverage and permanent closure) to understand how patient and burn center outcomes change given the incorporation of a new burn care treatment, such as the RECELL System.</w:t>
      </w:r>
    </w:p>
    <w:p>
      <w:pPr>
        <w:spacing w:after="0" w:line="193" w:lineRule="exact"/>
        <w:rPr>
          <w:sz w:val="20"/>
          <w:szCs w:val="20"/>
          <w:color w:val="auto"/>
        </w:rPr>
      </w:pPr>
    </w:p>
    <w:p>
      <w:pPr>
        <w:ind w:left="200" w:right="80" w:firstLine="441"/>
        <w:spacing w:after="0" w:line="276" w:lineRule="auto"/>
        <w:rPr>
          <w:sz w:val="20"/>
          <w:szCs w:val="20"/>
          <w:color w:val="auto"/>
        </w:rPr>
      </w:pPr>
      <w:r>
        <w:rPr>
          <w:rFonts w:ascii="Arial" w:cs="Arial" w:eastAsia="Arial" w:hAnsi="Arial"/>
          <w:sz w:val="17"/>
          <w:szCs w:val="17"/>
          <w:color w:val="auto"/>
        </w:rPr>
        <w:t xml:space="preserve">As described in a peer-reviewed scientific publication in </w:t>
      </w:r>
      <w:r>
        <w:rPr>
          <w:rFonts w:ascii="Arial" w:cs="Arial" w:eastAsia="Arial" w:hAnsi="Arial"/>
          <w:sz w:val="17"/>
          <w:szCs w:val="17"/>
          <w:i w:val="1"/>
          <w:iCs w:val="1"/>
          <w:color w:val="auto"/>
        </w:rPr>
        <w:t>Advances in Therapy</w:t>
      </w:r>
      <w:r>
        <w:rPr>
          <w:rFonts w:ascii="Arial" w:cs="Arial" w:eastAsia="Arial" w:hAnsi="Arial"/>
          <w:sz w:val="17"/>
          <w:szCs w:val="17"/>
          <w:color w:val="auto"/>
        </w:rPr>
        <w:t>, accepted in April 2019, the BEACON model uses sequential decision trees to depict the acute care pathway for burn patients, and then predicts how the RECELL System would modify treatment for patients with burns ranging from 10% to 40% TBSA. Clinical inputs were derived from randomized controlled trials, burn surgeon surveys and interviews, and the American Burn Association National Burn Repository. An accompanying budget impact model builds on the cost-effectiveness calculations to evaluate overall cost impact to a burn center or payor associated with incorporation of the RECELL System into patient care.</w:t>
      </w:r>
    </w:p>
    <w:p>
      <w:pPr>
        <w:spacing w:after="0" w:line="173" w:lineRule="exact"/>
        <w:rPr>
          <w:sz w:val="20"/>
          <w:szCs w:val="20"/>
          <w:color w:val="auto"/>
        </w:rPr>
      </w:pPr>
    </w:p>
    <w:p>
      <w:pPr>
        <w:ind w:left="200" w:firstLine="441"/>
        <w:spacing w:after="0" w:line="273" w:lineRule="auto"/>
        <w:rPr>
          <w:sz w:val="20"/>
          <w:szCs w:val="20"/>
          <w:color w:val="auto"/>
        </w:rPr>
      </w:pPr>
      <w:r>
        <w:rPr>
          <w:rFonts w:ascii="Arial" w:cs="Arial" w:eastAsia="Arial" w:hAnsi="Arial"/>
          <w:sz w:val="17"/>
          <w:szCs w:val="17"/>
          <w:color w:val="auto"/>
        </w:rPr>
        <w:t>The BEACON model shows that treatment using the RECELL System for deep partial-thickness burns reduces total treatment costs by an average of 26%, or approximately US$37,000, for patients with 10% TBSA and 40%, or approximately US$150,000, for patients with 40% TBSA. For full-thickness burns, treatment using the RECELL System reduced total treatment cost by 3%, or approximately US$6,000, for patients with 10% TBSA, and by 42% or approximately US$243,000, for patients with 40% TBSA. The cost reductions are attributed to decreasing the length of hospital stay, the number of procedures required to close the burn wound, the donor site size and associated wound care, and number of downstream contracture release procedures. All cost savings estimates are net of the cost of the RECELL System.</w:t>
      </w:r>
    </w:p>
    <w:p>
      <w:pPr>
        <w:spacing w:after="0" w:line="178" w:lineRule="exact"/>
        <w:rPr>
          <w:sz w:val="20"/>
          <w:szCs w:val="20"/>
          <w:color w:val="auto"/>
        </w:rPr>
      </w:pPr>
    </w:p>
    <w:p>
      <w:pPr>
        <w:ind w:left="200" w:right="20" w:firstLine="441"/>
        <w:spacing w:after="0" w:line="286" w:lineRule="auto"/>
        <w:rPr>
          <w:sz w:val="20"/>
          <w:szCs w:val="20"/>
          <w:color w:val="auto"/>
        </w:rPr>
      </w:pPr>
      <w:r>
        <w:rPr>
          <w:rFonts w:ascii="Arial" w:cs="Arial" w:eastAsia="Arial" w:hAnsi="Arial"/>
          <w:sz w:val="17"/>
          <w:szCs w:val="17"/>
          <w:color w:val="auto"/>
        </w:rPr>
        <w:t>The budget impact model was also used to calculate the annual budget impact of current standard of care for the treatment of burns versus treatment using the RECELL System for a burn center with 200 patients. The model determined that treatment using the RECELL System would reduce annual total treatment costs from approximately US$39.4 million to US$32.6 million, saving 17% or approximately US$6.8 million.</w:t>
      </w:r>
    </w:p>
    <w:p>
      <w:pPr>
        <w:spacing w:after="0" w:line="166" w:lineRule="exact"/>
        <w:rPr>
          <w:sz w:val="20"/>
          <w:szCs w:val="20"/>
          <w:color w:val="auto"/>
        </w:rPr>
      </w:pPr>
    </w:p>
    <w:p>
      <w:pPr>
        <w:ind w:left="200" w:right="80" w:firstLine="441"/>
        <w:spacing w:after="0" w:line="257" w:lineRule="auto"/>
        <w:rPr>
          <w:sz w:val="20"/>
          <w:szCs w:val="20"/>
          <w:color w:val="auto"/>
        </w:rPr>
      </w:pPr>
      <w:r>
        <w:rPr>
          <w:rFonts w:ascii="Arial" w:cs="Arial" w:eastAsia="Arial" w:hAnsi="Arial"/>
          <w:sz w:val="18"/>
          <w:szCs w:val="18"/>
          <w:color w:val="auto"/>
        </w:rPr>
        <w:t>The BEACON model may be run for the specific demographics of an individual burn center or territory, allowing the burn institution or region to evaluate the potential benefits of the RECELL System within their specific population of burn patients. As described by researchers at a presentation at the American Burn Association 51</w:t>
      </w:r>
      <w:r>
        <w:rPr>
          <w:rFonts w:ascii="Arial" w:cs="Arial" w:eastAsia="Arial" w:hAnsi="Arial"/>
          <w:sz w:val="15"/>
          <w:szCs w:val="15"/>
          <w:color w:val="auto"/>
        </w:rPr>
        <w:t>st</w:t>
      </w:r>
      <w:r>
        <w:rPr>
          <w:rFonts w:ascii="Arial" w:cs="Arial" w:eastAsia="Arial" w:hAnsi="Arial"/>
          <w:sz w:val="18"/>
          <w:szCs w:val="18"/>
          <w:color w:val="auto"/>
        </w:rPr>
        <w:t xml:space="preserve"> Annual Meeting in April 2019, the patient characteristics for the Arizona Burn Center (for example, age, burn depth, TBSA) were input into the BEACON model based on the 800 patients with 10% TBSA and greater burns treated in 2018 at the institution, and demonstrated:</w:t>
      </w:r>
    </w:p>
    <w:p>
      <w:pPr>
        <w:spacing w:after="0" w:line="94" w:lineRule="exact"/>
        <w:rPr>
          <w:sz w:val="20"/>
          <w:szCs w:val="20"/>
          <w:color w:val="auto"/>
        </w:rPr>
      </w:pPr>
    </w:p>
    <w:p>
      <w:pPr>
        <w:ind w:left="1180" w:right="40" w:hanging="436"/>
        <w:spacing w:after="0" w:line="277" w:lineRule="auto"/>
        <w:tabs>
          <w:tab w:leader="none" w:pos="11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Arizona Burn Center would save approximately US$28 million (16%) per year using the RECELL System versus the current standard of care (net of the cost of the RECELL System)</w:t>
      </w:r>
    </w:p>
    <w:p>
      <w:pPr>
        <w:spacing w:after="0" w:line="75" w:lineRule="exact"/>
        <w:rPr>
          <w:rFonts w:ascii="Arial" w:cs="Arial" w:eastAsia="Arial" w:hAnsi="Arial"/>
          <w:sz w:val="18"/>
          <w:szCs w:val="18"/>
          <w:color w:val="auto"/>
        </w:rPr>
      </w:pPr>
    </w:p>
    <w:p>
      <w:pPr>
        <w:ind w:left="1180" w:hanging="436"/>
        <w:spacing w:after="0"/>
        <w:tabs>
          <w:tab w:leader="none" w:pos="11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largest driver of the predicted cost savings is reduction in length of stay per patient, comprising 70% of the savings</w:t>
      </w:r>
    </w:p>
    <w:p>
      <w:pPr>
        <w:spacing w:after="0" w:line="130" w:lineRule="exact"/>
        <w:rPr>
          <w:rFonts w:ascii="Arial" w:cs="Arial" w:eastAsia="Arial" w:hAnsi="Arial"/>
          <w:sz w:val="18"/>
          <w:szCs w:val="18"/>
          <w:color w:val="auto"/>
        </w:rPr>
      </w:pPr>
    </w:p>
    <w:p>
      <w:pPr>
        <w:ind w:left="1180" w:right="40" w:hanging="436"/>
        <w:spacing w:after="0" w:line="277" w:lineRule="auto"/>
        <w:tabs>
          <w:tab w:leader="none" w:pos="11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Also contributing to the estimated cost savings is an approximate 67% less autografting procedures, with reduction in operating room time contributing another 13% to the estimated cost savings</w:t>
      </w:r>
    </w:p>
    <w:p>
      <w:pPr>
        <w:spacing w:after="0" w:line="170" w:lineRule="exact"/>
        <w:rPr>
          <w:sz w:val="20"/>
          <w:szCs w:val="20"/>
          <w:color w:val="auto"/>
        </w:rPr>
      </w:pPr>
    </w:p>
    <w:p>
      <w:pPr>
        <w:ind w:left="200" w:right="140" w:firstLine="441"/>
        <w:spacing w:after="0" w:line="279" w:lineRule="auto"/>
        <w:rPr>
          <w:sz w:val="20"/>
          <w:szCs w:val="20"/>
          <w:color w:val="auto"/>
        </w:rPr>
      </w:pPr>
      <w:r>
        <w:rPr>
          <w:rFonts w:ascii="Arial" w:cs="Arial" w:eastAsia="Arial" w:hAnsi="Arial"/>
          <w:sz w:val="17"/>
          <w:szCs w:val="17"/>
          <w:color w:val="auto"/>
        </w:rPr>
        <w:t>A similar presentation was made by researchers at the 31st Annual Southern Region Burn Conference in November 2018 which described the application of the BEACON model to the patient characteristics for the Firefighter Burn Center, Memphis, Tennessee, and University of Tennessee Health Science Center. The model determined that treating patients with the RECELL System alone, or in combination with widely spaced skin grafts, could reduce the burn center’s costs by up to US$21 million per year compared to conventional treatment.</w:t>
      </w:r>
    </w:p>
    <w:p>
      <w:pPr>
        <w:spacing w:after="0" w:line="104"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200"/>
          </w:cols>
          <w:pgMar w:left="240" w:top="459" w:right="459" w:bottom="1440" w:gutter="0" w:footer="0" w:header="0"/>
        </w:sectPr>
      </w:pPr>
    </w:p>
    <w:bookmarkStart w:id="31" w:name="page32"/>
    <w:bookmarkEnd w:id="3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140"/>
        <w:spacing w:after="0" w:line="277" w:lineRule="auto"/>
        <w:rPr>
          <w:sz w:val="20"/>
          <w:szCs w:val="20"/>
          <w:color w:val="auto"/>
        </w:rPr>
      </w:pPr>
      <w:r>
        <w:rPr>
          <w:rFonts w:ascii="Arial" w:cs="Arial" w:eastAsia="Arial" w:hAnsi="Arial"/>
          <w:sz w:val="18"/>
          <w:szCs w:val="18"/>
          <w:color w:val="auto"/>
        </w:rPr>
        <w:t>Major drivers of the cost savings included a decrease in length of hospital stay and a reduction in the number of surgeries and related resources (blood transfusions and dressings).</w:t>
      </w:r>
    </w:p>
    <w:p>
      <w:pPr>
        <w:spacing w:after="0" w:line="170" w:lineRule="exact"/>
        <w:rPr>
          <w:sz w:val="20"/>
          <w:szCs w:val="20"/>
          <w:color w:val="auto"/>
        </w:rPr>
      </w:pPr>
    </w:p>
    <w:p>
      <w:pPr>
        <w:ind w:left="200" w:right="200"/>
        <w:spacing w:after="0" w:line="277" w:lineRule="auto"/>
        <w:rPr>
          <w:sz w:val="20"/>
          <w:szCs w:val="20"/>
          <w:color w:val="auto"/>
        </w:rPr>
      </w:pPr>
      <w:r>
        <w:rPr>
          <w:rFonts w:ascii="Arial" w:cs="Arial" w:eastAsia="Arial" w:hAnsi="Arial"/>
          <w:sz w:val="18"/>
          <w:szCs w:val="18"/>
          <w:color w:val="auto"/>
        </w:rPr>
        <w:t>The BEACON model highlights the potential of the RECELL System to improve patient care in the treatment of severe burns, while also providing a technique for reducing the total cost of treatment.</w:t>
      </w:r>
    </w:p>
    <w:p>
      <w:pPr>
        <w:spacing w:after="0" w:line="279" w:lineRule="exact"/>
        <w:rPr>
          <w:sz w:val="20"/>
          <w:szCs w:val="20"/>
          <w:color w:val="auto"/>
        </w:rPr>
      </w:pPr>
    </w:p>
    <w:p>
      <w:pPr>
        <w:ind w:left="200"/>
        <w:spacing w:after="0"/>
        <w:rPr>
          <w:sz w:val="20"/>
          <w:szCs w:val="20"/>
          <w:color w:val="auto"/>
        </w:rPr>
      </w:pPr>
      <w:r>
        <w:rPr>
          <w:rFonts w:ascii="Arial" w:cs="Arial" w:eastAsia="Arial" w:hAnsi="Arial"/>
          <w:sz w:val="18"/>
          <w:szCs w:val="18"/>
          <w:u w:val="single" w:color="auto"/>
          <w:color w:val="auto"/>
        </w:rPr>
        <w:t>Additional RECELL Clinical Results in Severe Burns</w:t>
      </w:r>
    </w:p>
    <w:p>
      <w:pPr>
        <w:spacing w:after="0" w:line="117" w:lineRule="exact"/>
        <w:rPr>
          <w:sz w:val="20"/>
          <w:szCs w:val="20"/>
          <w:color w:val="auto"/>
        </w:rPr>
      </w:pPr>
    </w:p>
    <w:p>
      <w:pPr>
        <w:ind w:left="200" w:right="160" w:firstLine="441"/>
        <w:spacing w:after="0" w:line="259" w:lineRule="auto"/>
        <w:rPr>
          <w:sz w:val="20"/>
          <w:szCs w:val="20"/>
          <w:color w:val="auto"/>
        </w:rPr>
      </w:pPr>
      <w:r>
        <w:rPr>
          <w:rFonts w:ascii="Arial" w:cs="Arial" w:eastAsia="Arial" w:hAnsi="Arial"/>
          <w:sz w:val="18"/>
          <w:szCs w:val="18"/>
          <w:color w:val="auto"/>
        </w:rPr>
        <w:t>A series of studies have been presented at scientific conferences and evaluated multiple patient categories and burn types in more than 150 burn patients that were treated under FDA-approved Investigational Device Exemption (IDE) Compassionate Use and Continued Access programs made available to patients prior to the FDA approval. Many of these studies includes a class of patients or types of burn injuries that fall outside of the currently approved U.S. product labeling.</w:t>
      </w:r>
    </w:p>
    <w:p>
      <w:pPr>
        <w:spacing w:after="0" w:line="295" w:lineRule="exact"/>
        <w:rPr>
          <w:sz w:val="20"/>
          <w:szCs w:val="20"/>
          <w:color w:val="auto"/>
        </w:rPr>
      </w:pPr>
    </w:p>
    <w:p>
      <w:pPr>
        <w:ind w:left="200"/>
        <w:spacing w:after="0"/>
        <w:rPr>
          <w:sz w:val="20"/>
          <w:szCs w:val="20"/>
          <w:color w:val="auto"/>
        </w:rPr>
      </w:pPr>
      <w:r>
        <w:rPr>
          <w:rFonts w:ascii="Arial" w:cs="Arial" w:eastAsia="Arial" w:hAnsi="Arial"/>
          <w:sz w:val="18"/>
          <w:szCs w:val="18"/>
          <w:i w:val="1"/>
          <w:iCs w:val="1"/>
          <w:color w:val="auto"/>
        </w:rPr>
        <w:t>RECELL in Treatment of Facial Burns</w:t>
      </w:r>
    </w:p>
    <w:p>
      <w:pPr>
        <w:spacing w:after="0" w:line="117" w:lineRule="exact"/>
        <w:rPr>
          <w:sz w:val="20"/>
          <w:szCs w:val="20"/>
          <w:color w:val="auto"/>
        </w:rPr>
      </w:pPr>
    </w:p>
    <w:p>
      <w:pPr>
        <w:jc w:val="both"/>
        <w:ind w:left="200" w:right="520" w:firstLine="441"/>
        <w:spacing w:after="0" w:line="286" w:lineRule="auto"/>
        <w:rPr>
          <w:sz w:val="20"/>
          <w:szCs w:val="20"/>
          <w:color w:val="auto"/>
        </w:rPr>
      </w:pPr>
      <w:r>
        <w:rPr>
          <w:rFonts w:ascii="Arial" w:cs="Arial" w:eastAsia="Arial" w:hAnsi="Arial"/>
          <w:sz w:val="17"/>
          <w:szCs w:val="17"/>
          <w:color w:val="auto"/>
        </w:rPr>
        <w:t>Deep partial-thickness facial burns present a challenge in reconstructive surgery. Standard of care typically includes excision and allograft followed by split-thickness autografting. Limitations of the current treatment regimen includes dyspigmentation at the sites of the skin grafts and hypertrophic scaring at the seams of the grafts, resulting in substantial patient dissatisfaction with the outcome.</w:t>
      </w:r>
    </w:p>
    <w:p>
      <w:pPr>
        <w:spacing w:after="0" w:line="166" w:lineRule="exact"/>
        <w:rPr>
          <w:sz w:val="20"/>
          <w:szCs w:val="20"/>
          <w:color w:val="auto"/>
        </w:rPr>
      </w:pPr>
    </w:p>
    <w:p>
      <w:pPr>
        <w:jc w:val="both"/>
        <w:ind w:left="200" w:firstLine="441"/>
        <w:spacing w:after="0" w:line="257" w:lineRule="auto"/>
        <w:rPr>
          <w:sz w:val="20"/>
          <w:szCs w:val="20"/>
          <w:color w:val="auto"/>
        </w:rPr>
      </w:pPr>
      <w:r>
        <w:rPr>
          <w:rFonts w:ascii="Arial" w:cs="Arial" w:eastAsia="Arial" w:hAnsi="Arial"/>
          <w:sz w:val="18"/>
          <w:szCs w:val="18"/>
          <w:color w:val="auto"/>
        </w:rPr>
        <w:t>At the American Burn Association 50</w:t>
      </w:r>
      <w:r>
        <w:rPr>
          <w:rFonts w:ascii="Arial" w:cs="Arial" w:eastAsia="Arial" w:hAnsi="Arial"/>
          <w:sz w:val="15"/>
          <w:szCs w:val="15"/>
          <w:color w:val="auto"/>
        </w:rPr>
        <w:t>th</w:t>
      </w:r>
      <w:r>
        <w:rPr>
          <w:rFonts w:ascii="Arial" w:cs="Arial" w:eastAsia="Arial" w:hAnsi="Arial"/>
          <w:sz w:val="18"/>
          <w:szCs w:val="18"/>
          <w:color w:val="auto"/>
        </w:rPr>
        <w:t xml:space="preserve"> Annual Meeting in April 2018, clinical researchers provided a retrospective review of clinical outcomes obtained in the treatment with the RECELL System of five patients with acute deep partial-thickness facial burn injuries under the Compassionate Use IDE program. Patients in the facial burn case studies ranged from 2 to 40 years of age and had burns covering 35% to 62% TBSA. Researchers reported that in this small study, treatment using the RECELL System provided equivalent or superior results to current treatments in facial burn care in terms of wound healing, and excellent cosmetic outcomes.</w:t>
      </w:r>
    </w:p>
    <w:p>
      <w:pPr>
        <w:spacing w:after="0" w:line="188" w:lineRule="exact"/>
        <w:rPr>
          <w:sz w:val="20"/>
          <w:szCs w:val="20"/>
          <w:color w:val="auto"/>
        </w:rPr>
      </w:pPr>
    </w:p>
    <w:p>
      <w:pPr>
        <w:jc w:val="both"/>
        <w:ind w:left="200" w:right="540" w:firstLine="441"/>
        <w:spacing w:after="0" w:line="264" w:lineRule="auto"/>
        <w:rPr>
          <w:sz w:val="20"/>
          <w:szCs w:val="20"/>
          <w:color w:val="auto"/>
        </w:rPr>
      </w:pPr>
      <w:r>
        <w:rPr>
          <w:rFonts w:ascii="Arial" w:cs="Arial" w:eastAsia="Arial" w:hAnsi="Arial"/>
          <w:sz w:val="18"/>
          <w:szCs w:val="18"/>
          <w:color w:val="auto"/>
        </w:rPr>
        <w:t>A representative patient in the trial was a 12-year-old girl with 2nd-degree facial burn and widespread 3rd-degree burns, with total injuries encompassing a 62% TBSA. The patient had insufficient donor skin available for standard autografts. The healing of the patient’s facial burns is highlighted in the progressions of photographs included below.</w:t>
      </w:r>
    </w:p>
    <w:p>
      <w:pPr>
        <w:spacing w:after="0" w:line="285" w:lineRule="exact"/>
        <w:rPr>
          <w:sz w:val="20"/>
          <w:szCs w:val="20"/>
          <w:color w:val="auto"/>
        </w:rPr>
      </w:pPr>
    </w:p>
    <w:p>
      <w:pPr>
        <w:jc w:val="center"/>
        <w:ind w:right="-279"/>
        <w:spacing w:after="0"/>
        <w:rPr>
          <w:sz w:val="20"/>
          <w:szCs w:val="20"/>
          <w:color w:val="auto"/>
        </w:rPr>
      </w:pPr>
      <w:r>
        <w:rPr>
          <w:rFonts w:ascii="Arial" w:cs="Arial" w:eastAsia="Arial" w:hAnsi="Arial"/>
          <w:sz w:val="18"/>
          <w:szCs w:val="18"/>
          <w:b w:val="1"/>
          <w:bCs w:val="1"/>
          <w:color w:val="auto"/>
        </w:rPr>
        <w:t>Facial Burn Case Study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476885</wp:posOffset>
            </wp:positionH>
            <wp:positionV relativeFrom="paragraph">
              <wp:posOffset>172085</wp:posOffset>
            </wp:positionV>
            <wp:extent cx="788670" cy="108902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88670" cy="1089025"/>
                    </a:xfrm>
                    <a:prstGeom prst="rect">
                      <a:avLst/>
                    </a:prstGeom>
                    <a:noFill/>
                  </pic:spPr>
                </pic:pic>
              </a:graphicData>
            </a:graphic>
          </wp:anchor>
        </w:drawing>
        <w:drawing>
          <wp:anchor simplePos="0" relativeHeight="251657728" behindDoc="1" locked="0" layoutInCell="0" allowOverlap="1">
            <wp:simplePos x="0" y="0"/>
            <wp:positionH relativeFrom="column">
              <wp:posOffset>2011680</wp:posOffset>
            </wp:positionH>
            <wp:positionV relativeFrom="paragraph">
              <wp:posOffset>172085</wp:posOffset>
            </wp:positionV>
            <wp:extent cx="746125" cy="108902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46125" cy="1089025"/>
                    </a:xfrm>
                    <a:prstGeom prst="rect">
                      <a:avLst/>
                    </a:prstGeom>
                    <a:noFill/>
                  </pic:spPr>
                </pic:pic>
              </a:graphicData>
            </a:graphic>
          </wp:anchor>
        </w:drawing>
        <w:drawing>
          <wp:anchor simplePos="0" relativeHeight="251657728" behindDoc="1" locked="0" layoutInCell="0" allowOverlap="1">
            <wp:simplePos x="0" y="0"/>
            <wp:positionH relativeFrom="column">
              <wp:posOffset>3418205</wp:posOffset>
            </wp:positionH>
            <wp:positionV relativeFrom="paragraph">
              <wp:posOffset>172085</wp:posOffset>
            </wp:positionV>
            <wp:extent cx="746125" cy="108902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46125" cy="1089025"/>
                    </a:xfrm>
                    <a:prstGeom prst="rect">
                      <a:avLst/>
                    </a:prstGeom>
                    <a:noFill/>
                  </pic:spPr>
                </pic:pic>
              </a:graphicData>
            </a:graphic>
          </wp:anchor>
        </w:drawing>
        <w:drawing>
          <wp:anchor simplePos="0" relativeHeight="251657728" behindDoc="1" locked="0" layoutInCell="0" allowOverlap="1">
            <wp:simplePos x="0" y="0"/>
            <wp:positionH relativeFrom="column">
              <wp:posOffset>4781550</wp:posOffset>
            </wp:positionH>
            <wp:positionV relativeFrom="paragraph">
              <wp:posOffset>172085</wp:posOffset>
            </wp:positionV>
            <wp:extent cx="2160905" cy="108902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2160905" cy="10890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ind w:left="900"/>
        <w:spacing w:after="0"/>
        <w:tabs>
          <w:tab w:leader="none" w:pos="3560" w:val="left"/>
          <w:tab w:leader="none" w:pos="5720" w:val="left"/>
          <w:tab w:leader="none" w:pos="7860" w:val="left"/>
          <w:tab w:leader="none" w:pos="10080" w:val="left"/>
        </w:tabs>
        <w:rPr>
          <w:sz w:val="20"/>
          <w:szCs w:val="20"/>
          <w:color w:val="auto"/>
        </w:rPr>
      </w:pPr>
      <w:r>
        <w:rPr>
          <w:rFonts w:ascii="Arial" w:cs="Arial" w:eastAsia="Arial" w:hAnsi="Arial"/>
          <w:sz w:val="14"/>
          <w:szCs w:val="14"/>
          <w:b w:val="1"/>
          <w:bCs w:val="1"/>
          <w:color w:val="auto"/>
        </w:rPr>
        <w:t>Treatment Day</w:t>
      </w:r>
      <w:r>
        <w:rPr>
          <w:sz w:val="20"/>
          <w:szCs w:val="20"/>
          <w:color w:val="auto"/>
        </w:rPr>
        <w:tab/>
      </w:r>
      <w:r>
        <w:rPr>
          <w:rFonts w:ascii="Arial" w:cs="Arial" w:eastAsia="Arial" w:hAnsi="Arial"/>
          <w:sz w:val="14"/>
          <w:szCs w:val="14"/>
          <w:b w:val="1"/>
          <w:bCs w:val="1"/>
          <w:color w:val="auto"/>
        </w:rPr>
        <w:t>Day 7</w:t>
      </w:r>
      <w:r>
        <w:rPr>
          <w:sz w:val="20"/>
          <w:szCs w:val="20"/>
          <w:color w:val="auto"/>
        </w:rPr>
        <w:tab/>
      </w:r>
      <w:r>
        <w:rPr>
          <w:rFonts w:ascii="Arial" w:cs="Arial" w:eastAsia="Arial" w:hAnsi="Arial"/>
          <w:sz w:val="14"/>
          <w:szCs w:val="14"/>
          <w:b w:val="1"/>
          <w:bCs w:val="1"/>
          <w:color w:val="auto"/>
        </w:rPr>
        <w:t>Day 21</w:t>
      </w:r>
      <w:r>
        <w:rPr>
          <w:sz w:val="20"/>
          <w:szCs w:val="20"/>
          <w:color w:val="auto"/>
        </w:rPr>
        <w:tab/>
      </w:r>
      <w:r>
        <w:rPr>
          <w:rFonts w:ascii="Arial" w:cs="Arial" w:eastAsia="Arial" w:hAnsi="Arial"/>
          <w:sz w:val="14"/>
          <w:szCs w:val="14"/>
          <w:b w:val="1"/>
          <w:bCs w:val="1"/>
          <w:color w:val="auto"/>
        </w:rPr>
        <w:t>3 months</w:t>
      </w:r>
      <w:r>
        <w:rPr>
          <w:sz w:val="20"/>
          <w:szCs w:val="20"/>
          <w:color w:val="auto"/>
        </w:rPr>
        <w:tab/>
      </w:r>
      <w:r>
        <w:rPr>
          <w:rFonts w:ascii="Arial" w:cs="Arial" w:eastAsia="Arial" w:hAnsi="Arial"/>
          <w:sz w:val="13"/>
          <w:szCs w:val="13"/>
          <w:b w:val="1"/>
          <w:bCs w:val="1"/>
          <w:color w:val="auto"/>
        </w:rPr>
        <w:t>1 year</w:t>
      </w:r>
    </w:p>
    <w:p>
      <w:pPr>
        <w:spacing w:after="0" w:line="226" w:lineRule="exact"/>
        <w:rPr>
          <w:sz w:val="20"/>
          <w:szCs w:val="20"/>
          <w:color w:val="auto"/>
        </w:rPr>
      </w:pPr>
    </w:p>
    <w:p>
      <w:pPr>
        <w:ind w:left="200" w:right="80" w:firstLine="441"/>
        <w:spacing w:after="0" w:line="342" w:lineRule="auto"/>
        <w:rPr>
          <w:sz w:val="20"/>
          <w:szCs w:val="20"/>
          <w:color w:val="auto"/>
        </w:rPr>
      </w:pPr>
      <w:r>
        <w:rPr>
          <w:rFonts w:ascii="Arial" w:cs="Arial" w:eastAsia="Arial" w:hAnsi="Arial"/>
          <w:sz w:val="16"/>
          <w:szCs w:val="16"/>
          <w:color w:val="auto"/>
        </w:rPr>
        <w:t>Researchers observed that the reintroduction of melanocytes as part of the cellular suspension prepared using the RECELL System resulted in an excellent cosmetic outcome. The patient did not require surgical revisions for facial contractures and was discharged from the hospital in 24 days.</w:t>
      </w:r>
    </w:p>
    <w:p>
      <w:pPr>
        <w:spacing w:after="0" w:line="232" w:lineRule="exact"/>
        <w:rPr>
          <w:sz w:val="20"/>
          <w:szCs w:val="20"/>
          <w:color w:val="auto"/>
        </w:rPr>
      </w:pPr>
    </w:p>
    <w:p>
      <w:pPr>
        <w:ind w:left="200"/>
        <w:spacing w:after="0"/>
        <w:rPr>
          <w:sz w:val="20"/>
          <w:szCs w:val="20"/>
          <w:color w:val="auto"/>
        </w:rPr>
      </w:pPr>
      <w:r>
        <w:rPr>
          <w:rFonts w:ascii="Arial" w:cs="Arial" w:eastAsia="Arial" w:hAnsi="Arial"/>
          <w:sz w:val="18"/>
          <w:szCs w:val="18"/>
          <w:i w:val="1"/>
          <w:iCs w:val="1"/>
          <w:color w:val="auto"/>
        </w:rPr>
        <w:t>RECELL in Treatment of Pediatric Patients</w:t>
      </w:r>
    </w:p>
    <w:p>
      <w:pPr>
        <w:spacing w:after="0" w:line="117" w:lineRule="exact"/>
        <w:rPr>
          <w:sz w:val="20"/>
          <w:szCs w:val="20"/>
          <w:color w:val="auto"/>
        </w:rPr>
      </w:pPr>
    </w:p>
    <w:p>
      <w:pPr>
        <w:ind w:left="200" w:right="220" w:firstLine="441"/>
        <w:spacing w:after="0" w:line="277" w:lineRule="auto"/>
        <w:rPr>
          <w:sz w:val="20"/>
          <w:szCs w:val="20"/>
          <w:color w:val="auto"/>
        </w:rPr>
      </w:pPr>
      <w:r>
        <w:rPr>
          <w:rFonts w:ascii="Arial" w:cs="Arial" w:eastAsia="Arial" w:hAnsi="Arial"/>
          <w:sz w:val="18"/>
          <w:szCs w:val="18"/>
          <w:color w:val="auto"/>
        </w:rPr>
        <w:t>In patients with extensive burn injuries, lack of available donor skin is a major limitation achieving permanent closure, and the longer a wound remains open the more susceptible a patient is to infection. In the</w:t>
      </w:r>
    </w:p>
    <w:p>
      <w:pPr>
        <w:spacing w:after="0" w:line="103" w:lineRule="exact"/>
        <w:rPr>
          <w:sz w:val="20"/>
          <w:szCs w:val="20"/>
          <w:color w:val="auto"/>
        </w:rPr>
      </w:pPr>
    </w:p>
    <w:p>
      <w:pPr>
        <w:jc w:val="center"/>
        <w:ind w:right="-279"/>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160"/>
          </w:cols>
          <w:pgMar w:left="240" w:top="459" w:right="499" w:bottom="1440" w:gutter="0" w:footer="0" w:header="0"/>
        </w:sectPr>
      </w:pPr>
    </w:p>
    <w:bookmarkStart w:id="32" w:name="page33"/>
    <w:bookmarkEnd w:id="3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140"/>
        <w:spacing w:after="0" w:line="264" w:lineRule="auto"/>
        <w:rPr>
          <w:sz w:val="20"/>
          <w:szCs w:val="20"/>
          <w:color w:val="auto"/>
        </w:rPr>
      </w:pPr>
      <w:r>
        <w:rPr>
          <w:rFonts w:ascii="Arial" w:cs="Arial" w:eastAsia="Arial" w:hAnsi="Arial"/>
          <w:sz w:val="18"/>
          <w:szCs w:val="18"/>
          <w:color w:val="auto"/>
        </w:rPr>
        <w:t>U.S., one-third of burn injuries occur in children, and the availability of donor skin for traditional meshed autografts is even more limited in pediatric patients with extensive injuries. The use of the RECELL System, a donor skin sparing technology that enables rapid definitive closure of burn wounds, has the potential to improve patient outcomes.</w:t>
      </w:r>
    </w:p>
    <w:p>
      <w:pPr>
        <w:spacing w:after="0" w:line="181" w:lineRule="exact"/>
        <w:rPr>
          <w:sz w:val="20"/>
          <w:szCs w:val="20"/>
          <w:color w:val="auto"/>
        </w:rPr>
      </w:pPr>
    </w:p>
    <w:p>
      <w:pPr>
        <w:ind w:left="200" w:right="20" w:firstLine="441"/>
        <w:spacing w:after="0" w:line="279" w:lineRule="auto"/>
        <w:rPr>
          <w:sz w:val="20"/>
          <w:szCs w:val="20"/>
          <w:color w:val="auto"/>
        </w:rPr>
      </w:pPr>
      <w:r>
        <w:rPr>
          <w:rFonts w:ascii="Arial" w:cs="Arial" w:eastAsia="Arial" w:hAnsi="Arial"/>
          <w:sz w:val="17"/>
          <w:szCs w:val="17"/>
          <w:color w:val="auto"/>
        </w:rPr>
        <w:t>Interim results describing clinical outcomes for pediatric patients treated using the RECELL System were presented at the American Burn Association (ABA) 51st Annual Meeting in April 2019. The study included a total of 23 pediatric patients with a median age of 6.7 years old (ranging from 0.8 to 16.0) treated under FDA IDE Compassionate Use and Continued Access programs with mixed-depth and full-thickness (third-degree) burns. The presentation was selected as a “Best of the Best Abstract” out of more than 500 abstract submissions to the ABA meeting.</w:t>
      </w:r>
    </w:p>
    <w:p>
      <w:pPr>
        <w:spacing w:after="0" w:line="171" w:lineRule="exact"/>
        <w:rPr>
          <w:sz w:val="20"/>
          <w:szCs w:val="20"/>
          <w:color w:val="auto"/>
        </w:rPr>
      </w:pPr>
    </w:p>
    <w:p>
      <w:pPr>
        <w:ind w:left="200" w:right="100" w:firstLine="441"/>
        <w:spacing w:after="0" w:line="270" w:lineRule="auto"/>
        <w:rPr>
          <w:sz w:val="20"/>
          <w:szCs w:val="20"/>
          <w:color w:val="auto"/>
        </w:rPr>
      </w:pPr>
      <w:r>
        <w:rPr>
          <w:rFonts w:ascii="Arial" w:cs="Arial" w:eastAsia="Arial" w:hAnsi="Arial"/>
          <w:sz w:val="17"/>
          <w:szCs w:val="17"/>
          <w:color w:val="auto"/>
        </w:rPr>
        <w:t>In this study of pediatric patients which included those with life-threatening thermal burn injuries, Spray-On Skin Cells prepared using the RECELL System were applied in combination with widely meshed split-thickness autografts to achieve definitive closure using minimal donor skin. A total of 107 burn wounds were treated in the study, and 98% achieved definitive healing within four weeks of treatment. Importantly, for patients with greater than 50% TBSA burns, treatment with the combination of Spray-On Skin Cells and widely meshed split-thickness autografts achieved the same high rate of healing at week four as patients with smaller burns (burns equal to or less than 50% TBSA) treated with the same combination. In addition, in the study the donor sites on all patients were treated with Spray-On Skin Cells, and 62.5% of the donor sites were healed within a week of treatment, and 100% were completely healed within two weeks of treatment. Researcher reported that the majority of burn sites had cosmetic outcomes rated as satisfactory or equivalent compared to uninjured skin and that the early healing of donor sites contributed to a decrease between harvest times for patients with limited donor skin availability.</w:t>
      </w:r>
    </w:p>
    <w:p>
      <w:pPr>
        <w:spacing w:after="0" w:line="182" w:lineRule="exact"/>
        <w:rPr>
          <w:sz w:val="20"/>
          <w:szCs w:val="20"/>
          <w:color w:val="auto"/>
        </w:rPr>
      </w:pPr>
    </w:p>
    <w:p>
      <w:pPr>
        <w:ind w:left="200" w:right="100" w:firstLine="441"/>
        <w:spacing w:after="0" w:line="277" w:lineRule="auto"/>
        <w:rPr>
          <w:sz w:val="20"/>
          <w:szCs w:val="20"/>
          <w:color w:val="auto"/>
        </w:rPr>
      </w:pPr>
      <w:r>
        <w:rPr>
          <w:rFonts w:ascii="Arial" w:cs="Arial" w:eastAsia="Arial" w:hAnsi="Arial"/>
          <w:sz w:val="18"/>
          <w:szCs w:val="18"/>
          <w:color w:val="auto"/>
        </w:rPr>
        <w:t>Two additional randomized, controlled clinical trials using the RECELL System in the treatment of pediatric patients are currently underway, and a third trial in this population is expected to begin in the middle of 2019.</w:t>
      </w:r>
    </w:p>
    <w:p>
      <w:pPr>
        <w:spacing w:after="0" w:line="279" w:lineRule="exact"/>
        <w:rPr>
          <w:sz w:val="20"/>
          <w:szCs w:val="20"/>
          <w:color w:val="auto"/>
        </w:rPr>
      </w:pPr>
    </w:p>
    <w:p>
      <w:pPr>
        <w:ind w:left="200"/>
        <w:spacing w:after="0"/>
        <w:rPr>
          <w:sz w:val="20"/>
          <w:szCs w:val="20"/>
          <w:color w:val="auto"/>
        </w:rPr>
      </w:pPr>
      <w:r>
        <w:rPr>
          <w:rFonts w:ascii="Arial" w:cs="Arial" w:eastAsia="Arial" w:hAnsi="Arial"/>
          <w:sz w:val="18"/>
          <w:szCs w:val="18"/>
          <w:i w:val="1"/>
          <w:iCs w:val="1"/>
          <w:color w:val="auto"/>
        </w:rPr>
        <w:t>RECELL Treatment of Donor Sites</w:t>
      </w:r>
    </w:p>
    <w:p>
      <w:pPr>
        <w:spacing w:after="0" w:line="117" w:lineRule="exact"/>
        <w:rPr>
          <w:sz w:val="20"/>
          <w:szCs w:val="20"/>
          <w:color w:val="auto"/>
        </w:rPr>
      </w:pPr>
    </w:p>
    <w:p>
      <w:pPr>
        <w:ind w:left="200" w:firstLine="441"/>
        <w:spacing w:after="0" w:line="312" w:lineRule="auto"/>
        <w:rPr>
          <w:sz w:val="20"/>
          <w:szCs w:val="20"/>
          <w:color w:val="auto"/>
        </w:rPr>
      </w:pPr>
      <w:r>
        <w:rPr>
          <w:rFonts w:ascii="Arial" w:cs="Arial" w:eastAsia="Arial" w:hAnsi="Arial"/>
          <w:sz w:val="16"/>
          <w:szCs w:val="16"/>
          <w:color w:val="auto"/>
        </w:rPr>
        <w:t>In large TBSA injuries a patient may not have enough donor skin available to allow for immediate treatment of the entire area of burn injuries with traditional autografting techniques. In severely burned patients with extensive injuries, surgeons often must wait until the donor sites have healed so that they can reharvest from the site, resulting in delays in treatment and healing and the need for multiple procedures and extended hospital time.</w:t>
      </w:r>
    </w:p>
    <w:p>
      <w:pPr>
        <w:spacing w:after="0" w:line="147" w:lineRule="exact"/>
        <w:rPr>
          <w:sz w:val="20"/>
          <w:szCs w:val="20"/>
          <w:color w:val="auto"/>
        </w:rPr>
      </w:pPr>
    </w:p>
    <w:p>
      <w:pPr>
        <w:ind w:left="200" w:firstLine="441"/>
        <w:spacing w:after="0" w:line="270" w:lineRule="auto"/>
        <w:rPr>
          <w:sz w:val="20"/>
          <w:szCs w:val="20"/>
          <w:color w:val="auto"/>
        </w:rPr>
      </w:pPr>
      <w:r>
        <w:rPr>
          <w:rFonts w:ascii="Arial" w:cs="Arial" w:eastAsia="Arial" w:hAnsi="Arial"/>
          <w:sz w:val="17"/>
          <w:szCs w:val="17"/>
          <w:color w:val="auto"/>
        </w:rPr>
        <w:t>Interim results describing clinical outcomes associated with the treatment of donor sites using the RECELL System in patients with large TBSA burn were presented at the American Burn Association 51st Annual Meeting in April 2019 (the presentation was awarded Best in Category at the meeting). In the prospective observational study of 73 subjects with life-threatening thermal burn injuries treated under the Compassionate Use program, 426 donor sites wounds were treated with Spray-On Skin Cells prepared using the RECELL System. The mean TBSA of the patients in the study was 54% with burns ranging from 20% to 91% TBSA. Two weeks after treatment, 91% of the donor sites had healed in this vulnerable patient population, and 98% had healed by week eight. Donor sites treated using the RECELL System were able to be reharvested as early as seven days after treatment. No infection or delayed healing were reported for donor sites treated with Spray-On Skin Cells. Researchers noted that the ability to reharvest additional donor skin from a site in as little one week after treatment with the RECELL System is extremely beneficial in this population of patients with extensive life-threatening injuries and limited available donor skin.</w:t>
      </w:r>
    </w:p>
    <w:p>
      <w:pPr>
        <w:spacing w:after="0" w:line="182" w:lineRule="exact"/>
        <w:rPr>
          <w:sz w:val="20"/>
          <w:szCs w:val="20"/>
          <w:color w:val="auto"/>
        </w:rPr>
      </w:pPr>
    </w:p>
    <w:p>
      <w:pPr>
        <w:ind w:left="200" w:right="120" w:firstLine="441"/>
        <w:spacing w:after="0" w:line="264" w:lineRule="auto"/>
        <w:rPr>
          <w:sz w:val="20"/>
          <w:szCs w:val="20"/>
          <w:color w:val="auto"/>
        </w:rPr>
      </w:pPr>
      <w:r>
        <w:rPr>
          <w:rFonts w:ascii="Arial" w:cs="Arial" w:eastAsia="Arial" w:hAnsi="Arial"/>
          <w:sz w:val="18"/>
          <w:szCs w:val="18"/>
          <w:color w:val="auto"/>
        </w:rPr>
        <w:t>A representative patient in the study was a 16-month-old female with a 30% TBSA mixed depth thermal burn with donor sites taken from her back. Medical professionals applied Spray-On Skin Cells to her donor site wound. The donor sites were 100% re-epithelialized by within two weeks of treatment. At one-year follow-up the</w:t>
      </w:r>
    </w:p>
    <w:p>
      <w:pPr>
        <w:spacing w:after="0" w:line="114"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220"/>
          </w:cols>
          <w:pgMar w:left="240" w:top="459" w:right="439" w:bottom="1440" w:gutter="0" w:footer="0" w:header="0"/>
        </w:sectPr>
      </w:pPr>
    </w:p>
    <w:bookmarkStart w:id="33" w:name="page34"/>
    <w:bookmarkEnd w:id="3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spacing w:after="0" w:line="277" w:lineRule="auto"/>
        <w:rPr>
          <w:sz w:val="20"/>
          <w:szCs w:val="20"/>
          <w:color w:val="auto"/>
        </w:rPr>
      </w:pPr>
      <w:r>
        <w:rPr>
          <w:rFonts w:ascii="Arial" w:cs="Arial" w:eastAsia="Arial" w:hAnsi="Arial"/>
          <w:sz w:val="18"/>
          <w:szCs w:val="18"/>
          <w:color w:val="auto"/>
        </w:rPr>
        <w:t>donor site wound had matching color, pigment, and texture to the surrounding skin. Treatment and healing of the patient’s donor site is highlighted in the photographs included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1274445</wp:posOffset>
            </wp:positionH>
            <wp:positionV relativeFrom="paragraph">
              <wp:posOffset>134620</wp:posOffset>
            </wp:positionV>
            <wp:extent cx="1294765" cy="16554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1294765" cy="1655445"/>
                    </a:xfrm>
                    <a:prstGeom prst="rect">
                      <a:avLst/>
                    </a:prstGeom>
                    <a:noFill/>
                  </pic:spPr>
                </pic:pic>
              </a:graphicData>
            </a:graphic>
          </wp:anchor>
        </w:drawing>
        <w:drawing>
          <wp:anchor simplePos="0" relativeHeight="251657728" behindDoc="1" locked="0" layoutInCell="0" allowOverlap="1">
            <wp:simplePos x="0" y="0"/>
            <wp:positionH relativeFrom="column">
              <wp:posOffset>4627245</wp:posOffset>
            </wp:positionH>
            <wp:positionV relativeFrom="paragraph">
              <wp:posOffset>134620</wp:posOffset>
            </wp:positionV>
            <wp:extent cx="1715135" cy="16554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1715135" cy="1655445"/>
                    </a:xfrm>
                    <a:prstGeom prst="rect">
                      <a:avLst/>
                    </a:prstGeom>
                    <a:noFill/>
                  </pic:spPr>
                </pic:pic>
              </a:graphicData>
            </a:graphic>
          </wp:anchor>
        </w:drawing>
      </w:r>
    </w:p>
    <w:p>
      <w:pPr>
        <w:sectPr>
          <w:pgSz w:w="11900" w:h="16838" w:orient="portrait"/>
          <w:cols w:equalWidth="0" w:num="1">
            <w:col w:w="11220"/>
          </w:cols>
          <w:pgMar w:left="240" w:top="459" w:right="4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jc w:val="center"/>
        <w:ind w:right="340"/>
        <w:spacing w:after="0"/>
        <w:rPr>
          <w:sz w:val="20"/>
          <w:szCs w:val="20"/>
          <w:color w:val="auto"/>
        </w:rPr>
      </w:pPr>
      <w:r>
        <w:rPr>
          <w:rFonts w:ascii="Arial" w:cs="Arial" w:eastAsia="Arial" w:hAnsi="Arial"/>
          <w:sz w:val="17"/>
          <w:szCs w:val="17"/>
          <w:color w:val="auto"/>
        </w:rPr>
        <w:t>Application of Spray-On Skin Cells</w:t>
      </w:r>
    </w:p>
    <w:p>
      <w:pPr>
        <w:spacing w:after="0" w:line="35" w:lineRule="exact"/>
        <w:rPr>
          <w:sz w:val="20"/>
          <w:szCs w:val="20"/>
          <w:color w:val="auto"/>
        </w:rPr>
      </w:pPr>
    </w:p>
    <w:p>
      <w:pPr>
        <w:jc w:val="center"/>
        <w:ind w:right="340"/>
        <w:spacing w:after="0"/>
        <w:rPr>
          <w:sz w:val="20"/>
          <w:szCs w:val="20"/>
          <w:color w:val="auto"/>
        </w:rPr>
      </w:pPr>
      <w:r>
        <w:rPr>
          <w:rFonts w:ascii="Arial" w:cs="Arial" w:eastAsia="Arial" w:hAnsi="Arial"/>
          <w:sz w:val="16"/>
          <w:szCs w:val="16"/>
          <w:color w:val="auto"/>
        </w:rPr>
        <w:t>prepared using the RECELL System</w:t>
      </w:r>
    </w:p>
    <w:p>
      <w:pPr>
        <w:spacing w:after="0" w:line="32" w:lineRule="exact"/>
        <w:rPr>
          <w:sz w:val="20"/>
          <w:szCs w:val="20"/>
          <w:color w:val="auto"/>
        </w:rPr>
      </w:pPr>
    </w:p>
    <w:p>
      <w:pPr>
        <w:jc w:val="center"/>
        <w:ind w:right="340"/>
        <w:spacing w:after="0"/>
        <w:rPr>
          <w:sz w:val="20"/>
          <w:szCs w:val="20"/>
          <w:color w:val="auto"/>
        </w:rPr>
      </w:pPr>
      <w:r>
        <w:rPr>
          <w:rFonts w:ascii="Arial" w:cs="Arial" w:eastAsia="Arial" w:hAnsi="Arial"/>
          <w:sz w:val="18"/>
          <w:szCs w:val="18"/>
          <w:color w:val="auto"/>
        </w:rPr>
        <w:t>to donor site wound</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jc w:val="center"/>
        <w:ind w:right="1040"/>
        <w:spacing w:after="0"/>
        <w:rPr>
          <w:sz w:val="20"/>
          <w:szCs w:val="20"/>
          <w:color w:val="auto"/>
        </w:rPr>
      </w:pPr>
      <w:r>
        <w:rPr>
          <w:rFonts w:ascii="Arial" w:cs="Arial" w:eastAsia="Arial" w:hAnsi="Arial"/>
          <w:sz w:val="16"/>
          <w:szCs w:val="16"/>
          <w:color w:val="auto"/>
        </w:rPr>
        <w:t>Healing of donor site wound one year after</w:t>
      </w:r>
    </w:p>
    <w:p>
      <w:pPr>
        <w:spacing w:after="0" w:line="46" w:lineRule="exact"/>
        <w:rPr>
          <w:sz w:val="20"/>
          <w:szCs w:val="20"/>
          <w:color w:val="auto"/>
        </w:rPr>
      </w:pPr>
    </w:p>
    <w:p>
      <w:pPr>
        <w:jc w:val="center"/>
        <w:ind w:right="1040"/>
        <w:spacing w:after="0"/>
        <w:rPr>
          <w:sz w:val="20"/>
          <w:szCs w:val="20"/>
          <w:color w:val="auto"/>
        </w:rPr>
      </w:pPr>
      <w:r>
        <w:rPr>
          <w:rFonts w:ascii="Arial" w:cs="Arial" w:eastAsia="Arial" w:hAnsi="Arial"/>
          <w:sz w:val="18"/>
          <w:szCs w:val="18"/>
          <w:color w:val="auto"/>
        </w:rPr>
        <w:t>treatment using the RECELL System</w:t>
      </w:r>
    </w:p>
    <w:p>
      <w:pPr>
        <w:spacing w:after="0" w:line="416" w:lineRule="exact"/>
        <w:rPr>
          <w:sz w:val="20"/>
          <w:szCs w:val="20"/>
          <w:color w:val="auto"/>
        </w:rPr>
      </w:pPr>
    </w:p>
    <w:p>
      <w:pPr>
        <w:sectPr>
          <w:pgSz w:w="11900" w:h="16838" w:orient="portrait"/>
          <w:cols w:equalWidth="0" w:num="2">
            <w:col w:w="6380" w:space="720"/>
            <w:col w:w="4120"/>
          </w:cols>
          <w:pgMar w:left="240" w:top="459" w:right="439" w:bottom="1440" w:gutter="0" w:footer="0" w:header="0"/>
          <w:type w:val="continuous"/>
        </w:sectPr>
      </w:pPr>
    </w:p>
    <w:p>
      <w:pPr>
        <w:spacing w:after="0" w:line="24" w:lineRule="exact"/>
        <w:rPr>
          <w:sz w:val="20"/>
          <w:szCs w:val="20"/>
          <w:color w:val="auto"/>
        </w:rPr>
      </w:pPr>
    </w:p>
    <w:p>
      <w:pPr>
        <w:ind w:left="640"/>
        <w:spacing w:after="0"/>
        <w:rPr>
          <w:sz w:val="20"/>
          <w:szCs w:val="20"/>
          <w:color w:val="auto"/>
        </w:rPr>
      </w:pPr>
      <w:r>
        <w:rPr>
          <w:rFonts w:ascii="Arial" w:cs="Arial" w:eastAsia="Arial" w:hAnsi="Arial"/>
          <w:sz w:val="16"/>
          <w:szCs w:val="16"/>
          <w:color w:val="auto"/>
        </w:rPr>
        <w:t>A randomized, controlled clinical trial of the use of the RECELL System in the treatment of donor sites in pediatric patients is currently underway.</w:t>
      </w:r>
    </w:p>
    <w:p>
      <w:pPr>
        <w:spacing w:after="0" w:line="356" w:lineRule="exact"/>
        <w:rPr>
          <w:sz w:val="20"/>
          <w:szCs w:val="20"/>
          <w:color w:val="auto"/>
        </w:rPr>
      </w:pPr>
    </w:p>
    <w:p>
      <w:pPr>
        <w:ind w:left="200"/>
        <w:spacing w:after="0"/>
        <w:rPr>
          <w:sz w:val="20"/>
          <w:szCs w:val="20"/>
          <w:color w:val="auto"/>
        </w:rPr>
      </w:pPr>
      <w:r>
        <w:rPr>
          <w:rFonts w:ascii="Arial" w:cs="Arial" w:eastAsia="Arial" w:hAnsi="Arial"/>
          <w:sz w:val="18"/>
          <w:szCs w:val="18"/>
          <w:i w:val="1"/>
          <w:iCs w:val="1"/>
          <w:color w:val="auto"/>
        </w:rPr>
        <w:t>RECELL in Treatment of Patients with Extensive Burns (Large TBSA Patients)</w:t>
      </w:r>
    </w:p>
    <w:p>
      <w:pPr>
        <w:spacing w:after="0" w:line="117" w:lineRule="exact"/>
        <w:rPr>
          <w:sz w:val="20"/>
          <w:szCs w:val="20"/>
          <w:color w:val="auto"/>
        </w:rPr>
      </w:pPr>
    </w:p>
    <w:p>
      <w:pPr>
        <w:ind w:left="200" w:right="80" w:firstLine="441"/>
        <w:spacing w:after="0" w:line="279" w:lineRule="auto"/>
        <w:rPr>
          <w:sz w:val="20"/>
          <w:szCs w:val="20"/>
          <w:color w:val="auto"/>
        </w:rPr>
      </w:pPr>
      <w:r>
        <w:rPr>
          <w:rFonts w:ascii="Arial" w:cs="Arial" w:eastAsia="Arial" w:hAnsi="Arial"/>
          <w:sz w:val="17"/>
          <w:szCs w:val="17"/>
          <w:color w:val="auto"/>
        </w:rPr>
        <w:t>In patients with extensive burn injuries, lack of available donor skin is a major limitation in achieving permanent closure, and the longer a wound remains open the more susceptible a patient is to infection. At the American Burn Association 51st Annual Meeting in April 2019 researchers presented data showing that the use of the RECELL System in combination with meshed autografts achieves definitive closure for patients with burn injuries greater than 50% TBSA and achieved comparable outcomes to patients with less severe injuries.</w:t>
      </w:r>
    </w:p>
    <w:p>
      <w:pPr>
        <w:spacing w:after="0" w:line="171" w:lineRule="exact"/>
        <w:rPr>
          <w:sz w:val="20"/>
          <w:szCs w:val="20"/>
          <w:color w:val="auto"/>
        </w:rPr>
      </w:pPr>
    </w:p>
    <w:p>
      <w:pPr>
        <w:ind w:left="200" w:right="100" w:firstLine="441"/>
        <w:spacing w:after="0" w:line="273" w:lineRule="auto"/>
        <w:rPr>
          <w:sz w:val="20"/>
          <w:szCs w:val="20"/>
          <w:color w:val="auto"/>
        </w:rPr>
      </w:pPr>
      <w:r>
        <w:rPr>
          <w:rFonts w:ascii="Arial" w:cs="Arial" w:eastAsia="Arial" w:hAnsi="Arial"/>
          <w:sz w:val="17"/>
          <w:szCs w:val="17"/>
          <w:color w:val="auto"/>
        </w:rPr>
        <w:t>In this study of 35 patients with life-threatening thermal burn injuries, Spray-On Skin were applied in combination with widely meshed split-thickness autografts to achieve definitive closure using minimal donor skin. For patients with greater than 50% TBSA burns, 150 burn wounds were treated with the combination of Spray-On Skin Cells and widely meshed split-thickness autografts, with 95% of the wounds achieving complete wound closure two months after treatment. For patients with equal to or less than 50% TBSA burns, 53 burn wounds were treated with the same combination and the rate of healing was similar to the large TBSA patients, with 92% of wounds achieving full healing two months after treatment. Researchers reported that there was no device related adverse events and long-term durability was excellent.</w:t>
      </w:r>
    </w:p>
    <w:p>
      <w:pPr>
        <w:spacing w:after="0" w:line="287" w:lineRule="exact"/>
        <w:rPr>
          <w:sz w:val="20"/>
          <w:szCs w:val="20"/>
          <w:color w:val="auto"/>
        </w:rPr>
      </w:pPr>
    </w:p>
    <w:p>
      <w:pPr>
        <w:ind w:left="200"/>
        <w:spacing w:after="0"/>
        <w:rPr>
          <w:sz w:val="20"/>
          <w:szCs w:val="20"/>
          <w:color w:val="auto"/>
        </w:rPr>
      </w:pPr>
      <w:r>
        <w:rPr>
          <w:rFonts w:ascii="Arial" w:cs="Arial" w:eastAsia="Arial" w:hAnsi="Arial"/>
          <w:sz w:val="18"/>
          <w:szCs w:val="18"/>
          <w:u w:val="single" w:color="auto"/>
          <w:color w:val="auto"/>
        </w:rPr>
        <w:t>Ongoing and Future Clinical Trials in Burns</w:t>
      </w:r>
    </w:p>
    <w:p>
      <w:pPr>
        <w:spacing w:after="0" w:line="117" w:lineRule="exact"/>
        <w:rPr>
          <w:sz w:val="20"/>
          <w:szCs w:val="20"/>
          <w:color w:val="auto"/>
        </w:rPr>
      </w:pPr>
    </w:p>
    <w:p>
      <w:pPr>
        <w:ind w:left="200"/>
        <w:spacing w:after="0"/>
        <w:rPr>
          <w:sz w:val="20"/>
          <w:szCs w:val="20"/>
          <w:color w:val="auto"/>
        </w:rPr>
      </w:pPr>
      <w:r>
        <w:rPr>
          <w:rFonts w:ascii="Arial" w:cs="Arial" w:eastAsia="Arial" w:hAnsi="Arial"/>
          <w:sz w:val="18"/>
          <w:szCs w:val="18"/>
          <w:i w:val="1"/>
          <w:iCs w:val="1"/>
          <w:color w:val="auto"/>
        </w:rPr>
        <w:t>U.S. Pediatric Donor Site Study:</w:t>
      </w:r>
    </w:p>
    <w:p>
      <w:pPr>
        <w:spacing w:after="0" w:line="117" w:lineRule="exact"/>
        <w:rPr>
          <w:sz w:val="20"/>
          <w:szCs w:val="20"/>
          <w:color w:val="auto"/>
        </w:rPr>
      </w:pPr>
    </w:p>
    <w:p>
      <w:pPr>
        <w:ind w:left="200" w:right="40" w:firstLine="441"/>
        <w:spacing w:after="0" w:line="273" w:lineRule="auto"/>
        <w:rPr>
          <w:sz w:val="20"/>
          <w:szCs w:val="20"/>
          <w:color w:val="auto"/>
        </w:rPr>
      </w:pPr>
      <w:r>
        <w:rPr>
          <w:rFonts w:ascii="Arial" w:cs="Arial" w:eastAsia="Arial" w:hAnsi="Arial"/>
          <w:sz w:val="17"/>
          <w:szCs w:val="17"/>
          <w:color w:val="auto"/>
        </w:rPr>
        <w:t>In October 2018 we initiated a randomized, controlled clinical study in the U.S. to investigate the safety and effectiveness of Spray-On Skin Cells prepared with the RECELL System compared to conventional care for healing of donor sites in pediatric patients (infants, children and adolescents aged one to 16 years). The study will evaluate a minimum of 50 patients who require autografting in approximately eight U.S. centers. Patients who are eligible for the study may be undergoing autografting for any reason, including burns, trauma, and reconstruction. The study is a matched-pairs design where patients will serve as their own control. For each patient, two donor sites of similar surface area will be selected and randomized to be treated with Spray-On Skin Cells or serve as the control (treated with standard dressings only).</w:t>
      </w:r>
    </w:p>
    <w:p>
      <w:pPr>
        <w:spacing w:after="0" w:line="111"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220"/>
          </w:cols>
          <w:pgMar w:left="240" w:top="459" w:right="439" w:bottom="1440" w:gutter="0" w:footer="0" w:header="0"/>
          <w:type w:val="continuous"/>
        </w:sectPr>
      </w:pPr>
    </w:p>
    <w:bookmarkStart w:id="34" w:name="page35"/>
    <w:bookmarkEnd w:id="3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640"/>
        <w:spacing w:after="0"/>
        <w:rPr>
          <w:sz w:val="20"/>
          <w:szCs w:val="20"/>
          <w:color w:val="auto"/>
        </w:rPr>
      </w:pPr>
      <w:r>
        <w:rPr>
          <w:rFonts w:ascii="Arial" w:cs="Arial" w:eastAsia="Arial" w:hAnsi="Arial"/>
          <w:sz w:val="18"/>
          <w:szCs w:val="18"/>
          <w:color w:val="auto"/>
        </w:rPr>
        <w:t>The primary effectiveness endpoint is time in days for complete healing of the donor sites. Secondary and tertiary endpoints include:</w:t>
      </w:r>
    </w:p>
    <w:p>
      <w:pPr>
        <w:spacing w:after="0" w:line="131" w:lineRule="exact"/>
        <w:rPr>
          <w:sz w:val="20"/>
          <w:szCs w:val="20"/>
          <w:color w:val="auto"/>
        </w:rPr>
      </w:pPr>
    </w:p>
    <w:p>
      <w:pPr>
        <w:ind w:left="1180" w:hanging="436"/>
        <w:spacing w:after="0"/>
        <w:tabs>
          <w:tab w:leader="none" w:pos="11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Donor site treatment preference by patient / guardian at week four</w:t>
      </w:r>
    </w:p>
    <w:p>
      <w:pPr>
        <w:spacing w:after="0" w:line="130" w:lineRule="exact"/>
        <w:rPr>
          <w:rFonts w:ascii="Arial" w:cs="Arial" w:eastAsia="Arial" w:hAnsi="Arial"/>
          <w:sz w:val="18"/>
          <w:szCs w:val="18"/>
          <w:color w:val="auto"/>
        </w:rPr>
      </w:pPr>
    </w:p>
    <w:p>
      <w:pPr>
        <w:ind w:left="1180" w:hanging="436"/>
        <w:spacing w:after="0"/>
        <w:tabs>
          <w:tab w:leader="none" w:pos="11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Investigator donor site preference at week four</w:t>
      </w:r>
    </w:p>
    <w:p>
      <w:pPr>
        <w:spacing w:after="0" w:line="130" w:lineRule="exact"/>
        <w:rPr>
          <w:rFonts w:ascii="Arial" w:cs="Arial" w:eastAsia="Arial" w:hAnsi="Arial"/>
          <w:sz w:val="18"/>
          <w:szCs w:val="18"/>
          <w:color w:val="auto"/>
        </w:rPr>
      </w:pPr>
    </w:p>
    <w:p>
      <w:pPr>
        <w:ind w:left="1180" w:hanging="436"/>
        <w:spacing w:after="0"/>
        <w:tabs>
          <w:tab w:leader="none" w:pos="11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Comparative itching of donor sites post treatment</w:t>
      </w:r>
    </w:p>
    <w:p>
      <w:pPr>
        <w:spacing w:after="0" w:line="130" w:lineRule="exact"/>
        <w:rPr>
          <w:rFonts w:ascii="Arial" w:cs="Arial" w:eastAsia="Arial" w:hAnsi="Arial"/>
          <w:sz w:val="18"/>
          <w:szCs w:val="18"/>
          <w:color w:val="auto"/>
        </w:rPr>
      </w:pPr>
    </w:p>
    <w:p>
      <w:pPr>
        <w:ind w:left="1180" w:hanging="436"/>
        <w:spacing w:after="0"/>
        <w:tabs>
          <w:tab w:leader="none" w:pos="11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Blinded evaluator assessment of donor sites at week 24</w:t>
      </w:r>
    </w:p>
    <w:p>
      <w:pPr>
        <w:spacing w:after="0" w:line="130" w:lineRule="exact"/>
        <w:rPr>
          <w:rFonts w:ascii="Arial" w:cs="Arial" w:eastAsia="Arial" w:hAnsi="Arial"/>
          <w:sz w:val="18"/>
          <w:szCs w:val="18"/>
          <w:color w:val="auto"/>
        </w:rPr>
      </w:pPr>
    </w:p>
    <w:p>
      <w:pPr>
        <w:ind w:left="1180" w:hanging="436"/>
        <w:spacing w:after="0"/>
        <w:tabs>
          <w:tab w:leader="none" w:pos="11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Patient / guardian assessment of donor sites at week 24</w:t>
      </w:r>
    </w:p>
    <w:p>
      <w:pPr>
        <w:spacing w:after="0" w:line="130" w:lineRule="exact"/>
        <w:rPr>
          <w:rFonts w:ascii="Arial" w:cs="Arial" w:eastAsia="Arial" w:hAnsi="Arial"/>
          <w:sz w:val="18"/>
          <w:szCs w:val="18"/>
          <w:color w:val="auto"/>
        </w:rPr>
      </w:pPr>
    </w:p>
    <w:p>
      <w:pPr>
        <w:ind w:left="1180" w:hanging="436"/>
        <w:spacing w:after="0"/>
        <w:tabs>
          <w:tab w:leader="none" w:pos="11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Investigator assessment of healing at all visits</w:t>
      </w:r>
    </w:p>
    <w:p>
      <w:pPr>
        <w:spacing w:after="0" w:line="130" w:lineRule="exact"/>
        <w:rPr>
          <w:rFonts w:ascii="Arial" w:cs="Arial" w:eastAsia="Arial" w:hAnsi="Arial"/>
          <w:sz w:val="18"/>
          <w:szCs w:val="18"/>
          <w:color w:val="auto"/>
        </w:rPr>
      </w:pPr>
    </w:p>
    <w:p>
      <w:pPr>
        <w:ind w:left="1180" w:hanging="436"/>
        <w:spacing w:after="0"/>
        <w:tabs>
          <w:tab w:leader="none" w:pos="11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Patient or parent / guardian reported donor site pain</w:t>
      </w:r>
    </w:p>
    <w:p>
      <w:pPr>
        <w:spacing w:after="0" w:line="225" w:lineRule="exact"/>
        <w:rPr>
          <w:sz w:val="20"/>
          <w:szCs w:val="20"/>
          <w:color w:val="auto"/>
        </w:rPr>
      </w:pPr>
    </w:p>
    <w:p>
      <w:pPr>
        <w:jc w:val="both"/>
        <w:ind w:left="200" w:firstLine="441"/>
        <w:spacing w:after="0" w:line="264" w:lineRule="auto"/>
        <w:rPr>
          <w:sz w:val="20"/>
          <w:szCs w:val="20"/>
          <w:color w:val="auto"/>
        </w:rPr>
      </w:pPr>
      <w:r>
        <w:rPr>
          <w:rFonts w:ascii="Arial" w:cs="Arial" w:eastAsia="Arial" w:hAnsi="Arial"/>
          <w:sz w:val="18"/>
          <w:szCs w:val="18"/>
          <w:color w:val="auto"/>
        </w:rPr>
        <w:t>Patients will be followed for one-year after treatment. The pediatric donor-site study is being 100% funded by Biomedical Advanced Research and Development Authority (BARDA) under the ongoing program. This study is intended to support U.S. regulatory approval for marketing of the RECELL System for patients under the age of 18.</w:t>
      </w:r>
    </w:p>
    <w:p>
      <w:pPr>
        <w:spacing w:after="0" w:line="289" w:lineRule="exact"/>
        <w:rPr>
          <w:sz w:val="20"/>
          <w:szCs w:val="20"/>
          <w:color w:val="auto"/>
        </w:rPr>
      </w:pPr>
    </w:p>
    <w:p>
      <w:pPr>
        <w:ind w:left="200"/>
        <w:spacing w:after="0"/>
        <w:rPr>
          <w:sz w:val="20"/>
          <w:szCs w:val="20"/>
          <w:color w:val="auto"/>
        </w:rPr>
      </w:pPr>
      <w:r>
        <w:rPr>
          <w:rFonts w:ascii="Arial" w:cs="Arial" w:eastAsia="Arial" w:hAnsi="Arial"/>
          <w:sz w:val="18"/>
          <w:szCs w:val="18"/>
          <w:i w:val="1"/>
          <w:iCs w:val="1"/>
          <w:color w:val="auto"/>
        </w:rPr>
        <w:t>Australian Pediatric Scalds Study:</w:t>
      </w:r>
    </w:p>
    <w:p>
      <w:pPr>
        <w:spacing w:after="0" w:line="117" w:lineRule="exact"/>
        <w:rPr>
          <w:sz w:val="20"/>
          <w:szCs w:val="20"/>
          <w:color w:val="auto"/>
        </w:rPr>
      </w:pPr>
    </w:p>
    <w:p>
      <w:pPr>
        <w:ind w:left="200" w:firstLine="441"/>
        <w:spacing w:after="0" w:line="293" w:lineRule="auto"/>
        <w:rPr>
          <w:sz w:val="20"/>
          <w:szCs w:val="20"/>
          <w:color w:val="auto"/>
        </w:rPr>
      </w:pPr>
      <w:r>
        <w:rPr>
          <w:rFonts w:ascii="Arial" w:cs="Arial" w:eastAsia="Arial" w:hAnsi="Arial"/>
          <w:sz w:val="16"/>
          <w:szCs w:val="16"/>
          <w:color w:val="auto"/>
        </w:rPr>
        <w:t>In August 2018 a randomized, controlled clinical study of the use of the RECELL System in the treatment of significant superficial partial- and mid-thickness pediatric burns, including scald injuries, was initiated in Australia. The current standard of care for children with partial-thickness burns is cleaning of the wound followed by a dressing application. Limitations of the standard of care include delay in healing of the burn injury, scarring, and pain. The clinical trial will include approximately 90 patients under 18 years old. Patients will be randomized into one of three groups and will be treated either using the RECELL System and Biobrane</w:t>
      </w:r>
      <w:r>
        <w:rPr>
          <w:rFonts w:ascii="Arial" w:cs="Arial" w:eastAsia="Arial" w:hAnsi="Arial"/>
          <w:sz w:val="13"/>
          <w:szCs w:val="13"/>
          <w:color w:val="auto"/>
        </w:rPr>
        <w:t>®</w:t>
      </w:r>
      <w:r>
        <w:rPr>
          <w:rFonts w:ascii="Arial" w:cs="Arial" w:eastAsia="Arial" w:hAnsi="Arial"/>
          <w:sz w:val="16"/>
          <w:szCs w:val="16"/>
          <w:color w:val="auto"/>
        </w:rPr>
        <w:t xml:space="preserve"> dressing, the Biobrane dressing alone, or standard care (silver impregnated silicone lined dressing). The primary endpoint will be days to re-epithelization of the burn injury. Secondary endpoints include pain, patient satisfaction and scarring.</w:t>
      </w:r>
    </w:p>
    <w:p>
      <w:pPr>
        <w:spacing w:after="0" w:line="273" w:lineRule="exact"/>
        <w:rPr>
          <w:sz w:val="20"/>
          <w:szCs w:val="20"/>
          <w:color w:val="auto"/>
        </w:rPr>
      </w:pPr>
    </w:p>
    <w:p>
      <w:pPr>
        <w:ind w:left="200"/>
        <w:spacing w:after="0"/>
        <w:rPr>
          <w:sz w:val="20"/>
          <w:szCs w:val="20"/>
          <w:color w:val="auto"/>
        </w:rPr>
      </w:pPr>
      <w:r>
        <w:rPr>
          <w:rFonts w:ascii="Arial" w:cs="Arial" w:eastAsia="Arial" w:hAnsi="Arial"/>
          <w:sz w:val="18"/>
          <w:szCs w:val="18"/>
          <w:i w:val="1"/>
          <w:iCs w:val="1"/>
          <w:color w:val="auto"/>
        </w:rPr>
        <w:t>U.S. Pediatric Early Intervention Pediatric Study:</w:t>
      </w:r>
    </w:p>
    <w:p>
      <w:pPr>
        <w:spacing w:after="0" w:line="117" w:lineRule="exact"/>
        <w:rPr>
          <w:sz w:val="20"/>
          <w:szCs w:val="20"/>
          <w:color w:val="auto"/>
        </w:rPr>
      </w:pPr>
    </w:p>
    <w:p>
      <w:pPr>
        <w:ind w:left="200" w:right="80" w:firstLine="441"/>
        <w:spacing w:after="0" w:line="257" w:lineRule="auto"/>
        <w:rPr>
          <w:sz w:val="20"/>
          <w:szCs w:val="20"/>
          <w:color w:val="auto"/>
        </w:rPr>
      </w:pPr>
      <w:r>
        <w:rPr>
          <w:rFonts w:ascii="Arial" w:cs="Arial" w:eastAsia="Arial" w:hAnsi="Arial"/>
          <w:sz w:val="18"/>
          <w:szCs w:val="18"/>
          <w:color w:val="auto"/>
        </w:rPr>
        <w:t>In late 2019 we plan to initiate a randomized, controlled clinical study to investigate the safety and effectiveness of Spray-On Skin Cells prepared with the RECELL System compared to standard of care dressings for treatment of partial-thickness burns in pediatric patients (infants, children and adolescents aged one to 16 years). The study will evaluate 160 patients in up to 18 U.S. burn centers with burns of 5% to 30% TBSA. Half of the patients will be randomized to be treated using Spray-On Skin Cells. The other half will be randomized to serve in the control group and will be treated using standard dressings.</w:t>
      </w:r>
    </w:p>
    <w:p>
      <w:pPr>
        <w:spacing w:after="0" w:line="18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The primary measure of effectiveness is healing ten days after treatment, as assessed by a blinded evaluator. Secondary endpoints include:</w:t>
      </w:r>
    </w:p>
    <w:p>
      <w:pPr>
        <w:spacing w:after="0" w:line="131" w:lineRule="exact"/>
        <w:rPr>
          <w:sz w:val="20"/>
          <w:szCs w:val="20"/>
          <w:color w:val="auto"/>
        </w:rPr>
      </w:pPr>
    </w:p>
    <w:p>
      <w:pPr>
        <w:ind w:left="1180" w:hanging="436"/>
        <w:spacing w:after="0"/>
        <w:tabs>
          <w:tab w:leader="none" w:pos="11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Healing time assessed from date of initial burn injury</w:t>
      </w:r>
    </w:p>
    <w:p>
      <w:pPr>
        <w:spacing w:after="0" w:line="130" w:lineRule="exact"/>
        <w:rPr>
          <w:rFonts w:ascii="Arial" w:cs="Arial" w:eastAsia="Arial" w:hAnsi="Arial"/>
          <w:sz w:val="18"/>
          <w:szCs w:val="18"/>
          <w:color w:val="auto"/>
        </w:rPr>
      </w:pPr>
    </w:p>
    <w:p>
      <w:pPr>
        <w:ind w:left="1180" w:hanging="436"/>
        <w:spacing w:after="0"/>
        <w:tabs>
          <w:tab w:leader="none" w:pos="11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Pain recovery (i.e., trajectory for pain resolution) following treatment</w:t>
      </w:r>
    </w:p>
    <w:p>
      <w:pPr>
        <w:spacing w:after="0" w:line="130" w:lineRule="exact"/>
        <w:rPr>
          <w:rFonts w:ascii="Arial" w:cs="Arial" w:eastAsia="Arial" w:hAnsi="Arial"/>
          <w:sz w:val="18"/>
          <w:szCs w:val="18"/>
          <w:color w:val="auto"/>
        </w:rPr>
      </w:pPr>
    </w:p>
    <w:p>
      <w:pPr>
        <w:ind w:left="1180" w:hanging="436"/>
        <w:spacing w:after="0"/>
        <w:tabs>
          <w:tab w:leader="none" w:pos="11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Incidence of conventional autografting to achieve healing</w:t>
      </w:r>
    </w:p>
    <w:p>
      <w:pPr>
        <w:spacing w:after="0" w:line="225" w:lineRule="exact"/>
        <w:rPr>
          <w:sz w:val="20"/>
          <w:szCs w:val="20"/>
          <w:color w:val="auto"/>
        </w:rPr>
      </w:pPr>
    </w:p>
    <w:p>
      <w:pPr>
        <w:ind w:left="200" w:right="180" w:firstLine="441"/>
        <w:spacing w:after="0" w:line="264" w:lineRule="auto"/>
        <w:rPr>
          <w:sz w:val="20"/>
          <w:szCs w:val="20"/>
          <w:color w:val="auto"/>
        </w:rPr>
      </w:pPr>
      <w:r>
        <w:rPr>
          <w:rFonts w:ascii="Arial" w:cs="Arial" w:eastAsia="Arial" w:hAnsi="Arial"/>
          <w:sz w:val="18"/>
          <w:szCs w:val="18"/>
          <w:color w:val="auto"/>
        </w:rPr>
        <w:t>Patients will be followed for one-year after treatment. The pediatric early intervention study is being 100% funded by Biomedical Advanced Research and Development Authority (BARDA) under the ongoing program. This study is intended to support U.S. regulatory approval for marketing of the RECELL System for patients under the age of 18.</w:t>
      </w:r>
    </w:p>
    <w:p>
      <w:pPr>
        <w:spacing w:after="0" w:line="114"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220"/>
          </w:cols>
          <w:pgMar w:left="240" w:top="459" w:right="439" w:bottom="1440" w:gutter="0" w:footer="0" w:header="0"/>
        </w:sectPr>
      </w:pPr>
    </w:p>
    <w:bookmarkStart w:id="35" w:name="page36"/>
    <w:bookmarkEnd w:id="3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spacing w:after="0"/>
        <w:rPr>
          <w:sz w:val="20"/>
          <w:szCs w:val="20"/>
          <w:color w:val="auto"/>
        </w:rPr>
      </w:pPr>
      <w:r>
        <w:rPr>
          <w:rFonts w:ascii="Arial" w:cs="Arial" w:eastAsia="Arial" w:hAnsi="Arial"/>
          <w:sz w:val="18"/>
          <w:szCs w:val="18"/>
          <w:u w:val="single" w:color="auto"/>
          <w:color w:val="auto"/>
        </w:rPr>
        <w:t>The RECELL System Clinical Results in Vitiligo</w:t>
      </w:r>
    </w:p>
    <w:p>
      <w:pPr>
        <w:spacing w:after="0" w:line="117" w:lineRule="exact"/>
        <w:rPr>
          <w:sz w:val="20"/>
          <w:szCs w:val="20"/>
          <w:color w:val="auto"/>
        </w:rPr>
      </w:pPr>
    </w:p>
    <w:p>
      <w:pPr>
        <w:ind w:left="200" w:right="120" w:firstLine="441"/>
        <w:spacing w:after="0" w:line="255" w:lineRule="auto"/>
        <w:rPr>
          <w:sz w:val="20"/>
          <w:szCs w:val="20"/>
          <w:color w:val="auto"/>
        </w:rPr>
      </w:pPr>
      <w:r>
        <w:rPr>
          <w:rFonts w:ascii="Arial" w:cs="Arial" w:eastAsia="Arial" w:hAnsi="Arial"/>
          <w:sz w:val="18"/>
          <w:szCs w:val="18"/>
          <w:color w:val="auto"/>
        </w:rPr>
        <w:t xml:space="preserve">Small pilot studies investigating the use of the RECELL System in the treatment of vitiligo have been the subject of multiple peer-reviewed scientific publications and presentations at medical conferences. A representative pilot study was published in the </w:t>
      </w:r>
      <w:r>
        <w:rPr>
          <w:rFonts w:ascii="Arial" w:cs="Arial" w:eastAsia="Arial" w:hAnsi="Arial"/>
          <w:sz w:val="18"/>
          <w:szCs w:val="18"/>
          <w:i w:val="1"/>
          <w:iCs w:val="1"/>
          <w:color w:val="auto"/>
        </w:rPr>
        <w:t>Journal of the American Academy of</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Dermatology </w:t>
      </w:r>
      <w:r>
        <w:rPr>
          <w:rFonts w:ascii="Arial" w:cs="Arial" w:eastAsia="Arial" w:hAnsi="Arial"/>
          <w:sz w:val="18"/>
          <w:szCs w:val="18"/>
          <w:color w:val="auto"/>
        </w:rPr>
        <w:t>in July 2015. A total of ten patients with hypopigmentation were included in the study, five with stable segmental vitiligo, and five with</w:t>
      </w:r>
      <w:r>
        <w:rPr>
          <w:rFonts w:ascii="Arial" w:cs="Arial" w:eastAsia="Arial" w:hAnsi="Arial"/>
          <w:sz w:val="18"/>
          <w:szCs w:val="18"/>
          <w:i w:val="1"/>
          <w:iCs w:val="1"/>
          <w:color w:val="auto"/>
        </w:rPr>
        <w:t xml:space="preserve"> </w:t>
      </w:r>
      <w:r>
        <w:rPr>
          <w:rFonts w:ascii="Arial" w:cs="Arial" w:eastAsia="Arial" w:hAnsi="Arial"/>
          <w:sz w:val="18"/>
          <w:szCs w:val="18"/>
          <w:color w:val="auto"/>
        </w:rPr>
        <w:t>piebaldism (a disorder of melanocyte development). The study was a randomized, intra-patient-controlled pilot study in which three depigmented sites were randomly allocated to be treated with the combination of CO</w:t>
      </w:r>
      <w:r>
        <w:rPr>
          <w:rFonts w:ascii="Arial" w:cs="Arial" w:eastAsia="Arial" w:hAnsi="Arial"/>
          <w:sz w:val="15"/>
          <w:szCs w:val="15"/>
          <w:color w:val="auto"/>
        </w:rPr>
        <w:t>2</w:t>
      </w:r>
      <w:r>
        <w:rPr>
          <w:rFonts w:ascii="Arial" w:cs="Arial" w:eastAsia="Arial" w:hAnsi="Arial"/>
          <w:sz w:val="18"/>
          <w:szCs w:val="18"/>
          <w:color w:val="auto"/>
        </w:rPr>
        <w:t xml:space="preserve"> laser ablation followed by the application of Spray-On Skin Cells, CO</w:t>
      </w:r>
      <w:r>
        <w:rPr>
          <w:rFonts w:ascii="Arial" w:cs="Arial" w:eastAsia="Arial" w:hAnsi="Arial"/>
          <w:sz w:val="15"/>
          <w:szCs w:val="15"/>
          <w:color w:val="auto"/>
        </w:rPr>
        <w:t>2</w:t>
      </w:r>
      <w:r>
        <w:rPr>
          <w:rFonts w:ascii="Arial" w:cs="Arial" w:eastAsia="Arial" w:hAnsi="Arial"/>
          <w:sz w:val="18"/>
          <w:szCs w:val="18"/>
          <w:color w:val="auto"/>
        </w:rPr>
        <w:t xml:space="preserve"> laser ablation alone, or no treatment.</w:t>
      </w:r>
    </w:p>
    <w:p>
      <w:pPr>
        <w:spacing w:after="0" w:line="193" w:lineRule="exact"/>
        <w:rPr>
          <w:sz w:val="20"/>
          <w:szCs w:val="20"/>
          <w:color w:val="auto"/>
        </w:rPr>
      </w:pPr>
    </w:p>
    <w:p>
      <w:pPr>
        <w:ind w:left="200" w:firstLine="441"/>
        <w:spacing w:after="0" w:line="255" w:lineRule="auto"/>
        <w:rPr>
          <w:sz w:val="20"/>
          <w:szCs w:val="20"/>
          <w:color w:val="auto"/>
        </w:rPr>
      </w:pPr>
      <w:r>
        <w:rPr>
          <w:rFonts w:ascii="Arial" w:cs="Arial" w:eastAsia="Arial" w:hAnsi="Arial"/>
          <w:sz w:val="18"/>
          <w:szCs w:val="18"/>
          <w:color w:val="auto"/>
        </w:rPr>
        <w:t>The median repigmentation six months after treatment was 78% in the sites treated with the combination of CO</w:t>
      </w:r>
      <w:r>
        <w:rPr>
          <w:rFonts w:ascii="Arial" w:cs="Arial" w:eastAsia="Arial" w:hAnsi="Arial"/>
          <w:sz w:val="15"/>
          <w:szCs w:val="15"/>
          <w:color w:val="auto"/>
        </w:rPr>
        <w:t>2</w:t>
      </w:r>
      <w:r>
        <w:rPr>
          <w:rFonts w:ascii="Arial" w:cs="Arial" w:eastAsia="Arial" w:hAnsi="Arial"/>
          <w:sz w:val="18"/>
          <w:szCs w:val="18"/>
          <w:color w:val="auto"/>
        </w:rPr>
        <w:t xml:space="preserve"> laser ablation followed by the application of Spray-On Skin Cells, compared to zero median repigmentation in the control groups consisting of treatment with CO</w:t>
      </w:r>
      <w:r>
        <w:rPr>
          <w:rFonts w:ascii="Arial" w:cs="Arial" w:eastAsia="Arial" w:hAnsi="Arial"/>
          <w:sz w:val="15"/>
          <w:szCs w:val="15"/>
          <w:color w:val="auto"/>
        </w:rPr>
        <w:t>2</w:t>
      </w:r>
      <w:r>
        <w:rPr>
          <w:rFonts w:ascii="Arial" w:cs="Arial" w:eastAsia="Arial" w:hAnsi="Arial"/>
          <w:sz w:val="18"/>
          <w:szCs w:val="18"/>
          <w:color w:val="auto"/>
        </w:rPr>
        <w:t xml:space="preserve"> laser ablation alone or no treatment. The repigmentation for the sites treated with the combination of CO</w:t>
      </w:r>
      <w:r>
        <w:rPr>
          <w:rFonts w:ascii="Arial" w:cs="Arial" w:eastAsia="Arial" w:hAnsi="Arial"/>
          <w:sz w:val="15"/>
          <w:szCs w:val="15"/>
          <w:color w:val="auto"/>
        </w:rPr>
        <w:t>2</w:t>
      </w:r>
      <w:r>
        <w:rPr>
          <w:rFonts w:ascii="Arial" w:cs="Arial" w:eastAsia="Arial" w:hAnsi="Arial"/>
          <w:sz w:val="18"/>
          <w:szCs w:val="18"/>
          <w:color w:val="auto"/>
        </w:rPr>
        <w:t xml:space="preserve"> laser ablation followed by the application of Spray-On Skin Cells was assessed as good or excellent by 70% of the patients. No adverse effects or long-term side effects were seen in the recipient sites. Researchers concluded that treatment with the combination of CO</w:t>
      </w:r>
      <w:r>
        <w:rPr>
          <w:rFonts w:ascii="Arial" w:cs="Arial" w:eastAsia="Arial" w:hAnsi="Arial"/>
          <w:sz w:val="15"/>
          <w:szCs w:val="15"/>
          <w:color w:val="auto"/>
        </w:rPr>
        <w:t>2</w:t>
      </w:r>
      <w:r>
        <w:rPr>
          <w:rFonts w:ascii="Arial" w:cs="Arial" w:eastAsia="Arial" w:hAnsi="Arial"/>
          <w:sz w:val="18"/>
          <w:szCs w:val="18"/>
          <w:color w:val="auto"/>
        </w:rPr>
        <w:t xml:space="preserve"> laser ablation followed by the application of Spray-On Skin Cells resulted in a high percentage of repigmentation and was well tolerated in both stable segmental vitiligo and piebaldism patients. Photographs before and after treatment for a patient participating in the study are included below.</w:t>
      </w:r>
    </w:p>
    <w:p>
      <w:pPr>
        <w:spacing w:after="0" w:line="293" w:lineRule="exact"/>
        <w:rPr>
          <w:sz w:val="20"/>
          <w:szCs w:val="20"/>
          <w:color w:val="auto"/>
        </w:rPr>
      </w:pPr>
    </w:p>
    <w:p>
      <w:pPr>
        <w:jc w:val="center"/>
        <w:ind w:right="-239"/>
        <w:spacing w:after="0"/>
        <w:rPr>
          <w:sz w:val="20"/>
          <w:szCs w:val="20"/>
          <w:color w:val="auto"/>
        </w:rPr>
      </w:pPr>
      <w:r>
        <w:rPr>
          <w:rFonts w:ascii="Arial" w:cs="Arial" w:eastAsia="Arial" w:hAnsi="Arial"/>
          <w:sz w:val="18"/>
          <w:szCs w:val="18"/>
          <w:b w:val="1"/>
          <w:bCs w:val="1"/>
          <w:color w:val="auto"/>
        </w:rPr>
        <w:t>Vitiligo Patient Pre- and Six-Months Post Treatment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2466340</wp:posOffset>
            </wp:positionH>
            <wp:positionV relativeFrom="paragraph">
              <wp:posOffset>172085</wp:posOffset>
            </wp:positionV>
            <wp:extent cx="2332355" cy="123507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2332355" cy="12350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ind w:left="3700"/>
        <w:spacing w:after="0"/>
        <w:tabs>
          <w:tab w:leader="none" w:pos="5800" w:val="left"/>
        </w:tabs>
        <w:rPr>
          <w:sz w:val="20"/>
          <w:szCs w:val="20"/>
          <w:color w:val="auto"/>
        </w:rPr>
      </w:pPr>
      <w:r>
        <w:rPr>
          <w:rFonts w:ascii="Arial" w:cs="Arial" w:eastAsia="Arial" w:hAnsi="Arial"/>
          <w:sz w:val="18"/>
          <w:szCs w:val="18"/>
          <w:color w:val="auto"/>
        </w:rPr>
        <w:t>Baseline (pre-treatment)</w:t>
      </w:r>
      <w:r>
        <w:rPr>
          <w:sz w:val="20"/>
          <w:szCs w:val="20"/>
          <w:color w:val="auto"/>
        </w:rPr>
        <w:tab/>
      </w:r>
      <w:r>
        <w:rPr>
          <w:rFonts w:ascii="Arial" w:cs="Arial" w:eastAsia="Arial" w:hAnsi="Arial"/>
          <w:sz w:val="16"/>
          <w:szCs w:val="16"/>
          <w:color w:val="auto"/>
        </w:rPr>
        <w:t>Six months after treatment</w:t>
      </w:r>
    </w:p>
    <w:p>
      <w:pPr>
        <w:spacing w:after="0" w:line="225" w:lineRule="exact"/>
        <w:rPr>
          <w:sz w:val="20"/>
          <w:szCs w:val="20"/>
          <w:color w:val="auto"/>
        </w:rPr>
      </w:pPr>
    </w:p>
    <w:p>
      <w:pPr>
        <w:ind w:left="200" w:right="20" w:firstLine="441"/>
        <w:spacing w:after="0" w:line="255" w:lineRule="auto"/>
        <w:rPr>
          <w:sz w:val="20"/>
          <w:szCs w:val="20"/>
          <w:color w:val="auto"/>
        </w:rPr>
      </w:pPr>
      <w:r>
        <w:rPr>
          <w:rFonts w:ascii="Arial" w:cs="Arial" w:eastAsia="Arial" w:hAnsi="Arial"/>
          <w:sz w:val="18"/>
          <w:szCs w:val="18"/>
          <w:color w:val="auto"/>
        </w:rPr>
        <w:t xml:space="preserve">Similar results were described by researchers in a publication in the </w:t>
      </w:r>
      <w:r>
        <w:rPr>
          <w:rFonts w:ascii="Arial" w:cs="Arial" w:eastAsia="Arial" w:hAnsi="Arial"/>
          <w:sz w:val="18"/>
          <w:szCs w:val="18"/>
          <w:i w:val="1"/>
          <w:iCs w:val="1"/>
          <w:color w:val="auto"/>
        </w:rPr>
        <w:t>British Journal of Dermatology</w:t>
      </w:r>
      <w:r>
        <w:rPr>
          <w:rFonts w:ascii="Arial" w:cs="Arial" w:eastAsia="Arial" w:hAnsi="Arial"/>
          <w:sz w:val="18"/>
          <w:szCs w:val="18"/>
          <w:color w:val="auto"/>
        </w:rPr>
        <w:t xml:space="preserve"> in November 2017. In addition to studies which have already been the subject of peer-reviewed publication, the RECELL System has been used extensively in the treatment of vitiligo patients in countries in which the product is approved for treatment, including China were the prevalence of vitiligo is high. In May 2019 use of the RECELL System in the treatment of vitiligo patients in China was the subject of two presentations at a European medical conference. We plan to commence U.S. clinical trials of the use of the RECELL System for the treatment of stable vitiligo under a program designed to support a supplement to the existing PMA approval.</w:t>
      </w:r>
    </w:p>
    <w:p>
      <w:pPr>
        <w:spacing w:after="0" w:line="301" w:lineRule="exact"/>
        <w:rPr>
          <w:sz w:val="20"/>
          <w:szCs w:val="20"/>
          <w:color w:val="auto"/>
        </w:rPr>
      </w:pPr>
    </w:p>
    <w:p>
      <w:pPr>
        <w:ind w:left="200"/>
        <w:spacing w:after="0"/>
        <w:rPr>
          <w:sz w:val="20"/>
          <w:szCs w:val="20"/>
          <w:color w:val="auto"/>
        </w:rPr>
      </w:pPr>
      <w:r>
        <w:rPr>
          <w:rFonts w:ascii="Arial" w:cs="Arial" w:eastAsia="Arial" w:hAnsi="Arial"/>
          <w:sz w:val="18"/>
          <w:szCs w:val="18"/>
          <w:u w:val="single" w:color="auto"/>
          <w:color w:val="auto"/>
        </w:rPr>
        <w:t>The RECELL System Clinical History in Chronic Wounds</w:t>
      </w:r>
    </w:p>
    <w:p>
      <w:pPr>
        <w:spacing w:after="0" w:line="117" w:lineRule="exact"/>
        <w:rPr>
          <w:sz w:val="20"/>
          <w:szCs w:val="20"/>
          <w:color w:val="auto"/>
        </w:rPr>
      </w:pPr>
    </w:p>
    <w:p>
      <w:pPr>
        <w:ind w:left="200" w:firstLine="441"/>
        <w:spacing w:after="0" w:line="293" w:lineRule="auto"/>
        <w:rPr>
          <w:sz w:val="20"/>
          <w:szCs w:val="20"/>
          <w:color w:val="auto"/>
        </w:rPr>
      </w:pPr>
      <w:r>
        <w:rPr>
          <w:rFonts w:ascii="Arial" w:cs="Arial" w:eastAsia="Arial" w:hAnsi="Arial"/>
          <w:sz w:val="16"/>
          <w:szCs w:val="16"/>
          <w:color w:val="auto"/>
        </w:rPr>
        <w:t xml:space="preserve">Small pilot studies using the RECELL System in the treatment of chronic wounds, particularly venous leg ulcers and diabetic foot ulcers, have been the subject of multiple peer-reviewed scientific publications and presentations at medical conferences. In addition to studies which have already been the subject of peer-reviewed publication, the RECELL System has been used in the treatment of chronic wound patients in countries in which the product is approved for treatment. A study published in the </w:t>
      </w:r>
      <w:r>
        <w:rPr>
          <w:rFonts w:ascii="Arial" w:cs="Arial" w:eastAsia="Arial" w:hAnsi="Arial"/>
          <w:sz w:val="16"/>
          <w:szCs w:val="16"/>
          <w:i w:val="1"/>
          <w:iCs w:val="1"/>
          <w:color w:val="auto"/>
        </w:rPr>
        <w:t>Acta Vulnologica</w:t>
      </w:r>
      <w:r>
        <w:rPr>
          <w:rFonts w:ascii="Arial" w:cs="Arial" w:eastAsia="Arial" w:hAnsi="Arial"/>
          <w:sz w:val="16"/>
          <w:szCs w:val="16"/>
          <w:color w:val="auto"/>
        </w:rPr>
        <w:t xml:space="preserve"> in September 2012 included seven patients with 12 vascular ulcers which had remained open for more than 12 months. Each wound was prepared and then treated with Spray-On Skin Cells prepared using the RECELL System. Ulcer volume and depth decreased 50% to 80% within four weeks of treatment, and six of the wounds that had remained unhealed</w:t>
      </w:r>
    </w:p>
    <w:p>
      <w:pPr>
        <w:spacing w:after="0" w:line="97"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200"/>
          </w:cols>
          <w:pgMar w:left="240" w:top="459" w:right="459" w:bottom="1440" w:gutter="0" w:footer="0" w:header="0"/>
        </w:sectPr>
      </w:pPr>
    </w:p>
    <w:bookmarkStart w:id="36" w:name="page37"/>
    <w:bookmarkEnd w:id="3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160"/>
        <w:spacing w:after="0" w:line="277" w:lineRule="auto"/>
        <w:rPr>
          <w:sz w:val="20"/>
          <w:szCs w:val="20"/>
          <w:color w:val="auto"/>
        </w:rPr>
      </w:pPr>
      <w:r>
        <w:rPr>
          <w:rFonts w:ascii="Arial" w:cs="Arial" w:eastAsia="Arial" w:hAnsi="Arial"/>
          <w:sz w:val="18"/>
          <w:szCs w:val="18"/>
          <w:color w:val="auto"/>
        </w:rPr>
        <w:t>for more than one year were completely closed within 24 weeks of treatment. Researchers concluded that treatment with the RECELL System allowed the repair process to restart in all 12 wounds, and that patients reported reduced pain within days of treatment.</w:t>
      </w:r>
    </w:p>
    <w:p>
      <w:pPr>
        <w:spacing w:after="0" w:line="170" w:lineRule="exact"/>
        <w:rPr>
          <w:sz w:val="20"/>
          <w:szCs w:val="20"/>
          <w:color w:val="auto"/>
        </w:rPr>
      </w:pPr>
    </w:p>
    <w:p>
      <w:pPr>
        <w:jc w:val="both"/>
        <w:ind w:left="200" w:right="40" w:firstLine="441"/>
        <w:spacing w:after="0" w:line="264" w:lineRule="auto"/>
        <w:rPr>
          <w:sz w:val="20"/>
          <w:szCs w:val="20"/>
          <w:color w:val="auto"/>
        </w:rPr>
      </w:pPr>
      <w:r>
        <w:rPr>
          <w:rFonts w:ascii="Arial" w:cs="Arial" w:eastAsia="Arial" w:hAnsi="Arial"/>
          <w:sz w:val="18"/>
          <w:szCs w:val="18"/>
          <w:color w:val="auto"/>
        </w:rPr>
        <w:t xml:space="preserve">In a study published in the </w:t>
      </w:r>
      <w:r>
        <w:rPr>
          <w:rFonts w:ascii="Arial" w:cs="Arial" w:eastAsia="Arial" w:hAnsi="Arial"/>
          <w:sz w:val="18"/>
          <w:szCs w:val="18"/>
          <w:i w:val="1"/>
          <w:iCs w:val="1"/>
          <w:color w:val="auto"/>
        </w:rPr>
        <w:t>British Journal of Surgery</w:t>
      </w:r>
      <w:r>
        <w:rPr>
          <w:rFonts w:ascii="Arial" w:cs="Arial" w:eastAsia="Arial" w:hAnsi="Arial"/>
          <w:sz w:val="18"/>
          <w:szCs w:val="18"/>
          <w:color w:val="auto"/>
        </w:rPr>
        <w:t xml:space="preserve"> in January 2015, 88 patients with chronic wounds that had not healed for at least four weeks were evaluated. Patients were randomized to receive treatment with the combination of Spray-On Skin Cells and split-thickness autografts, or autografts alone. Results of the randomized, controlled study were as follows:</w:t>
      </w:r>
    </w:p>
    <w:p>
      <w:pPr>
        <w:spacing w:after="0" w:line="87" w:lineRule="exact"/>
        <w:rPr>
          <w:sz w:val="20"/>
          <w:szCs w:val="20"/>
          <w:color w:val="auto"/>
        </w:rPr>
      </w:pPr>
    </w:p>
    <w:p>
      <w:pPr>
        <w:ind w:left="1180" w:hanging="436"/>
        <w:spacing w:after="0" w:line="277" w:lineRule="auto"/>
        <w:tabs>
          <w:tab w:leader="none" w:pos="11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Incidence of complete wound healing in the group of patients treated using the RECELL System was significantly higher (p=0.035) than in the control group (41 versus 34, respectively)</w:t>
      </w:r>
    </w:p>
    <w:p>
      <w:pPr>
        <w:spacing w:after="0" w:line="75" w:lineRule="exact"/>
        <w:rPr>
          <w:rFonts w:ascii="Arial" w:cs="Arial" w:eastAsia="Arial" w:hAnsi="Arial"/>
          <w:sz w:val="18"/>
          <w:szCs w:val="18"/>
          <w:color w:val="auto"/>
        </w:rPr>
      </w:pPr>
    </w:p>
    <w:p>
      <w:pPr>
        <w:ind w:left="1180" w:hanging="436"/>
        <w:spacing w:after="0"/>
        <w:tabs>
          <w:tab w:leader="none" w:pos="1180" w:val="left"/>
        </w:tabs>
        <w:numPr>
          <w:ilvl w:val="0"/>
          <w:numId w:val="18"/>
        </w:numPr>
        <w:rPr>
          <w:rFonts w:ascii="Arial" w:cs="Arial" w:eastAsia="Arial" w:hAnsi="Arial"/>
          <w:sz w:val="17"/>
          <w:szCs w:val="17"/>
          <w:color w:val="auto"/>
        </w:rPr>
      </w:pPr>
      <w:r>
        <w:rPr>
          <w:rFonts w:ascii="Arial" w:cs="Arial" w:eastAsia="Arial" w:hAnsi="Arial"/>
          <w:sz w:val="17"/>
          <w:szCs w:val="17"/>
          <w:color w:val="auto"/>
        </w:rPr>
        <w:t>Time to healing was significantly (p=0.001) shorter in the RECELL System group versus control (14 versus 20 days, respectively)</w:t>
      </w:r>
    </w:p>
    <w:p>
      <w:pPr>
        <w:spacing w:after="0" w:line="142" w:lineRule="exact"/>
        <w:rPr>
          <w:rFonts w:ascii="Arial" w:cs="Arial" w:eastAsia="Arial" w:hAnsi="Arial"/>
          <w:sz w:val="17"/>
          <w:szCs w:val="17"/>
          <w:color w:val="auto"/>
        </w:rPr>
      </w:pPr>
    </w:p>
    <w:p>
      <w:pPr>
        <w:ind w:left="1180" w:hanging="436"/>
        <w:spacing w:after="0"/>
        <w:tabs>
          <w:tab w:leader="none" w:pos="11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Fewer complications (p=0.047) were seen in the RECELL System group versus control (4 versus 11, respectively)</w:t>
      </w:r>
    </w:p>
    <w:p>
      <w:pPr>
        <w:spacing w:after="0" w:line="130" w:lineRule="exact"/>
        <w:rPr>
          <w:rFonts w:ascii="Arial" w:cs="Arial" w:eastAsia="Arial" w:hAnsi="Arial"/>
          <w:sz w:val="18"/>
          <w:szCs w:val="18"/>
          <w:color w:val="auto"/>
        </w:rPr>
      </w:pPr>
    </w:p>
    <w:p>
      <w:pPr>
        <w:ind w:left="1180" w:hanging="436"/>
        <w:spacing w:after="0"/>
        <w:tabs>
          <w:tab w:leader="none" w:pos="1180" w:val="left"/>
        </w:tabs>
        <w:numPr>
          <w:ilvl w:val="0"/>
          <w:numId w:val="18"/>
        </w:numPr>
        <w:rPr>
          <w:rFonts w:ascii="Arial" w:cs="Arial" w:eastAsia="Arial" w:hAnsi="Arial"/>
          <w:sz w:val="17"/>
          <w:szCs w:val="17"/>
          <w:color w:val="auto"/>
        </w:rPr>
      </w:pPr>
      <w:r>
        <w:rPr>
          <w:rFonts w:ascii="Arial" w:cs="Arial" w:eastAsia="Arial" w:hAnsi="Arial"/>
          <w:sz w:val="17"/>
          <w:szCs w:val="17"/>
          <w:color w:val="auto"/>
        </w:rPr>
        <w:t>The RECELL System group had good elasticity and texture, similar color, and less scar tissue growth at borders versus control group</w:t>
      </w:r>
    </w:p>
    <w:p>
      <w:pPr>
        <w:spacing w:after="0" w:line="142" w:lineRule="exact"/>
        <w:rPr>
          <w:rFonts w:ascii="Arial" w:cs="Arial" w:eastAsia="Arial" w:hAnsi="Arial"/>
          <w:sz w:val="17"/>
          <w:szCs w:val="17"/>
          <w:color w:val="auto"/>
        </w:rPr>
      </w:pPr>
    </w:p>
    <w:p>
      <w:pPr>
        <w:ind w:left="1180" w:hanging="436"/>
        <w:spacing w:after="0"/>
        <w:tabs>
          <w:tab w:leader="none" w:pos="11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Scarring was significantly less (p=0.005) in the RECELL System group versus control</w:t>
      </w:r>
    </w:p>
    <w:p>
      <w:pPr>
        <w:spacing w:after="0" w:line="130" w:lineRule="exact"/>
        <w:rPr>
          <w:rFonts w:ascii="Arial" w:cs="Arial" w:eastAsia="Arial" w:hAnsi="Arial"/>
          <w:sz w:val="18"/>
          <w:szCs w:val="18"/>
          <w:color w:val="auto"/>
        </w:rPr>
      </w:pPr>
    </w:p>
    <w:p>
      <w:pPr>
        <w:ind w:left="1180" w:right="60" w:hanging="436"/>
        <w:spacing w:after="0" w:line="308" w:lineRule="auto"/>
        <w:tabs>
          <w:tab w:leader="none" w:pos="1180" w:val="left"/>
        </w:tabs>
        <w:numPr>
          <w:ilvl w:val="0"/>
          <w:numId w:val="18"/>
        </w:numPr>
        <w:rPr>
          <w:rFonts w:ascii="Arial" w:cs="Arial" w:eastAsia="Arial" w:hAnsi="Arial"/>
          <w:sz w:val="17"/>
          <w:szCs w:val="17"/>
          <w:color w:val="auto"/>
        </w:rPr>
      </w:pPr>
      <w:r>
        <w:rPr>
          <w:rFonts w:ascii="Arial" w:cs="Arial" w:eastAsia="Arial" w:hAnsi="Arial"/>
          <w:sz w:val="17"/>
          <w:szCs w:val="17"/>
          <w:color w:val="auto"/>
        </w:rPr>
        <w:t>Patients had no recurrent ulcers in the RECELL System group but there were three new wounds in control group (one diabetic wound, one pressure wound, and one vascular wound). Secondary surgical intervention was required for these patients.</w:t>
      </w:r>
    </w:p>
    <w:p>
      <w:pPr>
        <w:spacing w:after="0" w:line="147" w:lineRule="exact"/>
        <w:rPr>
          <w:sz w:val="20"/>
          <w:szCs w:val="20"/>
          <w:color w:val="auto"/>
        </w:rPr>
      </w:pPr>
    </w:p>
    <w:p>
      <w:pPr>
        <w:ind w:left="200" w:right="120" w:firstLine="441"/>
        <w:spacing w:after="0" w:line="264" w:lineRule="auto"/>
        <w:rPr>
          <w:sz w:val="20"/>
          <w:szCs w:val="20"/>
          <w:color w:val="auto"/>
        </w:rPr>
      </w:pPr>
      <w:r>
        <w:rPr>
          <w:rFonts w:ascii="Arial" w:cs="Arial" w:eastAsia="Arial" w:hAnsi="Arial"/>
          <w:sz w:val="18"/>
          <w:szCs w:val="18"/>
          <w:color w:val="auto"/>
        </w:rPr>
        <w:t>Researchers concluded that the combination of Spray-On Skin Cell and autografts is more effective and safer than autografts alone. Although the study involved treatment of a mix of chronic wounds, many were diabetic foot ulcers. The researchers suggest that the results show a broad range of potential applicability for the use of the RECELL System.</w:t>
      </w:r>
    </w:p>
    <w:p>
      <w:pPr>
        <w:spacing w:after="0" w:line="181" w:lineRule="exact"/>
        <w:rPr>
          <w:sz w:val="20"/>
          <w:szCs w:val="20"/>
          <w:color w:val="auto"/>
        </w:rPr>
      </w:pPr>
    </w:p>
    <w:p>
      <w:pPr>
        <w:ind w:left="200" w:right="80" w:firstLine="441"/>
        <w:spacing w:after="0" w:line="291" w:lineRule="auto"/>
        <w:rPr>
          <w:sz w:val="20"/>
          <w:szCs w:val="20"/>
          <w:color w:val="auto"/>
        </w:rPr>
      </w:pPr>
      <w:r>
        <w:rPr>
          <w:rFonts w:ascii="Arial" w:cs="Arial" w:eastAsia="Arial" w:hAnsi="Arial"/>
          <w:sz w:val="16"/>
          <w:szCs w:val="16"/>
          <w:color w:val="auto"/>
        </w:rPr>
        <w:t xml:space="preserve">In a study published in the </w:t>
      </w:r>
      <w:r>
        <w:rPr>
          <w:rFonts w:ascii="Arial" w:cs="Arial" w:eastAsia="Arial" w:hAnsi="Arial"/>
          <w:sz w:val="16"/>
          <w:szCs w:val="16"/>
          <w:i w:val="1"/>
          <w:iCs w:val="1"/>
          <w:color w:val="auto"/>
        </w:rPr>
        <w:t>International Wound Journal</w:t>
      </w:r>
      <w:r>
        <w:rPr>
          <w:rFonts w:ascii="Arial" w:cs="Arial" w:eastAsia="Arial" w:hAnsi="Arial"/>
          <w:sz w:val="16"/>
          <w:szCs w:val="16"/>
          <w:color w:val="auto"/>
        </w:rPr>
        <w:t xml:space="preserve"> in February 2015, 20 patients with chronic ulcers were evaluated in a single arm study. Patients participating in the study had arterial, diabetic, posttraumatic, or venous ulcers that had failed to heal after treatment with conventional therapies. Each wound was prepared and then treated with Spray-On Skin Cells prepared using the RECELL System. Within 60 days of treatment, 70% of the patients experience complete healing of their wounds. Five of the patients had 80% healing of their wounds within 60 days of treatment, and one patient at 50% healing at that time point. Patients also experienced a reduction in pain post treatment using the RECELL System and experienced no limitation in their ability to engage in normal daily activities. Color, texture and aesthetics results were rated as good. Researchers concluded that use of the RECELL System in the treatment of chronic wounds is simple minimally invasive, biocompatible and effective.</w:t>
      </w:r>
    </w:p>
    <w:p>
      <w:pPr>
        <w:spacing w:after="0" w:line="167" w:lineRule="exact"/>
        <w:rPr>
          <w:sz w:val="20"/>
          <w:szCs w:val="20"/>
          <w:color w:val="auto"/>
        </w:rPr>
      </w:pPr>
    </w:p>
    <w:p>
      <w:pPr>
        <w:ind w:left="200" w:right="460" w:firstLine="441"/>
        <w:spacing w:after="0" w:line="286" w:lineRule="auto"/>
        <w:rPr>
          <w:sz w:val="20"/>
          <w:szCs w:val="20"/>
          <w:color w:val="auto"/>
        </w:rPr>
      </w:pPr>
      <w:r>
        <w:rPr>
          <w:rFonts w:ascii="Arial" w:cs="Arial" w:eastAsia="Arial" w:hAnsi="Arial"/>
          <w:sz w:val="17"/>
          <w:szCs w:val="17"/>
          <w:color w:val="auto"/>
        </w:rPr>
        <w:t>Due to the significant costs and risks of conducting larger-scale, late-stage clinical trials in the treatment of chronic wounds, we may elect to proceed with development of the RECELL System in more advanced clinical trials under the umbrella of a corporate collaboration to allow for participation in any future commercial success of the program while minimizing near-term resource requirements.</w:t>
      </w:r>
    </w:p>
    <w:p>
      <w:pPr>
        <w:spacing w:after="0" w:line="274" w:lineRule="exact"/>
        <w:rPr>
          <w:sz w:val="20"/>
          <w:szCs w:val="20"/>
          <w:color w:val="auto"/>
        </w:rPr>
      </w:pPr>
    </w:p>
    <w:p>
      <w:pPr>
        <w:ind w:left="200"/>
        <w:spacing w:after="0"/>
        <w:rPr>
          <w:sz w:val="20"/>
          <w:szCs w:val="20"/>
          <w:color w:val="auto"/>
        </w:rPr>
      </w:pPr>
      <w:r>
        <w:rPr>
          <w:rFonts w:ascii="Arial" w:cs="Arial" w:eastAsia="Arial" w:hAnsi="Arial"/>
          <w:sz w:val="18"/>
          <w:szCs w:val="18"/>
          <w:u w:val="single" w:color="auto"/>
          <w:color w:val="auto"/>
        </w:rPr>
        <w:t>The RECELL System in Trauma Injuries (Soft-Tissue Injuries)</w:t>
      </w:r>
    </w:p>
    <w:p>
      <w:pPr>
        <w:spacing w:after="0" w:line="117" w:lineRule="exact"/>
        <w:rPr>
          <w:sz w:val="20"/>
          <w:szCs w:val="20"/>
          <w:color w:val="auto"/>
        </w:rPr>
      </w:pPr>
    </w:p>
    <w:p>
      <w:pPr>
        <w:ind w:left="200" w:right="40" w:firstLine="441"/>
        <w:spacing w:after="0" w:line="273" w:lineRule="auto"/>
        <w:rPr>
          <w:sz w:val="20"/>
          <w:szCs w:val="20"/>
          <w:color w:val="auto"/>
        </w:rPr>
      </w:pPr>
      <w:r>
        <w:rPr>
          <w:rFonts w:ascii="Arial" w:cs="Arial" w:eastAsia="Arial" w:hAnsi="Arial"/>
          <w:sz w:val="17"/>
          <w:szCs w:val="17"/>
          <w:color w:val="auto"/>
        </w:rPr>
        <w:t>Case studies the use of the RECELL System in the treatment of trauma injuries (soft-tissue injuries) have been the subject of peer-reviewed scientific publications and presentations at medical conferences that cover a wider range of injuries or wounds of the skin. Patients with trauma injuries have also been treated using the RECELL System under the U.S. Compassionate Use program and in countries in which the product is approved for treatment. We announced on September 17, 2019 that the FDA approved an IDE application to conduct a trauma injuries (soft-tissue injuries) pivotal clinical trial. We plan to commence a U.S. clinical trial within the next six months in the use of the RECELL System for the treatment of trauma injuries under a program designed to support a supplement to the existing PMA approval.</w:t>
      </w:r>
    </w:p>
    <w:p>
      <w:pPr>
        <w:spacing w:after="0" w:line="111"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220"/>
          </w:cols>
          <w:pgMar w:left="240" w:top="459" w:right="439" w:bottom="1440" w:gutter="0" w:footer="0" w:header="0"/>
        </w:sectPr>
      </w:pPr>
    </w:p>
    <w:bookmarkStart w:id="37" w:name="page38"/>
    <w:bookmarkEnd w:id="3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spacing w:after="0"/>
        <w:rPr>
          <w:sz w:val="20"/>
          <w:szCs w:val="20"/>
          <w:color w:val="auto"/>
        </w:rPr>
      </w:pPr>
      <w:r>
        <w:rPr>
          <w:rFonts w:ascii="Arial" w:cs="Arial" w:eastAsia="Arial" w:hAnsi="Arial"/>
          <w:sz w:val="18"/>
          <w:szCs w:val="18"/>
          <w:u w:val="single" w:color="auto"/>
          <w:color w:val="auto"/>
        </w:rPr>
        <w:t>The RECELL System in Other Indications</w:t>
      </w:r>
    </w:p>
    <w:p>
      <w:pPr>
        <w:spacing w:after="0" w:line="117" w:lineRule="exact"/>
        <w:rPr>
          <w:sz w:val="20"/>
          <w:szCs w:val="20"/>
          <w:color w:val="auto"/>
        </w:rPr>
      </w:pPr>
    </w:p>
    <w:p>
      <w:pPr>
        <w:ind w:left="200" w:right="640" w:firstLine="441"/>
        <w:spacing w:after="0" w:line="342" w:lineRule="auto"/>
        <w:rPr>
          <w:sz w:val="20"/>
          <w:szCs w:val="20"/>
          <w:color w:val="auto"/>
        </w:rPr>
      </w:pPr>
      <w:r>
        <w:rPr>
          <w:rFonts w:ascii="Arial" w:cs="Arial" w:eastAsia="Arial" w:hAnsi="Arial"/>
          <w:sz w:val="16"/>
          <w:szCs w:val="16"/>
          <w:color w:val="auto"/>
        </w:rPr>
        <w:t>We expect to explore potential benefits of variants of the RECELL System platform in aesthetics markets, and as part of this initiative has exploratory programs underway in certain orphan diseases, such as epidermolysis bullosa and Hutchinson-Gilford progeria syndrome (HGPS).</w:t>
      </w:r>
    </w:p>
    <w:p>
      <w:pPr>
        <w:spacing w:after="0" w:line="228"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BARDA Contract</w:t>
      </w:r>
    </w:p>
    <w:p>
      <w:pPr>
        <w:spacing w:after="0" w:line="121" w:lineRule="exact"/>
        <w:rPr>
          <w:sz w:val="20"/>
          <w:szCs w:val="20"/>
          <w:color w:val="auto"/>
        </w:rPr>
      </w:pPr>
    </w:p>
    <w:p>
      <w:pPr>
        <w:ind w:left="200" w:right="20" w:firstLine="441"/>
        <w:spacing w:after="0" w:line="255" w:lineRule="auto"/>
        <w:rPr>
          <w:sz w:val="20"/>
          <w:szCs w:val="20"/>
          <w:color w:val="auto"/>
        </w:rPr>
      </w:pPr>
      <w:r>
        <w:rPr>
          <w:rFonts w:ascii="Arial" w:cs="Arial" w:eastAsia="Arial" w:hAnsi="Arial"/>
          <w:sz w:val="18"/>
          <w:szCs w:val="18"/>
          <w:color w:val="auto"/>
        </w:rPr>
        <w:t>We have a contract with Biomedical Advanced Research and Development Authority (BARDA), under the Assistant Secretary for Preparedness and Response, within the U.S. Department of Health and Human Services, valued at least US$50.4 million (approximately A$68.14). The contract provides funding for the development of the RECELL System and future use of the product as a medical countermeasure to assist disaster preparedness and response in the U.S. for mass casualties involving burn injuries. We entered into the contract on September 29, 2015, and the scope was expanded as a result of amendments entered into as of June 24, 2016 and September 18, 2017. The contract terminates September 28, 2022 and may be terminated earlier at the option of BARDA.</w:t>
      </w:r>
    </w:p>
    <w:p>
      <w:pPr>
        <w:spacing w:after="0" w:line="193" w:lineRule="exact"/>
        <w:rPr>
          <w:sz w:val="20"/>
          <w:szCs w:val="20"/>
          <w:color w:val="auto"/>
        </w:rPr>
      </w:pPr>
    </w:p>
    <w:p>
      <w:pPr>
        <w:ind w:left="200" w:right="40" w:firstLine="441"/>
        <w:spacing w:after="0" w:line="284" w:lineRule="auto"/>
        <w:rPr>
          <w:sz w:val="20"/>
          <w:szCs w:val="20"/>
          <w:color w:val="auto"/>
        </w:rPr>
      </w:pPr>
      <w:r>
        <w:rPr>
          <w:rFonts w:ascii="Arial" w:cs="Arial" w:eastAsia="Arial" w:hAnsi="Arial"/>
          <w:sz w:val="16"/>
          <w:szCs w:val="16"/>
          <w:color w:val="auto"/>
        </w:rPr>
        <w:t>Under the contract, BARDA provide funding and technical support for the development of the RECELL System. BARDA funded the completion of two randomized, controlled pivotal clinical trials, as well as Compassionate Use and Continued Access programs, and development of the health economic model demonstrating the cost savings associated with the RECELL System. BARDA has exercised a contract option to fund two randomized, controlled clinical trials in pediatric patients. The pediatric donor site study commenced in October 2018 and the pediatric early intervention study will commence in late 2019. Also included in the BARDA contract is provision for the future procurement of the RECELL System by BARDA under a vendor managed inventory system to bolster, at BARDA’s option, disaster preparedness in the amount of US$7.6 million (approximately</w:t>
      </w:r>
    </w:p>
    <w:p>
      <w:pPr>
        <w:spacing w:after="0" w:line="5" w:lineRule="exact"/>
        <w:rPr>
          <w:sz w:val="20"/>
          <w:szCs w:val="20"/>
          <w:color w:val="auto"/>
        </w:rPr>
      </w:pPr>
    </w:p>
    <w:p>
      <w:pPr>
        <w:ind w:left="200" w:right="380"/>
        <w:spacing w:after="0" w:line="254" w:lineRule="auto"/>
        <w:rPr>
          <w:sz w:val="20"/>
          <w:szCs w:val="20"/>
          <w:color w:val="auto"/>
        </w:rPr>
      </w:pPr>
      <w:r>
        <w:rPr>
          <w:rFonts w:ascii="Arial" w:cs="Arial" w:eastAsia="Arial" w:hAnsi="Arial"/>
          <w:sz w:val="18"/>
          <w:szCs w:val="18"/>
          <w:color w:val="auto"/>
        </w:rPr>
        <w:t>A$10.3 million), although BARDA also has the option of increasing the amount of the procurement. In connection with the BARDA contract, we anticipate that with respect to vendor-managed inventory systems, our margins may be lower. As the vendor-managed system is solely at BARDA’s option, we are unable to predict when the Company will recognize revenue on this portion, if at all. As of December 31, 2018, we had received cumulative payments of A$22.6 million under the BARDA contract.</w:t>
      </w:r>
    </w:p>
    <w:p>
      <w:pPr>
        <w:spacing w:after="0" w:line="294"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Research and Development</w:t>
      </w:r>
    </w:p>
    <w:p>
      <w:pPr>
        <w:spacing w:after="0" w:line="121" w:lineRule="exact"/>
        <w:rPr>
          <w:sz w:val="20"/>
          <w:szCs w:val="20"/>
          <w:color w:val="auto"/>
        </w:rPr>
      </w:pPr>
    </w:p>
    <w:p>
      <w:pPr>
        <w:ind w:left="200"/>
        <w:spacing w:after="0"/>
        <w:rPr>
          <w:sz w:val="20"/>
          <w:szCs w:val="20"/>
          <w:color w:val="auto"/>
        </w:rPr>
      </w:pPr>
      <w:r>
        <w:rPr>
          <w:rFonts w:ascii="Arial" w:cs="Arial" w:eastAsia="Arial" w:hAnsi="Arial"/>
          <w:sz w:val="18"/>
          <w:szCs w:val="18"/>
          <w:color w:val="auto"/>
        </w:rPr>
        <w:t>Our research and development efforts are focused on:</w:t>
      </w:r>
    </w:p>
    <w:p>
      <w:pPr>
        <w:spacing w:after="0" w:line="131" w:lineRule="exact"/>
        <w:rPr>
          <w:sz w:val="20"/>
          <w:szCs w:val="20"/>
          <w:color w:val="auto"/>
        </w:rPr>
      </w:pPr>
    </w:p>
    <w:p>
      <w:pPr>
        <w:ind w:left="1180" w:right="340" w:hanging="436"/>
        <w:spacing w:after="0" w:line="277" w:lineRule="auto"/>
        <w:tabs>
          <w:tab w:leader="none" w:pos="11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Further clinical development of the RECELL System in additional indications such as pediatric burns, treatment of donor sites, trauma wounds and vitiligo.</w:t>
      </w:r>
    </w:p>
    <w:p>
      <w:pPr>
        <w:spacing w:after="0" w:line="75" w:lineRule="exact"/>
        <w:rPr>
          <w:rFonts w:ascii="Arial" w:cs="Arial" w:eastAsia="Arial" w:hAnsi="Arial"/>
          <w:sz w:val="18"/>
          <w:szCs w:val="18"/>
          <w:color w:val="auto"/>
        </w:rPr>
      </w:pPr>
    </w:p>
    <w:p>
      <w:pPr>
        <w:ind w:left="1180" w:right="140" w:hanging="436"/>
        <w:spacing w:after="0" w:line="264" w:lineRule="auto"/>
        <w:tabs>
          <w:tab w:leader="none" w:pos="11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Further research and characterization of the characteristics of the RECELL System, the composition and activity of the Spray-On Skin Cells suspension, and the design of the device to support further development of the platform in other injuries and defects of the skin, and to expand the existing intellectual property estate.</w:t>
      </w:r>
    </w:p>
    <w:p>
      <w:pPr>
        <w:spacing w:after="0" w:line="86" w:lineRule="exact"/>
        <w:rPr>
          <w:rFonts w:ascii="Arial" w:cs="Arial" w:eastAsia="Arial" w:hAnsi="Arial"/>
          <w:sz w:val="18"/>
          <w:szCs w:val="18"/>
          <w:color w:val="auto"/>
        </w:rPr>
      </w:pPr>
    </w:p>
    <w:p>
      <w:pPr>
        <w:ind w:left="1180" w:hanging="436"/>
        <w:spacing w:after="0" w:line="277" w:lineRule="auto"/>
        <w:tabs>
          <w:tab w:leader="none" w:pos="11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Expansion of the technology platform underlying the RECELL System, including combining the platform with other technologies, to allow development of the platform in other indications including orphan indications.</w:t>
      </w:r>
    </w:p>
    <w:p>
      <w:pPr>
        <w:spacing w:after="0" w:line="170" w:lineRule="exact"/>
        <w:rPr>
          <w:sz w:val="20"/>
          <w:szCs w:val="20"/>
          <w:color w:val="auto"/>
        </w:rPr>
      </w:pPr>
    </w:p>
    <w:p>
      <w:pPr>
        <w:ind w:left="640"/>
        <w:spacing w:after="0"/>
        <w:rPr>
          <w:sz w:val="20"/>
          <w:szCs w:val="20"/>
          <w:color w:val="auto"/>
        </w:rPr>
      </w:pPr>
      <w:r>
        <w:rPr>
          <w:rFonts w:ascii="Arial" w:cs="Arial" w:eastAsia="Arial" w:hAnsi="Arial"/>
          <w:sz w:val="16"/>
          <w:szCs w:val="16"/>
          <w:color w:val="auto"/>
        </w:rPr>
        <w:t>See “ITEM 4, Clinical Results and Ongoing and Planned Clinical Trials” for additional details on our ongoing research and development efforts.</w:t>
      </w:r>
    </w:p>
    <w:p>
      <w:pPr>
        <w:spacing w:after="0" w:line="352"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Manufacturing, Supply and Production</w:t>
      </w:r>
    </w:p>
    <w:p>
      <w:pPr>
        <w:spacing w:after="0" w:line="121" w:lineRule="exact"/>
        <w:rPr>
          <w:sz w:val="20"/>
          <w:szCs w:val="20"/>
          <w:color w:val="auto"/>
        </w:rPr>
      </w:pPr>
    </w:p>
    <w:p>
      <w:pPr>
        <w:ind w:left="200" w:right="80" w:firstLine="441"/>
        <w:spacing w:after="0" w:line="277" w:lineRule="auto"/>
        <w:rPr>
          <w:sz w:val="20"/>
          <w:szCs w:val="20"/>
          <w:color w:val="auto"/>
        </w:rPr>
      </w:pPr>
      <w:r>
        <w:rPr>
          <w:rFonts w:ascii="Arial" w:cs="Arial" w:eastAsia="Arial" w:hAnsi="Arial"/>
          <w:sz w:val="18"/>
          <w:szCs w:val="18"/>
          <w:color w:val="auto"/>
        </w:rPr>
        <w:t>We operate a production plant in Ventura, California, in a 23,040 square foot facility that we lease through September 30, 2021. We have the right to extend the lease, at our sole option, as a result of three, three-year,</w:t>
      </w:r>
    </w:p>
    <w:p>
      <w:pPr>
        <w:spacing w:after="0" w:line="103"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220"/>
          </w:cols>
          <w:pgMar w:left="240" w:top="459" w:right="439" w:bottom="1440" w:gutter="0" w:footer="0" w:header="0"/>
        </w:sectPr>
      </w:pPr>
    </w:p>
    <w:bookmarkStart w:id="38" w:name="page39"/>
    <w:bookmarkEnd w:id="3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100"/>
        <w:spacing w:after="0" w:line="297" w:lineRule="auto"/>
        <w:rPr>
          <w:sz w:val="20"/>
          <w:szCs w:val="20"/>
          <w:color w:val="auto"/>
        </w:rPr>
      </w:pPr>
      <w:r>
        <w:rPr>
          <w:rFonts w:ascii="Arial" w:cs="Arial" w:eastAsia="Arial" w:hAnsi="Arial"/>
          <w:sz w:val="16"/>
          <w:szCs w:val="16"/>
          <w:color w:val="auto"/>
        </w:rPr>
        <w:t>options that allow us to extend the lease up to an additional nine years in total. We produce the RECELL System in this facility under the current Good Manufacturing Practices (cGMP) requirements of the FDA and the regulatory agencies of other jurisdictions in which we sell the RECELL System. As we seek regulatory approval in Japan and other new international countries for the RECELL System, the regulatory authorities of these counties are likely to review our manufacturing process, inspect our plant, and confirm that we meet all regulatory requirements. Any material future changes to our production processes for the RECELL System will have to be approved by the FDA and regulatory authorities in other jurisdictions.</w:t>
      </w:r>
    </w:p>
    <w:p>
      <w:pPr>
        <w:spacing w:after="0" w:line="158" w:lineRule="exact"/>
        <w:rPr>
          <w:sz w:val="20"/>
          <w:szCs w:val="20"/>
          <w:color w:val="auto"/>
        </w:rPr>
      </w:pPr>
    </w:p>
    <w:p>
      <w:pPr>
        <w:ind w:left="200" w:firstLine="441"/>
        <w:spacing w:after="0" w:line="257" w:lineRule="auto"/>
        <w:rPr>
          <w:sz w:val="20"/>
          <w:szCs w:val="20"/>
          <w:color w:val="auto"/>
        </w:rPr>
      </w:pPr>
      <w:r>
        <w:rPr>
          <w:rFonts w:ascii="Arial" w:cs="Arial" w:eastAsia="Arial" w:hAnsi="Arial"/>
          <w:sz w:val="18"/>
          <w:szCs w:val="18"/>
          <w:color w:val="auto"/>
        </w:rPr>
        <w:t>All production requirements for the RECELL System, including devices required for U.S. and international sales and clinical trial requirements, have been manufactured at the Ventura facility since 2009. Up until June 30, 2018, the RECELL System was produced in the Ventura facility on our behalf by a Fortune 500 contract manufacturer who produced multiple GMP products for third parties. Due to a consolidation of facilities by the contract manufacturer, effective July 1, 2018 we entered into a series of agreements to take control of the Ventura plant, lease the facility, and acquire manufacturing equipment from the contract manufacturer at no cost.</w:t>
      </w:r>
    </w:p>
    <w:p>
      <w:pPr>
        <w:spacing w:after="0" w:line="188" w:lineRule="exact"/>
        <w:rPr>
          <w:sz w:val="20"/>
          <w:szCs w:val="20"/>
          <w:color w:val="auto"/>
        </w:rPr>
      </w:pPr>
    </w:p>
    <w:p>
      <w:pPr>
        <w:ind w:left="200" w:right="40" w:firstLine="441"/>
        <w:spacing w:after="0" w:line="255" w:lineRule="auto"/>
        <w:rPr>
          <w:sz w:val="20"/>
          <w:szCs w:val="20"/>
          <w:color w:val="auto"/>
        </w:rPr>
      </w:pPr>
      <w:r>
        <w:rPr>
          <w:rFonts w:ascii="Arial" w:cs="Arial" w:eastAsia="Arial" w:hAnsi="Arial"/>
          <w:sz w:val="18"/>
          <w:szCs w:val="18"/>
          <w:color w:val="auto"/>
        </w:rPr>
        <w:t>Within the Ventura facility we perform the final manufacturing, assembly, packaging and warehousing of the RECELL System. Also included within the Ventura facility is a controlled warehouse designed to meet the vendor-managed inventory requirements of the BARDA program. We source multiple components, sub-assemblies and materials from third-party suppliers, who are required to meet our quality specifications. Included among the items procured from suppliers is porcine-derived trypsin, which is the enzyme key to the skin cell disaggregation performed using the RECELL System. Although we endeavor to have multiple sources of supply for key components, subassemblies and materials, some are procured from single source suppliers. We continue to evaluate methods of removing risk from the supply chain for the RECELL System, including ultimately moving to a recombinantly produced Trypsin.</w:t>
      </w:r>
    </w:p>
    <w:p>
      <w:pPr>
        <w:spacing w:after="0" w:line="189" w:lineRule="exact"/>
        <w:rPr>
          <w:sz w:val="20"/>
          <w:szCs w:val="20"/>
          <w:color w:val="auto"/>
        </w:rPr>
      </w:pPr>
    </w:p>
    <w:p>
      <w:pPr>
        <w:ind w:left="200" w:right="120" w:firstLine="441"/>
        <w:spacing w:after="0" w:line="277" w:lineRule="auto"/>
        <w:rPr>
          <w:sz w:val="20"/>
          <w:szCs w:val="20"/>
          <w:color w:val="auto"/>
        </w:rPr>
      </w:pPr>
      <w:r>
        <w:rPr>
          <w:rFonts w:ascii="Arial" w:cs="Arial" w:eastAsia="Arial" w:hAnsi="Arial"/>
          <w:sz w:val="18"/>
          <w:szCs w:val="18"/>
          <w:color w:val="auto"/>
        </w:rPr>
        <w:t>We believe that our current manufacturing capacity at the Ventura facility is sufficient to meet the expected commercial demand for the RECELL System for burns and other indications currently under development.</w:t>
      </w:r>
    </w:p>
    <w:p>
      <w:pPr>
        <w:spacing w:after="0" w:line="27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Marketing Sales and Distribution</w:t>
      </w:r>
    </w:p>
    <w:p>
      <w:pPr>
        <w:spacing w:after="0" w:line="121" w:lineRule="exact"/>
        <w:rPr>
          <w:sz w:val="20"/>
          <w:szCs w:val="20"/>
          <w:color w:val="auto"/>
        </w:rPr>
      </w:pPr>
    </w:p>
    <w:p>
      <w:pPr>
        <w:ind w:left="200" w:right="220" w:firstLine="441"/>
        <w:spacing w:after="0" w:line="293" w:lineRule="auto"/>
        <w:rPr>
          <w:sz w:val="20"/>
          <w:szCs w:val="20"/>
          <w:color w:val="auto"/>
        </w:rPr>
      </w:pPr>
      <w:r>
        <w:rPr>
          <w:rFonts w:ascii="Arial" w:cs="Arial" w:eastAsia="Arial" w:hAnsi="Arial"/>
          <w:sz w:val="16"/>
          <w:szCs w:val="16"/>
          <w:color w:val="auto"/>
        </w:rPr>
        <w:t>We sell the RECELL System in the U.S. through our own commercial organization consisting of 20 field sales personnel (consisting of Regenerative Tissue Specialists, Clinical Training specialists and regional managers). and the field sales team is supported by centralized marketing, reimbursement, sales operations and leadership personnel, and also receives clinical and scientific support from our Medical Affairs team. The field sales team was recruited and hired subsequent to the September 2018 FDA approval and were trained prior to our U.S. market launch of the RECELL System in January 2019. All of our field sales personnel have prior experience in the U.S. burn market and in the launch of new products. Each of the clinical training specialists responsible for training the surgeons and other medical personnel within the burn centers are experienced burn nurses.</w:t>
      </w:r>
    </w:p>
    <w:p>
      <w:pPr>
        <w:spacing w:after="0" w:line="165" w:lineRule="exact"/>
        <w:rPr>
          <w:sz w:val="20"/>
          <w:szCs w:val="20"/>
          <w:color w:val="auto"/>
        </w:rPr>
      </w:pPr>
    </w:p>
    <w:p>
      <w:pPr>
        <w:ind w:left="200" w:right="140" w:firstLine="441"/>
        <w:spacing w:after="0" w:line="257" w:lineRule="auto"/>
        <w:rPr>
          <w:sz w:val="20"/>
          <w:szCs w:val="20"/>
          <w:color w:val="auto"/>
        </w:rPr>
      </w:pPr>
      <w:r>
        <w:rPr>
          <w:rFonts w:ascii="Arial" w:cs="Arial" w:eastAsia="Arial" w:hAnsi="Arial"/>
          <w:sz w:val="18"/>
          <w:szCs w:val="18"/>
          <w:color w:val="auto"/>
        </w:rPr>
        <w:t>The market for the treatment of burns in the U.S. is highly concentrated, with 134 burn centers and approximately 300 burn surgeons. Accordingly, we believe that our sales organization is of an appropriate size to reach the burn surgeons and other key decision makers associated with our initial target market of patients with burn injuries of 10% or greater TBSA treated on an in-patient basis within U.S. burn centers. As a result of the concentrated nature of the U.S. burn market, we do not have an external distribution or warehousing structure and ship the RECELL System directly from our Ventura facility to U.S. burn centers.</w:t>
      </w:r>
    </w:p>
    <w:p>
      <w:pPr>
        <w:spacing w:after="0" w:line="188" w:lineRule="exact"/>
        <w:rPr>
          <w:sz w:val="20"/>
          <w:szCs w:val="20"/>
          <w:color w:val="auto"/>
        </w:rPr>
      </w:pPr>
    </w:p>
    <w:p>
      <w:pPr>
        <w:ind w:left="200" w:right="220" w:firstLine="441"/>
        <w:spacing w:after="0" w:line="279" w:lineRule="auto"/>
        <w:rPr>
          <w:sz w:val="20"/>
          <w:szCs w:val="20"/>
          <w:color w:val="auto"/>
        </w:rPr>
      </w:pPr>
      <w:r>
        <w:rPr>
          <w:rFonts w:ascii="Arial" w:cs="Arial" w:eastAsia="Arial" w:hAnsi="Arial"/>
          <w:sz w:val="17"/>
          <w:szCs w:val="17"/>
          <w:color w:val="auto"/>
        </w:rPr>
        <w:t>The objective of our field sale team is to build upon burn community awareness resulting from the extensive series of burn conference presentations and scientific publications to further expand the interest in clinical and economic benefits of the RECELL System among burn surgeons and other professionals who are not already experienced with the product. In addition, we have set a policy of not providing the RECELL System to a burn center or other institution until their site has been certified by us, which includes training in the use of the product</w:t>
      </w:r>
    </w:p>
    <w:p>
      <w:pPr>
        <w:spacing w:after="0" w:line="104"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1220"/>
          </w:cols>
          <w:pgMar w:left="240" w:top="459" w:right="439" w:bottom="1440" w:gutter="0" w:footer="0" w:header="0"/>
        </w:sectPr>
      </w:pPr>
    </w:p>
    <w:bookmarkStart w:id="39" w:name="page40"/>
    <w:bookmarkEnd w:id="3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60"/>
        <w:spacing w:after="0" w:line="276" w:lineRule="auto"/>
        <w:rPr>
          <w:sz w:val="20"/>
          <w:szCs w:val="20"/>
          <w:color w:val="auto"/>
        </w:rPr>
      </w:pPr>
      <w:r>
        <w:rPr>
          <w:rFonts w:ascii="Arial" w:cs="Arial" w:eastAsia="Arial" w:hAnsi="Arial"/>
          <w:sz w:val="17"/>
          <w:szCs w:val="17"/>
          <w:color w:val="auto"/>
        </w:rPr>
        <w:t>and in the proper aftercare of the patient. Training of the burn sites is undertaken by the clinical training specialist component of our sales team, augmented from personnel by our Medical Affairs team. In general, we expect most U.S. burn centers will follow the industry standard process of evaluating the RECELL System and then taking it through their hospital’s Value Analysis Committees (VAC) prior to purchasing the product. This process can sometimes be a lengthy one taking six months to complete. As a result of the training requirements and the VAC process, we expect that the adoption of the RECELL System among U.S. burn centers will occur on a staggered basis over multiple years.</w:t>
      </w:r>
    </w:p>
    <w:p>
      <w:pPr>
        <w:spacing w:after="0" w:line="173" w:lineRule="exact"/>
        <w:rPr>
          <w:sz w:val="20"/>
          <w:szCs w:val="20"/>
          <w:color w:val="auto"/>
        </w:rPr>
      </w:pPr>
    </w:p>
    <w:p>
      <w:pPr>
        <w:ind w:left="200" w:right="100" w:firstLine="441"/>
        <w:spacing w:after="0" w:line="293" w:lineRule="auto"/>
        <w:rPr>
          <w:sz w:val="20"/>
          <w:szCs w:val="20"/>
          <w:color w:val="auto"/>
        </w:rPr>
      </w:pPr>
      <w:r>
        <w:rPr>
          <w:rFonts w:ascii="Arial" w:cs="Arial" w:eastAsia="Arial" w:hAnsi="Arial"/>
          <w:sz w:val="16"/>
          <w:szCs w:val="16"/>
          <w:color w:val="auto"/>
        </w:rPr>
        <w:t>In the U.S., hospital and physician reimbursement associated with in-patient treatment using the RECELL System was in place prior to the commencement of commercial sales. For in-patient treatment of burn patients, U.S. hospitals are reimbursed under ICD-10 (International Classification of Diseases, Tenth Revision, Clinical Modification) codes based on diagnosis of a patient’s injuries. For physicians, CPT (Current Procedural Terminology) codes for use in procedures using the RECELL System were recommended by the American Burn Association within one week of FDA approval. Future expansion, based on additional clinical data and subject to a supplement to our PMA, of the use of the RECELL System for the treatment of burns or other indications on an outpatient basis will require us to successfully obtain reimbursement for use of the product in that setting.</w:t>
      </w:r>
    </w:p>
    <w:p>
      <w:pPr>
        <w:spacing w:after="0" w:line="165" w:lineRule="exact"/>
        <w:rPr>
          <w:sz w:val="20"/>
          <w:szCs w:val="20"/>
          <w:color w:val="auto"/>
        </w:rPr>
      </w:pPr>
    </w:p>
    <w:p>
      <w:pPr>
        <w:ind w:left="200" w:firstLine="441"/>
        <w:spacing w:after="0" w:line="270" w:lineRule="auto"/>
        <w:rPr>
          <w:sz w:val="20"/>
          <w:szCs w:val="20"/>
          <w:color w:val="auto"/>
        </w:rPr>
      </w:pPr>
      <w:r>
        <w:rPr>
          <w:rFonts w:ascii="Arial" w:cs="Arial" w:eastAsia="Arial" w:hAnsi="Arial"/>
          <w:sz w:val="17"/>
          <w:szCs w:val="17"/>
          <w:color w:val="auto"/>
        </w:rPr>
        <w:t>In February 2019 we entered into a collaboration with COSMOTEC, an M3 Group company, to market and distribute the RECELL System for the treatment of burns and other wounds in Japan. In China we have relied upon a series of one-year distributorships to allow awareness of the product to build while maintaining flexibility to undertake an alternative commercialization strategy as data to support the approval and use of the RESELL System in other indications becomes available. Our commercialization efforts in other regions in which the RECELL System is approved for sale is based on our assessment that the acute burn market in many countries is proportionately less than the market in the U.S., and the investments in a full marketing and sales resources and the effort to obtain reimbursement are not justified until we have obtained pivotal clinical results in additional indications. In Australia and Europe for the past year we have not engaged in any substantial promotion of the RECELL System but have limited our commercialization efforts to filing sales orders as received. As additional pivotal trial data for the RECELL System is generated in additional indications, we expect to commercialize the product in countries outside the U.S. through a combination of collaborations and direct efforts, depending upon the territory and the indication.</w:t>
      </w:r>
    </w:p>
    <w:p>
      <w:pPr>
        <w:spacing w:after="0" w:line="282"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Intellectual Property</w:t>
      </w:r>
    </w:p>
    <w:p>
      <w:pPr>
        <w:spacing w:after="0" w:line="121" w:lineRule="exact"/>
        <w:rPr>
          <w:sz w:val="20"/>
          <w:szCs w:val="20"/>
          <w:color w:val="auto"/>
        </w:rPr>
      </w:pPr>
    </w:p>
    <w:p>
      <w:pPr>
        <w:ind w:left="200" w:right="20" w:firstLine="441"/>
        <w:spacing w:after="0" w:line="276" w:lineRule="auto"/>
        <w:rPr>
          <w:sz w:val="20"/>
          <w:szCs w:val="20"/>
          <w:color w:val="auto"/>
        </w:rPr>
      </w:pPr>
      <w:r>
        <w:rPr>
          <w:rFonts w:ascii="Arial" w:cs="Arial" w:eastAsia="Arial" w:hAnsi="Arial"/>
          <w:sz w:val="17"/>
          <w:szCs w:val="17"/>
          <w:color w:val="auto"/>
        </w:rPr>
        <w:t>We seek to protect our intellectual property, core technologies and other know-how through a combination of patents, trademarks, trade secrets, non-disclosure and confidentiality agreements, licenses, assignments of invention and other contractual arrangements with our employees, consultants, partners, suppliers, customers and others. Additionally, we rely on our research and development program, clinical trials, know-how and marketing and distribution programs to advance our products and product candidates, and to expand our intellectual property rights. As of December 31, 2018, we have been granted a total of a total of 32 patents and have 15 pending patent applications worldwide.</w:t>
      </w:r>
    </w:p>
    <w:p>
      <w:pPr>
        <w:spacing w:after="0" w:line="173" w:lineRule="exact"/>
        <w:rPr>
          <w:sz w:val="20"/>
          <w:szCs w:val="20"/>
          <w:color w:val="auto"/>
        </w:rPr>
      </w:pPr>
    </w:p>
    <w:p>
      <w:pPr>
        <w:ind w:left="200" w:right="180" w:firstLine="441"/>
        <w:spacing w:after="0" w:line="271" w:lineRule="auto"/>
        <w:rPr>
          <w:sz w:val="20"/>
          <w:szCs w:val="20"/>
          <w:color w:val="auto"/>
        </w:rPr>
      </w:pPr>
      <w:r>
        <w:rPr>
          <w:rFonts w:ascii="Arial" w:cs="Arial" w:eastAsia="Arial" w:hAnsi="Arial"/>
          <w:sz w:val="17"/>
          <w:szCs w:val="17"/>
          <w:color w:val="auto"/>
        </w:rPr>
        <w:t>The U.S. patents and patent applications provide coverage with expected expiration dates ranging from 2022 to 2033. U.S. patents covering the composition of matter related to the current RECELL System expire in 2022. We have filed a Patent Term Extension (PTE) application with the U.S. Patent and Trademark Office requesting an extension of the patent term of U.S. Patent No. 9,029,140, “Cell suspension preparation technique and device” as a result of the time required for the FDA regulatory process. If the term extension requested in the PTE application is approved, the patent term of U.S. Patent No. 9,029,140 will be extended to 2028. We expect that further research and characterization of the characteristics of the RECELL System, the composition and activity of the Spray-On Skin Cells solution, and the design of the device currently underway will provide additional claims, including composition of matter, for which we will be able to pursue additional U.S. and international patent applications. Patents and patent applications in key international markets parallel those in the U.S.</w:t>
      </w:r>
    </w:p>
    <w:p>
      <w:pPr>
        <w:spacing w:after="0" w:line="111"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1220"/>
          </w:cols>
          <w:pgMar w:left="240" w:top="459" w:right="439" w:bottom="1440" w:gutter="0" w:footer="0" w:header="0"/>
        </w:sectPr>
      </w:pPr>
    </w:p>
    <w:bookmarkStart w:id="40" w:name="page41"/>
    <w:bookmarkEnd w:id="4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60" w:firstLine="441"/>
        <w:spacing w:after="0" w:line="279" w:lineRule="auto"/>
        <w:rPr>
          <w:sz w:val="20"/>
          <w:szCs w:val="20"/>
          <w:color w:val="auto"/>
        </w:rPr>
      </w:pPr>
      <w:r>
        <w:rPr>
          <w:rFonts w:ascii="Arial" w:cs="Arial" w:eastAsia="Arial" w:hAnsi="Arial"/>
          <w:sz w:val="17"/>
          <w:szCs w:val="17"/>
          <w:color w:val="auto"/>
        </w:rPr>
        <w:t>In addition to patent protection, we also rely on trade secrets, including unpatented know-how, technology innovation, drawings, technical specifications and other proprietary information in attempting to develop and maintain our competitive position. We also rely on protection available under trademark laws, and we currently hold various registered trademarks and pending trademark applications, including the “RECELL,”,” “Spray-On Skin Cells,” and “REGENERATIVE EPIDERMAL SUSPENSION (RES),” in the U.S. and international markets.</w:t>
      </w:r>
    </w:p>
    <w:p>
      <w:pPr>
        <w:spacing w:after="0" w:line="171" w:lineRule="exact"/>
        <w:rPr>
          <w:sz w:val="20"/>
          <w:szCs w:val="20"/>
          <w:color w:val="auto"/>
        </w:rPr>
      </w:pPr>
    </w:p>
    <w:p>
      <w:pPr>
        <w:ind w:left="200" w:right="20" w:firstLine="441"/>
        <w:spacing w:after="0" w:line="283" w:lineRule="auto"/>
        <w:rPr>
          <w:sz w:val="20"/>
          <w:szCs w:val="20"/>
          <w:color w:val="auto"/>
        </w:rPr>
      </w:pPr>
      <w:r>
        <w:rPr>
          <w:rFonts w:ascii="Arial" w:cs="Arial" w:eastAsia="Arial" w:hAnsi="Arial"/>
          <w:sz w:val="16"/>
          <w:szCs w:val="16"/>
          <w:color w:val="auto"/>
        </w:rPr>
        <w:t>While our policy is to obtain patents by application, license or otherwise, to maintain trade secrets and to seek to operate without infringing on the intellectual property rights of third parties, technologies related to our business have been rapidly developing in recent years. Additionally, patent applications that we may file or license from third parties may not result in the issuance of patents, and our issued patents and any issued patents that we may receive in the future may be challenged, invalidated or circumvented. For example, we cannot predict the extent of claims that may be allowed or enforced in our patents nor be certain of the priority of inventions covered by pending third-party patent applications. If third parties prepare and file patent applications that also claim technology or therapeutics to which we have rights, we may have to participate in proceedings to determine priority of invention, which could result in substantial costs to us, even if the eventual outcome is favorable to us. Moreover, because of the extensive time required for clinical development and regulatory review of a product we may develop, it is possible that, before the RECELL System can be commercialized in additional indications or jurisdictions and/or before any of our future products can be commercialized, related patents will have expired or will expire a short period following commercialization, thereby reducing the advantage of such patent. Loss or invalidation of certain of our patents, or a finding of unenforceability or limited scope of certain of our intellectual property, could have a material adverse effect on us. See “ITEM</w:t>
      </w:r>
    </w:p>
    <w:p>
      <w:pPr>
        <w:spacing w:after="0" w:line="5" w:lineRule="exact"/>
        <w:rPr>
          <w:sz w:val="20"/>
          <w:szCs w:val="20"/>
          <w:color w:val="auto"/>
        </w:rPr>
      </w:pPr>
    </w:p>
    <w:p>
      <w:pPr>
        <w:ind w:left="200" w:right="100"/>
        <w:spacing w:after="0" w:line="261" w:lineRule="auto"/>
        <w:rPr>
          <w:sz w:val="20"/>
          <w:szCs w:val="20"/>
          <w:color w:val="auto"/>
        </w:rPr>
      </w:pPr>
      <w:r>
        <w:rPr>
          <w:rFonts w:ascii="Arial" w:cs="Arial" w:eastAsia="Arial" w:hAnsi="Arial"/>
          <w:sz w:val="18"/>
          <w:szCs w:val="18"/>
          <w:color w:val="auto"/>
        </w:rPr>
        <w:t>3.D. Risk Factors – If we are unable to effectively protect our intellectual property, we may not be able to operate our business and third parties may be able to use and profit from our technology, both of which would impair our ability to be competitive.”</w:t>
      </w:r>
    </w:p>
    <w:p>
      <w:pPr>
        <w:spacing w:after="0" w:line="288"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Competition</w:t>
      </w:r>
    </w:p>
    <w:p>
      <w:pPr>
        <w:spacing w:after="0" w:line="121" w:lineRule="exact"/>
        <w:rPr>
          <w:sz w:val="20"/>
          <w:szCs w:val="20"/>
          <w:color w:val="auto"/>
        </w:rPr>
      </w:pPr>
    </w:p>
    <w:p>
      <w:pPr>
        <w:ind w:left="200" w:right="160" w:firstLine="441"/>
        <w:spacing w:after="0" w:line="293" w:lineRule="auto"/>
        <w:rPr>
          <w:sz w:val="20"/>
          <w:szCs w:val="20"/>
          <w:color w:val="auto"/>
        </w:rPr>
      </w:pPr>
      <w:r>
        <w:rPr>
          <w:rFonts w:ascii="Arial" w:cs="Arial" w:eastAsia="Arial" w:hAnsi="Arial"/>
          <w:sz w:val="16"/>
          <w:szCs w:val="16"/>
          <w:color w:val="auto"/>
        </w:rPr>
        <w:t>The medical device, biotechnology and pharmaceutical industries are intensely competitive and subject to significant technological change and changes in practice. While we believe that our innovative technology, knowledge, experience and scientific resources provide us with competitive advantages, we may face competition from many different sources with respect to the RECELL System or any product candidates that we may seek to develop and commercialize in the future. Possible competitors may include medical device, pharmaceutical and wound care companies, academic and medical institutions, governmental agencies, medical practitioners, and public and private research institutions, among others. Any product that we successfully develop and commercialize will compete with existing therapies and new therapies that may become available in the future.</w:t>
      </w:r>
    </w:p>
    <w:p>
      <w:pPr>
        <w:spacing w:after="0" w:line="165" w:lineRule="exact"/>
        <w:rPr>
          <w:sz w:val="20"/>
          <w:szCs w:val="20"/>
          <w:color w:val="auto"/>
        </w:rPr>
      </w:pPr>
    </w:p>
    <w:p>
      <w:pPr>
        <w:ind w:left="200" w:firstLine="441"/>
        <w:spacing w:after="0" w:line="257" w:lineRule="auto"/>
        <w:rPr>
          <w:sz w:val="20"/>
          <w:szCs w:val="20"/>
          <w:color w:val="auto"/>
        </w:rPr>
      </w:pPr>
      <w:r>
        <w:rPr>
          <w:rFonts w:ascii="Arial" w:cs="Arial" w:eastAsia="Arial" w:hAnsi="Arial"/>
          <w:sz w:val="18"/>
          <w:szCs w:val="18"/>
          <w:color w:val="auto"/>
        </w:rPr>
        <w:t>In addition, in the treatment of acute burns we face competition from the current standard of care, primarily split-thickness autografts. Although the RECELL System is complementary with autografts for the treatment of many burn injuries, we face competition from this traditional surgical procedure for many burn patients. However, based on our clinical trials, we believe that the RECELL System has a sustainable competitive clinical and economic advantages over the current standard of care. See “ITEM 4 – The RECELL System Clinical History and Ongoing and Planned Clinical Trials” for the results of our clinical trials.</w:t>
      </w:r>
    </w:p>
    <w:p>
      <w:pPr>
        <w:spacing w:after="0" w:line="292"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Government Regulations</w:t>
      </w:r>
    </w:p>
    <w:p>
      <w:pPr>
        <w:spacing w:after="0" w:line="121" w:lineRule="exact"/>
        <w:rPr>
          <w:sz w:val="20"/>
          <w:szCs w:val="20"/>
          <w:color w:val="auto"/>
        </w:rPr>
      </w:pPr>
    </w:p>
    <w:p>
      <w:pPr>
        <w:ind w:left="200"/>
        <w:spacing w:after="0"/>
        <w:rPr>
          <w:sz w:val="20"/>
          <w:szCs w:val="20"/>
          <w:color w:val="auto"/>
        </w:rPr>
      </w:pPr>
      <w:r>
        <w:rPr>
          <w:rFonts w:ascii="Arial" w:cs="Arial" w:eastAsia="Arial" w:hAnsi="Arial"/>
          <w:sz w:val="18"/>
          <w:szCs w:val="18"/>
          <w:u w:val="single" w:color="auto"/>
          <w:color w:val="auto"/>
        </w:rPr>
        <w:t>FDA and International Regulation</w:t>
      </w:r>
    </w:p>
    <w:p>
      <w:pPr>
        <w:spacing w:after="0" w:line="117" w:lineRule="exact"/>
        <w:rPr>
          <w:sz w:val="20"/>
          <w:szCs w:val="20"/>
          <w:color w:val="auto"/>
        </w:rPr>
      </w:pPr>
    </w:p>
    <w:p>
      <w:pPr>
        <w:ind w:left="200" w:right="220" w:firstLine="441"/>
        <w:spacing w:after="0" w:line="264" w:lineRule="auto"/>
        <w:rPr>
          <w:sz w:val="20"/>
          <w:szCs w:val="20"/>
          <w:color w:val="auto"/>
        </w:rPr>
      </w:pPr>
      <w:r>
        <w:rPr>
          <w:rFonts w:ascii="Arial" w:cs="Arial" w:eastAsia="Arial" w:hAnsi="Arial"/>
          <w:sz w:val="18"/>
          <w:szCs w:val="18"/>
          <w:color w:val="auto"/>
        </w:rPr>
        <w:t>The production and marketing of the RECELL System and any additional product candidates developed in the future ongoing research and development activities are subject to regulation by numerous governmental authorities including the FDA in the United States and similar agencies in other countries throughout the world.</w:t>
      </w:r>
    </w:p>
    <w:p>
      <w:pPr>
        <w:spacing w:after="0" w:line="114"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39</w:t>
      </w:r>
    </w:p>
    <w:p>
      <w:pPr>
        <w:sectPr>
          <w:pgSz w:w="11900" w:h="16838" w:orient="portrait"/>
          <w:cols w:equalWidth="0" w:num="1">
            <w:col w:w="11200"/>
          </w:cols>
          <w:pgMar w:left="240" w:top="459" w:right="459" w:bottom="1440" w:gutter="0" w:footer="0" w:header="0"/>
        </w:sectPr>
      </w:pPr>
    </w:p>
    <w:bookmarkStart w:id="41" w:name="page42"/>
    <w:bookmarkEnd w:id="4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60"/>
        <w:spacing w:after="0" w:line="270" w:lineRule="auto"/>
        <w:rPr>
          <w:sz w:val="20"/>
          <w:szCs w:val="20"/>
          <w:color w:val="auto"/>
        </w:rPr>
      </w:pPr>
      <w:r>
        <w:rPr>
          <w:rFonts w:ascii="Arial" w:cs="Arial" w:eastAsia="Arial" w:hAnsi="Arial"/>
          <w:sz w:val="17"/>
          <w:szCs w:val="17"/>
          <w:color w:val="auto"/>
        </w:rPr>
        <w:t>Pursuant to its authority under the Federal Food, Drug, and Cosmetic Act (FD&amp;C Act) the FDA has jurisdiction over medical devices in the U.S. The FDA regulates, among other things, the research, testing, manufacturing, safety, labeling, storage, recordkeeping, premarket clearance or approval, marketing and promotion and sales and distribution of medical devices in the U.S. to ensure that medical products distributed domestically are safe and effective for their intended uses. The FD&amp;C Act classifies medical devices into one of three categories based on the risks associated with the device and the level of control necessary to provide reasonable assurance of safety and effectiveness. Devices deemed by the FDA to pose the greatest risk, such as life-sustaining, life-supporting or implantable devices, or devices deemed not substantially equivalent to a previously 510(k) cleared device are categorized as Class III. These devices typically require submission and approval of a Premarket Approval Application, or PMA. The RECELL System is categorized as a Class III medical device, and in September 2018 the FDA approved our PMA for use in the treatment of acute thermal burns in patients 18 years and older. Approval of the RECELL System for use in the treatment of additional indications in the U.S. will require the submission to the FDA of a supplement to our PMA.</w:t>
      </w:r>
    </w:p>
    <w:p>
      <w:pPr>
        <w:spacing w:after="0" w:line="178" w:lineRule="exact"/>
        <w:rPr>
          <w:sz w:val="20"/>
          <w:szCs w:val="20"/>
          <w:color w:val="auto"/>
        </w:rPr>
      </w:pPr>
    </w:p>
    <w:p>
      <w:pPr>
        <w:ind w:left="200" w:firstLine="441"/>
        <w:spacing w:after="0" w:line="287" w:lineRule="auto"/>
        <w:rPr>
          <w:sz w:val="20"/>
          <w:szCs w:val="20"/>
          <w:color w:val="auto"/>
        </w:rPr>
      </w:pPr>
      <w:r>
        <w:rPr>
          <w:rFonts w:ascii="Arial" w:cs="Arial" w:eastAsia="Arial" w:hAnsi="Arial"/>
          <w:sz w:val="16"/>
          <w:szCs w:val="16"/>
          <w:color w:val="auto"/>
        </w:rPr>
        <w:t>To support a PMA supplement or other application for approval in the U.S. or other regions, the completion of additional clinical and non-clinical studies and supporting development activities will likely be required. Clinical trials can take many years to complete and require the expenditure of substantial resources. The length of time varies substantially according to the type, complexity, novelty and intended use of the product candidate. We cannot make any assurances that once clinical trials are completed by us or a collaborative partner, we will be able to submit as scheduled a marketing approval request to the applicable governmental regulatory authority, or that such request and application will be reviewed and cleared by such governmental authority in a timely manner, or at all. Although we intend to make use of fast-track and abbreviated regulatory approval programs when possible and commercially appropriate, we cannot be certain that we will be able to obtain the clearances and approvals necessary for clinical testing or for manufacturing and marketing our product candidates. Delays in obtaining regulatory approvals could adversely affect the development and commercialization of our product candidates and could adversely impact our business, financial condition and results of operations. During the course of clinical trials and non-clinical studies, product candidates may exhibit unforeseen and unacceptable safety considerations. If any unacceptable side effects were to occur, we may, or regulatory authorities may require us to, interrupt, limit, delay or abort the development of our potential products.</w:t>
      </w:r>
    </w:p>
    <w:p>
      <w:pPr>
        <w:spacing w:after="0" w:line="173" w:lineRule="exact"/>
        <w:rPr>
          <w:sz w:val="20"/>
          <w:szCs w:val="20"/>
          <w:color w:val="auto"/>
        </w:rPr>
      </w:pPr>
    </w:p>
    <w:p>
      <w:pPr>
        <w:ind w:left="200" w:firstLine="441"/>
        <w:spacing w:after="0" w:line="287" w:lineRule="auto"/>
        <w:rPr>
          <w:sz w:val="20"/>
          <w:szCs w:val="20"/>
          <w:color w:val="auto"/>
        </w:rPr>
      </w:pPr>
      <w:r>
        <w:rPr>
          <w:rFonts w:ascii="Arial" w:cs="Arial" w:eastAsia="Arial" w:hAnsi="Arial"/>
          <w:sz w:val="16"/>
          <w:szCs w:val="16"/>
          <w:color w:val="auto"/>
        </w:rPr>
        <w:t>Any products manufactured or distributed by us pursuant to regulatory approvals are subject to continuing regulation by the FDA and similar agencies in other countries, including manufacturing, periodic reporting, product sampling and distribution, advertising, promotion, compliance with any post-approval requirements imposed as a conditional of approval, recordkeeping and reporting requirements, including adverse events experiences. After approval, material changes to the approved product, such as adding new indications or other labeling claims, or changes to the manufacturing process, are subject to prior FDA and other agency review and approval. Medical device manufacturers and their subcontractors are required to register their establishments with the FDA, certain state agencies and international agencies and are subject to periodic announced and unannounced inspections by the FDA and these other agencies for compliance with cGMP requirements. We have an established process in place for categorization of vendor criticality and the associated activities for qualification and monitoring, which include but are not limited to, requiring certification of supplier in conformance to relevant cGMP regulations and other FDA and international agency regulatory requirements, approved supplier lists, and regular Company conducted audits. In addition, all goods and services purchased from suppliers by us must be purchased from only those suppliers on the approved supplier list. Furthermore, the Company itself will continue to comply with all relevant FDA requirements and regulations and any applicable international agency regulatory requirements in its continued manufacturing and promotion of its FDA approved commercial product.</w:t>
      </w:r>
    </w:p>
    <w:p>
      <w:pPr>
        <w:spacing w:after="0" w:line="169" w:lineRule="exact"/>
        <w:rPr>
          <w:sz w:val="20"/>
          <w:szCs w:val="20"/>
          <w:color w:val="auto"/>
        </w:rPr>
      </w:pPr>
    </w:p>
    <w:p>
      <w:pPr>
        <w:ind w:left="200" w:right="200" w:firstLine="441"/>
        <w:spacing w:after="0" w:line="264" w:lineRule="auto"/>
        <w:rPr>
          <w:sz w:val="20"/>
          <w:szCs w:val="20"/>
          <w:color w:val="auto"/>
        </w:rPr>
      </w:pPr>
      <w:r>
        <w:rPr>
          <w:rFonts w:ascii="Arial" w:cs="Arial" w:eastAsia="Arial" w:hAnsi="Arial"/>
          <w:sz w:val="18"/>
          <w:szCs w:val="18"/>
          <w:color w:val="auto"/>
        </w:rPr>
        <w:t>The RECELL System is TGA-registered in Australia and CFDA-cleared in China for use in the treatment of burns, acute wounds, scars and vitiligo. In Europe, the RECELL System received CE-mark approval for the treatment of burns, chronic wounds, scars and vitiligo. In March 2019 we temporarily interrupted sales of the</w:t>
      </w:r>
    </w:p>
    <w:p>
      <w:pPr>
        <w:spacing w:after="0" w:line="114"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40</w:t>
      </w:r>
    </w:p>
    <w:p>
      <w:pPr>
        <w:sectPr>
          <w:pgSz w:w="11900" w:h="16838" w:orient="portrait"/>
          <w:cols w:equalWidth="0" w:num="1">
            <w:col w:w="11220"/>
          </w:cols>
          <w:pgMar w:left="240" w:top="459" w:right="439" w:bottom="1440" w:gutter="0" w:footer="0" w:header="0"/>
        </w:sectPr>
      </w:pPr>
    </w:p>
    <w:bookmarkStart w:id="42" w:name="page43"/>
    <w:bookmarkEnd w:id="4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spacing w:after="0" w:line="270" w:lineRule="auto"/>
        <w:rPr>
          <w:sz w:val="20"/>
          <w:szCs w:val="20"/>
          <w:color w:val="auto"/>
        </w:rPr>
      </w:pPr>
      <w:r>
        <w:rPr>
          <w:rFonts w:ascii="Arial" w:cs="Arial" w:eastAsia="Arial" w:hAnsi="Arial"/>
          <w:sz w:val="17"/>
          <w:szCs w:val="17"/>
          <w:color w:val="auto"/>
        </w:rPr>
        <w:t>RECELL System in the EU. The sales interruption occurred after the notified body responsible for EU certificates reported open items related to administrative and procedural non-conformities. These open items are limited to product distributed within the EU and are not related to product quality, performance or safety. While the temporary non-conformity caused us to suspend fulfilling any purchase requests in the EU, this action had no impact on the sale of products outside of the EU. We do not actively promote the products in the EU and its activity in the region is limited to filling purchase requests as they are received, therefore the financial impact to us of this temporary interruption was immaterial. On June 12, 2019, the notified body responsible for EU certificates closed all open administrative and procedural non-conformities previously announced and fully reinstated our EU certificates to allow the resumption of sales throughout the EU. In February 2019, our marketing partner COSMOTEC filed a Japan’s Pharmaceuticals and Medical Devices Act (“JPMDA”) application for approval to market the RECELL System in Japan for the treatment of burns and other wounds. The JPMDA has accepted the application and review is expected to take nine months to a year.</w:t>
      </w:r>
    </w:p>
    <w:p>
      <w:pPr>
        <w:spacing w:after="0" w:line="290" w:lineRule="exact"/>
        <w:rPr>
          <w:sz w:val="20"/>
          <w:szCs w:val="20"/>
          <w:color w:val="auto"/>
        </w:rPr>
      </w:pPr>
    </w:p>
    <w:p>
      <w:pPr>
        <w:ind w:left="200"/>
        <w:spacing w:after="0"/>
        <w:rPr>
          <w:sz w:val="20"/>
          <w:szCs w:val="20"/>
          <w:color w:val="auto"/>
        </w:rPr>
      </w:pPr>
      <w:r>
        <w:rPr>
          <w:rFonts w:ascii="Arial" w:cs="Arial" w:eastAsia="Arial" w:hAnsi="Arial"/>
          <w:sz w:val="18"/>
          <w:szCs w:val="18"/>
          <w:u w:val="single" w:color="auto"/>
          <w:color w:val="auto"/>
        </w:rPr>
        <w:t>The Foreign Corrupt Practices Act</w:t>
      </w:r>
    </w:p>
    <w:p>
      <w:pPr>
        <w:spacing w:after="0" w:line="117" w:lineRule="exact"/>
        <w:rPr>
          <w:sz w:val="20"/>
          <w:szCs w:val="20"/>
          <w:color w:val="auto"/>
        </w:rPr>
      </w:pPr>
    </w:p>
    <w:p>
      <w:pPr>
        <w:ind w:left="200" w:firstLine="441"/>
        <w:spacing w:after="0" w:line="272" w:lineRule="auto"/>
        <w:rPr>
          <w:sz w:val="20"/>
          <w:szCs w:val="20"/>
          <w:color w:val="auto"/>
        </w:rPr>
      </w:pPr>
      <w:r>
        <w:rPr>
          <w:rFonts w:ascii="Arial" w:cs="Arial" w:eastAsia="Arial" w:hAnsi="Arial"/>
          <w:sz w:val="17"/>
          <w:szCs w:val="17"/>
          <w:color w:val="auto"/>
        </w:rPr>
        <w:t>The Foreign Corrupt Practices Act, or FCPA, prohibits any U.S. individual or business from paying, offering or authorizing payment or offering of anything of value, directly or indirectly, to any foreign official, political party or candidate for the purpose of influencing any act or decision of the foreign entity in order to assist the individual or business in obtaining or retaining business. The FCPA also obligates companies whose securities are listed in the United States to comply with accounting provisions requiring the companies to maintain books and records that accurately and fairly reflect all transactions of the companies, including international subsidiaries, and to devise and maintain an adequate system of internal accounting controls for international operations. We are also subject to similar regulations under the Australian bribery laws and the U.S. Foreign Corrupt Practices Act (FCPA) and other anti-corruption laws that apply in countries where we do business.</w:t>
      </w:r>
    </w:p>
    <w:p>
      <w:pPr>
        <w:spacing w:after="0" w:line="282"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Environmental, Health and Safety Matters</w:t>
      </w:r>
    </w:p>
    <w:p>
      <w:pPr>
        <w:spacing w:after="0" w:line="121" w:lineRule="exact"/>
        <w:rPr>
          <w:sz w:val="20"/>
          <w:szCs w:val="20"/>
          <w:color w:val="auto"/>
        </w:rPr>
      </w:pPr>
    </w:p>
    <w:p>
      <w:pPr>
        <w:ind w:left="200" w:right="100" w:firstLine="441"/>
        <w:spacing w:after="0" w:line="271" w:lineRule="auto"/>
        <w:rPr>
          <w:sz w:val="20"/>
          <w:szCs w:val="20"/>
          <w:color w:val="auto"/>
        </w:rPr>
      </w:pPr>
      <w:r>
        <w:rPr>
          <w:rFonts w:ascii="Arial" w:cs="Arial" w:eastAsia="Arial" w:hAnsi="Arial"/>
          <w:sz w:val="17"/>
          <w:szCs w:val="17"/>
          <w:color w:val="auto"/>
        </w:rPr>
        <w:t>We are subject to extensive environmental, health and safety laws and regulations in a number of jurisdictions, primarily in the United States, governing, among other things: the use, storage, registration, handling, emission and disposal of chemicals, waste materials and sewage; chemicals, air, water and ground contamination; air emissions and the cleanup of contaminated sites, including any contamination that results from spills due to our failure to properly dispose of chemicals, waste materials and sewage. Our operations at our Ventura manufacturing facility use biologic agents and produce waste materials and sewage. Our activities require permits from various governmental authorities including, local municipal authorities. Local authorities and the municipal water and sewage company conduct periodic inspections in order to review and ensure our compliance with the various regulations. We are no presently aware of any violations or deficiencies. These laws, regulations and permits could potentially require the expenditure by us for compliance or remediation.</w:t>
      </w:r>
    </w:p>
    <w:p>
      <w:pPr>
        <w:spacing w:after="0" w:line="179" w:lineRule="exact"/>
        <w:rPr>
          <w:sz w:val="20"/>
          <w:szCs w:val="20"/>
          <w:color w:val="auto"/>
        </w:rPr>
      </w:pPr>
    </w:p>
    <w:p>
      <w:pPr>
        <w:ind w:left="200" w:right="20" w:firstLine="441"/>
        <w:spacing w:after="0" w:line="290" w:lineRule="auto"/>
        <w:rPr>
          <w:sz w:val="20"/>
          <w:szCs w:val="20"/>
          <w:color w:val="auto"/>
        </w:rPr>
      </w:pPr>
      <w:r>
        <w:rPr>
          <w:rFonts w:ascii="Arial" w:cs="Arial" w:eastAsia="Arial" w:hAnsi="Arial"/>
          <w:sz w:val="16"/>
          <w:szCs w:val="16"/>
          <w:color w:val="auto"/>
        </w:rPr>
        <w:t>If we fail to comply with such laws, regulations or permits, we may be subject to fines and other civil, administrative or criminal sanctions, including the revocation of permits and licenses necessary to continue our business activities. In addition, we may be required to pay damages or civil judgments in respect of third-party claims, including those relating to personal injury (including exposure to hazardous substances we use, store, handle, transport, manufacture or dispose of), property damage or contribution claims. Some environmental, health and safety laws allow for strict, joint and several liability for remediation costs, regardless of comparative fault. Should we be in violation of any such laws, we may be identified as a responsible party under such laws. Such developments could have a material adverse effect on our business, financial condition and results of operations. In addition, laws and regulations relating to environmental, health and safety matters are often subject to change. In the event of any changes or new laws or regulations, we could be subject to new compliance measures or to penalties for activities which were previously permitted.</w:t>
      </w:r>
    </w:p>
    <w:p>
      <w:pPr>
        <w:spacing w:after="0" w:line="99"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41</w:t>
      </w:r>
    </w:p>
    <w:p>
      <w:pPr>
        <w:sectPr>
          <w:pgSz w:w="11900" w:h="16838" w:orient="portrait"/>
          <w:cols w:equalWidth="0" w:num="1">
            <w:col w:w="11200"/>
          </w:cols>
          <w:pgMar w:left="240" w:top="459" w:right="459" w:bottom="1440" w:gutter="0" w:footer="0" w:header="0"/>
        </w:sectPr>
      </w:pPr>
    </w:p>
    <w:bookmarkStart w:id="43" w:name="page44"/>
    <w:bookmarkEnd w:id="4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Legal and Administrative Proceedings</w:t>
      </w:r>
    </w:p>
    <w:p>
      <w:pPr>
        <w:spacing w:after="0" w:line="121" w:lineRule="exact"/>
        <w:rPr>
          <w:sz w:val="20"/>
          <w:szCs w:val="20"/>
          <w:color w:val="auto"/>
        </w:rPr>
      </w:pPr>
    </w:p>
    <w:p>
      <w:pPr>
        <w:ind w:left="200" w:right="380" w:firstLine="441"/>
        <w:spacing w:after="0" w:line="277" w:lineRule="auto"/>
        <w:rPr>
          <w:sz w:val="20"/>
          <w:szCs w:val="20"/>
          <w:color w:val="auto"/>
        </w:rPr>
      </w:pPr>
      <w:r>
        <w:rPr>
          <w:rFonts w:ascii="Arial" w:cs="Arial" w:eastAsia="Arial" w:hAnsi="Arial"/>
          <w:sz w:val="18"/>
          <w:szCs w:val="18"/>
          <w:color w:val="auto"/>
        </w:rPr>
        <w:t>We are not party to any material legal or administrative proceedings, and we are not aware of any threatened material legal or administrative proceedings against us.</w:t>
      </w:r>
    </w:p>
    <w:p>
      <w:pPr>
        <w:spacing w:after="0" w:line="27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C. Organizational Structure</w:t>
      </w:r>
    </w:p>
    <w:p>
      <w:pPr>
        <w:spacing w:after="0" w:line="121" w:lineRule="exact"/>
        <w:rPr>
          <w:sz w:val="20"/>
          <w:szCs w:val="20"/>
          <w:color w:val="auto"/>
        </w:rPr>
      </w:pPr>
    </w:p>
    <w:p>
      <w:pPr>
        <w:ind w:left="640"/>
        <w:spacing w:after="0"/>
        <w:rPr>
          <w:sz w:val="20"/>
          <w:szCs w:val="20"/>
          <w:color w:val="auto"/>
        </w:rPr>
      </w:pPr>
      <w:r>
        <w:rPr>
          <w:rFonts w:ascii="Arial" w:cs="Arial" w:eastAsia="Arial" w:hAnsi="Arial"/>
          <w:sz w:val="18"/>
          <w:szCs w:val="18"/>
          <w:color w:val="auto"/>
        </w:rPr>
        <w:t>We have a total of five subsidiaries and their corporate details and business activities are listed below:</w:t>
      </w:r>
    </w:p>
    <w:p>
      <w:pPr>
        <w:spacing w:after="0" w:line="240" w:lineRule="exact"/>
        <w:rPr>
          <w:sz w:val="20"/>
          <w:szCs w:val="20"/>
          <w:color w:val="auto"/>
        </w:rPr>
      </w:pPr>
    </w:p>
    <w:tbl>
      <w:tblPr>
        <w:tblLayout w:type="fixed"/>
        <w:tblInd w:w="640" w:type="dxa"/>
        <w:tblCellMar>
          <w:top w:w="0" w:type="dxa"/>
          <w:left w:w="0" w:type="dxa"/>
          <w:bottom w:w="0" w:type="dxa"/>
          <w:right w:w="0" w:type="dxa"/>
        </w:tblCellMar>
      </w:tblPr>
      <w:tr>
        <w:trPr>
          <w:trHeight w:val="161"/>
        </w:trPr>
        <w:tc>
          <w:tcPr>
            <w:tcW w:w="3320" w:type="dxa"/>
            <w:vAlign w:val="bottom"/>
          </w:tcPr>
          <w:p>
            <w:pPr>
              <w:spacing w:after="0"/>
              <w:rPr>
                <w:sz w:val="20"/>
                <w:szCs w:val="20"/>
                <w:color w:val="auto"/>
              </w:rPr>
            </w:pPr>
            <w:r>
              <w:rPr>
                <w:rFonts w:ascii="Arial" w:cs="Arial" w:eastAsia="Arial" w:hAnsi="Arial"/>
                <w:sz w:val="14"/>
                <w:szCs w:val="14"/>
                <w:b w:val="1"/>
                <w:bCs w:val="1"/>
                <w:color w:val="auto"/>
              </w:rPr>
              <w:t>Subsidiary Name</w:t>
            </w:r>
          </w:p>
        </w:tc>
        <w:tc>
          <w:tcPr>
            <w:tcW w:w="3180" w:type="dxa"/>
            <w:vAlign w:val="bottom"/>
          </w:tcPr>
          <w:p>
            <w:pPr>
              <w:ind w:left="1540"/>
              <w:spacing w:after="0"/>
              <w:rPr>
                <w:sz w:val="20"/>
                <w:szCs w:val="20"/>
                <w:color w:val="auto"/>
              </w:rPr>
            </w:pPr>
            <w:r>
              <w:rPr>
                <w:rFonts w:ascii="Arial" w:cs="Arial" w:eastAsia="Arial" w:hAnsi="Arial"/>
                <w:sz w:val="14"/>
                <w:szCs w:val="14"/>
                <w:b w:val="1"/>
                <w:bCs w:val="1"/>
                <w:color w:val="auto"/>
              </w:rPr>
              <w:t>Place of Incorporation</w:t>
            </w:r>
          </w:p>
        </w:tc>
        <w:tc>
          <w:tcPr>
            <w:tcW w:w="760" w:type="dxa"/>
            <w:vAlign w:val="bottom"/>
          </w:tcPr>
          <w:p>
            <w:pPr>
              <w:ind w:left="260"/>
              <w:spacing w:after="0"/>
              <w:rPr>
                <w:sz w:val="20"/>
                <w:szCs w:val="20"/>
                <w:color w:val="auto"/>
              </w:rPr>
            </w:pPr>
            <w:r>
              <w:rPr>
                <w:rFonts w:ascii="Arial" w:cs="Arial" w:eastAsia="Arial" w:hAnsi="Arial"/>
                <w:sz w:val="14"/>
                <w:szCs w:val="14"/>
                <w:b w:val="1"/>
                <w:bCs w:val="1"/>
                <w:color w:val="auto"/>
              </w:rPr>
              <w:t>% held</w:t>
            </w:r>
          </w:p>
        </w:tc>
        <w:tc>
          <w:tcPr>
            <w:tcW w:w="1920" w:type="dxa"/>
            <w:vAlign w:val="bottom"/>
          </w:tcPr>
          <w:p>
            <w:pPr>
              <w:ind w:left="1020"/>
              <w:spacing w:after="0"/>
              <w:rPr>
                <w:sz w:val="20"/>
                <w:szCs w:val="20"/>
                <w:color w:val="auto"/>
              </w:rPr>
            </w:pPr>
            <w:r>
              <w:rPr>
                <w:rFonts w:ascii="Arial" w:cs="Arial" w:eastAsia="Arial" w:hAnsi="Arial"/>
                <w:sz w:val="14"/>
                <w:szCs w:val="14"/>
                <w:b w:val="1"/>
                <w:bCs w:val="1"/>
                <w:color w:val="auto"/>
                <w:w w:val="82"/>
              </w:rPr>
              <w:t>Business scope</w:t>
            </w:r>
          </w:p>
        </w:tc>
      </w:tr>
      <w:tr>
        <w:trPr>
          <w:trHeight w:val="216"/>
        </w:trPr>
        <w:tc>
          <w:tcPr>
            <w:tcW w:w="3320" w:type="dxa"/>
            <w:vAlign w:val="bottom"/>
          </w:tcPr>
          <w:p>
            <w:pPr>
              <w:spacing w:after="0"/>
              <w:rPr>
                <w:sz w:val="20"/>
                <w:szCs w:val="20"/>
                <w:color w:val="auto"/>
              </w:rPr>
            </w:pPr>
            <w:r>
              <w:rPr>
                <w:rFonts w:ascii="Arial" w:cs="Arial" w:eastAsia="Arial" w:hAnsi="Arial"/>
                <w:sz w:val="18"/>
                <w:szCs w:val="18"/>
                <w:color w:val="auto"/>
              </w:rPr>
              <w:t>Avita Medical Americas, LLC</w:t>
            </w:r>
          </w:p>
        </w:tc>
        <w:tc>
          <w:tcPr>
            <w:tcW w:w="3180" w:type="dxa"/>
            <w:vAlign w:val="bottom"/>
          </w:tcPr>
          <w:p>
            <w:pPr>
              <w:ind w:left="1120"/>
              <w:spacing w:after="0"/>
              <w:rPr>
                <w:sz w:val="20"/>
                <w:szCs w:val="20"/>
                <w:color w:val="auto"/>
              </w:rPr>
            </w:pPr>
            <w:r>
              <w:rPr>
                <w:rFonts w:ascii="Arial" w:cs="Arial" w:eastAsia="Arial" w:hAnsi="Arial"/>
                <w:sz w:val="18"/>
                <w:szCs w:val="18"/>
                <w:color w:val="auto"/>
              </w:rPr>
              <w:t>Delaware</w:t>
            </w:r>
          </w:p>
        </w:tc>
        <w:tc>
          <w:tcPr>
            <w:tcW w:w="760" w:type="dxa"/>
            <w:vAlign w:val="bottom"/>
          </w:tcPr>
          <w:p>
            <w:pPr>
              <w:ind w:left="260"/>
              <w:spacing w:after="0"/>
              <w:rPr>
                <w:sz w:val="20"/>
                <w:szCs w:val="20"/>
                <w:color w:val="auto"/>
              </w:rPr>
            </w:pPr>
            <w:r>
              <w:rPr>
                <w:rFonts w:ascii="Arial" w:cs="Arial" w:eastAsia="Arial" w:hAnsi="Arial"/>
                <w:sz w:val="18"/>
                <w:szCs w:val="18"/>
                <w:color w:val="auto"/>
              </w:rPr>
              <w:t>100</w:t>
            </w:r>
          </w:p>
        </w:tc>
        <w:tc>
          <w:tcPr>
            <w:tcW w:w="1920" w:type="dxa"/>
            <w:vAlign w:val="bottom"/>
          </w:tcPr>
          <w:p>
            <w:pPr>
              <w:ind w:left="40"/>
              <w:spacing w:after="0"/>
              <w:rPr>
                <w:sz w:val="20"/>
                <w:szCs w:val="20"/>
                <w:color w:val="auto"/>
              </w:rPr>
            </w:pPr>
            <w:r>
              <w:rPr>
                <w:rFonts w:ascii="Arial" w:cs="Arial" w:eastAsia="Arial" w:hAnsi="Arial"/>
                <w:sz w:val="18"/>
                <w:szCs w:val="18"/>
                <w:color w:val="auto"/>
              </w:rPr>
              <w:t>U.S. operations</w:t>
            </w:r>
          </w:p>
        </w:tc>
      </w:tr>
      <w:tr>
        <w:trPr>
          <w:trHeight w:val="216"/>
        </w:trPr>
        <w:tc>
          <w:tcPr>
            <w:tcW w:w="3320" w:type="dxa"/>
            <w:vAlign w:val="bottom"/>
          </w:tcPr>
          <w:p>
            <w:pPr>
              <w:spacing w:after="0"/>
              <w:rPr>
                <w:sz w:val="20"/>
                <w:szCs w:val="20"/>
                <w:color w:val="auto"/>
              </w:rPr>
            </w:pPr>
            <w:r>
              <w:rPr>
                <w:rFonts w:ascii="Arial" w:cs="Arial" w:eastAsia="Arial" w:hAnsi="Arial"/>
                <w:sz w:val="18"/>
                <w:szCs w:val="18"/>
                <w:color w:val="auto"/>
              </w:rPr>
              <w:t>Avita Medical Europe Limited</w:t>
            </w:r>
          </w:p>
        </w:tc>
        <w:tc>
          <w:tcPr>
            <w:tcW w:w="3180" w:type="dxa"/>
            <w:vAlign w:val="bottom"/>
          </w:tcPr>
          <w:p>
            <w:pPr>
              <w:ind w:left="1120"/>
              <w:spacing w:after="0"/>
              <w:rPr>
                <w:sz w:val="20"/>
                <w:szCs w:val="20"/>
                <w:color w:val="auto"/>
              </w:rPr>
            </w:pPr>
            <w:r>
              <w:rPr>
                <w:rFonts w:ascii="Arial" w:cs="Arial" w:eastAsia="Arial" w:hAnsi="Arial"/>
                <w:sz w:val="18"/>
                <w:szCs w:val="18"/>
                <w:color w:val="auto"/>
              </w:rPr>
              <w:t>United Kingdom</w:t>
            </w:r>
          </w:p>
        </w:tc>
        <w:tc>
          <w:tcPr>
            <w:tcW w:w="760" w:type="dxa"/>
            <w:vAlign w:val="bottom"/>
          </w:tcPr>
          <w:p>
            <w:pPr>
              <w:ind w:left="260"/>
              <w:spacing w:after="0"/>
              <w:rPr>
                <w:sz w:val="20"/>
                <w:szCs w:val="20"/>
                <w:color w:val="auto"/>
              </w:rPr>
            </w:pPr>
            <w:r>
              <w:rPr>
                <w:rFonts w:ascii="Arial" w:cs="Arial" w:eastAsia="Arial" w:hAnsi="Arial"/>
                <w:sz w:val="18"/>
                <w:szCs w:val="18"/>
                <w:color w:val="auto"/>
              </w:rPr>
              <w:t>100</w:t>
            </w:r>
          </w:p>
        </w:tc>
        <w:tc>
          <w:tcPr>
            <w:tcW w:w="1920" w:type="dxa"/>
            <w:vAlign w:val="bottom"/>
          </w:tcPr>
          <w:p>
            <w:pPr>
              <w:ind w:left="40"/>
              <w:spacing w:after="0"/>
              <w:rPr>
                <w:sz w:val="20"/>
                <w:szCs w:val="20"/>
                <w:color w:val="auto"/>
              </w:rPr>
            </w:pPr>
            <w:r>
              <w:rPr>
                <w:rFonts w:ascii="Arial" w:cs="Arial" w:eastAsia="Arial" w:hAnsi="Arial"/>
                <w:sz w:val="18"/>
                <w:szCs w:val="18"/>
                <w:color w:val="auto"/>
              </w:rPr>
              <w:t>EMEA operations</w:t>
            </w:r>
          </w:p>
        </w:tc>
      </w:tr>
      <w:tr>
        <w:trPr>
          <w:trHeight w:val="216"/>
        </w:trPr>
        <w:tc>
          <w:tcPr>
            <w:tcW w:w="3320" w:type="dxa"/>
            <w:vAlign w:val="bottom"/>
          </w:tcPr>
          <w:p>
            <w:pPr>
              <w:spacing w:after="0"/>
              <w:rPr>
                <w:sz w:val="20"/>
                <w:szCs w:val="20"/>
                <w:color w:val="auto"/>
              </w:rPr>
            </w:pPr>
            <w:r>
              <w:rPr>
                <w:rFonts w:ascii="Arial" w:cs="Arial" w:eastAsia="Arial" w:hAnsi="Arial"/>
                <w:sz w:val="18"/>
                <w:szCs w:val="18"/>
                <w:color w:val="auto"/>
              </w:rPr>
              <w:t>Visiomed Group Pty Ltd</w:t>
            </w:r>
          </w:p>
        </w:tc>
        <w:tc>
          <w:tcPr>
            <w:tcW w:w="3180" w:type="dxa"/>
            <w:vAlign w:val="bottom"/>
          </w:tcPr>
          <w:p>
            <w:pPr>
              <w:ind w:left="1120"/>
              <w:spacing w:after="0"/>
              <w:rPr>
                <w:sz w:val="20"/>
                <w:szCs w:val="20"/>
                <w:color w:val="auto"/>
              </w:rPr>
            </w:pPr>
            <w:r>
              <w:rPr>
                <w:rFonts w:ascii="Arial" w:cs="Arial" w:eastAsia="Arial" w:hAnsi="Arial"/>
                <w:sz w:val="18"/>
                <w:szCs w:val="18"/>
                <w:color w:val="auto"/>
              </w:rPr>
              <w:t>Australia</w:t>
            </w:r>
          </w:p>
        </w:tc>
        <w:tc>
          <w:tcPr>
            <w:tcW w:w="760" w:type="dxa"/>
            <w:vAlign w:val="bottom"/>
          </w:tcPr>
          <w:p>
            <w:pPr>
              <w:ind w:left="260"/>
              <w:spacing w:after="0"/>
              <w:rPr>
                <w:sz w:val="20"/>
                <w:szCs w:val="20"/>
                <w:color w:val="auto"/>
              </w:rPr>
            </w:pPr>
            <w:r>
              <w:rPr>
                <w:rFonts w:ascii="Arial" w:cs="Arial" w:eastAsia="Arial" w:hAnsi="Arial"/>
                <w:sz w:val="18"/>
                <w:szCs w:val="18"/>
                <w:color w:val="auto"/>
              </w:rPr>
              <w:t>100</w:t>
            </w:r>
          </w:p>
        </w:tc>
        <w:tc>
          <w:tcPr>
            <w:tcW w:w="1920" w:type="dxa"/>
            <w:vAlign w:val="bottom"/>
          </w:tcPr>
          <w:p>
            <w:pPr>
              <w:ind w:left="40"/>
              <w:spacing w:after="0"/>
              <w:rPr>
                <w:sz w:val="20"/>
                <w:szCs w:val="20"/>
                <w:color w:val="auto"/>
              </w:rPr>
            </w:pPr>
            <w:r>
              <w:rPr>
                <w:rFonts w:ascii="Arial" w:cs="Arial" w:eastAsia="Arial" w:hAnsi="Arial"/>
                <w:sz w:val="18"/>
                <w:szCs w:val="18"/>
                <w:color w:val="auto"/>
                <w:w w:val="99"/>
              </w:rPr>
              <w:t>Asia Pacific Operations</w:t>
            </w:r>
          </w:p>
        </w:tc>
      </w:tr>
      <w:tr>
        <w:trPr>
          <w:trHeight w:val="216"/>
        </w:trPr>
        <w:tc>
          <w:tcPr>
            <w:tcW w:w="3320" w:type="dxa"/>
            <w:vAlign w:val="bottom"/>
          </w:tcPr>
          <w:p>
            <w:pPr>
              <w:spacing w:after="0"/>
              <w:rPr>
                <w:sz w:val="20"/>
                <w:szCs w:val="20"/>
                <w:color w:val="auto"/>
              </w:rPr>
            </w:pPr>
            <w:r>
              <w:rPr>
                <w:rFonts w:ascii="Arial" w:cs="Arial" w:eastAsia="Arial" w:hAnsi="Arial"/>
                <w:sz w:val="18"/>
                <w:szCs w:val="18"/>
                <w:color w:val="auto"/>
              </w:rPr>
              <w:t>C3 Operations Pty Ltd</w:t>
            </w:r>
          </w:p>
        </w:tc>
        <w:tc>
          <w:tcPr>
            <w:tcW w:w="3180" w:type="dxa"/>
            <w:vAlign w:val="bottom"/>
          </w:tcPr>
          <w:p>
            <w:pPr>
              <w:ind w:left="1120"/>
              <w:spacing w:after="0"/>
              <w:rPr>
                <w:sz w:val="20"/>
                <w:szCs w:val="20"/>
                <w:color w:val="auto"/>
              </w:rPr>
            </w:pPr>
            <w:r>
              <w:rPr>
                <w:rFonts w:ascii="Arial" w:cs="Arial" w:eastAsia="Arial" w:hAnsi="Arial"/>
                <w:sz w:val="18"/>
                <w:szCs w:val="18"/>
                <w:color w:val="auto"/>
              </w:rPr>
              <w:t>Australia</w:t>
            </w:r>
          </w:p>
        </w:tc>
        <w:tc>
          <w:tcPr>
            <w:tcW w:w="760" w:type="dxa"/>
            <w:vAlign w:val="bottom"/>
          </w:tcPr>
          <w:p>
            <w:pPr>
              <w:ind w:left="260"/>
              <w:spacing w:after="0"/>
              <w:rPr>
                <w:sz w:val="20"/>
                <w:szCs w:val="20"/>
                <w:color w:val="auto"/>
              </w:rPr>
            </w:pPr>
            <w:r>
              <w:rPr>
                <w:rFonts w:ascii="Arial" w:cs="Arial" w:eastAsia="Arial" w:hAnsi="Arial"/>
                <w:sz w:val="18"/>
                <w:szCs w:val="18"/>
                <w:color w:val="auto"/>
              </w:rPr>
              <w:t>100</w:t>
            </w:r>
          </w:p>
        </w:tc>
        <w:tc>
          <w:tcPr>
            <w:tcW w:w="1920" w:type="dxa"/>
            <w:vAlign w:val="bottom"/>
          </w:tcPr>
          <w:p>
            <w:pPr>
              <w:ind w:left="40"/>
              <w:spacing w:after="0"/>
              <w:rPr>
                <w:sz w:val="20"/>
                <w:szCs w:val="20"/>
                <w:color w:val="auto"/>
              </w:rPr>
            </w:pPr>
            <w:r>
              <w:rPr>
                <w:rFonts w:ascii="Arial" w:cs="Arial" w:eastAsia="Arial" w:hAnsi="Arial"/>
                <w:sz w:val="18"/>
                <w:szCs w:val="18"/>
                <w:color w:val="auto"/>
              </w:rPr>
              <w:t>Holding company</w:t>
            </w:r>
          </w:p>
        </w:tc>
      </w:tr>
      <w:tr>
        <w:trPr>
          <w:trHeight w:val="230"/>
        </w:trPr>
        <w:tc>
          <w:tcPr>
            <w:tcW w:w="3320" w:type="dxa"/>
            <w:vAlign w:val="bottom"/>
          </w:tcPr>
          <w:p>
            <w:pPr>
              <w:spacing w:after="0"/>
              <w:rPr>
                <w:sz w:val="20"/>
                <w:szCs w:val="20"/>
                <w:color w:val="auto"/>
              </w:rPr>
            </w:pPr>
            <w:r>
              <w:rPr>
                <w:rFonts w:ascii="Arial" w:cs="Arial" w:eastAsia="Arial" w:hAnsi="Arial"/>
                <w:sz w:val="18"/>
                <w:szCs w:val="18"/>
                <w:color w:val="auto"/>
              </w:rPr>
              <w:t>Infamed Pty Ltd</w:t>
            </w:r>
          </w:p>
        </w:tc>
        <w:tc>
          <w:tcPr>
            <w:tcW w:w="3180" w:type="dxa"/>
            <w:vAlign w:val="bottom"/>
          </w:tcPr>
          <w:p>
            <w:pPr>
              <w:ind w:left="1120"/>
              <w:spacing w:after="0"/>
              <w:rPr>
                <w:sz w:val="20"/>
                <w:szCs w:val="20"/>
                <w:color w:val="auto"/>
              </w:rPr>
            </w:pPr>
            <w:r>
              <w:rPr>
                <w:rFonts w:ascii="Arial" w:cs="Arial" w:eastAsia="Arial" w:hAnsi="Arial"/>
                <w:sz w:val="18"/>
                <w:szCs w:val="18"/>
                <w:color w:val="auto"/>
              </w:rPr>
              <w:t>Australia</w:t>
            </w:r>
          </w:p>
        </w:tc>
        <w:tc>
          <w:tcPr>
            <w:tcW w:w="760" w:type="dxa"/>
            <w:vAlign w:val="bottom"/>
          </w:tcPr>
          <w:p>
            <w:pPr>
              <w:ind w:left="260"/>
              <w:spacing w:after="0"/>
              <w:rPr>
                <w:sz w:val="20"/>
                <w:szCs w:val="20"/>
                <w:color w:val="auto"/>
              </w:rPr>
            </w:pPr>
            <w:r>
              <w:rPr>
                <w:rFonts w:ascii="Arial" w:cs="Arial" w:eastAsia="Arial" w:hAnsi="Arial"/>
                <w:sz w:val="18"/>
                <w:szCs w:val="18"/>
                <w:color w:val="auto"/>
              </w:rPr>
              <w:t>100</w:t>
            </w:r>
          </w:p>
        </w:tc>
        <w:tc>
          <w:tcPr>
            <w:tcW w:w="1920" w:type="dxa"/>
            <w:vAlign w:val="bottom"/>
          </w:tcPr>
          <w:p>
            <w:pPr>
              <w:ind w:left="40"/>
              <w:spacing w:after="0"/>
              <w:rPr>
                <w:sz w:val="20"/>
                <w:szCs w:val="20"/>
                <w:color w:val="auto"/>
              </w:rPr>
            </w:pPr>
            <w:r>
              <w:rPr>
                <w:rFonts w:ascii="Arial" w:cs="Arial" w:eastAsia="Arial" w:hAnsi="Arial"/>
                <w:sz w:val="18"/>
                <w:szCs w:val="18"/>
                <w:color w:val="auto"/>
              </w:rPr>
              <w:t>Inactive</w:t>
            </w:r>
          </w:p>
        </w:tc>
      </w:tr>
    </w:tbl>
    <w:p>
      <w:pPr>
        <w:spacing w:after="0" w:line="306"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D. Property, Plant and Equipment</w:t>
      </w:r>
    </w:p>
    <w:p>
      <w:pPr>
        <w:spacing w:after="0" w:line="121" w:lineRule="exact"/>
        <w:rPr>
          <w:sz w:val="20"/>
          <w:szCs w:val="20"/>
          <w:color w:val="auto"/>
        </w:rPr>
      </w:pPr>
    </w:p>
    <w:p>
      <w:pPr>
        <w:ind w:left="200" w:right="20" w:firstLine="441"/>
        <w:spacing w:after="0" w:line="302" w:lineRule="auto"/>
        <w:rPr>
          <w:sz w:val="20"/>
          <w:szCs w:val="20"/>
          <w:color w:val="auto"/>
        </w:rPr>
      </w:pPr>
      <w:r>
        <w:rPr>
          <w:rFonts w:ascii="Arial" w:cs="Arial" w:eastAsia="Arial" w:hAnsi="Arial"/>
          <w:sz w:val="16"/>
          <w:szCs w:val="16"/>
          <w:color w:val="auto"/>
        </w:rPr>
        <w:t>Our principal corporate offices are located at 28159 Avenue Stanford, Suite 220, Valencia, California 91355. We lease the 17,481 facility under two lease agreements that, as amended, expire on January 31, 2021 with the right to extend the leases, at our sole option, for an additional three-years. Our production plant in Ventura, California, is a 23,040 square foot facility that we lease through September 30, 2021 with the right to extend the lease, at our sole option, as a result of three, three-year, options that allow us to extend the lease up to an additional nine years in total.</w:t>
      </w:r>
    </w:p>
    <w:p>
      <w:pPr>
        <w:spacing w:after="0" w:line="258"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ITEM 4A. UNRESOLVED STAFF COMMENTS</w:t>
      </w:r>
    </w:p>
    <w:p>
      <w:pPr>
        <w:spacing w:after="0" w:line="121" w:lineRule="exact"/>
        <w:rPr>
          <w:sz w:val="20"/>
          <w:szCs w:val="20"/>
          <w:color w:val="auto"/>
        </w:rPr>
      </w:pPr>
    </w:p>
    <w:p>
      <w:pPr>
        <w:ind w:left="640"/>
        <w:spacing w:after="0"/>
        <w:rPr>
          <w:sz w:val="20"/>
          <w:szCs w:val="20"/>
          <w:color w:val="auto"/>
        </w:rPr>
      </w:pPr>
      <w:r>
        <w:rPr>
          <w:rFonts w:ascii="Arial" w:cs="Arial" w:eastAsia="Arial" w:hAnsi="Arial"/>
          <w:sz w:val="18"/>
          <w:szCs w:val="18"/>
          <w:color w:val="auto"/>
        </w:rPr>
        <w:t>None.</w:t>
      </w:r>
    </w:p>
    <w:p>
      <w:pPr>
        <w:spacing w:after="0" w:line="329" w:lineRule="exact"/>
        <w:rPr>
          <w:sz w:val="20"/>
          <w:szCs w:val="20"/>
          <w:color w:val="auto"/>
        </w:rPr>
      </w:pPr>
    </w:p>
    <w:p>
      <w:pPr>
        <w:ind w:left="200" w:right="5320"/>
        <w:spacing w:after="0" w:line="378" w:lineRule="auto"/>
        <w:rPr>
          <w:sz w:val="20"/>
          <w:szCs w:val="20"/>
          <w:color w:val="auto"/>
        </w:rPr>
      </w:pPr>
      <w:r>
        <w:rPr>
          <w:rFonts w:ascii="Arial" w:cs="Arial" w:eastAsia="Arial" w:hAnsi="Arial"/>
          <w:sz w:val="18"/>
          <w:szCs w:val="18"/>
          <w:b w:val="1"/>
          <w:bCs w:val="1"/>
          <w:color w:val="auto"/>
        </w:rPr>
        <w:t>ITEM 5. OPERATING AND FINANCIAL REVIEW AND PROSPECTS Special Note Regarding Forward Looking Statements</w:t>
      </w:r>
    </w:p>
    <w:p>
      <w:pPr>
        <w:ind w:left="200" w:right="240"/>
        <w:spacing w:after="0" w:line="255" w:lineRule="auto"/>
        <w:rPr>
          <w:sz w:val="20"/>
          <w:szCs w:val="20"/>
          <w:color w:val="auto"/>
        </w:rPr>
      </w:pPr>
      <w:r>
        <w:rPr>
          <w:rFonts w:ascii="Arial" w:cs="Arial" w:eastAsia="Arial" w:hAnsi="Arial"/>
          <w:sz w:val="18"/>
          <w:szCs w:val="18"/>
          <w:i w:val="1"/>
          <w:iCs w:val="1"/>
          <w:color w:val="auto"/>
        </w:rPr>
        <w:t>The following discussion and analysis include certain forward-looking statements with respect to the business, financial condition and results of operations of our company. The words “estimate,” “project,” “intend,” “expect” and similar expressions are intended to identify forward- looking statements within the Private Securities Litigation Reform Act of 1995. These forward-looking statements are subject to risks and uncertainties that could cause actual results to differ materially from those contemplated by such forward-looking statements, including those risk factors contained in Item 3.D. of this Registration Statement. You should read the following discussion and analysis in conjunction with our consolidated financial statements and the notes thereto included in this Registration Statement.</w:t>
      </w:r>
    </w:p>
    <w:p>
      <w:pPr>
        <w:spacing w:after="0" w:line="297"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Background</w:t>
      </w:r>
    </w:p>
    <w:p>
      <w:pPr>
        <w:spacing w:after="0" w:line="121" w:lineRule="exact"/>
        <w:rPr>
          <w:sz w:val="20"/>
          <w:szCs w:val="20"/>
          <w:color w:val="auto"/>
        </w:rPr>
      </w:pPr>
    </w:p>
    <w:p>
      <w:pPr>
        <w:ind w:left="200" w:firstLine="441"/>
        <w:spacing w:after="0" w:line="255" w:lineRule="auto"/>
        <w:rPr>
          <w:sz w:val="20"/>
          <w:szCs w:val="20"/>
          <w:color w:val="auto"/>
        </w:rPr>
      </w:pPr>
      <w:r>
        <w:rPr>
          <w:rFonts w:ascii="Arial" w:cs="Arial" w:eastAsia="Arial" w:hAnsi="Arial"/>
          <w:sz w:val="18"/>
          <w:szCs w:val="18"/>
          <w:color w:val="auto"/>
        </w:rPr>
        <w:t>Avita Medical Limited and our subsidiaries Avita Medical Americas, LLC, Avita Medical Europe Limited, Visiomed Group Pty Ltd, C3 Operations Pty Ltd and Infamed Pty Ltd, which we collectively refer to as the “Company,” is a regenerative medicine company with a technology platform designed to address unmet medical needs in patients with burns, chronic wounds, and aesthetics indications. Our patented and proprietary collection and application technology provides innovative treatment solutions derived from the regenerative properties of a patient’s own skin. Our lead product, the RECELL® System, uses a small amount of a patient’s own skin to prepare Spray-On Skin Cells at the point of care in as little as 30 minutes. This autologous suspension of skin cells is then sprayed onto the areas of the patient requiring treatment. The RECELL System, was approved for</w:t>
      </w:r>
    </w:p>
    <w:p>
      <w:pPr>
        <w:spacing w:after="0" w:line="122" w:lineRule="exact"/>
        <w:rPr>
          <w:sz w:val="20"/>
          <w:szCs w:val="20"/>
          <w:color w:val="auto"/>
        </w:rPr>
      </w:pPr>
    </w:p>
    <w:p>
      <w:pPr>
        <w:jc w:val="center"/>
        <w:ind w:right="-299"/>
        <w:spacing w:after="0"/>
        <w:rPr>
          <w:sz w:val="20"/>
          <w:szCs w:val="20"/>
          <w:color w:val="auto"/>
        </w:rPr>
      </w:pPr>
      <w:r>
        <w:rPr>
          <w:rFonts w:ascii="Arial" w:cs="Arial" w:eastAsia="Arial" w:hAnsi="Arial"/>
          <w:sz w:val="18"/>
          <w:szCs w:val="18"/>
          <w:color w:val="auto"/>
        </w:rPr>
        <w:t>42</w:t>
      </w:r>
    </w:p>
    <w:p>
      <w:pPr>
        <w:sectPr>
          <w:pgSz w:w="11900" w:h="16838" w:orient="portrait"/>
          <w:cols w:equalWidth="0" w:num="1">
            <w:col w:w="11140"/>
          </w:cols>
          <w:pgMar w:left="240" w:top="459" w:right="519" w:bottom="1440" w:gutter="0" w:footer="0" w:header="0"/>
        </w:sectPr>
      </w:pPr>
    </w:p>
    <w:bookmarkStart w:id="44" w:name="page45"/>
    <w:bookmarkEnd w:id="4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120"/>
        <w:spacing w:after="0" w:line="257" w:lineRule="auto"/>
        <w:rPr>
          <w:sz w:val="20"/>
          <w:szCs w:val="20"/>
          <w:color w:val="auto"/>
        </w:rPr>
      </w:pPr>
      <w:r>
        <w:rPr>
          <w:rFonts w:ascii="Arial" w:cs="Arial" w:eastAsia="Arial" w:hAnsi="Arial"/>
          <w:sz w:val="18"/>
          <w:szCs w:val="18"/>
          <w:color w:val="auto"/>
        </w:rPr>
        <w:t>sale in the U.S. for the treatment of acute thermal burns in patients 18 years and older by the Food and Drug Administration (FDA) in September 2018. We initiated our U.S. national market launch of the RECELL System in January 2019, although it did commence commercial shipments in the U.S. during the half-year ended December 31, 2018 in response to pre-launch demand from burn centers. During the year ended June 30, 2018 and the half-year ended December 31, 2018, the RECELL System was also sold on a limited basis in certain regions of the world in which the products were approved for sale, including Australia, China and Europe.</w:t>
      </w:r>
    </w:p>
    <w:p>
      <w:pPr>
        <w:spacing w:after="0" w:line="188" w:lineRule="exact"/>
        <w:rPr>
          <w:sz w:val="20"/>
          <w:szCs w:val="20"/>
          <w:color w:val="auto"/>
        </w:rPr>
      </w:pPr>
    </w:p>
    <w:p>
      <w:pPr>
        <w:ind w:left="200" w:right="100" w:firstLine="441"/>
        <w:spacing w:after="0" w:line="259" w:lineRule="auto"/>
        <w:rPr>
          <w:sz w:val="20"/>
          <w:szCs w:val="20"/>
          <w:color w:val="auto"/>
        </w:rPr>
      </w:pPr>
      <w:r>
        <w:rPr>
          <w:rFonts w:ascii="Arial" w:cs="Arial" w:eastAsia="Arial" w:hAnsi="Arial"/>
          <w:sz w:val="18"/>
          <w:szCs w:val="18"/>
          <w:color w:val="auto"/>
        </w:rPr>
        <w:t>We believe that there are many factors and trends that may effect our financial condition and results of operations. Primarily and foremost, our revenue growth will be impacted most by market acceptance, adoption and penetration of our RECELL System. In addition, the Company is always pursuing expansion of labeling additional indications that could open new markets such as the treatment of leg and foot ulcers, vitiligo, chronic wounds and trauma injuries.</w:t>
      </w:r>
    </w:p>
    <w:p>
      <w:pPr>
        <w:spacing w:after="0" w:line="187" w:lineRule="exact"/>
        <w:rPr>
          <w:sz w:val="20"/>
          <w:szCs w:val="20"/>
          <w:color w:val="auto"/>
        </w:rPr>
      </w:pPr>
    </w:p>
    <w:p>
      <w:pPr>
        <w:ind w:left="200" w:right="120" w:firstLine="441"/>
        <w:spacing w:after="0" w:line="277" w:lineRule="auto"/>
        <w:rPr>
          <w:sz w:val="20"/>
          <w:szCs w:val="20"/>
          <w:color w:val="auto"/>
        </w:rPr>
      </w:pPr>
      <w:r>
        <w:rPr>
          <w:rFonts w:ascii="Arial" w:cs="Arial" w:eastAsia="Arial" w:hAnsi="Arial"/>
          <w:sz w:val="18"/>
          <w:szCs w:val="18"/>
          <w:color w:val="auto"/>
        </w:rPr>
        <w:t>In this Registration Statement, all references to “U.S. dollars” or “US$” are to the currency of the U.S., and all references to “Australian dollars”, “A$” or “AUD$” are to the currency of Australia.</w:t>
      </w:r>
    </w:p>
    <w:p>
      <w:pPr>
        <w:spacing w:after="0" w:line="170" w:lineRule="exact"/>
        <w:rPr>
          <w:sz w:val="20"/>
          <w:szCs w:val="20"/>
          <w:color w:val="auto"/>
        </w:rPr>
      </w:pPr>
    </w:p>
    <w:p>
      <w:pPr>
        <w:ind w:left="200" w:right="280" w:firstLine="441"/>
        <w:spacing w:after="0" w:line="277" w:lineRule="auto"/>
        <w:rPr>
          <w:sz w:val="20"/>
          <w:szCs w:val="20"/>
          <w:color w:val="auto"/>
        </w:rPr>
      </w:pPr>
      <w:r>
        <w:rPr>
          <w:rFonts w:ascii="Arial" w:cs="Arial" w:eastAsia="Arial" w:hAnsi="Arial"/>
          <w:sz w:val="18"/>
          <w:szCs w:val="18"/>
          <w:color w:val="auto"/>
        </w:rPr>
        <w:t>For a description of the milestones that we have achieved since inception and through to the date of this report, see “Item 4. Information on the Company – A. History and Development of the Company.”</w:t>
      </w:r>
    </w:p>
    <w:p>
      <w:pPr>
        <w:spacing w:after="0" w:line="27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Critical Accounting Policies</w:t>
      </w:r>
    </w:p>
    <w:p>
      <w:pPr>
        <w:spacing w:after="0" w:line="121" w:lineRule="exact"/>
        <w:rPr>
          <w:sz w:val="20"/>
          <w:szCs w:val="20"/>
          <w:color w:val="auto"/>
        </w:rPr>
      </w:pPr>
    </w:p>
    <w:p>
      <w:pPr>
        <w:ind w:left="200" w:firstLine="441"/>
        <w:spacing w:after="0" w:line="291" w:lineRule="auto"/>
        <w:rPr>
          <w:sz w:val="20"/>
          <w:szCs w:val="20"/>
          <w:color w:val="auto"/>
        </w:rPr>
      </w:pPr>
      <w:r>
        <w:rPr>
          <w:rFonts w:ascii="Arial" w:cs="Arial" w:eastAsia="Arial" w:hAnsi="Arial"/>
          <w:sz w:val="16"/>
          <w:szCs w:val="16"/>
          <w:color w:val="auto"/>
        </w:rPr>
        <w:t>Our consolidated financial statements appearing in this registration statement on Form 20-F are prepared in Australia dollars in accordance with International Financial Reporting Standards, or IFRS, as issued by the International Accounting Standards Board, or IASB. Our consolidated financial statements appearing in this registration statement on Form 20-F comply with IFRS. As such, we are required to make certain estimates, judgments, and assumptions that management believes are reasonable based upon the information available. These estimates, judgments and assumptions affect the reported amounts of assets and liabilities at the date of the financial statements and the reported amounts of revenues and expenses during the periods presented. The significant accounting policies listed in Note 2 to the consolidated financial statements that our management believes are the most critical to aid in fully understanding and evaluating our financial condition and results of operations under IFRS are discussed below.</w:t>
      </w:r>
    </w:p>
    <w:p>
      <w:pPr>
        <w:spacing w:after="0" w:line="275" w:lineRule="exact"/>
        <w:rPr>
          <w:sz w:val="20"/>
          <w:szCs w:val="20"/>
          <w:color w:val="auto"/>
        </w:rPr>
      </w:pPr>
    </w:p>
    <w:p>
      <w:pPr>
        <w:ind w:left="200"/>
        <w:spacing w:after="0"/>
        <w:rPr>
          <w:sz w:val="20"/>
          <w:szCs w:val="20"/>
          <w:color w:val="auto"/>
        </w:rPr>
      </w:pPr>
      <w:r>
        <w:rPr>
          <w:rFonts w:ascii="Arial" w:cs="Arial" w:eastAsia="Arial" w:hAnsi="Arial"/>
          <w:sz w:val="18"/>
          <w:szCs w:val="18"/>
          <w:u w:val="single" w:color="auto"/>
          <w:color w:val="auto"/>
        </w:rPr>
        <w:t>Revenue Recognition</w:t>
      </w:r>
    </w:p>
    <w:p>
      <w:pPr>
        <w:spacing w:after="0" w:line="117" w:lineRule="exact"/>
        <w:rPr>
          <w:sz w:val="20"/>
          <w:szCs w:val="20"/>
          <w:color w:val="auto"/>
        </w:rPr>
      </w:pPr>
    </w:p>
    <w:p>
      <w:pPr>
        <w:ind w:left="200" w:firstLine="441"/>
        <w:spacing w:after="0" w:line="264" w:lineRule="auto"/>
        <w:rPr>
          <w:sz w:val="20"/>
          <w:szCs w:val="20"/>
          <w:color w:val="auto"/>
        </w:rPr>
      </w:pPr>
      <w:r>
        <w:rPr>
          <w:rFonts w:ascii="Arial" w:cs="Arial" w:eastAsia="Arial" w:hAnsi="Arial"/>
          <w:sz w:val="18"/>
          <w:szCs w:val="18"/>
          <w:color w:val="auto"/>
        </w:rPr>
        <w:t>Revenue is recognized and measured at the fair value of the consideration received or receivable to the extent it is probable that the economic benefits will flow to the Company and the revenue can be reliably measured. The following specific recognition criteria must also be met before revenue is recognized:</w:t>
      </w:r>
    </w:p>
    <w:p>
      <w:pPr>
        <w:spacing w:after="0" w:line="289" w:lineRule="exact"/>
        <w:rPr>
          <w:sz w:val="20"/>
          <w:szCs w:val="20"/>
          <w:color w:val="auto"/>
        </w:rPr>
      </w:pPr>
    </w:p>
    <w:p>
      <w:pPr>
        <w:ind w:left="200"/>
        <w:spacing w:after="0"/>
        <w:rPr>
          <w:sz w:val="20"/>
          <w:szCs w:val="20"/>
          <w:color w:val="auto"/>
        </w:rPr>
      </w:pPr>
      <w:r>
        <w:rPr>
          <w:rFonts w:ascii="Arial" w:cs="Arial" w:eastAsia="Arial" w:hAnsi="Arial"/>
          <w:sz w:val="18"/>
          <w:szCs w:val="18"/>
          <w:u w:val="single" w:color="auto"/>
          <w:color w:val="auto"/>
        </w:rPr>
        <w:t>Sale of Goods</w:t>
      </w:r>
    </w:p>
    <w:p>
      <w:pPr>
        <w:spacing w:after="0" w:line="117" w:lineRule="exact"/>
        <w:rPr>
          <w:sz w:val="20"/>
          <w:szCs w:val="20"/>
          <w:color w:val="auto"/>
        </w:rPr>
      </w:pPr>
    </w:p>
    <w:p>
      <w:pPr>
        <w:ind w:left="200" w:firstLine="441"/>
        <w:spacing w:after="0" w:line="276" w:lineRule="auto"/>
        <w:rPr>
          <w:sz w:val="20"/>
          <w:szCs w:val="20"/>
          <w:color w:val="auto"/>
        </w:rPr>
      </w:pPr>
      <w:r>
        <w:rPr>
          <w:rFonts w:ascii="Arial" w:cs="Arial" w:eastAsia="Arial" w:hAnsi="Arial"/>
          <w:sz w:val="17"/>
          <w:szCs w:val="17"/>
          <w:color w:val="auto"/>
        </w:rPr>
        <w:t>Revenue from the sales of goods is recognized at a point in time when the Company satisfies performance obligations by transferring the promised goods to its customers. The Company recognizes contract liabilities for consideration received in respect of unsatisfied performance obligations and reports these amounts as other liabilities in the statement of financial position. Similarly, if the Company satisfies a performance obligation before it receives the consideration, the Company recognizes either a contract asset or a receivable in its statement of financial position, depending on whether something other than the passage of time is required before the consideration is due.</w:t>
      </w:r>
    </w:p>
    <w:p>
      <w:pPr>
        <w:spacing w:after="0" w:line="281" w:lineRule="exact"/>
        <w:rPr>
          <w:sz w:val="20"/>
          <w:szCs w:val="20"/>
          <w:color w:val="auto"/>
        </w:rPr>
      </w:pPr>
    </w:p>
    <w:p>
      <w:pPr>
        <w:ind w:left="200"/>
        <w:spacing w:after="0"/>
        <w:rPr>
          <w:sz w:val="20"/>
          <w:szCs w:val="20"/>
          <w:color w:val="auto"/>
        </w:rPr>
      </w:pPr>
      <w:r>
        <w:rPr>
          <w:rFonts w:ascii="Arial" w:cs="Arial" w:eastAsia="Arial" w:hAnsi="Arial"/>
          <w:sz w:val="18"/>
          <w:szCs w:val="18"/>
          <w:u w:val="single" w:color="auto"/>
          <w:color w:val="auto"/>
        </w:rPr>
        <w:t>BARDA Income</w:t>
      </w:r>
    </w:p>
    <w:p>
      <w:pPr>
        <w:spacing w:after="0" w:line="117" w:lineRule="exact"/>
        <w:rPr>
          <w:sz w:val="20"/>
          <w:szCs w:val="20"/>
          <w:color w:val="auto"/>
        </w:rPr>
      </w:pPr>
    </w:p>
    <w:p>
      <w:pPr>
        <w:ind w:left="200" w:right="520" w:firstLine="441"/>
        <w:spacing w:after="0" w:line="277" w:lineRule="auto"/>
        <w:rPr>
          <w:sz w:val="20"/>
          <w:szCs w:val="20"/>
          <w:color w:val="auto"/>
        </w:rPr>
      </w:pPr>
      <w:r>
        <w:rPr>
          <w:rFonts w:ascii="Arial" w:cs="Arial" w:eastAsia="Arial" w:hAnsi="Arial"/>
          <w:sz w:val="18"/>
          <w:szCs w:val="18"/>
          <w:color w:val="auto"/>
        </w:rPr>
        <w:t>The Company had been granted a BARDA contract in September 2015, wherein BARDA funded the Company to support the ongoing U.S. clinical regulatory program towards FDA Premarket Approval and</w:t>
      </w:r>
    </w:p>
    <w:p>
      <w:pPr>
        <w:spacing w:after="0" w:line="103"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43</w:t>
      </w:r>
    </w:p>
    <w:p>
      <w:pPr>
        <w:sectPr>
          <w:pgSz w:w="11900" w:h="16838" w:orient="portrait"/>
          <w:cols w:equalWidth="0" w:num="1">
            <w:col w:w="11220"/>
          </w:cols>
          <w:pgMar w:left="240" w:top="459" w:right="439" w:bottom="1440" w:gutter="0" w:footer="0" w:header="0"/>
        </w:sectPr>
      </w:pPr>
    </w:p>
    <w:bookmarkStart w:id="45" w:name="page46"/>
    <w:bookmarkEnd w:id="4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480"/>
        <w:spacing w:after="0" w:line="259" w:lineRule="auto"/>
        <w:rPr>
          <w:sz w:val="20"/>
          <w:szCs w:val="20"/>
          <w:color w:val="auto"/>
        </w:rPr>
      </w:pPr>
      <w:r>
        <w:rPr>
          <w:rFonts w:ascii="Arial" w:cs="Arial" w:eastAsia="Arial" w:hAnsi="Arial"/>
          <w:sz w:val="18"/>
          <w:szCs w:val="18"/>
          <w:color w:val="auto"/>
        </w:rPr>
        <w:t>Compassionate Use program, and clinical and health economics research in U S. pediatric burn care. BARDA income is recognized in the income statement when it is probable that the Company will receive the economic benefits of the contract and the amount can be reliably measured. The BARDA contract allows the Company to be reimbursed for costs incurred to fund the programs outlined above. The BARDA funds received are recognized in the period that the costs are incurred by the project.</w:t>
      </w:r>
    </w:p>
    <w:p>
      <w:pPr>
        <w:spacing w:after="0" w:line="295" w:lineRule="exact"/>
        <w:rPr>
          <w:sz w:val="20"/>
          <w:szCs w:val="20"/>
          <w:color w:val="auto"/>
        </w:rPr>
      </w:pPr>
    </w:p>
    <w:p>
      <w:pPr>
        <w:ind w:left="200"/>
        <w:spacing w:after="0"/>
        <w:rPr>
          <w:sz w:val="20"/>
          <w:szCs w:val="20"/>
          <w:color w:val="auto"/>
        </w:rPr>
      </w:pPr>
      <w:r>
        <w:rPr>
          <w:rFonts w:ascii="Arial" w:cs="Arial" w:eastAsia="Arial" w:hAnsi="Arial"/>
          <w:sz w:val="18"/>
          <w:szCs w:val="18"/>
          <w:u w:val="single" w:color="auto"/>
          <w:color w:val="auto"/>
        </w:rPr>
        <w:t>Interest Income</w:t>
      </w:r>
    </w:p>
    <w:p>
      <w:pPr>
        <w:spacing w:after="0" w:line="117" w:lineRule="exact"/>
        <w:rPr>
          <w:sz w:val="20"/>
          <w:szCs w:val="20"/>
          <w:color w:val="auto"/>
        </w:rPr>
      </w:pPr>
    </w:p>
    <w:p>
      <w:pPr>
        <w:ind w:left="640"/>
        <w:spacing w:after="0"/>
        <w:rPr>
          <w:sz w:val="20"/>
          <w:szCs w:val="20"/>
          <w:color w:val="auto"/>
        </w:rPr>
      </w:pPr>
      <w:r>
        <w:rPr>
          <w:rFonts w:ascii="Arial" w:cs="Arial" w:eastAsia="Arial" w:hAnsi="Arial"/>
          <w:sz w:val="18"/>
          <w:szCs w:val="18"/>
          <w:color w:val="auto"/>
        </w:rPr>
        <w:t>Revenue is recognized as interest accrues using the effective interest method.</w:t>
      </w:r>
    </w:p>
    <w:p>
      <w:pPr>
        <w:spacing w:after="0" w:line="333" w:lineRule="exact"/>
        <w:rPr>
          <w:sz w:val="20"/>
          <w:szCs w:val="20"/>
          <w:color w:val="auto"/>
        </w:rPr>
      </w:pPr>
    </w:p>
    <w:p>
      <w:pPr>
        <w:ind w:left="200"/>
        <w:spacing w:after="0"/>
        <w:rPr>
          <w:sz w:val="20"/>
          <w:szCs w:val="20"/>
          <w:color w:val="auto"/>
        </w:rPr>
      </w:pPr>
      <w:r>
        <w:rPr>
          <w:rFonts w:ascii="Arial" w:cs="Arial" w:eastAsia="Arial" w:hAnsi="Arial"/>
          <w:sz w:val="18"/>
          <w:szCs w:val="18"/>
          <w:u w:val="single" w:color="auto"/>
          <w:color w:val="auto"/>
        </w:rPr>
        <w:t>Share-based payments</w:t>
      </w:r>
    </w:p>
    <w:p>
      <w:pPr>
        <w:spacing w:after="0" w:line="117" w:lineRule="exact"/>
        <w:rPr>
          <w:sz w:val="20"/>
          <w:szCs w:val="20"/>
          <w:color w:val="auto"/>
        </w:rPr>
      </w:pPr>
    </w:p>
    <w:p>
      <w:pPr>
        <w:ind w:left="200" w:right="220" w:firstLine="441"/>
        <w:spacing w:after="0" w:line="277" w:lineRule="auto"/>
        <w:rPr>
          <w:sz w:val="20"/>
          <w:szCs w:val="20"/>
          <w:color w:val="auto"/>
        </w:rPr>
      </w:pPr>
      <w:r>
        <w:rPr>
          <w:rFonts w:ascii="Arial" w:cs="Arial" w:eastAsia="Arial" w:hAnsi="Arial"/>
          <w:sz w:val="18"/>
          <w:szCs w:val="18"/>
          <w:color w:val="auto"/>
        </w:rPr>
        <w:t>The Company provides benefits to our employees (including executive management) in the form of share-based payments, whereby employees render services in exchange for shares or rights over shares (equity-settled transactions).</w:t>
      </w:r>
    </w:p>
    <w:p>
      <w:pPr>
        <w:spacing w:after="0" w:line="170" w:lineRule="exact"/>
        <w:rPr>
          <w:sz w:val="20"/>
          <w:szCs w:val="20"/>
          <w:color w:val="auto"/>
        </w:rPr>
      </w:pPr>
    </w:p>
    <w:p>
      <w:pPr>
        <w:ind w:left="200" w:firstLine="441"/>
        <w:spacing w:after="0" w:line="276" w:lineRule="auto"/>
        <w:rPr>
          <w:sz w:val="20"/>
          <w:szCs w:val="20"/>
          <w:color w:val="auto"/>
        </w:rPr>
      </w:pPr>
      <w:r>
        <w:rPr>
          <w:rFonts w:ascii="Arial" w:cs="Arial" w:eastAsia="Arial" w:hAnsi="Arial"/>
          <w:sz w:val="17"/>
          <w:szCs w:val="17"/>
          <w:color w:val="auto"/>
        </w:rPr>
        <w:t>The Company has in place two employee share option plans which provide benefits to employees and are eligible to provide benefits to directors. The cost of these equity-settled transactions with employees is measured by reference to the fair value of the equity instruments at the date at which they are granted. The fair value is determined by an external valuation firm using a binomial model. The cost of equity-settled transactions is recognized, together with a corresponding increase in equity, over the period in which the performance and/or service conditions are fulfilled (the vesting period), ending on the date on which the relevant employees become fully entitled to the award (the vesting date).</w:t>
      </w:r>
    </w:p>
    <w:p>
      <w:pPr>
        <w:spacing w:after="0" w:line="173" w:lineRule="exact"/>
        <w:rPr>
          <w:sz w:val="20"/>
          <w:szCs w:val="20"/>
          <w:color w:val="auto"/>
        </w:rPr>
      </w:pPr>
    </w:p>
    <w:p>
      <w:pPr>
        <w:ind w:left="640"/>
        <w:spacing w:after="0"/>
        <w:rPr>
          <w:sz w:val="20"/>
          <w:szCs w:val="20"/>
          <w:color w:val="auto"/>
        </w:rPr>
      </w:pPr>
      <w:r>
        <w:rPr>
          <w:rFonts w:ascii="Arial" w:cs="Arial" w:eastAsia="Arial" w:hAnsi="Arial"/>
          <w:sz w:val="18"/>
          <w:szCs w:val="18"/>
          <w:color w:val="auto"/>
        </w:rPr>
        <w:t>At each subsequent reporting date until vesting, the cumulative charge to profit or loss is the product of:</w:t>
      </w:r>
    </w:p>
    <w:p>
      <w:pPr>
        <w:spacing w:after="0" w:line="131" w:lineRule="exact"/>
        <w:rPr>
          <w:sz w:val="20"/>
          <w:szCs w:val="20"/>
          <w:color w:val="auto"/>
        </w:rPr>
      </w:pPr>
    </w:p>
    <w:p>
      <w:pPr>
        <w:ind w:left="1180" w:hanging="436"/>
        <w:spacing w:after="0"/>
        <w:tabs>
          <w:tab w:leader="none" w:pos="11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grant date fair value of the award;</w:t>
      </w:r>
    </w:p>
    <w:p>
      <w:pPr>
        <w:spacing w:after="0" w:line="130" w:lineRule="exact"/>
        <w:rPr>
          <w:rFonts w:ascii="Arial" w:cs="Arial" w:eastAsia="Arial" w:hAnsi="Arial"/>
          <w:sz w:val="18"/>
          <w:szCs w:val="18"/>
          <w:color w:val="auto"/>
        </w:rPr>
      </w:pPr>
    </w:p>
    <w:p>
      <w:pPr>
        <w:ind w:left="1180" w:right="280" w:hanging="436"/>
        <w:spacing w:after="0" w:line="277" w:lineRule="auto"/>
        <w:tabs>
          <w:tab w:leader="none" w:pos="11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current best estimate of the number of awards that will vest, taking into account such factors as the likelihood of employee turnover during the vesting period and the likelihood of non-market performance conditions being met; and</w:t>
      </w:r>
    </w:p>
    <w:p>
      <w:pPr>
        <w:spacing w:after="0" w:line="75" w:lineRule="exact"/>
        <w:rPr>
          <w:rFonts w:ascii="Arial" w:cs="Arial" w:eastAsia="Arial" w:hAnsi="Arial"/>
          <w:sz w:val="18"/>
          <w:szCs w:val="18"/>
          <w:color w:val="auto"/>
        </w:rPr>
      </w:pPr>
    </w:p>
    <w:p>
      <w:pPr>
        <w:ind w:left="1180" w:hanging="436"/>
        <w:spacing w:after="0"/>
        <w:tabs>
          <w:tab w:leader="none" w:pos="11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expired portion of the vesting period.</w:t>
      </w:r>
    </w:p>
    <w:p>
      <w:pPr>
        <w:spacing w:after="0" w:line="225" w:lineRule="exact"/>
        <w:rPr>
          <w:sz w:val="20"/>
          <w:szCs w:val="20"/>
          <w:color w:val="auto"/>
        </w:rPr>
      </w:pPr>
    </w:p>
    <w:p>
      <w:pPr>
        <w:ind w:left="640"/>
        <w:spacing w:after="0"/>
        <w:rPr>
          <w:sz w:val="20"/>
          <w:szCs w:val="20"/>
          <w:color w:val="auto"/>
        </w:rPr>
      </w:pPr>
      <w:r>
        <w:rPr>
          <w:rFonts w:ascii="Arial" w:cs="Arial" w:eastAsia="Arial" w:hAnsi="Arial"/>
          <w:sz w:val="16"/>
          <w:szCs w:val="16"/>
          <w:color w:val="auto"/>
        </w:rPr>
        <w:t>The charge to profit or loss for the period is the cumulative amount as calculated above less the amounts already charged in previous periods.</w:t>
      </w:r>
    </w:p>
    <w:p>
      <w:pPr>
        <w:spacing w:after="0" w:line="46" w:lineRule="exact"/>
        <w:rPr>
          <w:sz w:val="20"/>
          <w:szCs w:val="20"/>
          <w:color w:val="auto"/>
        </w:rPr>
      </w:pPr>
    </w:p>
    <w:p>
      <w:pPr>
        <w:ind w:left="200"/>
        <w:spacing w:after="0"/>
        <w:rPr>
          <w:sz w:val="20"/>
          <w:szCs w:val="20"/>
          <w:color w:val="auto"/>
        </w:rPr>
      </w:pPr>
      <w:r>
        <w:rPr>
          <w:rFonts w:ascii="Arial" w:cs="Arial" w:eastAsia="Arial" w:hAnsi="Arial"/>
          <w:sz w:val="18"/>
          <w:szCs w:val="18"/>
          <w:color w:val="auto"/>
        </w:rPr>
        <w:t>There is a corresponding entry to equity.</w:t>
      </w:r>
    </w:p>
    <w:p>
      <w:pPr>
        <w:spacing w:after="0" w:line="211" w:lineRule="exact"/>
        <w:rPr>
          <w:sz w:val="20"/>
          <w:szCs w:val="20"/>
          <w:color w:val="auto"/>
        </w:rPr>
      </w:pPr>
    </w:p>
    <w:p>
      <w:pPr>
        <w:ind w:left="200" w:right="220" w:firstLine="441"/>
        <w:spacing w:after="0" w:line="308" w:lineRule="auto"/>
        <w:rPr>
          <w:sz w:val="20"/>
          <w:szCs w:val="20"/>
          <w:color w:val="auto"/>
        </w:rPr>
      </w:pPr>
      <w:r>
        <w:rPr>
          <w:rFonts w:ascii="Arial" w:cs="Arial" w:eastAsia="Arial" w:hAnsi="Arial"/>
          <w:sz w:val="17"/>
          <w:szCs w:val="17"/>
          <w:color w:val="auto"/>
        </w:rPr>
        <w:t>The expense recognized by Avita Medical Limited for equity-settled awards only represents the expense associated with grants to employees of Avita Medical Limited, whereas the expense recognized by the Company is the total expense associated with all such awards.</w:t>
      </w:r>
    </w:p>
    <w:p>
      <w:pPr>
        <w:spacing w:after="0" w:line="147" w:lineRule="exact"/>
        <w:rPr>
          <w:sz w:val="20"/>
          <w:szCs w:val="20"/>
          <w:color w:val="auto"/>
        </w:rPr>
      </w:pPr>
    </w:p>
    <w:p>
      <w:pPr>
        <w:ind w:left="200" w:right="20" w:firstLine="441"/>
        <w:spacing w:after="0" w:line="277" w:lineRule="auto"/>
        <w:rPr>
          <w:sz w:val="20"/>
          <w:szCs w:val="20"/>
          <w:color w:val="auto"/>
        </w:rPr>
      </w:pPr>
      <w:r>
        <w:rPr>
          <w:rFonts w:ascii="Arial" w:cs="Arial" w:eastAsia="Arial" w:hAnsi="Arial"/>
          <w:sz w:val="18"/>
          <w:szCs w:val="18"/>
          <w:color w:val="auto"/>
        </w:rPr>
        <w:t>Until an award has vested, any amounts recorded are contingent and will be adjusted if more or fewer awards vest than were originally anticipated to do so.</w:t>
      </w:r>
    </w:p>
    <w:p>
      <w:pPr>
        <w:spacing w:after="0" w:line="170" w:lineRule="exact"/>
        <w:rPr>
          <w:sz w:val="20"/>
          <w:szCs w:val="20"/>
          <w:color w:val="auto"/>
        </w:rPr>
      </w:pPr>
    </w:p>
    <w:p>
      <w:pPr>
        <w:ind w:left="200" w:right="60" w:firstLine="441"/>
        <w:spacing w:after="0" w:line="264" w:lineRule="auto"/>
        <w:rPr>
          <w:sz w:val="20"/>
          <w:szCs w:val="20"/>
          <w:color w:val="auto"/>
        </w:rPr>
      </w:pPr>
      <w:r>
        <w:rPr>
          <w:rFonts w:ascii="Arial" w:cs="Arial" w:eastAsia="Arial" w:hAnsi="Arial"/>
          <w:sz w:val="18"/>
          <w:szCs w:val="18"/>
          <w:color w:val="auto"/>
        </w:rPr>
        <w:t>If the terms of an equity-settled award are modified, as a minimum, an expense is recognized as if the terms had not been modified. An additional expense is recognized for any modification that increases the total fair value of the share-based payment arrangement or is otherwise beneficial to the employee, as measured at the date of modification.</w:t>
      </w:r>
    </w:p>
    <w:p>
      <w:pPr>
        <w:spacing w:after="0" w:line="181" w:lineRule="exact"/>
        <w:rPr>
          <w:sz w:val="20"/>
          <w:szCs w:val="20"/>
          <w:color w:val="auto"/>
        </w:rPr>
      </w:pPr>
    </w:p>
    <w:p>
      <w:pPr>
        <w:ind w:left="200" w:right="20" w:firstLine="441"/>
        <w:spacing w:after="0" w:line="312" w:lineRule="auto"/>
        <w:rPr>
          <w:sz w:val="20"/>
          <w:szCs w:val="20"/>
          <w:color w:val="auto"/>
        </w:rPr>
      </w:pPr>
      <w:r>
        <w:rPr>
          <w:rFonts w:ascii="Arial" w:cs="Arial" w:eastAsia="Arial" w:hAnsi="Arial"/>
          <w:sz w:val="16"/>
          <w:szCs w:val="16"/>
          <w:color w:val="auto"/>
        </w:rPr>
        <w:t>If an equity-settled award is cancelled, it is treated as if it had vested on the date of cancellation, and any expense not yet recognized for the award is recognized immediately. However, if a new award is substituted for the cancelled award and designated as a replacement award on the date that it is granted, the cancelled and new award are treated as if they were a modification of the original award, as described in the previous paragraph.</w:t>
      </w:r>
    </w:p>
    <w:p>
      <w:pPr>
        <w:spacing w:after="0" w:line="79"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44</w:t>
      </w:r>
    </w:p>
    <w:p>
      <w:pPr>
        <w:sectPr>
          <w:pgSz w:w="11900" w:h="16838" w:orient="portrait"/>
          <w:cols w:equalWidth="0" w:num="1">
            <w:col w:w="11200"/>
          </w:cols>
          <w:pgMar w:left="240" w:top="459" w:right="459" w:bottom="1440" w:gutter="0" w:footer="0" w:header="0"/>
        </w:sectPr>
      </w:pPr>
    </w:p>
    <w:bookmarkStart w:id="46" w:name="page47"/>
    <w:bookmarkEnd w:id="4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The dilutive effect, if any, of outstanding options, is reflected as additional share dilution in the computation of diluted earnings per share.</w:t>
      </w:r>
    </w:p>
    <w:p>
      <w:pPr>
        <w:spacing w:after="0" w:line="333" w:lineRule="exact"/>
        <w:rPr>
          <w:sz w:val="20"/>
          <w:szCs w:val="20"/>
          <w:color w:val="auto"/>
        </w:rPr>
      </w:pPr>
    </w:p>
    <w:p>
      <w:pPr>
        <w:ind w:left="200"/>
        <w:spacing w:after="0"/>
        <w:rPr>
          <w:sz w:val="20"/>
          <w:szCs w:val="20"/>
          <w:color w:val="auto"/>
        </w:rPr>
      </w:pPr>
      <w:r>
        <w:rPr>
          <w:rFonts w:ascii="Arial" w:cs="Arial" w:eastAsia="Arial" w:hAnsi="Arial"/>
          <w:sz w:val="18"/>
          <w:szCs w:val="18"/>
          <w:u w:val="single" w:color="auto"/>
          <w:color w:val="auto"/>
        </w:rPr>
        <w:t>Research and Development Payments</w:t>
      </w:r>
    </w:p>
    <w:p>
      <w:pPr>
        <w:spacing w:after="0" w:line="117" w:lineRule="exact"/>
        <w:rPr>
          <w:sz w:val="20"/>
          <w:szCs w:val="20"/>
          <w:color w:val="auto"/>
        </w:rPr>
      </w:pPr>
    </w:p>
    <w:p>
      <w:pPr>
        <w:ind w:left="200" w:right="440" w:firstLine="441"/>
        <w:spacing w:after="0" w:line="342" w:lineRule="auto"/>
        <w:rPr>
          <w:sz w:val="20"/>
          <w:szCs w:val="20"/>
          <w:color w:val="auto"/>
        </w:rPr>
      </w:pPr>
      <w:r>
        <w:rPr>
          <w:rFonts w:ascii="Arial" w:cs="Arial" w:eastAsia="Arial" w:hAnsi="Arial"/>
          <w:sz w:val="16"/>
          <w:szCs w:val="16"/>
          <w:color w:val="auto"/>
        </w:rPr>
        <w:t>Expenditures during the research phase of a project are recognized as expenses when incurred. Development costs are capitalized only when technical feasibility studies identify that the project is expected to deliver future economic benefits and these benefits can be measured reliably.</w:t>
      </w:r>
    </w:p>
    <w:p>
      <w:pPr>
        <w:spacing w:after="0" w:line="124" w:lineRule="exact"/>
        <w:rPr>
          <w:sz w:val="20"/>
          <w:szCs w:val="20"/>
          <w:color w:val="auto"/>
        </w:rPr>
      </w:pPr>
    </w:p>
    <w:p>
      <w:pPr>
        <w:ind w:left="200" w:right="120" w:firstLine="441"/>
        <w:spacing w:after="0" w:line="277" w:lineRule="auto"/>
        <w:rPr>
          <w:sz w:val="20"/>
          <w:szCs w:val="20"/>
          <w:color w:val="auto"/>
        </w:rPr>
      </w:pPr>
      <w:r>
        <w:rPr>
          <w:rFonts w:ascii="Arial" w:cs="Arial" w:eastAsia="Arial" w:hAnsi="Arial"/>
          <w:sz w:val="18"/>
          <w:szCs w:val="18"/>
          <w:color w:val="auto"/>
        </w:rPr>
        <w:t>Capitalized development costs have a finite useful life and amortized on a systematic basis based on the future economic benefits over the useful life of the project.</w:t>
      </w:r>
    </w:p>
    <w:p>
      <w:pPr>
        <w:spacing w:after="0" w:line="279" w:lineRule="exact"/>
        <w:rPr>
          <w:sz w:val="20"/>
          <w:szCs w:val="20"/>
          <w:color w:val="auto"/>
        </w:rPr>
      </w:pPr>
    </w:p>
    <w:p>
      <w:pPr>
        <w:ind w:left="200"/>
        <w:spacing w:after="0"/>
        <w:rPr>
          <w:sz w:val="20"/>
          <w:szCs w:val="20"/>
          <w:color w:val="auto"/>
        </w:rPr>
      </w:pPr>
      <w:r>
        <w:rPr>
          <w:rFonts w:ascii="Arial" w:cs="Arial" w:eastAsia="Arial" w:hAnsi="Arial"/>
          <w:sz w:val="18"/>
          <w:szCs w:val="18"/>
          <w:u w:val="single" w:color="auto"/>
          <w:color w:val="auto"/>
        </w:rPr>
        <w:t>Research and Development Tax Incentive</w:t>
      </w:r>
    </w:p>
    <w:p>
      <w:pPr>
        <w:spacing w:after="0" w:line="117" w:lineRule="exact"/>
        <w:rPr>
          <w:sz w:val="20"/>
          <w:szCs w:val="20"/>
          <w:color w:val="auto"/>
        </w:rPr>
      </w:pPr>
    </w:p>
    <w:p>
      <w:pPr>
        <w:ind w:left="640"/>
        <w:spacing w:after="0"/>
        <w:rPr>
          <w:sz w:val="20"/>
          <w:szCs w:val="20"/>
          <w:color w:val="auto"/>
        </w:rPr>
      </w:pPr>
      <w:r>
        <w:rPr>
          <w:rFonts w:ascii="Arial" w:cs="Arial" w:eastAsia="Arial" w:hAnsi="Arial"/>
          <w:sz w:val="17"/>
          <w:szCs w:val="17"/>
          <w:color w:val="auto"/>
        </w:rPr>
        <w:t>The Company’s research and development activities are eligible under an Australian Government tax incentive for eligible expenditure from</w:t>
      </w:r>
    </w:p>
    <w:p>
      <w:pPr>
        <w:spacing w:after="0" w:line="35" w:lineRule="exact"/>
        <w:rPr>
          <w:sz w:val="20"/>
          <w:szCs w:val="20"/>
          <w:color w:val="auto"/>
        </w:rPr>
      </w:pPr>
    </w:p>
    <w:p>
      <w:pPr>
        <w:ind w:left="200" w:right="100"/>
        <w:spacing w:after="0" w:line="288" w:lineRule="auto"/>
        <w:rPr>
          <w:sz w:val="20"/>
          <w:szCs w:val="20"/>
          <w:color w:val="auto"/>
        </w:rPr>
      </w:pPr>
      <w:r>
        <w:rPr>
          <w:rFonts w:ascii="Arial" w:cs="Arial" w:eastAsia="Arial" w:hAnsi="Arial"/>
          <w:sz w:val="16"/>
          <w:szCs w:val="16"/>
          <w:color w:val="auto"/>
        </w:rPr>
        <w:t>1 July 2012. Management has assessed these activities and expenditure to determine which are likely to be eligible under the incentive scheme. For the years ended June 30, 2018, 2017 and 2016, the Company recorded other income of A$1,385,796, A$1,048,237 and A$971,881, respectively related to recognition of this tax incentive. The Australian R&amp;D tax incentive scheme permits overseas activity to be claimed to the extent that the overseas activity does not exceed 50% of the total costs of activities for an eligible project. As of December 31, 2018, the Company evaluated the level overseas activity and concluded there was uncertainty as to the ability to meet this criteria. Additionally, at that time, the Federal Budget included a number of changes to the R&amp;D tax incentive scheme which would place further limits on claimable amounts. These budget changes have since been formally placed on hold. In consideration of these uncertainties, no amounts were accrued for as at December 31, 2018.</w:t>
      </w:r>
    </w:p>
    <w:p>
      <w:pPr>
        <w:spacing w:after="0" w:line="273"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Internal Controls</w:t>
      </w:r>
    </w:p>
    <w:p>
      <w:pPr>
        <w:spacing w:after="0" w:line="121" w:lineRule="exact"/>
        <w:rPr>
          <w:sz w:val="20"/>
          <w:szCs w:val="20"/>
          <w:color w:val="auto"/>
        </w:rPr>
      </w:pPr>
    </w:p>
    <w:p>
      <w:pPr>
        <w:ind w:left="200" w:right="20" w:firstLine="441"/>
        <w:spacing w:after="0" w:line="277" w:lineRule="auto"/>
        <w:rPr>
          <w:sz w:val="20"/>
          <w:szCs w:val="20"/>
          <w:color w:val="auto"/>
        </w:rPr>
      </w:pPr>
      <w:r>
        <w:rPr>
          <w:rFonts w:ascii="Arial" w:cs="Arial" w:eastAsia="Arial" w:hAnsi="Arial"/>
          <w:sz w:val="18"/>
          <w:szCs w:val="18"/>
          <w:color w:val="auto"/>
        </w:rPr>
        <w:t>A material weakness was identified in our internal control over financial reporting relating to the application of tax legislation across jurisdictions, specifically our controls over tracking and monitoring the disclosures related to accumulated tax losses by jurisdiction.</w:t>
      </w:r>
    </w:p>
    <w:p>
      <w:pPr>
        <w:spacing w:after="0" w:line="170" w:lineRule="exact"/>
        <w:rPr>
          <w:sz w:val="20"/>
          <w:szCs w:val="20"/>
          <w:color w:val="auto"/>
        </w:rPr>
      </w:pPr>
    </w:p>
    <w:p>
      <w:pPr>
        <w:ind w:left="200" w:right="40" w:firstLine="441"/>
        <w:spacing w:after="0" w:line="302" w:lineRule="auto"/>
        <w:rPr>
          <w:sz w:val="20"/>
          <w:szCs w:val="20"/>
          <w:color w:val="auto"/>
        </w:rPr>
      </w:pPr>
      <w:r>
        <w:rPr>
          <w:rFonts w:ascii="Arial" w:cs="Arial" w:eastAsia="Arial" w:hAnsi="Arial"/>
          <w:sz w:val="16"/>
          <w:szCs w:val="16"/>
          <w:color w:val="auto"/>
        </w:rPr>
        <w:t>We are taking steps to remediate this deficiency. We intend to implement a more rigorous process to track and monitor our accumulated tax losses and we have hired an external income tax specialist to review our application of tax legislation across jurisdictions. We believe that the above actions will be effective in remediating the material weakness described above. However, the material weakness cannot be considered remediated until the controls operate for a sufficient period of time and management has concluded, through testing, that our internal controls are operating effectively.</w:t>
      </w:r>
    </w:p>
    <w:p>
      <w:pPr>
        <w:spacing w:after="0" w:line="154" w:lineRule="exact"/>
        <w:rPr>
          <w:sz w:val="20"/>
          <w:szCs w:val="20"/>
          <w:color w:val="auto"/>
        </w:rPr>
      </w:pPr>
    </w:p>
    <w:p>
      <w:pPr>
        <w:ind w:left="200" w:firstLine="441"/>
        <w:spacing w:after="0" w:line="257" w:lineRule="auto"/>
        <w:rPr>
          <w:sz w:val="20"/>
          <w:szCs w:val="20"/>
          <w:color w:val="auto"/>
        </w:rPr>
      </w:pPr>
      <w:r>
        <w:rPr>
          <w:rFonts w:ascii="Arial" w:cs="Arial" w:eastAsia="Arial" w:hAnsi="Arial"/>
          <w:sz w:val="18"/>
          <w:szCs w:val="18"/>
          <w:color w:val="auto"/>
        </w:rPr>
        <w:t>Any future failure to maintain such internal controls could adversely impact our ability to report our financial results on a timely and accurate basis, which could result in our inability to satisfy our reporting obligations or result in material misstatements in our financial statements. If our financial statements are not accurate, investors may not have a complete understanding of our operations or may lose confidence in our reported financial information, which could result in a material adverse effect on our business or have a negative effect on the trading price of our ordinary shares and ADRs.</w:t>
      </w:r>
    </w:p>
    <w:p>
      <w:pPr>
        <w:spacing w:after="0" w:line="292"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MANAGEMENT’S DISCUSSION AND ANALYSIS OF RESULTS OF OPERATIONS</w:t>
      </w:r>
    </w:p>
    <w:p>
      <w:pPr>
        <w:spacing w:after="0" w:line="121" w:lineRule="exact"/>
        <w:rPr>
          <w:sz w:val="20"/>
          <w:szCs w:val="20"/>
          <w:color w:val="auto"/>
        </w:rPr>
      </w:pPr>
    </w:p>
    <w:p>
      <w:pPr>
        <w:ind w:left="200" w:right="20" w:firstLine="441"/>
        <w:spacing w:after="0" w:line="286" w:lineRule="auto"/>
        <w:rPr>
          <w:sz w:val="20"/>
          <w:szCs w:val="20"/>
          <w:color w:val="auto"/>
        </w:rPr>
      </w:pPr>
      <w:r>
        <w:rPr>
          <w:rFonts w:ascii="Arial" w:cs="Arial" w:eastAsia="Arial" w:hAnsi="Arial"/>
          <w:sz w:val="17"/>
          <w:szCs w:val="17"/>
          <w:color w:val="auto"/>
        </w:rPr>
        <w:t>The following discussion and analysis of our financial condition and results of operations for the years ended June 30, 2018, 2017 and 2016 and the half-year ended December 31, 2018 and 2017, should be read in conjunction with our consolidated financial statements and related notes included in this registration statement in accordance with “Item 8. Financial Information”. In addition, Exhibit 15.1 included with this registration</w:t>
      </w:r>
    </w:p>
    <w:p>
      <w:pPr>
        <w:spacing w:after="0" w:line="98"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45</w:t>
      </w:r>
    </w:p>
    <w:p>
      <w:pPr>
        <w:sectPr>
          <w:pgSz w:w="11900" w:h="16838" w:orient="portrait"/>
          <w:cols w:equalWidth="0" w:num="1">
            <w:col w:w="11200"/>
          </w:cols>
          <w:pgMar w:left="240" w:top="459" w:right="459" w:bottom="1440" w:gutter="0" w:footer="0" w:header="0"/>
        </w:sectPr>
      </w:pPr>
    </w:p>
    <w:bookmarkStart w:id="47" w:name="page48"/>
    <w:bookmarkEnd w:id="4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both"/>
        <w:ind w:left="200" w:right="160"/>
        <w:spacing w:after="0" w:line="312" w:lineRule="auto"/>
        <w:rPr>
          <w:sz w:val="20"/>
          <w:szCs w:val="20"/>
          <w:color w:val="auto"/>
        </w:rPr>
      </w:pPr>
      <w:r>
        <w:rPr>
          <w:rFonts w:ascii="Arial" w:cs="Arial" w:eastAsia="Arial" w:hAnsi="Arial"/>
          <w:sz w:val="16"/>
          <w:szCs w:val="16"/>
          <w:color w:val="auto"/>
        </w:rPr>
        <w:t>statement on Form 20-F contains the preliminary, unaudited consolidated statements of profits or loss and other comprehensive income, consolidated statements of financial position, consolidated statements of cash flows and consolidated statements of changes in equity for the fiscal year ended June 30, 2019 as submitted as Appendix 4E in connection with the ongoing listing of our ordinary shares on the Australian Securities Exchange.</w:t>
      </w:r>
    </w:p>
    <w:p>
      <w:pPr>
        <w:spacing w:after="0" w:line="251"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Year Ended June 30, 2018 compared to Year Ended June 30, 2017</w:t>
      </w:r>
    </w:p>
    <w:p>
      <w:pPr>
        <w:spacing w:after="0" w:line="121" w:lineRule="exact"/>
        <w:rPr>
          <w:sz w:val="20"/>
          <w:szCs w:val="20"/>
          <w:color w:val="auto"/>
        </w:rPr>
      </w:pPr>
    </w:p>
    <w:p>
      <w:pPr>
        <w:ind w:left="640"/>
        <w:spacing w:after="0"/>
        <w:rPr>
          <w:sz w:val="20"/>
          <w:szCs w:val="20"/>
          <w:color w:val="auto"/>
        </w:rPr>
      </w:pPr>
      <w:r>
        <w:rPr>
          <w:rFonts w:ascii="Arial" w:cs="Arial" w:eastAsia="Arial" w:hAnsi="Arial"/>
          <w:sz w:val="17"/>
          <w:szCs w:val="17"/>
          <w:color w:val="auto"/>
        </w:rPr>
        <w:t>Sale of goods of the RECELL devices totaled A$1,198,861 for the year ended June 30, 2018, an increase of A$297,485 or 33% over the</w:t>
      </w:r>
    </w:p>
    <w:p>
      <w:pPr>
        <w:spacing w:after="0" w:line="35" w:lineRule="exact"/>
        <w:rPr>
          <w:sz w:val="20"/>
          <w:szCs w:val="20"/>
          <w:color w:val="auto"/>
        </w:rPr>
      </w:pPr>
    </w:p>
    <w:p>
      <w:pPr>
        <w:ind w:left="200"/>
        <w:spacing w:after="0"/>
        <w:rPr>
          <w:sz w:val="20"/>
          <w:szCs w:val="20"/>
          <w:color w:val="auto"/>
        </w:rPr>
      </w:pPr>
      <w:r>
        <w:rPr>
          <w:rFonts w:ascii="Arial" w:cs="Arial" w:eastAsia="Arial" w:hAnsi="Arial"/>
          <w:sz w:val="16"/>
          <w:szCs w:val="16"/>
          <w:color w:val="auto"/>
        </w:rPr>
        <w:t>A$901,376 recognized during fiscal 2017. The largest increase in sale of goods occurred in Asia Pacific which accounted for 59% of total commercial</w:t>
      </w:r>
    </w:p>
    <w:p>
      <w:pPr>
        <w:spacing w:after="0" w:line="32" w:lineRule="exact"/>
        <w:rPr>
          <w:sz w:val="20"/>
          <w:szCs w:val="20"/>
          <w:color w:val="auto"/>
        </w:rPr>
      </w:pPr>
    </w:p>
    <w:p>
      <w:pPr>
        <w:ind w:left="200"/>
        <w:spacing w:after="0"/>
        <w:rPr>
          <w:sz w:val="20"/>
          <w:szCs w:val="20"/>
          <w:color w:val="auto"/>
        </w:rPr>
      </w:pPr>
      <w:r>
        <w:rPr>
          <w:rFonts w:ascii="Arial" w:cs="Arial" w:eastAsia="Arial" w:hAnsi="Arial"/>
          <w:sz w:val="16"/>
          <w:szCs w:val="16"/>
          <w:color w:val="auto"/>
        </w:rPr>
        <w:t>sales, while the sale of goods in EMEA comprised the remaining 41% of total commercial sales. Gross margins for the years ended June 30, 2018 was</w:t>
      </w:r>
    </w:p>
    <w:p>
      <w:pPr>
        <w:spacing w:after="0" w:line="32" w:lineRule="exact"/>
        <w:rPr>
          <w:sz w:val="20"/>
          <w:szCs w:val="20"/>
          <w:color w:val="auto"/>
        </w:rPr>
      </w:pPr>
    </w:p>
    <w:p>
      <w:pPr>
        <w:ind w:left="200"/>
        <w:spacing w:after="0"/>
        <w:rPr>
          <w:sz w:val="20"/>
          <w:szCs w:val="20"/>
          <w:color w:val="auto"/>
        </w:rPr>
      </w:pPr>
      <w:r>
        <w:rPr>
          <w:rFonts w:ascii="Arial" w:cs="Arial" w:eastAsia="Arial" w:hAnsi="Arial"/>
          <w:sz w:val="18"/>
          <w:szCs w:val="18"/>
          <w:color w:val="auto"/>
        </w:rPr>
        <w:t>57% compared to 49% for the same period in 2017, and we expect gross margins to further increase as sales ramp up within the U.S.</w:t>
      </w:r>
    </w:p>
    <w:p>
      <w:pPr>
        <w:spacing w:after="0" w:line="211" w:lineRule="exact"/>
        <w:rPr>
          <w:sz w:val="20"/>
          <w:szCs w:val="20"/>
          <w:color w:val="auto"/>
        </w:rPr>
      </w:pPr>
    </w:p>
    <w:p>
      <w:pPr>
        <w:ind w:left="200" w:right="60" w:firstLine="441"/>
        <w:spacing w:after="0" w:line="271" w:lineRule="auto"/>
        <w:rPr>
          <w:sz w:val="20"/>
          <w:szCs w:val="20"/>
          <w:color w:val="auto"/>
        </w:rPr>
      </w:pPr>
      <w:r>
        <w:rPr>
          <w:rFonts w:ascii="Arial" w:cs="Arial" w:eastAsia="Arial" w:hAnsi="Arial"/>
          <w:sz w:val="17"/>
          <w:szCs w:val="17"/>
          <w:color w:val="auto"/>
        </w:rPr>
        <w:t>We believe that there are many factors and trends that may effect our financial condition and results of operations. Primarily and foremost, our revenue growth will be impacted most by market acceptance, adoption and penetration of our RECELL System. Pricing is not expected to be a significant factor in connection with our revenue growth. In addition, the Company is always pursuing expansion of labeling additional indications that could open new markets such as the treatment of leg and foot ulcers, vitiligo, chronic wounds and trauma injuries. With regard to the foregoing factors and additional indications, we believe that over the next several years, the most critical component of our changes of sales of goods will be market acceptance and adoption of the RECELL System for burns, followed by approval, market acceptance, adoption of the additional, and potentially other, indications noted above. We do not consider pricing to be a critical component of revenue growth, instead, as indicated above, market acceptance, adoption and penetration of the RECELL System would have a material effect on our sales of goods.</w:t>
      </w:r>
    </w:p>
    <w:p>
      <w:pPr>
        <w:spacing w:after="0" w:line="179" w:lineRule="exact"/>
        <w:rPr>
          <w:sz w:val="20"/>
          <w:szCs w:val="20"/>
          <w:color w:val="auto"/>
        </w:rPr>
      </w:pPr>
    </w:p>
    <w:p>
      <w:pPr>
        <w:ind w:left="200" w:firstLine="441"/>
        <w:spacing w:after="0" w:line="270" w:lineRule="auto"/>
        <w:rPr>
          <w:sz w:val="20"/>
          <w:szCs w:val="20"/>
          <w:color w:val="auto"/>
        </w:rPr>
      </w:pPr>
      <w:r>
        <w:rPr>
          <w:rFonts w:ascii="Arial" w:cs="Arial" w:eastAsia="Arial" w:hAnsi="Arial"/>
          <w:sz w:val="17"/>
          <w:szCs w:val="17"/>
          <w:color w:val="auto"/>
        </w:rPr>
        <w:t>Other income totaled A$10,172,698 for the year ended June 30, 2018, an increase of A$2,941,728 or 41% over the A$7,230,970 recognized during fiscal 2017. The majority of other income consisted of funding from the Biomedical Advanced Research and Development Authority (BARDA), under the Assistant Secretary for Preparedness and Response, within the U.S. Department of Health and Human Services. Under the BARDA contract, income of A$10,104,081 was recognized during the year ended June 30, 2018 compared to income of A$6,886,236 for fiscal 2017. This increase was the result of an expansion of activities related to programs conducted under the BARDA contract during the year. Funding provided by BARDA during the year ended June 30, 2018 focused primarily on support of the U.S. PMA application for the RECELL System, the Continued Access and Compassionate Use programs which provide access to the RECELL System for U.S. patients while the PMA is under review, and development of a health economic model by a major health care information and technology provider to quantify the economic value of the RECELL System versus standard of care for the treatment of severe burns.</w:t>
      </w:r>
    </w:p>
    <w:p>
      <w:pPr>
        <w:spacing w:after="0" w:line="182" w:lineRule="exact"/>
        <w:rPr>
          <w:sz w:val="20"/>
          <w:szCs w:val="20"/>
          <w:color w:val="auto"/>
        </w:rPr>
      </w:pPr>
    </w:p>
    <w:p>
      <w:pPr>
        <w:ind w:left="200" w:firstLine="441"/>
        <w:spacing w:after="0" w:line="272" w:lineRule="auto"/>
        <w:rPr>
          <w:sz w:val="20"/>
          <w:szCs w:val="20"/>
          <w:color w:val="auto"/>
        </w:rPr>
      </w:pPr>
      <w:r>
        <w:rPr>
          <w:rFonts w:ascii="Arial" w:cs="Arial" w:eastAsia="Arial" w:hAnsi="Arial"/>
          <w:sz w:val="17"/>
          <w:szCs w:val="17"/>
          <w:color w:val="auto"/>
        </w:rPr>
        <w:t>As the result of investments in commercial, manufacturing, leadership and system capabilities in preparation for the planned U.S. launch of the RECELL System and related research and development and corporate initiatives including the BARDA programs, operating expenses increased during the year ended June 30, 2018. Sales and marketing expenses totaled A$8,936,441, an increase of A$3,734,680 or 72% over the A$5,201,761 recognized during fiscal 2017. Product development expenses totaled A$12,606,127 an increase of A$1,444,157 or 13% over the A$11,161,970 recognized during fiscal 2017. Corporate and administrative expenses totaled A$5,360,553 for the year ended June 30, 2018, an increase of A$3,095,959 or 137% over the A$2,264,594 recognized during fiscal 2017. Total operating costs totaled A$28,764,864, an increase of A$8,536,542 or 42% over the A$20,228,322 recognized during fiscal 2017 and were in line with management expectations.</w:t>
      </w:r>
    </w:p>
    <w:p>
      <w:pPr>
        <w:spacing w:after="0" w:line="178" w:lineRule="exact"/>
        <w:rPr>
          <w:sz w:val="20"/>
          <w:szCs w:val="20"/>
          <w:color w:val="auto"/>
        </w:rPr>
      </w:pPr>
    </w:p>
    <w:p>
      <w:pPr>
        <w:ind w:left="200" w:right="100" w:firstLine="441"/>
        <w:spacing w:after="0" w:line="264" w:lineRule="auto"/>
        <w:rPr>
          <w:sz w:val="20"/>
          <w:szCs w:val="20"/>
          <w:color w:val="auto"/>
        </w:rPr>
      </w:pPr>
      <w:r>
        <w:rPr>
          <w:rFonts w:ascii="Arial" w:cs="Arial" w:eastAsia="Arial" w:hAnsi="Arial"/>
          <w:sz w:val="18"/>
          <w:szCs w:val="18"/>
          <w:color w:val="auto"/>
        </w:rPr>
        <w:t>We recorded a foreign exchange gain of A$563,279 for the year ended June 30, 2018, compared to a foreign exchange loss of A$83,293 for the year ended June 30, 2017. Foreign exchange gain (loss) reflects the impact of changes in foreign currency exchange rates on cash and cash equivalents that we hold in U.S. dollars, and to a</w:t>
      </w:r>
    </w:p>
    <w:p>
      <w:pPr>
        <w:spacing w:after="0" w:line="114" w:lineRule="exact"/>
        <w:rPr>
          <w:sz w:val="20"/>
          <w:szCs w:val="20"/>
          <w:color w:val="auto"/>
        </w:rPr>
      </w:pPr>
    </w:p>
    <w:p>
      <w:pPr>
        <w:jc w:val="center"/>
        <w:ind w:right="-259"/>
        <w:spacing w:after="0"/>
        <w:rPr>
          <w:sz w:val="20"/>
          <w:szCs w:val="20"/>
          <w:color w:val="auto"/>
        </w:rPr>
      </w:pPr>
      <w:r>
        <w:rPr>
          <w:rFonts w:ascii="Arial" w:cs="Arial" w:eastAsia="Arial" w:hAnsi="Arial"/>
          <w:sz w:val="18"/>
          <w:szCs w:val="18"/>
          <w:color w:val="auto"/>
        </w:rPr>
        <w:t>46</w:t>
      </w:r>
    </w:p>
    <w:p>
      <w:pPr>
        <w:sectPr>
          <w:pgSz w:w="11900" w:h="16838" w:orient="portrait"/>
          <w:cols w:equalWidth="0" w:num="1">
            <w:col w:w="11160"/>
          </w:cols>
          <w:pgMar w:left="240" w:top="459" w:right="499" w:bottom="1440" w:gutter="0" w:footer="0" w:header="0"/>
        </w:sectPr>
      </w:pPr>
    </w:p>
    <w:bookmarkStart w:id="48" w:name="page49"/>
    <w:bookmarkEnd w:id="4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60"/>
        <w:spacing w:after="0" w:line="259" w:lineRule="auto"/>
        <w:rPr>
          <w:sz w:val="20"/>
          <w:szCs w:val="20"/>
          <w:color w:val="auto"/>
        </w:rPr>
      </w:pPr>
      <w:r>
        <w:rPr>
          <w:rFonts w:ascii="Arial" w:cs="Arial" w:eastAsia="Arial" w:hAnsi="Arial"/>
          <w:sz w:val="18"/>
          <w:szCs w:val="18"/>
          <w:color w:val="auto"/>
        </w:rPr>
        <w:t>smaller extent in British Pounds and Euros. In 2018, the Australian dollar depreciated against the U.S. dollar, which had a favorable impact on the Australian dollar value due to the fact that the majority of our cash and cash equivalents were held in U.S. dollars. In 2017, the Australian dollar depreciated against the U.S. dollar, which had an unfavorable impact on the Australian dollar value due to the fact that the majority of our cash and cash equivalents were held in Australian dollars.</w:t>
      </w:r>
    </w:p>
    <w:p>
      <w:pPr>
        <w:spacing w:after="0" w:line="187" w:lineRule="exact"/>
        <w:rPr>
          <w:sz w:val="20"/>
          <w:szCs w:val="20"/>
          <w:color w:val="auto"/>
        </w:rPr>
      </w:pPr>
    </w:p>
    <w:p>
      <w:pPr>
        <w:ind w:left="640"/>
        <w:spacing w:after="0"/>
        <w:rPr>
          <w:sz w:val="20"/>
          <w:szCs w:val="20"/>
          <w:color w:val="auto"/>
        </w:rPr>
      </w:pPr>
      <w:r>
        <w:rPr>
          <w:rFonts w:ascii="Arial" w:cs="Arial" w:eastAsia="Arial" w:hAnsi="Arial"/>
          <w:sz w:val="17"/>
          <w:szCs w:val="17"/>
          <w:color w:val="auto"/>
        </w:rPr>
        <w:t>The net comprehensive loss after tax benefit for the year ended June 30, 2018 was A$15,955,876, an increase of A$4,096,298 or 35% over</w:t>
      </w:r>
    </w:p>
    <w:p>
      <w:pPr>
        <w:spacing w:after="0" w:line="35" w:lineRule="exact"/>
        <w:rPr>
          <w:sz w:val="20"/>
          <w:szCs w:val="20"/>
          <w:color w:val="auto"/>
        </w:rPr>
      </w:pPr>
    </w:p>
    <w:p>
      <w:pPr>
        <w:ind w:left="200"/>
        <w:spacing w:after="0"/>
        <w:rPr>
          <w:sz w:val="20"/>
          <w:szCs w:val="20"/>
          <w:color w:val="auto"/>
        </w:rPr>
      </w:pPr>
      <w:r>
        <w:rPr>
          <w:rFonts w:ascii="Arial" w:cs="Arial" w:eastAsia="Arial" w:hAnsi="Arial"/>
          <w:sz w:val="16"/>
          <w:szCs w:val="16"/>
          <w:color w:val="auto"/>
        </w:rPr>
        <w:t>A$11,859,578 recognized during fiscal 2017. The increase in net comprehensive loss was driven by the higher operating costs described above, partially</w:t>
      </w:r>
    </w:p>
    <w:p>
      <w:pPr>
        <w:spacing w:after="0" w:line="32" w:lineRule="exact"/>
        <w:rPr>
          <w:sz w:val="20"/>
          <w:szCs w:val="20"/>
          <w:color w:val="auto"/>
        </w:rPr>
      </w:pPr>
    </w:p>
    <w:p>
      <w:pPr>
        <w:ind w:left="200"/>
        <w:spacing w:after="0"/>
        <w:rPr>
          <w:sz w:val="20"/>
          <w:szCs w:val="20"/>
          <w:color w:val="auto"/>
        </w:rPr>
      </w:pPr>
      <w:r>
        <w:rPr>
          <w:rFonts w:ascii="Arial" w:cs="Arial" w:eastAsia="Arial" w:hAnsi="Arial"/>
          <w:sz w:val="16"/>
          <w:szCs w:val="16"/>
          <w:color w:val="auto"/>
        </w:rPr>
        <w:t>offset by the higher sale of goods and BARDA income recognized during the year ended June 30, 2018. As the Company continues its preparations for</w:t>
      </w:r>
    </w:p>
    <w:p>
      <w:pPr>
        <w:spacing w:after="0" w:line="32" w:lineRule="exact"/>
        <w:rPr>
          <w:sz w:val="20"/>
          <w:szCs w:val="20"/>
          <w:color w:val="auto"/>
        </w:rPr>
      </w:pPr>
    </w:p>
    <w:p>
      <w:pPr>
        <w:ind w:left="200"/>
        <w:spacing w:after="0"/>
        <w:rPr>
          <w:sz w:val="20"/>
          <w:szCs w:val="20"/>
          <w:color w:val="auto"/>
        </w:rPr>
      </w:pPr>
      <w:r>
        <w:rPr>
          <w:rFonts w:ascii="Arial" w:cs="Arial" w:eastAsia="Arial" w:hAnsi="Arial"/>
          <w:sz w:val="16"/>
          <w:szCs w:val="16"/>
          <w:color w:val="auto"/>
        </w:rPr>
        <w:t>the planned launch of the RECELL System in the U.S., operating expenses are expected to rise in future periods and will be offset in part by revenues</w:t>
      </w:r>
    </w:p>
    <w:p>
      <w:pPr>
        <w:spacing w:after="0" w:line="32" w:lineRule="exact"/>
        <w:rPr>
          <w:sz w:val="20"/>
          <w:szCs w:val="20"/>
          <w:color w:val="auto"/>
        </w:rPr>
      </w:pPr>
    </w:p>
    <w:p>
      <w:pPr>
        <w:ind w:left="200"/>
        <w:spacing w:after="0"/>
        <w:rPr>
          <w:sz w:val="20"/>
          <w:szCs w:val="20"/>
          <w:color w:val="auto"/>
        </w:rPr>
      </w:pPr>
      <w:r>
        <w:rPr>
          <w:rFonts w:ascii="Arial" w:cs="Arial" w:eastAsia="Arial" w:hAnsi="Arial"/>
          <w:sz w:val="18"/>
          <w:szCs w:val="18"/>
          <w:color w:val="auto"/>
        </w:rPr>
        <w:t>under the BARDA contract as well as from sale of goods.</w:t>
      </w:r>
    </w:p>
    <w:p>
      <w:pPr>
        <w:spacing w:after="0" w:line="31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Year Ended June 30, 2017 compared to Year Ended June 30, 2016</w:t>
      </w:r>
    </w:p>
    <w:p>
      <w:pPr>
        <w:spacing w:after="0" w:line="121" w:lineRule="exact"/>
        <w:rPr>
          <w:sz w:val="20"/>
          <w:szCs w:val="20"/>
          <w:color w:val="auto"/>
        </w:rPr>
      </w:pPr>
    </w:p>
    <w:p>
      <w:pPr>
        <w:ind w:left="640"/>
        <w:spacing w:after="0"/>
        <w:rPr>
          <w:sz w:val="20"/>
          <w:szCs w:val="20"/>
          <w:color w:val="auto"/>
        </w:rPr>
      </w:pPr>
      <w:r>
        <w:rPr>
          <w:rFonts w:ascii="Arial" w:cs="Arial" w:eastAsia="Arial" w:hAnsi="Arial"/>
          <w:sz w:val="17"/>
          <w:szCs w:val="17"/>
          <w:color w:val="auto"/>
        </w:rPr>
        <w:t>Sale of goods of the RECELL devices totaled A$901,376 for the year ended June 30, 2017, a decrease of A$101,631 or 10% over the</w:t>
      </w:r>
    </w:p>
    <w:p>
      <w:pPr>
        <w:spacing w:after="0" w:line="35" w:lineRule="exact"/>
        <w:rPr>
          <w:sz w:val="20"/>
          <w:szCs w:val="20"/>
          <w:color w:val="auto"/>
        </w:rPr>
      </w:pPr>
    </w:p>
    <w:p>
      <w:pPr>
        <w:ind w:left="200"/>
        <w:spacing w:after="0"/>
        <w:rPr>
          <w:sz w:val="20"/>
          <w:szCs w:val="20"/>
          <w:color w:val="auto"/>
        </w:rPr>
      </w:pPr>
      <w:r>
        <w:rPr>
          <w:rFonts w:ascii="Arial" w:cs="Arial" w:eastAsia="Arial" w:hAnsi="Arial"/>
          <w:sz w:val="16"/>
          <w:szCs w:val="16"/>
          <w:color w:val="auto"/>
        </w:rPr>
        <w:t>A$1,002,007 recognized during fiscal 2017. The decrease was primarily due to a decrease in EMEA operating segment promotional efforts and product</w:t>
      </w:r>
    </w:p>
    <w:p>
      <w:pPr>
        <w:spacing w:after="0" w:line="32" w:lineRule="exact"/>
        <w:rPr>
          <w:sz w:val="20"/>
          <w:szCs w:val="20"/>
          <w:color w:val="auto"/>
        </w:rPr>
      </w:pPr>
    </w:p>
    <w:p>
      <w:pPr>
        <w:ind w:left="200"/>
        <w:spacing w:after="0"/>
        <w:rPr>
          <w:sz w:val="20"/>
          <w:szCs w:val="20"/>
          <w:color w:val="auto"/>
        </w:rPr>
      </w:pPr>
      <w:r>
        <w:rPr>
          <w:rFonts w:ascii="Arial" w:cs="Arial" w:eastAsia="Arial" w:hAnsi="Arial"/>
          <w:sz w:val="16"/>
          <w:szCs w:val="16"/>
          <w:color w:val="auto"/>
        </w:rPr>
        <w:t>sales during fiscal 2017. Gross margins for the year ended June 30, 2017 was 49% compared to 60% for the same period in 2016 primarily due to part of</w:t>
      </w:r>
    </w:p>
    <w:p>
      <w:pPr>
        <w:spacing w:after="0" w:line="32" w:lineRule="exact"/>
        <w:rPr>
          <w:sz w:val="20"/>
          <w:szCs w:val="20"/>
          <w:color w:val="auto"/>
        </w:rPr>
      </w:pPr>
    </w:p>
    <w:p>
      <w:pPr>
        <w:ind w:left="200"/>
        <w:spacing w:after="0"/>
        <w:rPr>
          <w:sz w:val="20"/>
          <w:szCs w:val="20"/>
          <w:color w:val="auto"/>
        </w:rPr>
      </w:pPr>
      <w:r>
        <w:rPr>
          <w:rFonts w:ascii="Arial" w:cs="Arial" w:eastAsia="Arial" w:hAnsi="Arial"/>
          <w:sz w:val="18"/>
          <w:szCs w:val="18"/>
          <w:color w:val="auto"/>
        </w:rPr>
        <w:t>lower sales volumes in EMEA operating segment by 21%.</w:t>
      </w:r>
    </w:p>
    <w:p>
      <w:pPr>
        <w:spacing w:after="0" w:line="211" w:lineRule="exact"/>
        <w:rPr>
          <w:sz w:val="20"/>
          <w:szCs w:val="20"/>
          <w:color w:val="auto"/>
        </w:rPr>
      </w:pPr>
    </w:p>
    <w:p>
      <w:pPr>
        <w:jc w:val="both"/>
        <w:ind w:left="200" w:right="160" w:firstLine="441"/>
        <w:spacing w:after="0" w:line="302" w:lineRule="auto"/>
        <w:rPr>
          <w:sz w:val="20"/>
          <w:szCs w:val="20"/>
          <w:color w:val="auto"/>
        </w:rPr>
      </w:pPr>
      <w:r>
        <w:rPr>
          <w:rFonts w:ascii="Arial" w:cs="Arial" w:eastAsia="Arial" w:hAnsi="Arial"/>
          <w:sz w:val="16"/>
          <w:szCs w:val="16"/>
          <w:color w:val="auto"/>
        </w:rPr>
        <w:t>Other income was A$7,230,970 for the year ended June 30, 2017, an increase of 184% compared to A$2,544,517 recognized during fiscal 2016, as BARDA income of A$6,886,236 was received during the year as compared to the previous year’s BARDA income of A$2,424,357 which began in the third quarter of last year. The increase of BARDA income was due to the significant expansion of activities surrounding the Company’s Premarket Approval Application (PMA) submission to the FDA in September 2017 for approval to market the RECELL System in the U.S.</w:t>
      </w:r>
    </w:p>
    <w:p>
      <w:pPr>
        <w:spacing w:after="0" w:line="154" w:lineRule="exact"/>
        <w:rPr>
          <w:sz w:val="20"/>
          <w:szCs w:val="20"/>
          <w:color w:val="auto"/>
        </w:rPr>
      </w:pPr>
    </w:p>
    <w:p>
      <w:pPr>
        <w:ind w:left="200" w:firstLine="441"/>
        <w:spacing w:after="0" w:line="270" w:lineRule="auto"/>
        <w:rPr>
          <w:sz w:val="20"/>
          <w:szCs w:val="20"/>
          <w:color w:val="auto"/>
        </w:rPr>
      </w:pPr>
      <w:r>
        <w:rPr>
          <w:rFonts w:ascii="Arial" w:cs="Arial" w:eastAsia="Arial" w:hAnsi="Arial"/>
          <w:sz w:val="17"/>
          <w:szCs w:val="17"/>
          <w:color w:val="auto"/>
        </w:rPr>
        <w:t>As the result of investments in clinical trials and preparation for and support of the PMA for the RECELL System, and related research and development and corporate initiatives including the BARDA programs, operating expenses increased during the year ended June 30, 2017. Product development expenses totaled A$11,161,970 an increase of A$5,143,786 or 86% over the A$6,018,184 recognized during fiscal 2016. Sales and marketing expenses were consistent year over year and totaled A$5,201,761, an increase of A$159,572 or 3% over the A$5,042,189 recognized during fiscal 2017. Corporate and administrative expenses were consistent and totaled A$2,264,594 for the year ended June 30, 2017, a decrease of A$107,153 or 5% over the A$2,371,747 recognized during fiscal 2016. In addition, share-based expense for the year ended June 30, 2017 included share-based expenses related to the resignation of the former CEO in May 2017 totaling A$1,189,021. This expense results from an acceleration of the recognition of non-cash expenses attributable to the initial valuation of the shares awarded under the CEO long-term, incentive agreement. Total operating costs totaled A$20,228,322, an increase of A$5,839,523 or 41% over the A$14,388,799 recognized during fiscal 2016 which were driven by the expanded operating activities noted above.</w:t>
      </w:r>
    </w:p>
    <w:p>
      <w:pPr>
        <w:spacing w:after="0" w:line="178" w:lineRule="exact"/>
        <w:rPr>
          <w:sz w:val="20"/>
          <w:szCs w:val="20"/>
          <w:color w:val="auto"/>
        </w:rPr>
      </w:pPr>
    </w:p>
    <w:p>
      <w:pPr>
        <w:jc w:val="both"/>
        <w:ind w:left="200" w:firstLine="441"/>
        <w:spacing w:after="0" w:line="312" w:lineRule="auto"/>
        <w:rPr>
          <w:sz w:val="20"/>
          <w:szCs w:val="20"/>
          <w:color w:val="auto"/>
        </w:rPr>
      </w:pPr>
      <w:r>
        <w:rPr>
          <w:rFonts w:ascii="Arial" w:cs="Arial" w:eastAsia="Arial" w:hAnsi="Arial"/>
          <w:sz w:val="16"/>
          <w:szCs w:val="16"/>
          <w:color w:val="auto"/>
        </w:rPr>
        <w:t>The net comprehensive loss after tax was A$11,859,578 an increase of A$4,177,724 or 54% over A$7,681,854 recognized during fiscal 2016. The increase in net loss was driven by higher operating costs described above, partially offset by higher revenue from BARDA. In addition, the prior year net comprehensive loss was reduced by a profit from discontinued operations (divestment of the respiratory business segment) of A$2,493,947.</w:t>
      </w:r>
    </w:p>
    <w:p>
      <w:pPr>
        <w:spacing w:after="0" w:line="251"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Year Ended June 30, 2016 compared to Year Ended June 30, 2015</w:t>
      </w:r>
    </w:p>
    <w:p>
      <w:pPr>
        <w:spacing w:after="0" w:line="121" w:lineRule="exact"/>
        <w:rPr>
          <w:sz w:val="20"/>
          <w:szCs w:val="20"/>
          <w:color w:val="auto"/>
        </w:rPr>
      </w:pPr>
    </w:p>
    <w:p>
      <w:pPr>
        <w:ind w:left="200" w:right="100" w:firstLine="441"/>
        <w:spacing w:after="0" w:line="277" w:lineRule="auto"/>
        <w:rPr>
          <w:sz w:val="20"/>
          <w:szCs w:val="20"/>
          <w:color w:val="auto"/>
        </w:rPr>
      </w:pPr>
      <w:r>
        <w:rPr>
          <w:rFonts w:ascii="Arial" w:cs="Arial" w:eastAsia="Arial" w:hAnsi="Arial"/>
          <w:sz w:val="18"/>
          <w:szCs w:val="18"/>
          <w:color w:val="auto"/>
        </w:rPr>
        <w:t>Sale of goods of the RECELL devices totaled A$1,002,007 for the year ended June 30, 2016, an increase of A$16,360 or 2% over the A$985,647 recognized during fiscal 2015. Gross margins for the year ended June 30,</w:t>
      </w:r>
    </w:p>
    <w:p>
      <w:pPr>
        <w:spacing w:after="0" w:line="103"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47</w:t>
      </w:r>
    </w:p>
    <w:p>
      <w:pPr>
        <w:sectPr>
          <w:pgSz w:w="11900" w:h="16838" w:orient="portrait"/>
          <w:cols w:equalWidth="0" w:num="1">
            <w:col w:w="11220"/>
          </w:cols>
          <w:pgMar w:left="240" w:top="459" w:right="439" w:bottom="1440" w:gutter="0" w:footer="0" w:header="0"/>
        </w:sectPr>
      </w:pPr>
    </w:p>
    <w:bookmarkStart w:id="49" w:name="page50"/>
    <w:bookmarkEnd w:id="4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240"/>
        <w:spacing w:after="0" w:line="342" w:lineRule="auto"/>
        <w:rPr>
          <w:sz w:val="20"/>
          <w:szCs w:val="20"/>
          <w:color w:val="auto"/>
        </w:rPr>
      </w:pPr>
      <w:r>
        <w:rPr>
          <w:rFonts w:ascii="Arial" w:cs="Arial" w:eastAsia="Arial" w:hAnsi="Arial"/>
          <w:sz w:val="16"/>
          <w:szCs w:val="16"/>
          <w:color w:val="auto"/>
        </w:rPr>
        <w:t>2016 was 60% compared to 71% for the same period in 2015. During this period the Company moved from a direct sale to a distributor sale model in most markets. While this did support the modest revenue growth over the previous fiscal year, there was a concurrent reduction in margin.</w:t>
      </w:r>
    </w:p>
    <w:p>
      <w:pPr>
        <w:spacing w:after="0" w:line="124" w:lineRule="exact"/>
        <w:rPr>
          <w:sz w:val="20"/>
          <w:szCs w:val="20"/>
          <w:color w:val="auto"/>
        </w:rPr>
      </w:pPr>
    </w:p>
    <w:p>
      <w:pPr>
        <w:ind w:left="200" w:right="180" w:firstLine="441"/>
        <w:spacing w:after="0" w:line="286" w:lineRule="auto"/>
        <w:rPr>
          <w:sz w:val="20"/>
          <w:szCs w:val="20"/>
          <w:color w:val="auto"/>
        </w:rPr>
      </w:pPr>
      <w:r>
        <w:rPr>
          <w:rFonts w:ascii="Arial" w:cs="Arial" w:eastAsia="Arial" w:hAnsi="Arial"/>
          <w:sz w:val="17"/>
          <w:szCs w:val="17"/>
          <w:color w:val="auto"/>
        </w:rPr>
        <w:t>Other income was A$2,544,517 for the year ended June 30, 2016, an increase of 1,011% compared to A$228,988 recognized during fiscal 2015, as BARDA income of A$2,424,357 was received and began in the third quarter of fiscal year 2016 for the expansion of activities surrounding the Company’s PMA submission to the FDA in September 2017 for approval to market the RECELL System in the U.S.</w:t>
      </w:r>
    </w:p>
    <w:p>
      <w:pPr>
        <w:spacing w:after="0" w:line="166" w:lineRule="exact"/>
        <w:rPr>
          <w:sz w:val="20"/>
          <w:szCs w:val="20"/>
          <w:color w:val="auto"/>
        </w:rPr>
      </w:pPr>
    </w:p>
    <w:p>
      <w:pPr>
        <w:ind w:left="200" w:right="40" w:firstLine="441"/>
        <w:spacing w:after="0" w:line="270" w:lineRule="auto"/>
        <w:rPr>
          <w:sz w:val="20"/>
          <w:szCs w:val="20"/>
          <w:color w:val="auto"/>
        </w:rPr>
      </w:pPr>
      <w:r>
        <w:rPr>
          <w:rFonts w:ascii="Arial" w:cs="Arial" w:eastAsia="Arial" w:hAnsi="Arial"/>
          <w:sz w:val="17"/>
          <w:szCs w:val="17"/>
          <w:color w:val="auto"/>
        </w:rPr>
        <w:t>As the result of investments in conduct of clinical trials and preparation for and support of the PMA for the RECELL System, and related research and development and corporate initiatives including the BARDA programs, operating expenses increased during the year ended June 30, 2016. Product development expenses totaled A$6,018,184 an increase of A$1,748,729 or 41% over the A$4,269,455 recognized during fiscal 2015. Sales and marketing expenses totaled A$5,042,189, an increase of A$349,555 or 7% over the A$4,692,634 recognized during fiscal 2015. Corporate and administrative expenses totaled A$2,371,747 for the year ended June 30, 2016, an increase of A$1,901,632 or 405% over the A$470,115 recognized during fiscal 2015. In addition, share-based expenses of A$956,658 for the year ended June 30, 2016 included a non-cash amount of A$902,959 which recognizes the appropriate valuation of the issuance of 40 million fully paid shares under the CEO Long Term Incentive Plan, announced on January 25, 2016, and which is subject to escrow and vesting conditions. The full valuation of the 40 million shares will be allocated over a five-year period as a non-cash expense. Total operating costs totaled A$14,388,799, an increase of A$4,943,244 or 52% over the A$9,445,555 recognized during fiscal 2015 which were driven by the expanded operating activities noted above.</w:t>
      </w:r>
    </w:p>
    <w:p>
      <w:pPr>
        <w:spacing w:after="0" w:line="178" w:lineRule="exact"/>
        <w:rPr>
          <w:sz w:val="20"/>
          <w:szCs w:val="20"/>
          <w:color w:val="auto"/>
        </w:rPr>
      </w:pPr>
    </w:p>
    <w:p>
      <w:pPr>
        <w:ind w:left="200" w:firstLine="441"/>
        <w:spacing w:after="0" w:line="259" w:lineRule="auto"/>
        <w:rPr>
          <w:sz w:val="20"/>
          <w:szCs w:val="20"/>
          <w:color w:val="auto"/>
        </w:rPr>
      </w:pPr>
      <w:r>
        <w:rPr>
          <w:rFonts w:ascii="Arial" w:cs="Arial" w:eastAsia="Arial" w:hAnsi="Arial"/>
          <w:sz w:val="18"/>
          <w:szCs w:val="18"/>
          <w:color w:val="auto"/>
        </w:rPr>
        <w:t>The net comprehensive loss after tax was A$7,681,854 an increase of A$756,375 or 11% over A$6,925,479 recognized during fiscal 2015. The increase in net loss was driven by higher operating costs described above, partially offset by higher revenue from BARDA. In addition, the fiscal 2016 net comprehensive loss was reduced by a profit from discontinued operations (divestment of the respiratory business segment) of A$2,493,947 and a fair value gain on available for sale of financial assets of A$265,261.</w:t>
      </w:r>
    </w:p>
    <w:p>
      <w:pPr>
        <w:spacing w:after="0" w:line="291"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Half-Year Ended December 31, 2018 Compared to Half-Year Ended December 31, 2017</w:t>
      </w:r>
    </w:p>
    <w:p>
      <w:pPr>
        <w:spacing w:after="0" w:line="121" w:lineRule="exact"/>
        <w:rPr>
          <w:sz w:val="20"/>
          <w:szCs w:val="20"/>
          <w:color w:val="auto"/>
        </w:rPr>
      </w:pPr>
    </w:p>
    <w:p>
      <w:pPr>
        <w:ind w:left="200" w:right="40" w:firstLine="441"/>
        <w:spacing w:after="0" w:line="257" w:lineRule="auto"/>
        <w:rPr>
          <w:sz w:val="20"/>
          <w:szCs w:val="20"/>
          <w:color w:val="auto"/>
        </w:rPr>
      </w:pPr>
      <w:r>
        <w:rPr>
          <w:rFonts w:ascii="Arial" w:cs="Arial" w:eastAsia="Arial" w:hAnsi="Arial"/>
          <w:sz w:val="18"/>
          <w:szCs w:val="18"/>
          <w:color w:val="auto"/>
        </w:rPr>
        <w:t>Sale of goods of the RECELL devices totaled A$1,813,195 for the half-year ended December 31, 2018, an increase of A$1,205,434 or 198% over the A$607,761 recognized during the same period in 2017. The majority of the current-year increase in sales occurred in the U.S. as a result of the September 2018 FDA approval. U.S. sales during the half-year ended December 31, 2018 totaled A$1,101,991 compared to zero in the prior year. Gross margin for the half-year ended December 31, 2018 was 69% compared to 56% for the same period in 2017, and management expects gross margins to further increase as sales ramp up within the U.S.</w:t>
      </w:r>
    </w:p>
    <w:p>
      <w:pPr>
        <w:spacing w:after="0" w:line="188" w:lineRule="exact"/>
        <w:rPr>
          <w:sz w:val="20"/>
          <w:szCs w:val="20"/>
          <w:color w:val="auto"/>
        </w:rPr>
      </w:pPr>
    </w:p>
    <w:p>
      <w:pPr>
        <w:ind w:left="200" w:right="140" w:firstLine="441"/>
        <w:spacing w:after="0" w:line="272" w:lineRule="auto"/>
        <w:rPr>
          <w:sz w:val="20"/>
          <w:szCs w:val="20"/>
          <w:color w:val="auto"/>
        </w:rPr>
      </w:pPr>
      <w:r>
        <w:rPr>
          <w:rFonts w:ascii="Arial" w:cs="Arial" w:eastAsia="Arial" w:hAnsi="Arial"/>
          <w:sz w:val="17"/>
          <w:szCs w:val="17"/>
          <w:color w:val="auto"/>
        </w:rPr>
        <w:t>Other income totaled $5,112,763 for the half-year ended December 31, 2018, an increase of A$1,218,452 or 31% over the A$3,894,311 recognized during same period in 2017. As in prior periods, the majority of other income consisted of funding from BARDA. Under the BARDA contract, income of A$5,009,137 was recognized during the half-year ended December 31, 2018 compared to income of A$3,856,716 during the same period in 2017. This increase was the result of an expansion of activities related to programs conducted under the BARDA contract during the year. Funding provided by BARDA during the half-year ended December 31, 2018 focused primarily on support of the regulatory activities to support the U.S. approval of the RECELL System, the Continued Access and Compassionate Use programs which provide access to the RECELL System for U.S. patients prior to FDA approval, and two U.S. clinical trials in pediatric burn patients.</w:t>
      </w:r>
    </w:p>
    <w:p>
      <w:pPr>
        <w:spacing w:after="0" w:line="178" w:lineRule="exact"/>
        <w:rPr>
          <w:sz w:val="20"/>
          <w:szCs w:val="20"/>
          <w:color w:val="auto"/>
        </w:rPr>
      </w:pPr>
    </w:p>
    <w:p>
      <w:pPr>
        <w:ind w:left="200" w:right="200" w:firstLine="441"/>
        <w:spacing w:after="0" w:line="312" w:lineRule="auto"/>
        <w:rPr>
          <w:sz w:val="20"/>
          <w:szCs w:val="20"/>
          <w:color w:val="auto"/>
        </w:rPr>
      </w:pPr>
      <w:r>
        <w:rPr>
          <w:rFonts w:ascii="Arial" w:cs="Arial" w:eastAsia="Arial" w:hAnsi="Arial"/>
          <w:sz w:val="16"/>
          <w:szCs w:val="16"/>
          <w:color w:val="auto"/>
        </w:rPr>
        <w:t>Operations for the half-year ended December 31, 2018 were focused primarily on preparation for the January 2019 U.S. market launch of the RECELL System, including the recruitment, hiring and training of 20 sales field force personnel. Additional activities included the commencement of product shipments in the U.S. after the September 2018 FDA approval of the RECELL System for the treatment of acute thermal burns, and the</w:t>
      </w:r>
    </w:p>
    <w:p>
      <w:pPr>
        <w:spacing w:after="0" w:line="79"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48</w:t>
      </w:r>
    </w:p>
    <w:p>
      <w:pPr>
        <w:sectPr>
          <w:pgSz w:w="11900" w:h="16838" w:orient="portrait"/>
          <w:cols w:equalWidth="0" w:num="1">
            <w:col w:w="11220"/>
          </w:cols>
          <w:pgMar w:left="240" w:top="459" w:right="439" w:bottom="1440" w:gutter="0" w:footer="0" w:header="0"/>
        </w:sectPr>
      </w:pPr>
    </w:p>
    <w:bookmarkStart w:id="50" w:name="page51"/>
    <w:bookmarkEnd w:id="5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80"/>
        <w:spacing w:after="0" w:line="271" w:lineRule="auto"/>
        <w:rPr>
          <w:sz w:val="20"/>
          <w:szCs w:val="20"/>
          <w:color w:val="auto"/>
        </w:rPr>
      </w:pPr>
      <w:r>
        <w:rPr>
          <w:rFonts w:ascii="Arial" w:cs="Arial" w:eastAsia="Arial" w:hAnsi="Arial"/>
          <w:sz w:val="17"/>
          <w:szCs w:val="17"/>
          <w:color w:val="auto"/>
        </w:rPr>
        <w:t>preparation for, or the conduct of, further development of RECELL. As the result of investments in commercial, manufacturing, and system capabilities for the U.S. market launch of the RECELL System and related initiatives, operating costs for the half-year ended December 31, 2018 totaled A$21,935,034, a A$10,447,198 or 91% increase over the A$11,487,836 incurred during the same period in the prior year and were in line with management expectations. Sales and marketing expenses for the half-year ended December 31, 2018 totaled A$6,931,241, an increase of A$4,115,543 or 146% over the A$2,815,698 recognized during for first six months of fiscal 2017. Product development expenses for the 2018 half-year totaled $7,080,042 an increase of A$2,021,524 or 40% over the A$5,058,518 recognized during the first half of fiscal 2017. Corporate and administrative expenses totaled A$6,865,250 for the six months ended December 31, 2018, an increase of A$3,991,739 or 139% over the A$2,873,511 recognized during the first six months of fiscal 2017.</w:t>
      </w:r>
    </w:p>
    <w:p>
      <w:pPr>
        <w:spacing w:after="0" w:line="179" w:lineRule="exact"/>
        <w:rPr>
          <w:sz w:val="20"/>
          <w:szCs w:val="20"/>
          <w:color w:val="auto"/>
        </w:rPr>
      </w:pPr>
    </w:p>
    <w:p>
      <w:pPr>
        <w:ind w:left="200" w:right="120" w:firstLine="441"/>
        <w:spacing w:after="0" w:line="276" w:lineRule="auto"/>
        <w:rPr>
          <w:sz w:val="20"/>
          <w:szCs w:val="20"/>
          <w:color w:val="auto"/>
        </w:rPr>
      </w:pPr>
      <w:r>
        <w:rPr>
          <w:rFonts w:ascii="Arial" w:cs="Arial" w:eastAsia="Arial" w:hAnsi="Arial"/>
          <w:sz w:val="17"/>
          <w:szCs w:val="17"/>
          <w:color w:val="auto"/>
        </w:rPr>
        <w:t>Net comprehensive loss after tax for the half-year ended December 31, 2018 was A$14,205,247, a A$6,899,260 or 94% increase compared to A$7,305,987 incurred in the same period in the prior half-year. The increase in net loss was driven by the higher operating costs described above, partially offset by the higher sale of goods and other revenue achieved during the six months. As a result of the national launch of the RECELL System in the U.S. in January 2019, and the expansion of research and development, operating expenses will increase in future periods. These expenses are expected to be partially offset by increased sales of goods and revenues under the BARDA contract.</w:t>
      </w:r>
    </w:p>
    <w:p>
      <w:pPr>
        <w:spacing w:after="0" w:line="277"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B. Liquidity and Capital Resources</w:t>
      </w:r>
    </w:p>
    <w:p>
      <w:pPr>
        <w:spacing w:after="0" w:line="121" w:lineRule="exact"/>
        <w:rPr>
          <w:sz w:val="20"/>
          <w:szCs w:val="20"/>
          <w:color w:val="auto"/>
        </w:rPr>
      </w:pPr>
    </w:p>
    <w:p>
      <w:pPr>
        <w:ind w:left="200" w:right="140" w:firstLine="441"/>
        <w:spacing w:after="0" w:line="257" w:lineRule="auto"/>
        <w:rPr>
          <w:sz w:val="20"/>
          <w:szCs w:val="20"/>
          <w:color w:val="auto"/>
        </w:rPr>
      </w:pPr>
      <w:r>
        <w:rPr>
          <w:rFonts w:ascii="Arial" w:cs="Arial" w:eastAsia="Arial" w:hAnsi="Arial"/>
          <w:sz w:val="18"/>
          <w:szCs w:val="18"/>
          <w:color w:val="auto"/>
        </w:rPr>
        <w:t>We expect to utilize cash reserves until U.S. and international sales of our products reach a level sufficient to fund ongoing operations. The Company has historically funded its research and development activities, and more recently its substantial investment in sales and marketing activities, through raising capital by issuing securities in the Company, and it is expected that similar funding will be obtained to provide working capital if and when required. If the Company is unable to raise capital in the future, the Company may need to curtail expenditures by scaling back certain research and development or other programs.</w:t>
      </w:r>
    </w:p>
    <w:p>
      <w:pPr>
        <w:spacing w:after="0" w:line="188" w:lineRule="exact"/>
        <w:rPr>
          <w:sz w:val="20"/>
          <w:szCs w:val="20"/>
          <w:color w:val="auto"/>
        </w:rPr>
      </w:pPr>
    </w:p>
    <w:p>
      <w:pPr>
        <w:jc w:val="both"/>
        <w:ind w:left="200" w:firstLine="441"/>
        <w:spacing w:after="0" w:line="286" w:lineRule="auto"/>
        <w:rPr>
          <w:sz w:val="20"/>
          <w:szCs w:val="20"/>
          <w:color w:val="auto"/>
        </w:rPr>
      </w:pPr>
      <w:r>
        <w:rPr>
          <w:rFonts w:ascii="Arial" w:cs="Arial" w:eastAsia="Arial" w:hAnsi="Arial"/>
          <w:sz w:val="17"/>
          <w:szCs w:val="17"/>
          <w:color w:val="auto"/>
        </w:rPr>
        <w:t>During the year ended June 30, 2018 and subsequent to year end, the Company completed a series of equity transactions totaling gross proceeds of A$74,775,545 which were used to fund operations. Of the total gross proceeds, A$29,760,645 was received from transactions completed during the year ended June 30, 2018, and A$45,014,900 was received from transactions completed subsequent to June 30, 2018.</w:t>
      </w:r>
    </w:p>
    <w:p>
      <w:pPr>
        <w:spacing w:after="0" w:line="166" w:lineRule="exact"/>
        <w:rPr>
          <w:sz w:val="20"/>
          <w:szCs w:val="20"/>
          <w:color w:val="auto"/>
        </w:rPr>
      </w:pPr>
    </w:p>
    <w:p>
      <w:pPr>
        <w:ind w:left="640"/>
        <w:spacing w:after="0"/>
        <w:rPr>
          <w:sz w:val="20"/>
          <w:szCs w:val="20"/>
          <w:color w:val="auto"/>
        </w:rPr>
      </w:pPr>
      <w:r>
        <w:rPr>
          <w:rFonts w:ascii="Arial" w:cs="Arial" w:eastAsia="Arial" w:hAnsi="Arial"/>
          <w:sz w:val="16"/>
          <w:szCs w:val="16"/>
          <w:color w:val="auto"/>
        </w:rPr>
        <w:t>On October 11, 2017, the Company completed a placement of 100,982,978 fully paid ordinary shares at a price of A$0.045 per share raising gross</w:t>
      </w:r>
    </w:p>
    <w:p>
      <w:pPr>
        <w:spacing w:after="0" w:line="46" w:lineRule="exact"/>
        <w:rPr>
          <w:sz w:val="20"/>
          <w:szCs w:val="20"/>
          <w:color w:val="auto"/>
        </w:rPr>
      </w:pPr>
    </w:p>
    <w:p>
      <w:pPr>
        <w:ind w:left="200"/>
        <w:spacing w:after="0"/>
        <w:rPr>
          <w:sz w:val="20"/>
          <w:szCs w:val="20"/>
          <w:color w:val="auto"/>
        </w:rPr>
      </w:pPr>
      <w:r>
        <w:rPr>
          <w:rFonts w:ascii="Arial" w:cs="Arial" w:eastAsia="Arial" w:hAnsi="Arial"/>
          <w:sz w:val="17"/>
          <w:szCs w:val="17"/>
          <w:color w:val="auto"/>
        </w:rPr>
        <w:t>proceeds of A$4,544,234. On November 7, 2017, the Company completed a rights offering of 276,502,853 fully paid ordinary shares at a price of</w:t>
      </w:r>
    </w:p>
    <w:p>
      <w:pPr>
        <w:spacing w:after="0" w:line="21" w:lineRule="exact"/>
        <w:rPr>
          <w:sz w:val="20"/>
          <w:szCs w:val="20"/>
          <w:color w:val="auto"/>
        </w:rPr>
      </w:pPr>
    </w:p>
    <w:p>
      <w:pPr>
        <w:ind w:left="200"/>
        <w:spacing w:after="0"/>
        <w:rPr>
          <w:sz w:val="20"/>
          <w:szCs w:val="20"/>
          <w:color w:val="auto"/>
        </w:rPr>
      </w:pPr>
      <w:r>
        <w:rPr>
          <w:rFonts w:ascii="Arial" w:cs="Arial" w:eastAsia="Arial" w:hAnsi="Arial"/>
          <w:sz w:val="16"/>
          <w:szCs w:val="16"/>
          <w:color w:val="auto"/>
        </w:rPr>
        <w:t>A$0.045 per share raising gross proceeds of A$12,442,628. On 6 June 2018, the Company completed the first tranche of an institutional placement in</w:t>
      </w:r>
    </w:p>
    <w:p>
      <w:pPr>
        <w:spacing w:after="0" w:line="32" w:lineRule="exact"/>
        <w:rPr>
          <w:sz w:val="20"/>
          <w:szCs w:val="20"/>
          <w:color w:val="auto"/>
        </w:rPr>
      </w:pPr>
    </w:p>
    <w:p>
      <w:pPr>
        <w:ind w:left="200"/>
        <w:spacing w:after="0"/>
        <w:rPr>
          <w:sz w:val="20"/>
          <w:szCs w:val="20"/>
          <w:color w:val="auto"/>
        </w:rPr>
      </w:pPr>
      <w:r>
        <w:rPr>
          <w:rFonts w:ascii="Arial" w:cs="Arial" w:eastAsia="Arial" w:hAnsi="Arial"/>
          <w:sz w:val="17"/>
          <w:szCs w:val="17"/>
          <w:color w:val="auto"/>
        </w:rPr>
        <w:t>which it issued 255,475,665 fully paid ordinary shares at a price of A$0.050 per share raising gross proceeds of A$12,773,783. The institutional</w:t>
      </w:r>
    </w:p>
    <w:p>
      <w:pPr>
        <w:spacing w:after="0" w:line="21" w:lineRule="exact"/>
        <w:rPr>
          <w:sz w:val="20"/>
          <w:szCs w:val="20"/>
          <w:color w:val="auto"/>
        </w:rPr>
      </w:pPr>
    </w:p>
    <w:p>
      <w:pPr>
        <w:ind w:left="200"/>
        <w:spacing w:after="0"/>
        <w:rPr>
          <w:sz w:val="20"/>
          <w:szCs w:val="20"/>
          <w:color w:val="auto"/>
        </w:rPr>
      </w:pPr>
      <w:r>
        <w:rPr>
          <w:rFonts w:ascii="Arial" w:cs="Arial" w:eastAsia="Arial" w:hAnsi="Arial"/>
          <w:sz w:val="17"/>
          <w:szCs w:val="17"/>
          <w:color w:val="auto"/>
        </w:rPr>
        <w:t>placement included a second tranche totaling A$3.250 million of gross proceeds, contingent upon shareholder approval. Shareholder approval for</w:t>
      </w:r>
    </w:p>
    <w:p>
      <w:pPr>
        <w:spacing w:after="0" w:line="21" w:lineRule="exact"/>
        <w:rPr>
          <w:sz w:val="20"/>
          <w:szCs w:val="20"/>
          <w:color w:val="auto"/>
        </w:rPr>
      </w:pPr>
    </w:p>
    <w:p>
      <w:pPr>
        <w:ind w:left="200"/>
        <w:spacing w:after="0"/>
        <w:rPr>
          <w:sz w:val="20"/>
          <w:szCs w:val="20"/>
          <w:color w:val="auto"/>
        </w:rPr>
      </w:pPr>
      <w:r>
        <w:rPr>
          <w:rFonts w:ascii="Arial" w:cs="Arial" w:eastAsia="Arial" w:hAnsi="Arial"/>
          <w:sz w:val="16"/>
          <w:szCs w:val="16"/>
          <w:color w:val="auto"/>
        </w:rPr>
        <w:t>Tranche 2 was received at an Extraordinary General Meeting held on July 23, 2018, and the Company issued 65 million shares at a price of A$0.050 per</w:t>
      </w:r>
    </w:p>
    <w:p>
      <w:pPr>
        <w:spacing w:after="0" w:line="32" w:lineRule="exact"/>
        <w:rPr>
          <w:sz w:val="20"/>
          <w:szCs w:val="20"/>
          <w:color w:val="auto"/>
        </w:rPr>
      </w:pPr>
    </w:p>
    <w:p>
      <w:pPr>
        <w:ind w:left="200"/>
        <w:spacing w:after="0"/>
        <w:rPr>
          <w:sz w:val="20"/>
          <w:szCs w:val="20"/>
          <w:color w:val="auto"/>
        </w:rPr>
      </w:pPr>
      <w:r>
        <w:rPr>
          <w:rFonts w:ascii="Arial" w:cs="Arial" w:eastAsia="Arial" w:hAnsi="Arial"/>
          <w:sz w:val="16"/>
          <w:szCs w:val="16"/>
          <w:color w:val="auto"/>
        </w:rPr>
        <w:t>share and received gross proceeds of A$3,250,000 on July 26, 2018. Also subsequent to year end, on December 4, 2018, the Company completed the</w:t>
      </w:r>
    </w:p>
    <w:p>
      <w:pPr>
        <w:spacing w:after="0" w:line="32" w:lineRule="exact"/>
        <w:rPr>
          <w:sz w:val="20"/>
          <w:szCs w:val="20"/>
          <w:color w:val="auto"/>
        </w:rPr>
      </w:pPr>
    </w:p>
    <w:p>
      <w:pPr>
        <w:ind w:left="200"/>
        <w:spacing w:after="0"/>
        <w:rPr>
          <w:sz w:val="20"/>
          <w:szCs w:val="20"/>
          <w:color w:val="auto"/>
        </w:rPr>
      </w:pPr>
      <w:r>
        <w:rPr>
          <w:rFonts w:ascii="Arial" w:cs="Arial" w:eastAsia="Arial" w:hAnsi="Arial"/>
          <w:sz w:val="17"/>
          <w:szCs w:val="17"/>
          <w:color w:val="auto"/>
        </w:rPr>
        <w:t>first tranche of an institutional placement in which it issued 310,047,015 fully paid ordinary shares at a price of A$0.080 per share raising gross</w:t>
      </w:r>
    </w:p>
    <w:p>
      <w:pPr>
        <w:spacing w:after="0" w:line="21" w:lineRule="exact"/>
        <w:rPr>
          <w:sz w:val="20"/>
          <w:szCs w:val="20"/>
          <w:color w:val="auto"/>
        </w:rPr>
      </w:pPr>
    </w:p>
    <w:p>
      <w:pPr>
        <w:ind w:left="200"/>
        <w:spacing w:after="0"/>
        <w:rPr>
          <w:sz w:val="20"/>
          <w:szCs w:val="20"/>
          <w:color w:val="auto"/>
        </w:rPr>
      </w:pPr>
      <w:r>
        <w:rPr>
          <w:rFonts w:ascii="Arial" w:cs="Arial" w:eastAsia="Arial" w:hAnsi="Arial"/>
          <w:sz w:val="17"/>
          <w:szCs w:val="17"/>
          <w:color w:val="auto"/>
        </w:rPr>
        <w:t>proceeds of A$24,803,761. The institutional placement included a second tranche totaling A$15.196 million of gross proceeds, contingent upon</w:t>
      </w:r>
    </w:p>
    <w:p>
      <w:pPr>
        <w:spacing w:after="0" w:line="21" w:lineRule="exact"/>
        <w:rPr>
          <w:sz w:val="20"/>
          <w:szCs w:val="20"/>
          <w:color w:val="auto"/>
        </w:rPr>
      </w:pPr>
    </w:p>
    <w:p>
      <w:pPr>
        <w:ind w:left="200"/>
        <w:spacing w:after="0"/>
        <w:rPr>
          <w:sz w:val="20"/>
          <w:szCs w:val="20"/>
          <w:color w:val="auto"/>
        </w:rPr>
      </w:pPr>
      <w:r>
        <w:rPr>
          <w:rFonts w:ascii="Arial" w:cs="Arial" w:eastAsia="Arial" w:hAnsi="Arial"/>
          <w:sz w:val="17"/>
          <w:szCs w:val="17"/>
          <w:color w:val="auto"/>
        </w:rPr>
        <w:t>shareholder approval. Shareholder approval for Tranche 2 was received at an Extraordinary General Meeting held on January 14, 2019, and the</w:t>
      </w:r>
    </w:p>
    <w:p>
      <w:pPr>
        <w:spacing w:after="0" w:line="21" w:lineRule="exact"/>
        <w:rPr>
          <w:sz w:val="20"/>
          <w:szCs w:val="20"/>
          <w:color w:val="auto"/>
        </w:rPr>
      </w:pPr>
    </w:p>
    <w:p>
      <w:pPr>
        <w:ind w:left="200"/>
        <w:spacing w:after="0"/>
        <w:rPr>
          <w:sz w:val="20"/>
          <w:szCs w:val="20"/>
          <w:color w:val="auto"/>
        </w:rPr>
      </w:pPr>
      <w:r>
        <w:rPr>
          <w:rFonts w:ascii="Arial" w:cs="Arial" w:eastAsia="Arial" w:hAnsi="Arial"/>
          <w:sz w:val="16"/>
          <w:szCs w:val="16"/>
          <w:color w:val="auto"/>
        </w:rPr>
        <w:t>Company issued 189,952,985 shares at a price of A$0.080 per share and received gross proceeds of A$15,196,239 on January 14, 2019. In addition, on</w:t>
      </w:r>
    </w:p>
    <w:p>
      <w:pPr>
        <w:spacing w:after="0" w:line="32" w:lineRule="exact"/>
        <w:rPr>
          <w:sz w:val="20"/>
          <w:szCs w:val="20"/>
          <w:color w:val="auto"/>
        </w:rPr>
      </w:pPr>
    </w:p>
    <w:p>
      <w:pPr>
        <w:ind w:left="200"/>
        <w:spacing w:after="0"/>
        <w:rPr>
          <w:sz w:val="20"/>
          <w:szCs w:val="20"/>
          <w:color w:val="auto"/>
        </w:rPr>
      </w:pPr>
      <w:r>
        <w:rPr>
          <w:rFonts w:ascii="Arial" w:cs="Arial" w:eastAsia="Arial" w:hAnsi="Arial"/>
          <w:sz w:val="16"/>
          <w:szCs w:val="16"/>
          <w:color w:val="auto"/>
        </w:rPr>
        <w:t>January 11, 2019 the Company completed a Share Purchase Plan under which it issued 22,061,250 shares of stock at a price of A$0.080 per share and</w:t>
      </w:r>
    </w:p>
    <w:p>
      <w:pPr>
        <w:spacing w:after="0" w:line="32" w:lineRule="exact"/>
        <w:rPr>
          <w:sz w:val="20"/>
          <w:szCs w:val="20"/>
          <w:color w:val="auto"/>
        </w:rPr>
      </w:pPr>
    </w:p>
    <w:p>
      <w:pPr>
        <w:ind w:left="200"/>
        <w:spacing w:after="0"/>
        <w:rPr>
          <w:sz w:val="20"/>
          <w:szCs w:val="20"/>
          <w:color w:val="auto"/>
        </w:rPr>
      </w:pPr>
      <w:r>
        <w:rPr>
          <w:rFonts w:ascii="Arial" w:cs="Arial" w:eastAsia="Arial" w:hAnsi="Arial"/>
          <w:sz w:val="18"/>
          <w:szCs w:val="18"/>
          <w:color w:val="auto"/>
        </w:rPr>
        <w:t>received gross proceeds of A$1,764,900.</w:t>
      </w:r>
    </w:p>
    <w:p>
      <w:pPr>
        <w:spacing w:after="0" w:line="211" w:lineRule="exact"/>
        <w:rPr>
          <w:sz w:val="20"/>
          <w:szCs w:val="20"/>
          <w:color w:val="auto"/>
        </w:rPr>
      </w:pPr>
    </w:p>
    <w:p>
      <w:pPr>
        <w:ind w:left="200" w:right="300" w:firstLine="441"/>
        <w:spacing w:after="0" w:line="277" w:lineRule="auto"/>
        <w:rPr>
          <w:sz w:val="20"/>
          <w:szCs w:val="20"/>
          <w:color w:val="auto"/>
        </w:rPr>
      </w:pPr>
      <w:r>
        <w:rPr>
          <w:rFonts w:ascii="Arial" w:cs="Arial" w:eastAsia="Arial" w:hAnsi="Arial"/>
          <w:sz w:val="18"/>
          <w:szCs w:val="18"/>
          <w:color w:val="auto"/>
        </w:rPr>
        <w:t>The Company benefits from cash inflows from the BARDA contract, awarded to the Company in September 2015 and subsequently expanded through a series of modifications. These payments from BARDA offset costs</w:t>
      </w:r>
    </w:p>
    <w:p>
      <w:pPr>
        <w:spacing w:after="0" w:line="103"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49</w:t>
      </w:r>
    </w:p>
    <w:p>
      <w:pPr>
        <w:sectPr>
          <w:pgSz w:w="11900" w:h="16838" w:orient="portrait"/>
          <w:cols w:equalWidth="0" w:num="1">
            <w:col w:w="11220"/>
          </w:cols>
          <w:pgMar w:left="240" w:top="459" w:right="439" w:bottom="1440" w:gutter="0" w:footer="0" w:header="0"/>
        </w:sectPr>
      </w:pPr>
    </w:p>
    <w:bookmarkStart w:id="51" w:name="page52"/>
    <w:bookmarkEnd w:id="5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100"/>
        <w:spacing w:after="0" w:line="255" w:lineRule="auto"/>
        <w:rPr>
          <w:sz w:val="20"/>
          <w:szCs w:val="20"/>
          <w:color w:val="auto"/>
        </w:rPr>
      </w:pPr>
      <w:r>
        <w:rPr>
          <w:rFonts w:ascii="Arial" w:cs="Arial" w:eastAsia="Arial" w:hAnsi="Arial"/>
          <w:sz w:val="18"/>
          <w:szCs w:val="18"/>
          <w:color w:val="auto"/>
        </w:rPr>
        <w:t>from various activities undertaken to support the FDA regulatory approval process for RECELL in the U.S., preparation for the planned commercial launch of RECELL in the U.S., and RECELL clinical programs in the U.S. Further, there were no material expenditure commitments from the BARDA contract. With the U.S. FDA approval of RECELL for the treatment of burns in September 2019, and the U.S. market launch of the product in January 2019, sales of goods are expected to be an increasing source of revenue in the future. Another anticipated source of revenue for the Company is the BARDA contract covering the initial purchase, delivery and storage of RECELL devices in the amount of US$7,594,620 (approximately A$10.3 million).</w:t>
      </w:r>
    </w:p>
    <w:p>
      <w:pPr>
        <w:spacing w:after="0" w:line="193" w:lineRule="exact"/>
        <w:rPr>
          <w:sz w:val="20"/>
          <w:szCs w:val="20"/>
          <w:color w:val="auto"/>
        </w:rPr>
      </w:pPr>
    </w:p>
    <w:p>
      <w:pPr>
        <w:ind w:left="200" w:right="180" w:firstLine="441"/>
        <w:spacing w:after="0" w:line="259" w:lineRule="auto"/>
        <w:rPr>
          <w:sz w:val="20"/>
          <w:szCs w:val="20"/>
          <w:color w:val="auto"/>
        </w:rPr>
      </w:pPr>
      <w:r>
        <w:rPr>
          <w:rFonts w:ascii="Arial" w:cs="Arial" w:eastAsia="Arial" w:hAnsi="Arial"/>
          <w:sz w:val="18"/>
          <w:szCs w:val="18"/>
          <w:color w:val="auto"/>
        </w:rPr>
        <w:t>The Company’s research and development activities are eligible under an Australian Government tax incentive for eligible expenditure from July 1, 2012. Our management has assessed these activities and expenditure and to determine our likely eligibility under this incentive scheme. For the half year ended December 31, 2018 and the years ended June 30, 2017 and 2016, the Company received A$2,440,803, A$972,283 and A$654,060 respectively related to this tax incentive.</w:t>
      </w:r>
    </w:p>
    <w:p>
      <w:pPr>
        <w:spacing w:after="0" w:line="187" w:lineRule="exact"/>
        <w:rPr>
          <w:sz w:val="20"/>
          <w:szCs w:val="20"/>
          <w:color w:val="auto"/>
        </w:rPr>
      </w:pPr>
    </w:p>
    <w:p>
      <w:pPr>
        <w:ind w:left="200" w:right="100" w:firstLine="441"/>
        <w:spacing w:after="0" w:line="273" w:lineRule="auto"/>
        <w:rPr>
          <w:sz w:val="20"/>
          <w:szCs w:val="20"/>
          <w:color w:val="auto"/>
        </w:rPr>
      </w:pPr>
      <w:r>
        <w:rPr>
          <w:rFonts w:ascii="Arial" w:cs="Arial" w:eastAsia="Arial" w:hAnsi="Arial"/>
          <w:sz w:val="17"/>
          <w:szCs w:val="17"/>
          <w:color w:val="auto"/>
        </w:rPr>
        <w:t>The Australian R&amp;D tax incentive scheme permits overseas activity to be claimed to the extent that the overseas activity does not exceed 50% of the total costs of activities for an eligible project. As of December 31, 2018, the Company evaluated the level overseas activity and concluded there was uncertainty as to the ability to meet this criteria. Additionally, at that time, the Federal Budget included a number of changes to the R&amp;D tax incentive scheme which would place further limits on claimable amounts. These budget changes have since been formally placed on hold. In consideration of these uncertainties, no amounts were accrued for as at December 31, 2018. The Company does not believe any reduction over time of these potential payments to have a material effect on its liquidity or capital resources.</w:t>
      </w:r>
    </w:p>
    <w:p>
      <w:pPr>
        <w:spacing w:after="0" w:line="178" w:lineRule="exact"/>
        <w:rPr>
          <w:sz w:val="20"/>
          <w:szCs w:val="20"/>
          <w:color w:val="auto"/>
        </w:rPr>
      </w:pPr>
    </w:p>
    <w:p>
      <w:pPr>
        <w:ind w:left="200" w:right="220" w:firstLine="441"/>
        <w:spacing w:after="0" w:line="342" w:lineRule="auto"/>
        <w:rPr>
          <w:sz w:val="20"/>
          <w:szCs w:val="20"/>
          <w:color w:val="auto"/>
        </w:rPr>
      </w:pPr>
      <w:r>
        <w:rPr>
          <w:rFonts w:ascii="Arial" w:cs="Arial" w:eastAsia="Arial" w:hAnsi="Arial"/>
          <w:sz w:val="16"/>
          <w:szCs w:val="16"/>
          <w:color w:val="auto"/>
        </w:rPr>
        <w:t>As a result, we believe there is sufficient working capital to support the committed research and development programs and other activities over the next 12 months and the Company has the ability to realize its assets and pay its liabilities and commitments in the normal course of business.</w:t>
      </w:r>
    </w:p>
    <w:p>
      <w:pPr>
        <w:spacing w:after="0" w:line="124" w:lineRule="exact"/>
        <w:rPr>
          <w:sz w:val="20"/>
          <w:szCs w:val="20"/>
          <w:color w:val="auto"/>
        </w:rPr>
      </w:pPr>
    </w:p>
    <w:p>
      <w:pPr>
        <w:ind w:left="640"/>
        <w:spacing w:after="0"/>
        <w:rPr>
          <w:sz w:val="20"/>
          <w:szCs w:val="20"/>
          <w:color w:val="auto"/>
        </w:rPr>
      </w:pPr>
      <w:r>
        <w:rPr>
          <w:rFonts w:ascii="Arial" w:cs="Arial" w:eastAsia="Arial" w:hAnsi="Arial"/>
          <w:sz w:val="18"/>
          <w:szCs w:val="18"/>
          <w:color w:val="auto"/>
        </w:rPr>
        <w:t>The following table summarizes our cash flows for the periods presented:</w:t>
      </w:r>
    </w:p>
    <w:p>
      <w:pPr>
        <w:spacing w:after="0" w:line="244" w:lineRule="exact"/>
        <w:rPr>
          <w:sz w:val="20"/>
          <w:szCs w:val="20"/>
          <w:color w:val="auto"/>
        </w:rPr>
      </w:pPr>
    </w:p>
    <w:tbl>
      <w:tblPr>
        <w:tblLayout w:type="fixed"/>
        <w:tblInd w:w="200" w:type="dxa"/>
        <w:tblCellMar>
          <w:top w:w="0" w:type="dxa"/>
          <w:left w:w="0" w:type="dxa"/>
          <w:bottom w:w="0" w:type="dxa"/>
          <w:right w:w="0" w:type="dxa"/>
        </w:tblCellMar>
      </w:tblPr>
      <w:tr>
        <w:trPr>
          <w:trHeight w:val="171"/>
        </w:trPr>
        <w:tc>
          <w:tcPr>
            <w:tcW w:w="372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(In Australian dollars)</w:t>
            </w:r>
          </w:p>
        </w:tc>
        <w:tc>
          <w:tcPr>
            <w:tcW w:w="2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40" w:type="dxa"/>
            <w:vAlign w:val="bottom"/>
            <w:gridSpan w:val="2"/>
          </w:tcPr>
          <w:p>
            <w:pPr>
              <w:jc w:val="right"/>
              <w:ind w:right="360"/>
              <w:spacing w:after="0"/>
              <w:rPr>
                <w:sz w:val="20"/>
                <w:szCs w:val="20"/>
                <w:color w:val="auto"/>
              </w:rPr>
            </w:pPr>
            <w:r>
              <w:rPr>
                <w:rFonts w:ascii="Arial" w:cs="Arial" w:eastAsia="Arial" w:hAnsi="Arial"/>
                <w:sz w:val="14"/>
                <w:szCs w:val="14"/>
                <w:b w:val="1"/>
                <w:bCs w:val="1"/>
                <w:color w:val="auto"/>
                <w:w w:val="90"/>
              </w:rPr>
              <w:t>As of June 30,</w:t>
            </w:r>
          </w:p>
        </w:tc>
        <w:tc>
          <w:tcPr>
            <w:tcW w:w="2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700" w:type="dxa"/>
            <w:vAlign w:val="bottom"/>
            <w:gridSpan w:val="5"/>
          </w:tcPr>
          <w:p>
            <w:pPr>
              <w:jc w:val="right"/>
              <w:ind w:right="820"/>
              <w:spacing w:after="0"/>
              <w:rPr>
                <w:sz w:val="20"/>
                <w:szCs w:val="20"/>
                <w:color w:val="auto"/>
              </w:rPr>
            </w:pPr>
            <w:r>
              <w:rPr>
                <w:rFonts w:ascii="Arial" w:cs="Arial" w:eastAsia="Arial" w:hAnsi="Arial"/>
                <w:sz w:val="14"/>
                <w:szCs w:val="14"/>
                <w:b w:val="1"/>
                <w:bCs w:val="1"/>
                <w:color w:val="auto"/>
              </w:rPr>
              <w:t>As of December 31,</w:t>
            </w:r>
          </w:p>
        </w:tc>
        <w:tc>
          <w:tcPr>
            <w:tcW w:w="0" w:type="dxa"/>
            <w:vAlign w:val="bottom"/>
          </w:tcPr>
          <w:p>
            <w:pPr>
              <w:spacing w:after="0"/>
              <w:rPr>
                <w:sz w:val="1"/>
                <w:szCs w:val="1"/>
                <w:color w:val="auto"/>
              </w:rPr>
            </w:pPr>
          </w:p>
        </w:tc>
      </w:tr>
      <w:tr>
        <w:trPr>
          <w:trHeight w:val="129"/>
        </w:trPr>
        <w:tc>
          <w:tcPr>
            <w:tcW w:w="3720" w:type="dxa"/>
            <w:vAlign w:val="bottom"/>
            <w:gridSpan w:val="3"/>
            <w:vMerge w:val="continue"/>
          </w:tcPr>
          <w:p>
            <w:pPr>
              <w:spacing w:after="0"/>
              <w:rPr>
                <w:sz w:val="11"/>
                <w:szCs w:val="11"/>
                <w:color w:val="auto"/>
              </w:rPr>
            </w:pPr>
          </w:p>
        </w:tc>
        <w:tc>
          <w:tcPr>
            <w:tcW w:w="200" w:type="dxa"/>
            <w:vAlign w:val="bottom"/>
          </w:tcPr>
          <w:p>
            <w:pPr>
              <w:spacing w:after="0"/>
              <w:rPr>
                <w:sz w:val="11"/>
                <w:szCs w:val="11"/>
                <w:color w:val="auto"/>
              </w:rPr>
            </w:pPr>
          </w:p>
        </w:tc>
        <w:tc>
          <w:tcPr>
            <w:tcW w:w="1100" w:type="dxa"/>
            <w:vAlign w:val="bottom"/>
            <w:tcBorders>
              <w:top w:val="single" w:sz="8" w:color="auto"/>
            </w:tcBorders>
          </w:tcPr>
          <w:p>
            <w:pPr>
              <w:jc w:val="right"/>
              <w:ind w:right="339"/>
              <w:spacing w:after="0" w:line="129" w:lineRule="exact"/>
              <w:rPr>
                <w:sz w:val="20"/>
                <w:szCs w:val="20"/>
                <w:color w:val="auto"/>
              </w:rPr>
            </w:pPr>
            <w:r>
              <w:rPr>
                <w:rFonts w:ascii="Arial" w:cs="Arial" w:eastAsia="Arial" w:hAnsi="Arial"/>
                <w:sz w:val="14"/>
                <w:szCs w:val="14"/>
                <w:b w:val="1"/>
                <w:bCs w:val="1"/>
                <w:color w:val="auto"/>
              </w:rPr>
              <w:t>2018</w:t>
            </w:r>
          </w:p>
        </w:tc>
        <w:tc>
          <w:tcPr>
            <w:tcW w:w="240" w:type="dxa"/>
            <w:vAlign w:val="bottom"/>
            <w:tcBorders>
              <w:top w:val="single" w:sz="8" w:color="auto"/>
            </w:tcBorders>
          </w:tcPr>
          <w:p>
            <w:pPr>
              <w:spacing w:after="0"/>
              <w:rPr>
                <w:sz w:val="11"/>
                <w:szCs w:val="11"/>
                <w:color w:val="auto"/>
              </w:rPr>
            </w:pPr>
          </w:p>
        </w:tc>
        <w:tc>
          <w:tcPr>
            <w:tcW w:w="1200" w:type="dxa"/>
            <w:vAlign w:val="bottom"/>
            <w:tcBorders>
              <w:top w:val="single" w:sz="8" w:color="auto"/>
            </w:tcBorders>
            <w:gridSpan w:val="2"/>
          </w:tcPr>
          <w:p>
            <w:pPr>
              <w:jc w:val="right"/>
              <w:ind w:right="279"/>
              <w:spacing w:after="0" w:line="129" w:lineRule="exact"/>
              <w:rPr>
                <w:sz w:val="20"/>
                <w:szCs w:val="20"/>
                <w:color w:val="auto"/>
              </w:rPr>
            </w:pPr>
            <w:r>
              <w:rPr>
                <w:rFonts w:ascii="Arial" w:cs="Arial" w:eastAsia="Arial" w:hAnsi="Arial"/>
                <w:sz w:val="14"/>
                <w:szCs w:val="14"/>
                <w:b w:val="1"/>
                <w:bCs w:val="1"/>
                <w:color w:val="auto"/>
              </w:rPr>
              <w:t>2017</w:t>
            </w:r>
          </w:p>
        </w:tc>
        <w:tc>
          <w:tcPr>
            <w:tcW w:w="240" w:type="dxa"/>
            <w:vAlign w:val="bottom"/>
            <w:tcBorders>
              <w:top w:val="single" w:sz="8" w:color="auto"/>
            </w:tcBorders>
          </w:tcPr>
          <w:p>
            <w:pPr>
              <w:spacing w:after="0"/>
              <w:rPr>
                <w:sz w:val="11"/>
                <w:szCs w:val="11"/>
                <w:color w:val="auto"/>
              </w:rPr>
            </w:pPr>
          </w:p>
        </w:tc>
        <w:tc>
          <w:tcPr>
            <w:tcW w:w="1220" w:type="dxa"/>
            <w:vAlign w:val="bottom"/>
            <w:tcBorders>
              <w:top w:val="single" w:sz="8" w:color="auto"/>
            </w:tcBorders>
            <w:gridSpan w:val="2"/>
          </w:tcPr>
          <w:p>
            <w:pPr>
              <w:jc w:val="right"/>
              <w:ind w:right="290"/>
              <w:spacing w:after="0" w:line="129" w:lineRule="exact"/>
              <w:rPr>
                <w:sz w:val="20"/>
                <w:szCs w:val="20"/>
                <w:color w:val="auto"/>
              </w:rPr>
            </w:pPr>
            <w:r>
              <w:rPr>
                <w:rFonts w:ascii="Arial" w:cs="Arial" w:eastAsia="Arial" w:hAnsi="Arial"/>
                <w:sz w:val="14"/>
                <w:szCs w:val="14"/>
                <w:b w:val="1"/>
                <w:bCs w:val="1"/>
                <w:color w:val="auto"/>
              </w:rPr>
              <w:t>2016</w:t>
            </w:r>
          </w:p>
        </w:tc>
        <w:tc>
          <w:tcPr>
            <w:tcW w:w="2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120" w:type="dxa"/>
            <w:vAlign w:val="bottom"/>
            <w:tcBorders>
              <w:top w:val="single" w:sz="8" w:color="auto"/>
            </w:tcBorders>
          </w:tcPr>
          <w:p>
            <w:pPr>
              <w:jc w:val="right"/>
              <w:ind w:right="342"/>
              <w:spacing w:after="0" w:line="129" w:lineRule="exact"/>
              <w:rPr>
                <w:sz w:val="20"/>
                <w:szCs w:val="20"/>
                <w:color w:val="auto"/>
              </w:rPr>
            </w:pPr>
            <w:r>
              <w:rPr>
                <w:rFonts w:ascii="Arial" w:cs="Arial" w:eastAsia="Arial" w:hAnsi="Arial"/>
                <w:sz w:val="14"/>
                <w:szCs w:val="14"/>
                <w:b w:val="1"/>
                <w:bCs w:val="1"/>
                <w:color w:val="auto"/>
              </w:rPr>
              <w:t>2018</w:t>
            </w:r>
          </w:p>
        </w:tc>
        <w:tc>
          <w:tcPr>
            <w:tcW w:w="240" w:type="dxa"/>
            <w:vAlign w:val="bottom"/>
            <w:tcBorders>
              <w:top w:val="single" w:sz="8" w:color="auto"/>
            </w:tcBorders>
          </w:tcPr>
          <w:p>
            <w:pPr>
              <w:spacing w:after="0"/>
              <w:rPr>
                <w:sz w:val="11"/>
                <w:szCs w:val="11"/>
                <w:color w:val="auto"/>
              </w:rPr>
            </w:pPr>
          </w:p>
        </w:tc>
        <w:tc>
          <w:tcPr>
            <w:tcW w:w="1220" w:type="dxa"/>
            <w:vAlign w:val="bottom"/>
            <w:tcBorders>
              <w:top w:val="single" w:sz="8" w:color="auto"/>
            </w:tcBorders>
            <w:gridSpan w:val="2"/>
          </w:tcPr>
          <w:p>
            <w:pPr>
              <w:jc w:val="right"/>
              <w:ind w:right="290"/>
              <w:spacing w:after="0" w:line="129" w:lineRule="exact"/>
              <w:rPr>
                <w:sz w:val="20"/>
                <w:szCs w:val="20"/>
                <w:color w:val="auto"/>
              </w:rPr>
            </w:pPr>
            <w:r>
              <w:rPr>
                <w:rFonts w:ascii="Arial" w:cs="Arial" w:eastAsia="Arial" w:hAnsi="Arial"/>
                <w:sz w:val="14"/>
                <w:szCs w:val="14"/>
                <w:b w:val="1"/>
                <w:bCs w:val="1"/>
                <w:color w:val="auto"/>
              </w:rPr>
              <w:t>2017</w:t>
            </w: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360" w:type="dxa"/>
            <w:vAlign w:val="bottom"/>
            <w:tcBorders>
              <w:bottom w:val="single" w:sz="8" w:color="CCEEFF"/>
            </w:tcBorders>
            <w:shd w:val="clear" w:color="auto" w:fill="000000"/>
          </w:tcPr>
          <w:p>
            <w:pPr>
              <w:spacing w:after="0" w:line="20" w:lineRule="exact"/>
              <w:rPr>
                <w:sz w:val="1"/>
                <w:szCs w:val="1"/>
                <w:color w:val="auto"/>
              </w:rPr>
            </w:pPr>
          </w:p>
        </w:tc>
        <w:tc>
          <w:tcPr>
            <w:tcW w:w="234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CCEEFF"/>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CCEEFF"/>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CCEEFF"/>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tcPr>
          <w:p>
            <w:pPr>
              <w:spacing w:after="0"/>
              <w:rPr>
                <w:sz w:val="17"/>
                <w:szCs w:val="17"/>
                <w:color w:val="auto"/>
              </w:rPr>
            </w:pPr>
          </w:p>
        </w:tc>
        <w:tc>
          <w:tcPr>
            <w:tcW w:w="3700" w:type="dxa"/>
            <w:vAlign w:val="bottom"/>
            <w:gridSpan w:val="2"/>
            <w:shd w:val="clear" w:color="auto" w:fill="CCEEFF"/>
          </w:tcPr>
          <w:p>
            <w:pPr>
              <w:spacing w:after="0" w:line="203" w:lineRule="exact"/>
              <w:rPr>
                <w:sz w:val="20"/>
                <w:szCs w:val="20"/>
                <w:color w:val="auto"/>
              </w:rPr>
            </w:pPr>
            <w:r>
              <w:rPr>
                <w:rFonts w:ascii="Arial" w:cs="Arial" w:eastAsia="Arial" w:hAnsi="Arial"/>
                <w:sz w:val="18"/>
                <w:szCs w:val="18"/>
                <w:color w:val="auto"/>
              </w:rPr>
              <w:t>Net cash used in operating activities</w:t>
            </w:r>
          </w:p>
        </w:tc>
        <w:tc>
          <w:tcPr>
            <w:tcW w:w="200" w:type="dxa"/>
            <w:vAlign w:val="bottom"/>
            <w:shd w:val="clear" w:color="auto" w:fill="CCEEFF"/>
          </w:tcPr>
          <w:p>
            <w:pPr>
              <w:spacing w:after="0"/>
              <w:rPr>
                <w:sz w:val="17"/>
                <w:szCs w:val="17"/>
                <w:color w:val="auto"/>
              </w:rPr>
            </w:pPr>
          </w:p>
        </w:tc>
        <w:tc>
          <w:tcPr>
            <w:tcW w:w="110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w w:val="87"/>
              </w:rPr>
              <w:t>A$(16,372,024)</w:t>
            </w:r>
          </w:p>
        </w:tc>
        <w:tc>
          <w:tcPr>
            <w:tcW w:w="2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w w:val="85"/>
              </w:rPr>
              <w:t>A$(8,557,524)</w:t>
            </w:r>
          </w:p>
        </w:tc>
        <w:tc>
          <w:tcPr>
            <w:tcW w:w="2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w w:val="87"/>
              </w:rPr>
              <w:t>A$(7,938,557)</w:t>
            </w:r>
          </w:p>
        </w:tc>
        <w:tc>
          <w:tcPr>
            <w:tcW w:w="2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12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w w:val="88"/>
              </w:rPr>
              <w:t>A$(10,458,479)</w:t>
            </w:r>
          </w:p>
        </w:tc>
        <w:tc>
          <w:tcPr>
            <w:tcW w:w="2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4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w w:val="85"/>
              </w:rPr>
              <w:t>A$ (7,875,025)</w:t>
            </w: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700" w:type="dxa"/>
            <w:vAlign w:val="bottom"/>
            <w:gridSpan w:val="2"/>
          </w:tcPr>
          <w:p>
            <w:pPr>
              <w:spacing w:after="0" w:line="201" w:lineRule="exact"/>
              <w:rPr>
                <w:sz w:val="20"/>
                <w:szCs w:val="20"/>
                <w:color w:val="auto"/>
              </w:rPr>
            </w:pPr>
            <w:r>
              <w:rPr>
                <w:rFonts w:ascii="Arial" w:cs="Arial" w:eastAsia="Arial" w:hAnsi="Arial"/>
                <w:sz w:val="18"/>
                <w:szCs w:val="18"/>
                <w:color w:val="auto"/>
              </w:rPr>
              <w:t>Net cash (used in)/provided by investing</w:t>
            </w:r>
          </w:p>
        </w:tc>
        <w:tc>
          <w:tcPr>
            <w:tcW w:w="20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700" w:type="dxa"/>
            <w:vAlign w:val="bottom"/>
            <w:gridSpan w:val="2"/>
          </w:tcPr>
          <w:p>
            <w:pPr>
              <w:ind w:left="160"/>
              <w:spacing w:after="0"/>
              <w:rPr>
                <w:sz w:val="20"/>
                <w:szCs w:val="20"/>
                <w:color w:val="auto"/>
              </w:rPr>
            </w:pPr>
            <w:r>
              <w:rPr>
                <w:rFonts w:ascii="Arial" w:cs="Arial" w:eastAsia="Arial" w:hAnsi="Arial"/>
                <w:sz w:val="18"/>
                <w:szCs w:val="18"/>
                <w:color w:val="auto"/>
              </w:rPr>
              <w:t>activities</w:t>
            </w:r>
          </w:p>
        </w:tc>
        <w:tc>
          <w:tcPr>
            <w:tcW w:w="1540" w:type="dxa"/>
            <w:vAlign w:val="bottom"/>
            <w:gridSpan w:val="3"/>
          </w:tcPr>
          <w:p>
            <w:pPr>
              <w:jc w:val="right"/>
              <w:ind w:right="180"/>
              <w:spacing w:after="0"/>
              <w:rPr>
                <w:sz w:val="20"/>
                <w:szCs w:val="20"/>
                <w:color w:val="auto"/>
              </w:rPr>
            </w:pPr>
            <w:r>
              <w:rPr>
                <w:rFonts w:ascii="Arial" w:cs="Arial" w:eastAsia="Arial" w:hAnsi="Arial"/>
                <w:sz w:val="18"/>
                <w:szCs w:val="18"/>
                <w:color w:val="auto"/>
              </w:rPr>
              <w:t>(498,749)</w:t>
            </w:r>
          </w:p>
        </w:tc>
        <w:tc>
          <w:tcPr>
            <w:tcW w:w="1200" w:type="dxa"/>
            <w:vAlign w:val="bottom"/>
            <w:gridSpan w:val="2"/>
          </w:tcPr>
          <w:p>
            <w:pPr>
              <w:jc w:val="right"/>
              <w:spacing w:after="0"/>
              <w:rPr>
                <w:sz w:val="20"/>
                <w:szCs w:val="20"/>
                <w:color w:val="auto"/>
              </w:rPr>
            </w:pPr>
            <w:r>
              <w:rPr>
                <w:rFonts w:ascii="Arial" w:cs="Arial" w:eastAsia="Arial" w:hAnsi="Arial"/>
                <w:sz w:val="18"/>
                <w:szCs w:val="18"/>
                <w:color w:val="auto"/>
              </w:rPr>
              <w:t>195,245</w:t>
            </w:r>
          </w:p>
        </w:tc>
        <w:tc>
          <w:tcPr>
            <w:tcW w:w="240" w:type="dxa"/>
            <w:vAlign w:val="bottom"/>
          </w:tcPr>
          <w:p>
            <w:pPr>
              <w:spacing w:after="0"/>
              <w:rPr>
                <w:sz w:val="20"/>
                <w:szCs w:val="20"/>
                <w:color w:val="auto"/>
              </w:rPr>
            </w:pPr>
          </w:p>
        </w:tc>
        <w:tc>
          <w:tcPr>
            <w:tcW w:w="1460" w:type="dxa"/>
            <w:vAlign w:val="bottom"/>
            <w:gridSpan w:val="3"/>
          </w:tcPr>
          <w:p>
            <w:pPr>
              <w:jc w:val="right"/>
              <w:ind w:right="200"/>
              <w:spacing w:after="0"/>
              <w:rPr>
                <w:sz w:val="20"/>
                <w:szCs w:val="20"/>
                <w:color w:val="auto"/>
              </w:rPr>
            </w:pPr>
            <w:r>
              <w:rPr>
                <w:rFonts w:ascii="Arial" w:cs="Arial" w:eastAsia="Arial" w:hAnsi="Arial"/>
                <w:sz w:val="18"/>
                <w:szCs w:val="18"/>
                <w:color w:val="auto"/>
              </w:rPr>
              <w:t>(47,849)</w:t>
            </w:r>
          </w:p>
        </w:tc>
        <w:tc>
          <w:tcPr>
            <w:tcW w:w="1540" w:type="dxa"/>
            <w:vAlign w:val="bottom"/>
            <w:gridSpan w:val="3"/>
          </w:tcPr>
          <w:p>
            <w:pPr>
              <w:jc w:val="right"/>
              <w:ind w:right="200"/>
              <w:spacing w:after="0"/>
              <w:rPr>
                <w:sz w:val="20"/>
                <w:szCs w:val="20"/>
                <w:color w:val="auto"/>
              </w:rPr>
            </w:pPr>
            <w:r>
              <w:rPr>
                <w:rFonts w:ascii="Arial" w:cs="Arial" w:eastAsia="Arial" w:hAnsi="Arial"/>
                <w:sz w:val="18"/>
                <w:szCs w:val="18"/>
                <w:color w:val="auto"/>
              </w:rPr>
              <w:t>(722,472)</w:t>
            </w:r>
          </w:p>
        </w:tc>
        <w:tc>
          <w:tcPr>
            <w:tcW w:w="1340" w:type="dxa"/>
            <w:vAlign w:val="bottom"/>
            <w:gridSpan w:val="3"/>
          </w:tcPr>
          <w:p>
            <w:pPr>
              <w:jc w:val="right"/>
              <w:ind w:right="60"/>
              <w:spacing w:after="0"/>
              <w:rPr>
                <w:sz w:val="20"/>
                <w:szCs w:val="20"/>
                <w:color w:val="auto"/>
              </w:rPr>
            </w:pPr>
            <w:r>
              <w:rPr>
                <w:rFonts w:ascii="Arial" w:cs="Arial" w:eastAsia="Arial" w:hAnsi="Arial"/>
                <w:sz w:val="18"/>
                <w:szCs w:val="18"/>
                <w:color w:val="auto"/>
              </w:rPr>
              <w:t>(63,672)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cash provided by financing activities</w:t>
            </w:r>
          </w:p>
        </w:tc>
        <w:tc>
          <w:tcPr>
            <w:tcW w:w="1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27,934,920</w:t>
            </w:r>
          </w:p>
        </w:tc>
        <w:tc>
          <w:tcPr>
            <w:tcW w:w="2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8,238,129</w:t>
            </w:r>
          </w:p>
        </w:tc>
        <w:tc>
          <w:tcPr>
            <w:tcW w:w="24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9,360,830</w:t>
            </w:r>
          </w:p>
        </w:tc>
        <w:tc>
          <w:tcPr>
            <w:tcW w:w="24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25,364,339</w:t>
            </w:r>
          </w:p>
        </w:tc>
        <w:tc>
          <w:tcPr>
            <w:tcW w:w="24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15,980,605</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700" w:type="dxa"/>
            <w:vAlign w:val="bottom"/>
            <w:gridSpan w:val="2"/>
          </w:tcPr>
          <w:p>
            <w:pPr>
              <w:spacing w:after="0" w:line="201" w:lineRule="exact"/>
              <w:rPr>
                <w:sz w:val="20"/>
                <w:szCs w:val="20"/>
                <w:color w:val="auto"/>
              </w:rPr>
            </w:pPr>
            <w:r>
              <w:rPr>
                <w:rFonts w:ascii="Arial" w:cs="Arial" w:eastAsia="Arial" w:hAnsi="Arial"/>
                <w:sz w:val="18"/>
                <w:szCs w:val="18"/>
                <w:color w:val="auto"/>
              </w:rPr>
              <w:t>Net increase/(decrease) in cash and cash</w:t>
            </w:r>
          </w:p>
        </w:tc>
        <w:tc>
          <w:tcPr>
            <w:tcW w:w="20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700" w:type="dxa"/>
            <w:vAlign w:val="bottom"/>
            <w:gridSpan w:val="2"/>
          </w:tcPr>
          <w:p>
            <w:pPr>
              <w:ind w:left="160"/>
              <w:spacing w:after="0"/>
              <w:rPr>
                <w:sz w:val="20"/>
                <w:szCs w:val="20"/>
                <w:color w:val="auto"/>
              </w:rPr>
            </w:pPr>
            <w:r>
              <w:rPr>
                <w:rFonts w:ascii="Arial" w:cs="Arial" w:eastAsia="Arial" w:hAnsi="Arial"/>
                <w:sz w:val="18"/>
                <w:szCs w:val="18"/>
                <w:color w:val="auto"/>
              </w:rPr>
              <w:t>equivalents</w:t>
            </w:r>
          </w:p>
        </w:tc>
        <w:tc>
          <w:tcPr>
            <w:tcW w:w="1300" w:type="dxa"/>
            <w:vAlign w:val="bottom"/>
            <w:gridSpan w:val="2"/>
          </w:tcPr>
          <w:p>
            <w:pPr>
              <w:jc w:val="right"/>
              <w:spacing w:after="0"/>
              <w:rPr>
                <w:sz w:val="20"/>
                <w:szCs w:val="20"/>
                <w:color w:val="auto"/>
              </w:rPr>
            </w:pPr>
            <w:r>
              <w:rPr>
                <w:rFonts w:ascii="Arial" w:cs="Arial" w:eastAsia="Arial" w:hAnsi="Arial"/>
                <w:sz w:val="18"/>
                <w:szCs w:val="18"/>
                <w:color w:val="auto"/>
              </w:rPr>
              <w:t>11,064,147</w:t>
            </w:r>
          </w:p>
        </w:tc>
        <w:tc>
          <w:tcPr>
            <w:tcW w:w="240" w:type="dxa"/>
            <w:vAlign w:val="bottom"/>
          </w:tcPr>
          <w:p>
            <w:pPr>
              <w:spacing w:after="0"/>
              <w:rPr>
                <w:sz w:val="20"/>
                <w:szCs w:val="20"/>
                <w:color w:val="auto"/>
              </w:rPr>
            </w:pPr>
          </w:p>
        </w:tc>
        <w:tc>
          <w:tcPr>
            <w:tcW w:w="1440" w:type="dxa"/>
            <w:vAlign w:val="bottom"/>
            <w:gridSpan w:val="3"/>
          </w:tcPr>
          <w:p>
            <w:pPr>
              <w:jc w:val="right"/>
              <w:ind w:right="180"/>
              <w:spacing w:after="0"/>
              <w:rPr>
                <w:sz w:val="20"/>
                <w:szCs w:val="20"/>
                <w:color w:val="auto"/>
              </w:rPr>
            </w:pPr>
            <w:r>
              <w:rPr>
                <w:rFonts w:ascii="Arial" w:cs="Arial" w:eastAsia="Arial" w:hAnsi="Arial"/>
                <w:sz w:val="18"/>
                <w:szCs w:val="18"/>
                <w:color w:val="auto"/>
              </w:rPr>
              <w:t>(124,150)</w:t>
            </w:r>
          </w:p>
        </w:tc>
        <w:tc>
          <w:tcPr>
            <w:tcW w:w="1220" w:type="dxa"/>
            <w:vAlign w:val="bottom"/>
            <w:gridSpan w:val="2"/>
          </w:tcPr>
          <w:p>
            <w:pPr>
              <w:jc w:val="right"/>
              <w:spacing w:after="0"/>
              <w:rPr>
                <w:sz w:val="20"/>
                <w:szCs w:val="20"/>
                <w:color w:val="auto"/>
              </w:rPr>
            </w:pPr>
            <w:r>
              <w:rPr>
                <w:rFonts w:ascii="Arial" w:cs="Arial" w:eastAsia="Arial" w:hAnsi="Arial"/>
                <w:sz w:val="18"/>
                <w:szCs w:val="18"/>
                <w:color w:val="auto"/>
              </w:rPr>
              <w:t>1,374,424</w:t>
            </w:r>
          </w:p>
        </w:tc>
        <w:tc>
          <w:tcPr>
            <w:tcW w:w="240" w:type="dxa"/>
            <w:vAlign w:val="bottom"/>
          </w:tcPr>
          <w:p>
            <w:pPr>
              <w:spacing w:after="0"/>
              <w:rPr>
                <w:sz w:val="20"/>
                <w:szCs w:val="20"/>
                <w:color w:val="auto"/>
              </w:rPr>
            </w:pPr>
          </w:p>
        </w:tc>
        <w:tc>
          <w:tcPr>
            <w:tcW w:w="1300" w:type="dxa"/>
            <w:vAlign w:val="bottom"/>
            <w:gridSpan w:val="2"/>
          </w:tcPr>
          <w:p>
            <w:pPr>
              <w:jc w:val="right"/>
              <w:spacing w:after="0"/>
              <w:rPr>
                <w:sz w:val="20"/>
                <w:szCs w:val="20"/>
                <w:color w:val="auto"/>
              </w:rPr>
            </w:pPr>
            <w:r>
              <w:rPr>
                <w:rFonts w:ascii="Arial" w:cs="Arial" w:eastAsia="Arial" w:hAnsi="Arial"/>
                <w:sz w:val="18"/>
                <w:szCs w:val="18"/>
                <w:color w:val="auto"/>
              </w:rPr>
              <w:t>14,183,388</w:t>
            </w:r>
          </w:p>
        </w:tc>
        <w:tc>
          <w:tcPr>
            <w:tcW w:w="240" w:type="dxa"/>
            <w:vAlign w:val="bottom"/>
          </w:tcPr>
          <w:p>
            <w:pPr>
              <w:spacing w:after="0"/>
              <w:rPr>
                <w:sz w:val="20"/>
                <w:szCs w:val="20"/>
                <w:color w:val="auto"/>
              </w:rPr>
            </w:pPr>
          </w:p>
        </w:tc>
        <w:tc>
          <w:tcPr>
            <w:tcW w:w="1220" w:type="dxa"/>
            <w:vAlign w:val="bottom"/>
            <w:gridSpan w:val="2"/>
          </w:tcPr>
          <w:p>
            <w:pPr>
              <w:jc w:val="right"/>
              <w:spacing w:after="0"/>
              <w:rPr>
                <w:sz w:val="20"/>
                <w:szCs w:val="20"/>
                <w:color w:val="auto"/>
              </w:rPr>
            </w:pPr>
            <w:r>
              <w:rPr>
                <w:rFonts w:ascii="Arial" w:cs="Arial" w:eastAsia="Arial" w:hAnsi="Arial"/>
                <w:sz w:val="18"/>
                <w:szCs w:val="18"/>
                <w:color w:val="auto"/>
              </w:rPr>
              <w:t>8,041,908</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00" w:type="dxa"/>
            <w:vAlign w:val="bottom"/>
            <w:gridSpan w:val="2"/>
            <w:shd w:val="clear" w:color="auto" w:fill="CCEEFF"/>
          </w:tcPr>
          <w:p>
            <w:pPr>
              <w:spacing w:after="0"/>
              <w:rPr>
                <w:sz w:val="20"/>
                <w:szCs w:val="20"/>
                <w:color w:val="auto"/>
              </w:rPr>
            </w:pPr>
            <w:r>
              <w:rPr>
                <w:rFonts w:ascii="Arial" w:cs="Arial" w:eastAsia="Arial" w:hAnsi="Arial"/>
                <w:sz w:val="18"/>
                <w:szCs w:val="18"/>
                <w:color w:val="auto"/>
                <w:w w:val="93"/>
              </w:rPr>
              <w:t>Cash and cash equivalents at beginning of period</w:t>
            </w:r>
          </w:p>
        </w:tc>
        <w:tc>
          <w:tcPr>
            <w:tcW w:w="1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3,790,491</w:t>
            </w:r>
          </w:p>
        </w:tc>
        <w:tc>
          <w:tcPr>
            <w:tcW w:w="2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4,171,879</w:t>
            </w:r>
          </w:p>
        </w:tc>
        <w:tc>
          <w:tcPr>
            <w:tcW w:w="24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2,966,555</w:t>
            </w:r>
          </w:p>
        </w:tc>
        <w:tc>
          <w:tcPr>
            <w:tcW w:w="24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14,825,532</w:t>
            </w:r>
          </w:p>
        </w:tc>
        <w:tc>
          <w:tcPr>
            <w:tcW w:w="24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3,790,491</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00" w:type="dxa"/>
            <w:vAlign w:val="bottom"/>
            <w:gridSpan w:val="2"/>
          </w:tcPr>
          <w:p>
            <w:pPr>
              <w:spacing w:after="0"/>
              <w:rPr>
                <w:sz w:val="20"/>
                <w:szCs w:val="20"/>
                <w:color w:val="auto"/>
              </w:rPr>
            </w:pPr>
            <w:r>
              <w:rPr>
                <w:rFonts w:ascii="Arial" w:cs="Arial" w:eastAsia="Arial" w:hAnsi="Arial"/>
                <w:sz w:val="18"/>
                <w:szCs w:val="18"/>
                <w:color w:val="auto"/>
              </w:rPr>
              <w:t>Impact of foreign exchange rate</w:t>
            </w:r>
          </w:p>
        </w:tc>
        <w:tc>
          <w:tcPr>
            <w:tcW w:w="1540" w:type="dxa"/>
            <w:vAlign w:val="bottom"/>
            <w:gridSpan w:val="3"/>
          </w:tcPr>
          <w:p>
            <w:pPr>
              <w:jc w:val="right"/>
              <w:ind w:right="180"/>
              <w:spacing w:after="0"/>
              <w:rPr>
                <w:sz w:val="20"/>
                <w:szCs w:val="20"/>
                <w:color w:val="auto"/>
              </w:rPr>
            </w:pPr>
            <w:r>
              <w:rPr>
                <w:rFonts w:ascii="Arial" w:cs="Arial" w:eastAsia="Arial" w:hAnsi="Arial"/>
                <w:sz w:val="18"/>
                <w:szCs w:val="18"/>
                <w:color w:val="auto"/>
              </w:rPr>
              <w:t>(29,106)</w:t>
            </w:r>
          </w:p>
        </w:tc>
        <w:tc>
          <w:tcPr>
            <w:tcW w:w="1440" w:type="dxa"/>
            <w:vAlign w:val="bottom"/>
            <w:gridSpan w:val="3"/>
          </w:tcPr>
          <w:p>
            <w:pPr>
              <w:jc w:val="right"/>
              <w:ind w:right="180"/>
              <w:spacing w:after="0"/>
              <w:rPr>
                <w:sz w:val="20"/>
                <w:szCs w:val="20"/>
                <w:color w:val="auto"/>
              </w:rPr>
            </w:pPr>
            <w:r>
              <w:rPr>
                <w:rFonts w:ascii="Arial" w:cs="Arial" w:eastAsia="Arial" w:hAnsi="Arial"/>
                <w:sz w:val="18"/>
                <w:szCs w:val="18"/>
                <w:color w:val="auto"/>
              </w:rPr>
              <w:t>(257,238)</w:t>
            </w:r>
          </w:p>
        </w:tc>
        <w:tc>
          <w:tcPr>
            <w:tcW w:w="1460" w:type="dxa"/>
            <w:vAlign w:val="bottom"/>
            <w:gridSpan w:val="3"/>
          </w:tcPr>
          <w:p>
            <w:pPr>
              <w:jc w:val="right"/>
              <w:ind w:right="200"/>
              <w:spacing w:after="0"/>
              <w:rPr>
                <w:sz w:val="20"/>
                <w:szCs w:val="20"/>
                <w:color w:val="auto"/>
              </w:rPr>
            </w:pPr>
            <w:r>
              <w:rPr>
                <w:rFonts w:ascii="Arial" w:cs="Arial" w:eastAsia="Arial" w:hAnsi="Arial"/>
                <w:sz w:val="18"/>
                <w:szCs w:val="18"/>
                <w:color w:val="auto"/>
              </w:rPr>
              <w:t>(169,100)</w:t>
            </w:r>
          </w:p>
        </w:tc>
        <w:tc>
          <w:tcPr>
            <w:tcW w:w="1300" w:type="dxa"/>
            <w:vAlign w:val="bottom"/>
            <w:gridSpan w:val="2"/>
          </w:tcPr>
          <w:p>
            <w:pPr>
              <w:jc w:val="right"/>
              <w:spacing w:after="0"/>
              <w:rPr>
                <w:sz w:val="20"/>
                <w:szCs w:val="20"/>
                <w:color w:val="auto"/>
              </w:rPr>
            </w:pPr>
            <w:r>
              <w:rPr>
                <w:rFonts w:ascii="Arial" w:cs="Arial" w:eastAsia="Arial" w:hAnsi="Arial"/>
                <w:sz w:val="18"/>
                <w:szCs w:val="18"/>
                <w:color w:val="auto"/>
              </w:rPr>
              <w:t>1,333,440</w:t>
            </w:r>
          </w:p>
        </w:tc>
        <w:tc>
          <w:tcPr>
            <w:tcW w:w="240" w:type="dxa"/>
            <w:vAlign w:val="bottom"/>
          </w:tcPr>
          <w:p>
            <w:pPr>
              <w:spacing w:after="0"/>
              <w:rPr>
                <w:sz w:val="18"/>
                <w:szCs w:val="18"/>
                <w:color w:val="auto"/>
              </w:rPr>
            </w:pPr>
          </w:p>
        </w:tc>
        <w:tc>
          <w:tcPr>
            <w:tcW w:w="1340" w:type="dxa"/>
            <w:vAlign w:val="bottom"/>
            <w:gridSpan w:val="3"/>
          </w:tcPr>
          <w:p>
            <w:pPr>
              <w:jc w:val="right"/>
              <w:ind w:right="60"/>
              <w:spacing w:after="0"/>
              <w:rPr>
                <w:sz w:val="20"/>
                <w:szCs w:val="20"/>
                <w:color w:val="auto"/>
              </w:rPr>
            </w:pPr>
            <w:r>
              <w:rPr>
                <w:rFonts w:ascii="Arial" w:cs="Arial" w:eastAsia="Arial" w:hAnsi="Arial"/>
                <w:sz w:val="18"/>
                <w:szCs w:val="18"/>
                <w:color w:val="auto"/>
              </w:rPr>
              <w:t>(55,390)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Cash and cash equivalents at end of period</w:t>
            </w:r>
          </w:p>
        </w:tc>
        <w:tc>
          <w:tcPr>
            <w:tcW w:w="1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14,825,532</w:t>
            </w:r>
          </w:p>
        </w:tc>
        <w:tc>
          <w:tcPr>
            <w:tcW w:w="2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3,790,491</w:t>
            </w:r>
          </w:p>
        </w:tc>
        <w:tc>
          <w:tcPr>
            <w:tcW w:w="24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4,171,879</w:t>
            </w:r>
          </w:p>
        </w:tc>
        <w:tc>
          <w:tcPr>
            <w:tcW w:w="24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30,342,360</w:t>
            </w:r>
          </w:p>
        </w:tc>
        <w:tc>
          <w:tcPr>
            <w:tcW w:w="24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11,777,009</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310" w:lineRule="exact"/>
        <w:rPr>
          <w:sz w:val="20"/>
          <w:szCs w:val="20"/>
          <w:color w:val="auto"/>
        </w:rPr>
      </w:pPr>
    </w:p>
    <w:p>
      <w:pPr>
        <w:ind w:left="200"/>
        <w:spacing w:after="0"/>
        <w:rPr>
          <w:sz w:val="20"/>
          <w:szCs w:val="20"/>
          <w:color w:val="auto"/>
        </w:rPr>
      </w:pPr>
      <w:r>
        <w:rPr>
          <w:rFonts w:ascii="Arial" w:cs="Arial" w:eastAsia="Arial" w:hAnsi="Arial"/>
          <w:sz w:val="18"/>
          <w:szCs w:val="18"/>
          <w:u w:val="single" w:color="auto"/>
          <w:color w:val="auto"/>
        </w:rPr>
        <w:t>Years Ended June 30, 2018, 2017 and 2016</w:t>
      </w:r>
    </w:p>
    <w:p>
      <w:pPr>
        <w:spacing w:after="0" w:line="117" w:lineRule="exact"/>
        <w:rPr>
          <w:sz w:val="20"/>
          <w:szCs w:val="20"/>
          <w:color w:val="auto"/>
        </w:rPr>
      </w:pPr>
    </w:p>
    <w:p>
      <w:pPr>
        <w:ind w:left="200" w:right="280" w:firstLine="441"/>
        <w:spacing w:after="0" w:line="279" w:lineRule="auto"/>
        <w:rPr>
          <w:sz w:val="20"/>
          <w:szCs w:val="20"/>
          <w:color w:val="auto"/>
        </w:rPr>
      </w:pPr>
      <w:r>
        <w:rPr>
          <w:rFonts w:ascii="Arial" w:cs="Arial" w:eastAsia="Arial" w:hAnsi="Arial"/>
          <w:sz w:val="17"/>
          <w:szCs w:val="17"/>
          <w:color w:val="auto"/>
        </w:rPr>
        <w:t>Net cash used in operating activities was A$16,372,024, A$8,557,524 and A$7,938,557 during the years ended June 30, 2018, 2017 and 2016, respectively. Our payments to suppliers and employees during the years ended June 30, 2018, 2017 and 2016 were A$25,681,347, A$17,676,710 and A$14,894,221, respectively. The increase in payments to suppliers and employees is as the result of investments in commercial, manufacturing, leadership and system capabilities in preparation for the planned U.S. launch of the RECELL System and related</w:t>
      </w:r>
    </w:p>
    <w:p>
      <w:pPr>
        <w:spacing w:after="0" w:line="104"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50</w:t>
      </w:r>
    </w:p>
    <w:p>
      <w:pPr>
        <w:sectPr>
          <w:pgSz w:w="11900" w:h="16838" w:orient="portrait"/>
          <w:cols w:equalWidth="0" w:num="1">
            <w:col w:w="11240"/>
          </w:cols>
          <w:pgMar w:left="240" w:top="459" w:right="419" w:bottom="1440" w:gutter="0" w:footer="0" w:header="0"/>
        </w:sectPr>
      </w:pPr>
    </w:p>
    <w:bookmarkStart w:id="52" w:name="page53"/>
    <w:bookmarkEnd w:id="5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40"/>
        <w:spacing w:after="0" w:line="257" w:lineRule="auto"/>
        <w:rPr>
          <w:sz w:val="20"/>
          <w:szCs w:val="20"/>
          <w:color w:val="auto"/>
        </w:rPr>
      </w:pPr>
      <w:r>
        <w:rPr>
          <w:rFonts w:ascii="Arial" w:cs="Arial" w:eastAsia="Arial" w:hAnsi="Arial"/>
          <w:sz w:val="18"/>
          <w:szCs w:val="18"/>
          <w:color w:val="auto"/>
        </w:rPr>
        <w:t>research and development and corporate initiatives. Our operating activity receipts from customers for the years ended June 30, 2018, 2017 and 2016 of A$1,129,046, A$928,687 and A$1,079,549 consisted of commercial sales from Europe and Asia Pacific. Our operating activity receipts from BARDA and other income for the years ended June 30, 2018, 2017 and 2016 of A$8,141,207, A$7,094,061 and A$2,427,188. The BARDA program was received and began in the third quarter of fiscal year 2016 for the expansion of activities surrounding the Company’s PMA submission to the FDA in September 2017 for approval to market the RECELL System in the U.S.</w:t>
      </w:r>
    </w:p>
    <w:p>
      <w:pPr>
        <w:spacing w:after="0" w:line="188" w:lineRule="exact"/>
        <w:rPr>
          <w:sz w:val="20"/>
          <w:szCs w:val="20"/>
          <w:color w:val="auto"/>
        </w:rPr>
      </w:pPr>
    </w:p>
    <w:p>
      <w:pPr>
        <w:jc w:val="both"/>
        <w:ind w:left="200" w:right="40" w:firstLine="441"/>
        <w:spacing w:after="0" w:line="312" w:lineRule="auto"/>
        <w:rPr>
          <w:sz w:val="20"/>
          <w:szCs w:val="20"/>
          <w:color w:val="auto"/>
        </w:rPr>
      </w:pPr>
      <w:r>
        <w:rPr>
          <w:rFonts w:ascii="Arial" w:cs="Arial" w:eastAsia="Arial" w:hAnsi="Arial"/>
          <w:sz w:val="16"/>
          <w:szCs w:val="16"/>
          <w:color w:val="auto"/>
        </w:rPr>
        <w:t>Net cash (used in)/provided by investing activities was A$(498,749), A$195,245 and A$(47,849) during the years ended June 30, 2018, 2017 and 2016, respectively. Cash flows used for investing activities was primarily attributable to payments for the purchase of a property and equipment. During the fiscal year 2017, the Company sold the respiratory business segment and the proceeds from the sale of financial assets was A$627,837.</w:t>
      </w:r>
    </w:p>
    <w:p>
      <w:pPr>
        <w:spacing w:after="0" w:line="147" w:lineRule="exact"/>
        <w:rPr>
          <w:sz w:val="20"/>
          <w:szCs w:val="20"/>
          <w:color w:val="auto"/>
        </w:rPr>
      </w:pPr>
    </w:p>
    <w:p>
      <w:pPr>
        <w:jc w:val="both"/>
        <w:ind w:left="200" w:right="120" w:firstLine="441"/>
        <w:spacing w:after="0" w:line="264" w:lineRule="auto"/>
        <w:rPr>
          <w:sz w:val="20"/>
          <w:szCs w:val="20"/>
          <w:color w:val="auto"/>
        </w:rPr>
      </w:pPr>
      <w:r>
        <w:rPr>
          <w:rFonts w:ascii="Arial" w:cs="Arial" w:eastAsia="Arial" w:hAnsi="Arial"/>
          <w:sz w:val="18"/>
          <w:szCs w:val="18"/>
          <w:color w:val="auto"/>
        </w:rPr>
        <w:t>Net cash provided by financing activities was A$27,934,920, A$8,238,129 and A$9,360,830 for the years ended June 30, 2018, 2017 and 2016. The Company completed a series of equity transactions and received proceeds from issuance of shares and options of A$29,760,563, A$9,048,102 and A$10,025,584 for the years ended June 30, 2018, 2017 and 2016.</w:t>
      </w:r>
    </w:p>
    <w:p>
      <w:pPr>
        <w:spacing w:after="0" w:line="181" w:lineRule="exact"/>
        <w:rPr>
          <w:sz w:val="20"/>
          <w:szCs w:val="20"/>
          <w:color w:val="auto"/>
        </w:rPr>
      </w:pPr>
    </w:p>
    <w:p>
      <w:pPr>
        <w:ind w:left="200" w:right="140" w:firstLine="441"/>
        <w:spacing w:after="0" w:line="277" w:lineRule="auto"/>
        <w:rPr>
          <w:sz w:val="20"/>
          <w:szCs w:val="20"/>
          <w:color w:val="auto"/>
        </w:rPr>
      </w:pPr>
      <w:r>
        <w:rPr>
          <w:rFonts w:ascii="Arial" w:cs="Arial" w:eastAsia="Arial" w:hAnsi="Arial"/>
          <w:sz w:val="18"/>
          <w:szCs w:val="18"/>
          <w:color w:val="auto"/>
        </w:rPr>
        <w:t>We realized a foreign exchange loss of A$29,106, A$257,238 and A$169,100 for the years ended June 30, 2018, 2017 and 2016. The Australian dollar depreciated against the U.S. dollar by 3%, 4% and 3% for the years ended June 30, 2018, 2017 and 2016.</w:t>
      </w:r>
    </w:p>
    <w:p>
      <w:pPr>
        <w:spacing w:after="0" w:line="279" w:lineRule="exact"/>
        <w:rPr>
          <w:sz w:val="20"/>
          <w:szCs w:val="20"/>
          <w:color w:val="auto"/>
        </w:rPr>
      </w:pPr>
    </w:p>
    <w:p>
      <w:pPr>
        <w:ind w:left="200"/>
        <w:spacing w:after="0"/>
        <w:rPr>
          <w:sz w:val="20"/>
          <w:szCs w:val="20"/>
          <w:color w:val="auto"/>
        </w:rPr>
      </w:pPr>
      <w:r>
        <w:rPr>
          <w:rFonts w:ascii="Arial" w:cs="Arial" w:eastAsia="Arial" w:hAnsi="Arial"/>
          <w:sz w:val="18"/>
          <w:szCs w:val="18"/>
          <w:u w:val="single" w:color="auto"/>
          <w:color w:val="auto"/>
        </w:rPr>
        <w:t>Half-Years Ended December 31, 2018 and 2017</w:t>
      </w:r>
    </w:p>
    <w:p>
      <w:pPr>
        <w:spacing w:after="0" w:line="117" w:lineRule="exact"/>
        <w:rPr>
          <w:sz w:val="20"/>
          <w:szCs w:val="20"/>
          <w:color w:val="auto"/>
        </w:rPr>
      </w:pPr>
    </w:p>
    <w:p>
      <w:pPr>
        <w:ind w:left="200" w:firstLine="441"/>
        <w:spacing w:after="0" w:line="288" w:lineRule="auto"/>
        <w:rPr>
          <w:sz w:val="20"/>
          <w:szCs w:val="20"/>
          <w:color w:val="auto"/>
        </w:rPr>
      </w:pPr>
      <w:r>
        <w:rPr>
          <w:rFonts w:ascii="Arial" w:cs="Arial" w:eastAsia="Arial" w:hAnsi="Arial"/>
          <w:sz w:val="16"/>
          <w:szCs w:val="16"/>
          <w:color w:val="auto"/>
        </w:rPr>
        <w:t>Net cash used in operating activities was A$10,458,479 and A$7,875,025 during the half-years ended December 31, 2018 and 2017, respectively. Our payments to suppliers and employees during the half-years ended December 31, 2018 and 2017 were A$20,305,643 and A$11,943,480, respectively. The increase in payments to suppliers and employees is as the result of investments in commercial, manufacturing, leadership and system capabilities in preparation for the planned U.S. launch of the RECELL System and related research and development and corporate initiatives. Our operating activity receipts from customers for the half-years ended December 31, 2018 and 2017 of A$1,204,802 and A$367,933 consisted of commercial sales from US, Europe and Asia Pacific. Our operating activity receipts from BARDA and other income for the half-years ended December 31, 2018 and 2017 of A$6,104,306 and A$3,676,182. This increase was the result of an expansion of activities related to programs conducted under the BARDA contract during the year. Funding provided by BARDA during the half-year ended December 31, 2018 focused primarily on support of the regulatory activities to support the U.S. approval of the RECELL System, the Continued Access and Compassionate Use programs which provide access to the RECELL System for U.S. patients prior to FDA approval, and two U.S. clinical trials in pediatric burn patients.</w:t>
      </w:r>
    </w:p>
    <w:p>
      <w:pPr>
        <w:spacing w:after="0" w:line="169" w:lineRule="exact"/>
        <w:rPr>
          <w:sz w:val="20"/>
          <w:szCs w:val="20"/>
          <w:color w:val="auto"/>
        </w:rPr>
      </w:pPr>
    </w:p>
    <w:p>
      <w:pPr>
        <w:ind w:left="200" w:right="120" w:firstLine="441"/>
        <w:spacing w:after="0" w:line="277" w:lineRule="auto"/>
        <w:rPr>
          <w:sz w:val="20"/>
          <w:szCs w:val="20"/>
          <w:color w:val="auto"/>
        </w:rPr>
      </w:pPr>
      <w:r>
        <w:rPr>
          <w:rFonts w:ascii="Arial" w:cs="Arial" w:eastAsia="Arial" w:hAnsi="Arial"/>
          <w:sz w:val="18"/>
          <w:szCs w:val="18"/>
          <w:color w:val="auto"/>
        </w:rPr>
        <w:t>Net cash used in investing activities was A$722,472 and A$63,672 during the half-years ended December 31, 2018 and 2017, respectively. Cash flows used for investing activities was primarily attributable to payments for the purchase of property and equipment.</w:t>
      </w:r>
    </w:p>
    <w:p>
      <w:pPr>
        <w:spacing w:after="0" w:line="170" w:lineRule="exact"/>
        <w:rPr>
          <w:sz w:val="20"/>
          <w:szCs w:val="20"/>
          <w:color w:val="auto"/>
        </w:rPr>
      </w:pPr>
    </w:p>
    <w:p>
      <w:pPr>
        <w:ind w:left="200" w:right="140" w:firstLine="441"/>
        <w:spacing w:after="0" w:line="264" w:lineRule="auto"/>
        <w:rPr>
          <w:sz w:val="20"/>
          <w:szCs w:val="20"/>
          <w:color w:val="auto"/>
        </w:rPr>
      </w:pPr>
      <w:r>
        <w:rPr>
          <w:rFonts w:ascii="Arial" w:cs="Arial" w:eastAsia="Arial" w:hAnsi="Arial"/>
          <w:sz w:val="18"/>
          <w:szCs w:val="18"/>
          <w:color w:val="auto"/>
        </w:rPr>
        <w:t>Net cash provided by financing activities was A$25,364,339 and A$15,980,605 for the half-years ended December 31, 2018 and 2017. The Company completed a series of equity transactions and received proceeds from issuance of shares and options of A$28,053,762 and A$17,028,964 for the half-years ended December 31, 2018 and 2017.</w:t>
      </w:r>
    </w:p>
    <w:p>
      <w:pPr>
        <w:spacing w:after="0" w:line="181" w:lineRule="exact"/>
        <w:rPr>
          <w:sz w:val="20"/>
          <w:szCs w:val="20"/>
          <w:color w:val="auto"/>
        </w:rPr>
      </w:pPr>
    </w:p>
    <w:p>
      <w:pPr>
        <w:ind w:left="200" w:right="20" w:firstLine="441"/>
        <w:spacing w:after="0" w:line="308" w:lineRule="auto"/>
        <w:rPr>
          <w:sz w:val="20"/>
          <w:szCs w:val="20"/>
          <w:color w:val="auto"/>
        </w:rPr>
      </w:pPr>
      <w:r>
        <w:rPr>
          <w:rFonts w:ascii="Arial" w:cs="Arial" w:eastAsia="Arial" w:hAnsi="Arial"/>
          <w:sz w:val="17"/>
          <w:szCs w:val="17"/>
          <w:color w:val="auto"/>
        </w:rPr>
        <w:t>We realized a foreign exchange gain/(loss) of A$1,333,440 and A$(55,390) for the half-years ended December 31, 2018 and 2017. The Australian dollar appreciated/(depreciated) against the U.S. dollar by 8% and (3%) for the half-years ended December 31, 2018 and 2017.</w:t>
      </w:r>
    </w:p>
    <w:p>
      <w:pPr>
        <w:spacing w:after="0" w:line="79"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51</w:t>
      </w:r>
    </w:p>
    <w:p>
      <w:pPr>
        <w:sectPr>
          <w:pgSz w:w="11900" w:h="16838" w:orient="portrait"/>
          <w:cols w:equalWidth="0" w:num="1">
            <w:col w:w="11180"/>
          </w:cols>
          <w:pgMar w:left="240" w:top="459" w:right="479" w:bottom="1440" w:gutter="0" w:footer="0" w:header="0"/>
        </w:sectPr>
      </w:pPr>
    </w:p>
    <w:bookmarkStart w:id="53" w:name="page54"/>
    <w:bookmarkEnd w:id="5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spacing w:after="0"/>
        <w:rPr>
          <w:sz w:val="20"/>
          <w:szCs w:val="20"/>
          <w:color w:val="auto"/>
        </w:rPr>
      </w:pPr>
      <w:r>
        <w:rPr>
          <w:rFonts w:ascii="Arial" w:cs="Arial" w:eastAsia="Arial" w:hAnsi="Arial"/>
          <w:sz w:val="18"/>
          <w:szCs w:val="18"/>
          <w:u w:val="single" w:color="auto"/>
          <w:color w:val="auto"/>
        </w:rPr>
        <w:t>Capital management</w:t>
      </w:r>
    </w:p>
    <w:p>
      <w:pPr>
        <w:spacing w:after="0" w:line="117" w:lineRule="exact"/>
        <w:rPr>
          <w:sz w:val="20"/>
          <w:szCs w:val="20"/>
          <w:color w:val="auto"/>
        </w:rPr>
      </w:pPr>
    </w:p>
    <w:p>
      <w:pPr>
        <w:jc w:val="both"/>
        <w:ind w:left="200" w:right="120" w:firstLine="441"/>
        <w:spacing w:after="0" w:line="312" w:lineRule="auto"/>
        <w:rPr>
          <w:sz w:val="20"/>
          <w:szCs w:val="20"/>
          <w:color w:val="auto"/>
        </w:rPr>
      </w:pPr>
      <w:r>
        <w:rPr>
          <w:rFonts w:ascii="Arial" w:cs="Arial" w:eastAsia="Arial" w:hAnsi="Arial"/>
          <w:sz w:val="16"/>
          <w:szCs w:val="16"/>
          <w:color w:val="auto"/>
        </w:rPr>
        <w:t>We aim to manage capital so that the Company continues as a going concern while also maintaining optimal returns to shareholders and benefits for other stakeholders. We also aim to maintain a capital structure that ensures the lowest cost of capital available to the Company. We regularly review the Company’s capital structure and seek to take advantage of available opportunities to improve outcomes for the Company and its shareholders.</w:t>
      </w:r>
    </w:p>
    <w:p>
      <w:pPr>
        <w:spacing w:after="0" w:line="147" w:lineRule="exact"/>
        <w:rPr>
          <w:sz w:val="20"/>
          <w:szCs w:val="20"/>
          <w:color w:val="auto"/>
        </w:rPr>
      </w:pPr>
    </w:p>
    <w:p>
      <w:pPr>
        <w:ind w:left="200" w:right="40" w:firstLine="441"/>
        <w:spacing w:after="0" w:line="264" w:lineRule="auto"/>
        <w:rPr>
          <w:sz w:val="20"/>
          <w:szCs w:val="20"/>
          <w:color w:val="auto"/>
        </w:rPr>
      </w:pPr>
      <w:r>
        <w:rPr>
          <w:rFonts w:ascii="Arial" w:cs="Arial" w:eastAsia="Arial" w:hAnsi="Arial"/>
          <w:sz w:val="18"/>
          <w:szCs w:val="18"/>
          <w:color w:val="auto"/>
        </w:rPr>
        <w:t>For the year ended June 30, 2018, there were no dividends paid and we have no plans to commence the payment of dividends. We have no current plans to issue further shares on the market but will continue to assess market conditions and the company’s cash flow requirements to ensure the Company is appropriately funded.</w:t>
      </w:r>
    </w:p>
    <w:p>
      <w:pPr>
        <w:spacing w:after="0" w:line="181" w:lineRule="exact"/>
        <w:rPr>
          <w:sz w:val="20"/>
          <w:szCs w:val="20"/>
          <w:color w:val="auto"/>
        </w:rPr>
      </w:pPr>
    </w:p>
    <w:p>
      <w:pPr>
        <w:ind w:left="200" w:right="40" w:firstLine="441"/>
        <w:spacing w:after="0" w:line="277" w:lineRule="auto"/>
        <w:rPr>
          <w:sz w:val="20"/>
          <w:szCs w:val="20"/>
          <w:color w:val="auto"/>
        </w:rPr>
      </w:pPr>
      <w:r>
        <w:rPr>
          <w:rFonts w:ascii="Arial" w:cs="Arial" w:eastAsia="Arial" w:hAnsi="Arial"/>
          <w:sz w:val="18"/>
          <w:szCs w:val="18"/>
          <w:color w:val="auto"/>
        </w:rPr>
        <w:t>There is no significant external borrowing at the reporting date. Neither the Company nor any of the subsidiaries are subject to externally imposed capital requirement.</w:t>
      </w:r>
    </w:p>
    <w:p>
      <w:pPr>
        <w:spacing w:after="0" w:line="27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C. Research and Development, Patents and Licenses</w:t>
      </w:r>
    </w:p>
    <w:p>
      <w:pPr>
        <w:spacing w:after="0" w:line="121" w:lineRule="exact"/>
        <w:rPr>
          <w:sz w:val="20"/>
          <w:szCs w:val="20"/>
          <w:color w:val="auto"/>
        </w:rPr>
      </w:pPr>
    </w:p>
    <w:p>
      <w:pPr>
        <w:ind w:left="200" w:firstLine="441"/>
        <w:spacing w:after="0" w:line="293" w:lineRule="auto"/>
        <w:rPr>
          <w:sz w:val="20"/>
          <w:szCs w:val="20"/>
          <w:color w:val="auto"/>
        </w:rPr>
      </w:pPr>
      <w:r>
        <w:rPr>
          <w:rFonts w:ascii="Arial" w:cs="Arial" w:eastAsia="Arial" w:hAnsi="Arial"/>
          <w:sz w:val="16"/>
          <w:szCs w:val="16"/>
          <w:color w:val="auto"/>
        </w:rPr>
        <w:t>In recent years, we have continued our practice of building valuable research collaborations with institutes based primarily in the United States but also in Australia, China and Europe and other regions to enable us to develop a point-of-care solution for the potential treatment of a wide range of skin injuries or defects using a point of care, autologous Spray-On Skin Cells regeneration technology known as RECELL System. These collaborative arrangements ensure that we work with well-respected key option leaders and laboratories without incurring ongoing administrative and personnel costs. All clinical, research and development of RECELL System is performed in compliance with the appropriate governing authorities, regulators and standards. We maintain in-house general counsel and research and development project expertise to coordinate these research collaborations.</w:t>
      </w:r>
    </w:p>
    <w:p>
      <w:pPr>
        <w:spacing w:after="0" w:line="165" w:lineRule="exact"/>
        <w:rPr>
          <w:sz w:val="20"/>
          <w:szCs w:val="20"/>
          <w:color w:val="auto"/>
        </w:rPr>
      </w:pPr>
    </w:p>
    <w:p>
      <w:pPr>
        <w:ind w:left="200" w:firstLine="441"/>
        <w:spacing w:after="0" w:line="279" w:lineRule="auto"/>
        <w:rPr>
          <w:sz w:val="20"/>
          <w:szCs w:val="20"/>
          <w:color w:val="auto"/>
        </w:rPr>
      </w:pPr>
      <w:r>
        <w:rPr>
          <w:rFonts w:ascii="Arial" w:cs="Arial" w:eastAsia="Arial" w:hAnsi="Arial"/>
          <w:sz w:val="17"/>
          <w:szCs w:val="17"/>
          <w:color w:val="auto"/>
        </w:rPr>
        <w:t>Our research and development expenses consist primarily of expenses for contracted research and development activities conducted by major contract research organizations on our behalf, including personnel, testing facilities and other payments in accordance with our research and clinical agreements. Research and development expenses are included in the Product Development Expenses line item of our financial statements, and amounted to $3,266,098, $2,330,297 and $2,160,628 during the years ended June 30, 2018, 2017 and 2016, respectively.</w:t>
      </w:r>
    </w:p>
    <w:p>
      <w:pPr>
        <w:spacing w:after="0" w:line="276"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D. Trend Information</w:t>
      </w:r>
    </w:p>
    <w:p>
      <w:pPr>
        <w:spacing w:after="0" w:line="121" w:lineRule="exact"/>
        <w:rPr>
          <w:sz w:val="20"/>
          <w:szCs w:val="20"/>
          <w:color w:val="auto"/>
        </w:rPr>
      </w:pPr>
    </w:p>
    <w:p>
      <w:pPr>
        <w:ind w:left="200" w:right="220" w:firstLine="441"/>
        <w:spacing w:after="0" w:line="342" w:lineRule="auto"/>
        <w:rPr>
          <w:sz w:val="20"/>
          <w:szCs w:val="20"/>
          <w:color w:val="auto"/>
        </w:rPr>
      </w:pPr>
      <w:r>
        <w:rPr>
          <w:rFonts w:ascii="Arial" w:cs="Arial" w:eastAsia="Arial" w:hAnsi="Arial"/>
          <w:sz w:val="16"/>
          <w:szCs w:val="16"/>
          <w:color w:val="auto"/>
        </w:rPr>
        <w:t>While our RECELL System has reached commercialization for specific applications in certain jurisdictions, we seek to further our development and commercialization, and it is not possible for us to predict with any degree of accuracy the outcome of our business in the future.</w:t>
      </w:r>
    </w:p>
    <w:p>
      <w:pPr>
        <w:spacing w:after="0" w:line="228"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E. Off-Balance Sheet Arrangements</w:t>
      </w:r>
    </w:p>
    <w:p>
      <w:pPr>
        <w:spacing w:after="0" w:line="121" w:lineRule="exact"/>
        <w:rPr>
          <w:sz w:val="20"/>
          <w:szCs w:val="20"/>
          <w:color w:val="auto"/>
        </w:rPr>
      </w:pPr>
    </w:p>
    <w:p>
      <w:pPr>
        <w:ind w:left="200" w:right="120" w:firstLine="441"/>
        <w:spacing w:after="0" w:line="264" w:lineRule="auto"/>
        <w:rPr>
          <w:sz w:val="20"/>
          <w:szCs w:val="20"/>
          <w:color w:val="auto"/>
        </w:rPr>
      </w:pPr>
      <w:r>
        <w:rPr>
          <w:rFonts w:ascii="Arial" w:cs="Arial" w:eastAsia="Arial" w:hAnsi="Arial"/>
          <w:sz w:val="18"/>
          <w:szCs w:val="18"/>
          <w:color w:val="auto"/>
        </w:rPr>
        <w:t>During fiscal years ended June 30, 2016, 2017 and 2018, we did not have any relationships with unconsolidated entities or financial partnerships, such as entities often referred to as structured finance or special purpose entities, which would have been established for the purpose of facilitating off-balance sheet arrangements or other contractually narrow or limited purposes.</w:t>
      </w:r>
    </w:p>
    <w:p>
      <w:pPr>
        <w:spacing w:after="0" w:line="114"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52</w:t>
      </w:r>
    </w:p>
    <w:p>
      <w:pPr>
        <w:sectPr>
          <w:pgSz w:w="11900" w:h="16838" w:orient="portrait"/>
          <w:cols w:equalWidth="0" w:num="1">
            <w:col w:w="11220"/>
          </w:cols>
          <w:pgMar w:left="240" w:top="459" w:right="439" w:bottom="1440" w:gutter="0" w:footer="0" w:header="0"/>
        </w:sectPr>
      </w:pPr>
    </w:p>
    <w:bookmarkStart w:id="54" w:name="page55"/>
    <w:bookmarkEnd w:id="5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F. Contractual Obligations</w:t>
      </w:r>
    </w:p>
    <w:p>
      <w:pPr>
        <w:spacing w:after="0" w:line="121" w:lineRule="exact"/>
        <w:rPr>
          <w:sz w:val="20"/>
          <w:szCs w:val="20"/>
          <w:color w:val="auto"/>
        </w:rPr>
      </w:pPr>
    </w:p>
    <w:p>
      <w:pPr>
        <w:jc w:val="both"/>
        <w:ind w:left="200" w:firstLine="441"/>
        <w:spacing w:after="0" w:line="264" w:lineRule="auto"/>
        <w:rPr>
          <w:sz w:val="20"/>
          <w:szCs w:val="20"/>
          <w:color w:val="auto"/>
        </w:rPr>
      </w:pPr>
      <w:r>
        <w:rPr>
          <w:rFonts w:ascii="Arial" w:cs="Arial" w:eastAsia="Arial" w:hAnsi="Arial"/>
          <w:sz w:val="18"/>
          <w:szCs w:val="18"/>
          <w:color w:val="auto"/>
        </w:rPr>
        <w:t>The Company’s furniture and IT equipment are held under lease arrangements. As of June 30, 2018, 2017 and 2016 the net carrying amount of the furniture and IT equipment held under lease arrangements are A$159,043, A$66,408 A$ nil, respectively. The Company’s finance lease liabilities, which are secured by the related assets held under finance leases, are classified as follows:</w:t>
      </w:r>
    </w:p>
    <w:p>
      <w:pPr>
        <w:spacing w:after="0" w:line="200" w:lineRule="exact"/>
        <w:rPr>
          <w:sz w:val="20"/>
          <w:szCs w:val="20"/>
          <w:color w:val="auto"/>
        </w:rPr>
      </w:pPr>
    </w:p>
    <w:tbl>
      <w:tblPr>
        <w:tblLayout w:type="fixed"/>
        <w:tblInd w:w="64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2540" w:type="dxa"/>
            <w:vAlign w:val="bottom"/>
          </w:tcPr>
          <w:p>
            <w:pPr>
              <w:spacing w:after="0"/>
              <w:rPr>
                <w:sz w:val="14"/>
                <w:szCs w:val="14"/>
                <w:color w:val="auto"/>
              </w:rPr>
            </w:pPr>
          </w:p>
        </w:tc>
        <w:tc>
          <w:tcPr>
            <w:tcW w:w="192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1480" w:type="dxa"/>
            <w:vAlign w:val="bottom"/>
            <w:gridSpan w:val="2"/>
          </w:tcPr>
          <w:p>
            <w:pPr>
              <w:jc w:val="center"/>
              <w:ind w:left="437"/>
              <w:spacing w:after="0"/>
              <w:rPr>
                <w:sz w:val="20"/>
                <w:szCs w:val="20"/>
                <w:color w:val="auto"/>
              </w:rPr>
            </w:pPr>
            <w:r>
              <w:rPr>
                <w:rFonts w:ascii="Arial" w:cs="Arial" w:eastAsia="Arial" w:hAnsi="Arial"/>
                <w:sz w:val="14"/>
                <w:szCs w:val="14"/>
                <w:b w:val="1"/>
                <w:bCs w:val="1"/>
                <w:color w:val="auto"/>
                <w:w w:val="92"/>
              </w:rPr>
              <w:t>June 30, 2018</w:t>
            </w:r>
          </w:p>
        </w:tc>
        <w:tc>
          <w:tcPr>
            <w:tcW w:w="13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25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Finance Lease Liabilities</w:t>
            </w:r>
          </w:p>
        </w:tc>
        <w:tc>
          <w:tcPr>
            <w:tcW w:w="1920" w:type="dxa"/>
            <w:vAlign w:val="bottom"/>
            <w:shd w:val="clear" w:color="auto" w:fill="CCEEFF"/>
          </w:tcPr>
          <w:p>
            <w:pPr>
              <w:spacing w:after="0"/>
              <w:rPr>
                <w:sz w:val="18"/>
                <w:szCs w:val="18"/>
                <w:color w:val="auto"/>
              </w:rPr>
            </w:pPr>
          </w:p>
        </w:tc>
        <w:tc>
          <w:tcPr>
            <w:tcW w:w="15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2540" w:type="dxa"/>
            <w:vAlign w:val="bottom"/>
          </w:tcPr>
          <w:p>
            <w:pPr>
              <w:ind w:left="360"/>
              <w:spacing w:after="0"/>
              <w:rPr>
                <w:sz w:val="20"/>
                <w:szCs w:val="20"/>
                <w:color w:val="auto"/>
              </w:rPr>
            </w:pPr>
            <w:r>
              <w:rPr>
                <w:rFonts w:ascii="Arial" w:cs="Arial" w:eastAsia="Arial" w:hAnsi="Arial"/>
                <w:sz w:val="18"/>
                <w:szCs w:val="18"/>
                <w:color w:val="auto"/>
              </w:rPr>
              <w:t>Current</w:t>
            </w:r>
          </w:p>
        </w:tc>
        <w:tc>
          <w:tcPr>
            <w:tcW w:w="192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880" w:type="dxa"/>
            <w:vAlign w:val="bottom"/>
          </w:tcPr>
          <w:p>
            <w:pPr>
              <w:ind w:left="580"/>
              <w:spacing w:after="0"/>
              <w:rPr>
                <w:sz w:val="20"/>
                <w:szCs w:val="20"/>
                <w:color w:val="auto"/>
              </w:rPr>
            </w:pPr>
            <w:r>
              <w:rPr>
                <w:rFonts w:ascii="Arial" w:cs="Arial" w:eastAsia="Arial" w:hAnsi="Arial"/>
                <w:sz w:val="18"/>
                <w:szCs w:val="18"/>
                <w:color w:val="auto"/>
              </w:rPr>
              <w:t>A$</w:t>
            </w:r>
          </w:p>
        </w:tc>
        <w:tc>
          <w:tcPr>
            <w:tcW w:w="600" w:type="dxa"/>
            <w:vAlign w:val="bottom"/>
          </w:tcPr>
          <w:p>
            <w:pPr>
              <w:jc w:val="right"/>
              <w:spacing w:after="0"/>
              <w:rPr>
                <w:sz w:val="20"/>
                <w:szCs w:val="20"/>
                <w:color w:val="auto"/>
              </w:rPr>
            </w:pPr>
            <w:r>
              <w:rPr>
                <w:rFonts w:ascii="Arial" w:cs="Arial" w:eastAsia="Arial" w:hAnsi="Arial"/>
                <w:sz w:val="18"/>
                <w:szCs w:val="18"/>
                <w:color w:val="auto"/>
                <w:w w:val="94"/>
              </w:rPr>
              <w:t>86,883</w:t>
            </w:r>
          </w:p>
        </w:tc>
        <w:tc>
          <w:tcPr>
            <w:tcW w:w="1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25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Non-Current</w:t>
            </w:r>
          </w:p>
        </w:tc>
        <w:tc>
          <w:tcPr>
            <w:tcW w:w="1920" w:type="dxa"/>
            <w:vAlign w:val="bottom"/>
            <w:shd w:val="clear" w:color="auto" w:fill="CCEEFF"/>
          </w:tcPr>
          <w:p>
            <w:pPr>
              <w:spacing w:after="0"/>
              <w:rPr>
                <w:sz w:val="18"/>
                <w:szCs w:val="18"/>
                <w:color w:val="auto"/>
              </w:rPr>
            </w:pPr>
          </w:p>
        </w:tc>
        <w:tc>
          <w:tcPr>
            <w:tcW w:w="1540" w:type="dxa"/>
            <w:vAlign w:val="bottom"/>
            <w:shd w:val="clear" w:color="auto" w:fill="CCEEFF"/>
          </w:tcPr>
          <w:p>
            <w:pPr>
              <w:spacing w:after="0"/>
              <w:rPr>
                <w:sz w:val="18"/>
                <w:szCs w:val="18"/>
                <w:color w:val="auto"/>
              </w:rPr>
            </w:pPr>
          </w:p>
        </w:tc>
        <w:tc>
          <w:tcPr>
            <w:tcW w:w="880" w:type="dxa"/>
            <w:vAlign w:val="bottom"/>
            <w:shd w:val="clear" w:color="auto" w:fill="CCEEFF"/>
          </w:tcPr>
          <w:p>
            <w:pPr>
              <w:ind w:left="580"/>
              <w:spacing w:after="0"/>
              <w:rPr>
                <w:sz w:val="20"/>
                <w:szCs w:val="20"/>
                <w:color w:val="auto"/>
              </w:rPr>
            </w:pPr>
            <w:r>
              <w:rPr>
                <w:rFonts w:ascii="Arial" w:cs="Arial" w:eastAsia="Arial" w:hAnsi="Arial"/>
                <w:sz w:val="18"/>
                <w:szCs w:val="18"/>
                <w:color w:val="auto"/>
              </w:rPr>
              <w:t>A$</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72,160</w:t>
            </w:r>
          </w:p>
        </w:tc>
        <w:tc>
          <w:tcPr>
            <w:tcW w:w="1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2540" w:type="dxa"/>
            <w:vAlign w:val="bottom"/>
          </w:tcPr>
          <w:p>
            <w:pPr>
              <w:spacing w:after="0"/>
              <w:rPr>
                <w:sz w:val="20"/>
                <w:szCs w:val="20"/>
                <w:color w:val="auto"/>
              </w:rPr>
            </w:pPr>
            <w:r>
              <w:rPr>
                <w:rFonts w:ascii="Arial" w:cs="Arial" w:eastAsia="Arial" w:hAnsi="Arial"/>
                <w:sz w:val="18"/>
                <w:szCs w:val="18"/>
                <w:b w:val="1"/>
                <w:bCs w:val="1"/>
                <w:i w:val="1"/>
                <w:iCs w:val="1"/>
                <w:color w:val="auto"/>
              </w:rPr>
              <w:t>Total</w:t>
            </w:r>
          </w:p>
        </w:tc>
        <w:tc>
          <w:tcPr>
            <w:tcW w:w="1920" w:type="dxa"/>
            <w:vAlign w:val="bottom"/>
          </w:tcPr>
          <w:p>
            <w:pPr>
              <w:spacing w:after="0"/>
              <w:rPr>
                <w:sz w:val="20"/>
                <w:szCs w:val="20"/>
                <w:color w:val="auto"/>
              </w:rPr>
            </w:pPr>
          </w:p>
        </w:tc>
        <w:tc>
          <w:tcPr>
            <w:tcW w:w="1540" w:type="dxa"/>
            <w:vAlign w:val="bottom"/>
          </w:tcPr>
          <w:p>
            <w:pPr>
              <w:spacing w:after="0"/>
              <w:rPr>
                <w:sz w:val="20"/>
                <w:szCs w:val="20"/>
                <w:color w:val="auto"/>
              </w:rPr>
            </w:pPr>
          </w:p>
        </w:tc>
        <w:tc>
          <w:tcPr>
            <w:tcW w:w="1480" w:type="dxa"/>
            <w:vAlign w:val="bottom"/>
            <w:gridSpan w:val="2"/>
          </w:tcPr>
          <w:p>
            <w:pPr>
              <w:jc w:val="center"/>
              <w:ind w:left="437"/>
              <w:spacing w:after="0"/>
              <w:rPr>
                <w:sz w:val="20"/>
                <w:szCs w:val="20"/>
                <w:color w:val="auto"/>
              </w:rPr>
            </w:pPr>
            <w:r>
              <w:rPr>
                <w:rFonts w:ascii="Arial" w:cs="Arial" w:eastAsia="Arial" w:hAnsi="Arial"/>
                <w:sz w:val="18"/>
                <w:szCs w:val="18"/>
                <w:color w:val="auto"/>
                <w:w w:val="91"/>
              </w:rPr>
              <w:t>A$ 159,043</w:t>
            </w:r>
          </w:p>
        </w:tc>
        <w:tc>
          <w:tcPr>
            <w:tcW w:w="13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55"/>
        </w:trPr>
        <w:tc>
          <w:tcPr>
            <w:tcW w:w="2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2540" w:type="dxa"/>
            <w:vAlign w:val="bottom"/>
          </w:tcPr>
          <w:p>
            <w:pPr>
              <w:spacing w:after="0"/>
              <w:rPr>
                <w:sz w:val="24"/>
                <w:szCs w:val="24"/>
                <w:color w:val="auto"/>
              </w:rPr>
            </w:pPr>
          </w:p>
        </w:tc>
        <w:tc>
          <w:tcPr>
            <w:tcW w:w="1920" w:type="dxa"/>
            <w:vAlign w:val="bottom"/>
            <w:vMerge w:val="restart"/>
          </w:tcPr>
          <w:p>
            <w:pPr>
              <w:jc w:val="right"/>
              <w:ind w:right="334"/>
              <w:spacing w:after="0"/>
              <w:rPr>
                <w:sz w:val="20"/>
                <w:szCs w:val="20"/>
                <w:color w:val="auto"/>
              </w:rPr>
            </w:pPr>
            <w:r>
              <w:rPr>
                <w:rFonts w:ascii="Arial" w:cs="Arial" w:eastAsia="Arial" w:hAnsi="Arial"/>
                <w:sz w:val="14"/>
                <w:szCs w:val="14"/>
                <w:b w:val="1"/>
                <w:bCs w:val="1"/>
                <w:color w:val="auto"/>
              </w:rPr>
              <w:t>Within 1 Year</w:t>
            </w:r>
          </w:p>
        </w:tc>
        <w:tc>
          <w:tcPr>
            <w:tcW w:w="2420" w:type="dxa"/>
            <w:vAlign w:val="bottom"/>
            <w:gridSpan w:val="2"/>
          </w:tcPr>
          <w:p>
            <w:pPr>
              <w:ind w:left="540"/>
              <w:spacing w:after="0"/>
              <w:rPr>
                <w:sz w:val="20"/>
                <w:szCs w:val="20"/>
                <w:color w:val="auto"/>
              </w:rPr>
            </w:pPr>
            <w:r>
              <w:rPr>
                <w:rFonts w:ascii="Arial" w:cs="Arial" w:eastAsia="Arial" w:hAnsi="Arial"/>
                <w:sz w:val="14"/>
                <w:szCs w:val="14"/>
                <w:b w:val="1"/>
                <w:bCs w:val="1"/>
                <w:color w:val="auto"/>
                <w:w w:val="94"/>
              </w:rPr>
              <w:t>Minimum Lease Payment Due</w:t>
            </w:r>
          </w:p>
        </w:tc>
        <w:tc>
          <w:tcPr>
            <w:tcW w:w="600" w:type="dxa"/>
            <w:vAlign w:val="bottom"/>
          </w:tcPr>
          <w:p>
            <w:pPr>
              <w:spacing w:after="0"/>
              <w:rPr>
                <w:sz w:val="24"/>
                <w:szCs w:val="24"/>
                <w:color w:val="auto"/>
              </w:rPr>
            </w:pPr>
          </w:p>
        </w:tc>
        <w:tc>
          <w:tcPr>
            <w:tcW w:w="1320" w:type="dxa"/>
            <w:vAlign w:val="bottom"/>
            <w:vMerge w:val="restart"/>
          </w:tcPr>
          <w:p>
            <w:pPr>
              <w:jc w:val="right"/>
              <w:ind w:right="274"/>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2540" w:type="dxa"/>
            <w:vAlign w:val="bottom"/>
          </w:tcPr>
          <w:p>
            <w:pPr>
              <w:spacing w:after="0"/>
              <w:rPr>
                <w:sz w:val="14"/>
                <w:szCs w:val="14"/>
                <w:color w:val="auto"/>
              </w:rPr>
            </w:pPr>
          </w:p>
        </w:tc>
        <w:tc>
          <w:tcPr>
            <w:tcW w:w="1920" w:type="dxa"/>
            <w:vAlign w:val="bottom"/>
            <w:vMerge w:val="continue"/>
          </w:tcPr>
          <w:p>
            <w:pPr>
              <w:spacing w:after="0"/>
              <w:rPr>
                <w:sz w:val="14"/>
                <w:szCs w:val="14"/>
                <w:color w:val="auto"/>
              </w:rPr>
            </w:pPr>
          </w:p>
        </w:tc>
        <w:tc>
          <w:tcPr>
            <w:tcW w:w="1540" w:type="dxa"/>
            <w:vAlign w:val="bottom"/>
          </w:tcPr>
          <w:p>
            <w:pPr>
              <w:jc w:val="right"/>
              <w:ind w:right="437"/>
              <w:spacing w:after="0"/>
              <w:rPr>
                <w:sz w:val="20"/>
                <w:szCs w:val="20"/>
                <w:color w:val="auto"/>
              </w:rPr>
            </w:pPr>
            <w:r>
              <w:rPr>
                <w:rFonts w:ascii="Arial" w:cs="Arial" w:eastAsia="Arial" w:hAnsi="Arial"/>
                <w:sz w:val="14"/>
                <w:szCs w:val="14"/>
                <w:b w:val="1"/>
                <w:bCs w:val="1"/>
                <w:color w:val="auto"/>
              </w:rPr>
              <w:t>1-5 Years</w:t>
            </w:r>
          </w:p>
        </w:tc>
        <w:tc>
          <w:tcPr>
            <w:tcW w:w="1480" w:type="dxa"/>
            <w:vAlign w:val="bottom"/>
            <w:gridSpan w:val="2"/>
          </w:tcPr>
          <w:p>
            <w:pPr>
              <w:ind w:left="360"/>
              <w:spacing w:after="0"/>
              <w:rPr>
                <w:sz w:val="20"/>
                <w:szCs w:val="20"/>
                <w:color w:val="auto"/>
              </w:rPr>
            </w:pPr>
            <w:r>
              <w:rPr>
                <w:rFonts w:ascii="Arial" w:cs="Arial" w:eastAsia="Arial" w:hAnsi="Arial"/>
                <w:sz w:val="14"/>
                <w:szCs w:val="14"/>
                <w:b w:val="1"/>
                <w:bCs w:val="1"/>
                <w:color w:val="auto"/>
              </w:rPr>
              <w:t>After 5 Years</w:t>
            </w:r>
          </w:p>
        </w:tc>
        <w:tc>
          <w:tcPr>
            <w:tcW w:w="13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6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June 30, 2018</w:t>
            </w:r>
          </w:p>
        </w:tc>
        <w:tc>
          <w:tcPr>
            <w:tcW w:w="1920" w:type="dxa"/>
            <w:vAlign w:val="bottom"/>
            <w:shd w:val="clear" w:color="auto" w:fill="CCEEFF"/>
          </w:tcPr>
          <w:p>
            <w:pPr>
              <w:spacing w:after="0"/>
              <w:rPr>
                <w:sz w:val="18"/>
                <w:szCs w:val="18"/>
                <w:color w:val="auto"/>
              </w:rPr>
            </w:pPr>
          </w:p>
        </w:tc>
        <w:tc>
          <w:tcPr>
            <w:tcW w:w="15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60" w:type="dxa"/>
            <w:vAlign w:val="bottom"/>
            <w:gridSpan w:val="2"/>
          </w:tcPr>
          <w:p>
            <w:pPr>
              <w:spacing w:after="0"/>
              <w:rPr>
                <w:sz w:val="20"/>
                <w:szCs w:val="20"/>
                <w:color w:val="auto"/>
              </w:rPr>
            </w:pPr>
            <w:r>
              <w:rPr>
                <w:rFonts w:ascii="Arial" w:cs="Arial" w:eastAsia="Arial" w:hAnsi="Arial"/>
                <w:sz w:val="18"/>
                <w:szCs w:val="18"/>
                <w:b w:val="1"/>
                <w:bCs w:val="1"/>
                <w:color w:val="auto"/>
              </w:rPr>
              <w:t>Lease Payments</w:t>
            </w:r>
          </w:p>
        </w:tc>
        <w:tc>
          <w:tcPr>
            <w:tcW w:w="1920" w:type="dxa"/>
            <w:vAlign w:val="bottom"/>
          </w:tcPr>
          <w:p>
            <w:pPr>
              <w:jc w:val="right"/>
              <w:ind w:right="334"/>
              <w:spacing w:after="0"/>
              <w:rPr>
                <w:sz w:val="20"/>
                <w:szCs w:val="20"/>
                <w:color w:val="auto"/>
              </w:rPr>
            </w:pPr>
            <w:r>
              <w:rPr>
                <w:rFonts w:ascii="Arial" w:cs="Arial" w:eastAsia="Arial" w:hAnsi="Arial"/>
                <w:sz w:val="18"/>
                <w:szCs w:val="18"/>
                <w:color w:val="auto"/>
              </w:rPr>
              <w:t>A$ 114,650</w:t>
            </w:r>
          </w:p>
        </w:tc>
        <w:tc>
          <w:tcPr>
            <w:tcW w:w="1540" w:type="dxa"/>
            <w:vAlign w:val="bottom"/>
          </w:tcPr>
          <w:p>
            <w:pPr>
              <w:jc w:val="right"/>
              <w:ind w:right="317"/>
              <w:spacing w:after="0"/>
              <w:rPr>
                <w:sz w:val="20"/>
                <w:szCs w:val="20"/>
                <w:color w:val="auto"/>
              </w:rPr>
            </w:pPr>
            <w:r>
              <w:rPr>
                <w:rFonts w:ascii="Arial" w:cs="Arial" w:eastAsia="Arial" w:hAnsi="Arial"/>
                <w:sz w:val="18"/>
                <w:szCs w:val="18"/>
                <w:color w:val="auto"/>
              </w:rPr>
              <w:t>A$ 92,515</w:t>
            </w:r>
          </w:p>
        </w:tc>
        <w:tc>
          <w:tcPr>
            <w:tcW w:w="880" w:type="dxa"/>
            <w:vAlign w:val="bottom"/>
          </w:tcPr>
          <w:p>
            <w:pPr>
              <w:spacing w:after="0"/>
              <w:rPr>
                <w:sz w:val="18"/>
                <w:szCs w:val="18"/>
                <w:color w:val="auto"/>
              </w:rPr>
            </w:pPr>
          </w:p>
        </w:tc>
        <w:tc>
          <w:tcPr>
            <w:tcW w:w="600" w:type="dxa"/>
            <w:vAlign w:val="bottom"/>
          </w:tcPr>
          <w:p>
            <w:pPr>
              <w:jc w:val="center"/>
              <w:ind w:right="290"/>
              <w:spacing w:after="0"/>
              <w:rPr>
                <w:sz w:val="20"/>
                <w:szCs w:val="20"/>
                <w:color w:val="auto"/>
              </w:rPr>
            </w:pPr>
            <w:r>
              <w:rPr>
                <w:rFonts w:ascii="Arial" w:cs="Arial" w:eastAsia="Arial" w:hAnsi="Arial"/>
                <w:sz w:val="18"/>
                <w:szCs w:val="18"/>
                <w:color w:val="auto"/>
                <w:w w:val="99"/>
              </w:rPr>
              <w:t>—</w:t>
            </w:r>
          </w:p>
        </w:tc>
        <w:tc>
          <w:tcPr>
            <w:tcW w:w="1320" w:type="dxa"/>
            <w:vAlign w:val="bottom"/>
          </w:tcPr>
          <w:p>
            <w:pPr>
              <w:jc w:val="right"/>
              <w:ind w:right="14"/>
              <w:spacing w:after="0"/>
              <w:rPr>
                <w:sz w:val="20"/>
                <w:szCs w:val="20"/>
                <w:color w:val="auto"/>
              </w:rPr>
            </w:pPr>
            <w:r>
              <w:rPr>
                <w:rFonts w:ascii="Arial" w:cs="Arial" w:eastAsia="Arial" w:hAnsi="Arial"/>
                <w:sz w:val="18"/>
                <w:szCs w:val="18"/>
                <w:color w:val="auto"/>
              </w:rPr>
              <w:t>A$207,165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6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Finance Charges</w:t>
            </w:r>
          </w:p>
        </w:tc>
        <w:tc>
          <w:tcPr>
            <w:tcW w:w="1920" w:type="dxa"/>
            <w:vAlign w:val="bottom"/>
            <w:shd w:val="clear" w:color="auto" w:fill="CCEEFF"/>
          </w:tcPr>
          <w:p>
            <w:pPr>
              <w:jc w:val="right"/>
              <w:ind w:right="274"/>
              <w:spacing w:after="0"/>
              <w:rPr>
                <w:sz w:val="20"/>
                <w:szCs w:val="20"/>
                <w:color w:val="auto"/>
              </w:rPr>
            </w:pPr>
            <w:r>
              <w:rPr>
                <w:rFonts w:ascii="Arial" w:cs="Arial" w:eastAsia="Arial" w:hAnsi="Arial"/>
                <w:sz w:val="18"/>
                <w:szCs w:val="18"/>
                <w:color w:val="auto"/>
              </w:rPr>
              <w:t>(27,767)</w:t>
            </w:r>
          </w:p>
        </w:tc>
        <w:tc>
          <w:tcPr>
            <w:tcW w:w="1540" w:type="dxa"/>
            <w:vAlign w:val="bottom"/>
            <w:shd w:val="clear" w:color="auto" w:fill="CCEEFF"/>
          </w:tcPr>
          <w:p>
            <w:pPr>
              <w:jc w:val="right"/>
              <w:ind w:right="257"/>
              <w:spacing w:after="0"/>
              <w:rPr>
                <w:sz w:val="20"/>
                <w:szCs w:val="20"/>
                <w:color w:val="auto"/>
              </w:rPr>
            </w:pPr>
            <w:r>
              <w:rPr>
                <w:rFonts w:ascii="Arial" w:cs="Arial" w:eastAsia="Arial" w:hAnsi="Arial"/>
                <w:sz w:val="18"/>
                <w:szCs w:val="18"/>
                <w:color w:val="auto"/>
              </w:rPr>
              <w:t>(20,355)</w:t>
            </w:r>
          </w:p>
        </w:tc>
        <w:tc>
          <w:tcPr>
            <w:tcW w:w="880" w:type="dxa"/>
            <w:vAlign w:val="bottom"/>
            <w:shd w:val="clear" w:color="auto" w:fill="CCEEFF"/>
          </w:tcPr>
          <w:p>
            <w:pPr>
              <w:spacing w:after="0"/>
              <w:rPr>
                <w:sz w:val="18"/>
                <w:szCs w:val="18"/>
                <w:color w:val="auto"/>
              </w:rPr>
            </w:pPr>
          </w:p>
        </w:tc>
        <w:tc>
          <w:tcPr>
            <w:tcW w:w="600" w:type="dxa"/>
            <w:vAlign w:val="bottom"/>
            <w:shd w:val="clear" w:color="auto" w:fill="CCEEFF"/>
          </w:tcPr>
          <w:p>
            <w:pPr>
              <w:jc w:val="center"/>
              <w:ind w:right="290"/>
              <w:spacing w:after="0"/>
              <w:rPr>
                <w:sz w:val="20"/>
                <w:szCs w:val="20"/>
                <w:color w:val="auto"/>
              </w:rPr>
            </w:pPr>
            <w:r>
              <w:rPr>
                <w:rFonts w:ascii="Arial" w:cs="Arial" w:eastAsia="Arial" w:hAnsi="Arial"/>
                <w:sz w:val="18"/>
                <w:szCs w:val="18"/>
                <w:color w:val="auto"/>
                <w:w w:val="99"/>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(48,122)</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3860" w:type="dxa"/>
            <w:vAlign w:val="bottom"/>
            <w:gridSpan w:val="2"/>
          </w:tcPr>
          <w:p>
            <w:pPr>
              <w:spacing w:after="0"/>
              <w:rPr>
                <w:sz w:val="20"/>
                <w:szCs w:val="20"/>
                <w:color w:val="auto"/>
              </w:rPr>
            </w:pPr>
            <w:r>
              <w:rPr>
                <w:rFonts w:ascii="Arial" w:cs="Arial" w:eastAsia="Arial" w:hAnsi="Arial"/>
                <w:sz w:val="18"/>
                <w:szCs w:val="18"/>
                <w:b w:val="1"/>
                <w:bCs w:val="1"/>
                <w:color w:val="auto"/>
              </w:rPr>
              <w:t>Net Present Values</w:t>
            </w:r>
          </w:p>
        </w:tc>
        <w:tc>
          <w:tcPr>
            <w:tcW w:w="1920" w:type="dxa"/>
            <w:vAlign w:val="bottom"/>
          </w:tcPr>
          <w:p>
            <w:pPr>
              <w:jc w:val="right"/>
              <w:ind w:right="334"/>
              <w:spacing w:after="0"/>
              <w:rPr>
                <w:sz w:val="20"/>
                <w:szCs w:val="20"/>
                <w:color w:val="auto"/>
              </w:rPr>
            </w:pPr>
            <w:r>
              <w:rPr>
                <w:rFonts w:ascii="Arial" w:cs="Arial" w:eastAsia="Arial" w:hAnsi="Arial"/>
                <w:sz w:val="18"/>
                <w:szCs w:val="18"/>
                <w:color w:val="auto"/>
              </w:rPr>
              <w:t>86,883</w:t>
            </w:r>
          </w:p>
        </w:tc>
        <w:tc>
          <w:tcPr>
            <w:tcW w:w="1540" w:type="dxa"/>
            <w:vAlign w:val="bottom"/>
          </w:tcPr>
          <w:p>
            <w:pPr>
              <w:jc w:val="right"/>
              <w:ind w:right="317"/>
              <w:spacing w:after="0"/>
              <w:rPr>
                <w:sz w:val="20"/>
                <w:szCs w:val="20"/>
                <w:color w:val="auto"/>
              </w:rPr>
            </w:pPr>
            <w:r>
              <w:rPr>
                <w:rFonts w:ascii="Arial" w:cs="Arial" w:eastAsia="Arial" w:hAnsi="Arial"/>
                <w:sz w:val="18"/>
                <w:szCs w:val="18"/>
                <w:color w:val="auto"/>
              </w:rPr>
              <w:t>72,160</w:t>
            </w:r>
          </w:p>
        </w:tc>
        <w:tc>
          <w:tcPr>
            <w:tcW w:w="880" w:type="dxa"/>
            <w:vAlign w:val="bottom"/>
          </w:tcPr>
          <w:p>
            <w:pPr>
              <w:spacing w:after="0"/>
              <w:rPr>
                <w:sz w:val="20"/>
                <w:szCs w:val="20"/>
                <w:color w:val="auto"/>
              </w:rPr>
            </w:pPr>
          </w:p>
        </w:tc>
        <w:tc>
          <w:tcPr>
            <w:tcW w:w="600" w:type="dxa"/>
            <w:vAlign w:val="bottom"/>
          </w:tcPr>
          <w:p>
            <w:pPr>
              <w:jc w:val="center"/>
              <w:ind w:right="290"/>
              <w:spacing w:after="0"/>
              <w:rPr>
                <w:sz w:val="20"/>
                <w:szCs w:val="20"/>
                <w:color w:val="auto"/>
              </w:rPr>
            </w:pPr>
            <w:r>
              <w:rPr>
                <w:rFonts w:ascii="Arial" w:cs="Arial" w:eastAsia="Arial" w:hAnsi="Arial"/>
                <w:sz w:val="18"/>
                <w:szCs w:val="18"/>
                <w:color w:val="auto"/>
                <w:w w:val="99"/>
              </w:rPr>
              <w:t>—</w:t>
            </w:r>
          </w:p>
        </w:tc>
        <w:tc>
          <w:tcPr>
            <w:tcW w:w="1320" w:type="dxa"/>
            <w:vAlign w:val="bottom"/>
          </w:tcPr>
          <w:p>
            <w:pPr>
              <w:jc w:val="right"/>
              <w:ind w:right="14"/>
              <w:spacing w:after="0"/>
              <w:rPr>
                <w:sz w:val="20"/>
                <w:szCs w:val="20"/>
                <w:color w:val="auto"/>
              </w:rPr>
            </w:pPr>
            <w:r>
              <w:rPr>
                <w:rFonts w:ascii="Arial" w:cs="Arial" w:eastAsia="Arial" w:hAnsi="Arial"/>
                <w:sz w:val="18"/>
                <w:szCs w:val="18"/>
                <w:color w:val="auto"/>
              </w:rPr>
              <w:t>159,043</w:t>
            </w:r>
          </w:p>
        </w:tc>
        <w:tc>
          <w:tcPr>
            <w:tcW w:w="0" w:type="dxa"/>
            <w:vAlign w:val="bottom"/>
          </w:tcPr>
          <w:p>
            <w:pPr>
              <w:spacing w:after="0"/>
              <w:rPr>
                <w:sz w:val="1"/>
                <w:szCs w:val="1"/>
                <w:color w:val="auto"/>
              </w:rPr>
            </w:pPr>
          </w:p>
        </w:tc>
      </w:tr>
    </w:tbl>
    <w:p>
      <w:pPr>
        <w:spacing w:after="0" w:line="183" w:lineRule="exact"/>
        <w:rPr>
          <w:sz w:val="20"/>
          <w:szCs w:val="20"/>
          <w:color w:val="auto"/>
        </w:rPr>
      </w:pPr>
    </w:p>
    <w:p>
      <w:pPr>
        <w:jc w:val="center"/>
        <w:ind w:right="60"/>
        <w:spacing w:after="0"/>
        <w:rPr>
          <w:sz w:val="20"/>
          <w:szCs w:val="20"/>
          <w:color w:val="auto"/>
        </w:rPr>
      </w:pPr>
      <w:r>
        <w:rPr>
          <w:rFonts w:ascii="Arial" w:cs="Arial" w:eastAsia="Arial" w:hAnsi="Arial"/>
          <w:sz w:val="17"/>
          <w:szCs w:val="17"/>
          <w:color w:val="auto"/>
        </w:rPr>
        <w:t>The Company leases space under operating leases. Future minimum lease payments under such leases as of June 30, 2018 are as follows:</w:t>
      </w:r>
    </w:p>
    <w:p>
      <w:pPr>
        <w:spacing w:after="0" w:line="243" w:lineRule="exact"/>
        <w:rPr>
          <w:sz w:val="20"/>
          <w:szCs w:val="20"/>
          <w:color w:val="auto"/>
        </w:rPr>
      </w:pPr>
    </w:p>
    <w:tbl>
      <w:tblPr>
        <w:tblLayout w:type="fixed"/>
        <w:tblInd w:w="6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720" w:type="dxa"/>
            <w:vAlign w:val="bottom"/>
          </w:tcPr>
          <w:p>
            <w:pPr>
              <w:spacing w:after="0"/>
              <w:rPr>
                <w:sz w:val="14"/>
                <w:szCs w:val="14"/>
                <w:color w:val="auto"/>
              </w:rPr>
            </w:pPr>
          </w:p>
        </w:tc>
        <w:tc>
          <w:tcPr>
            <w:tcW w:w="2920" w:type="dxa"/>
            <w:vAlign w:val="bottom"/>
            <w:vMerge w:val="restart"/>
          </w:tcPr>
          <w:p>
            <w:pPr>
              <w:ind w:left="1700"/>
              <w:spacing w:after="0"/>
              <w:rPr>
                <w:sz w:val="20"/>
                <w:szCs w:val="20"/>
                <w:color w:val="auto"/>
              </w:rPr>
            </w:pPr>
            <w:r>
              <w:rPr>
                <w:rFonts w:ascii="Arial" w:cs="Arial" w:eastAsia="Arial" w:hAnsi="Arial"/>
                <w:sz w:val="14"/>
                <w:szCs w:val="14"/>
                <w:b w:val="1"/>
                <w:bCs w:val="1"/>
                <w:color w:val="auto"/>
              </w:rPr>
              <w:t>Within 1 Year</w:t>
            </w:r>
          </w:p>
        </w:tc>
        <w:tc>
          <w:tcPr>
            <w:tcW w:w="3100" w:type="dxa"/>
            <w:vAlign w:val="bottom"/>
            <w:gridSpan w:val="2"/>
          </w:tcPr>
          <w:p>
            <w:pPr>
              <w:ind w:left="660"/>
              <w:spacing w:after="0"/>
              <w:rPr>
                <w:sz w:val="20"/>
                <w:szCs w:val="20"/>
                <w:color w:val="auto"/>
              </w:rPr>
            </w:pPr>
            <w:r>
              <w:rPr>
                <w:rFonts w:ascii="Arial" w:cs="Arial" w:eastAsia="Arial" w:hAnsi="Arial"/>
                <w:sz w:val="14"/>
                <w:szCs w:val="14"/>
                <w:b w:val="1"/>
                <w:bCs w:val="1"/>
                <w:color w:val="auto"/>
              </w:rPr>
              <w:t>Minimum Lease Payment Due</w:t>
            </w:r>
          </w:p>
        </w:tc>
        <w:tc>
          <w:tcPr>
            <w:tcW w:w="1380" w:type="dxa"/>
            <w:vAlign w:val="bottom"/>
            <w:vMerge w:val="restart"/>
          </w:tcPr>
          <w:p>
            <w:pPr>
              <w:jc w:val="center"/>
              <w:ind w:left="219"/>
              <w:spacing w:after="0"/>
              <w:rPr>
                <w:sz w:val="20"/>
                <w:szCs w:val="20"/>
                <w:color w:val="auto"/>
              </w:rPr>
            </w:pPr>
            <w:r>
              <w:rPr>
                <w:rFonts w:ascii="Arial" w:cs="Arial" w:eastAsia="Arial" w:hAnsi="Arial"/>
                <w:sz w:val="14"/>
                <w:szCs w:val="14"/>
                <w:b w:val="1"/>
                <w:bCs w:val="1"/>
                <w:color w:val="auto"/>
                <w:w w:val="95"/>
              </w:rPr>
              <w:t>Total</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2720" w:type="dxa"/>
            <w:vAlign w:val="bottom"/>
          </w:tcPr>
          <w:p>
            <w:pPr>
              <w:spacing w:after="0"/>
              <w:rPr>
                <w:sz w:val="14"/>
                <w:szCs w:val="14"/>
                <w:color w:val="auto"/>
              </w:rPr>
            </w:pPr>
          </w:p>
        </w:tc>
        <w:tc>
          <w:tcPr>
            <w:tcW w:w="2920" w:type="dxa"/>
            <w:vAlign w:val="bottom"/>
            <w:vMerge w:val="continue"/>
          </w:tcPr>
          <w:p>
            <w:pPr>
              <w:spacing w:after="0"/>
              <w:rPr>
                <w:sz w:val="14"/>
                <w:szCs w:val="14"/>
                <w:color w:val="auto"/>
              </w:rPr>
            </w:pPr>
          </w:p>
        </w:tc>
        <w:tc>
          <w:tcPr>
            <w:tcW w:w="1560" w:type="dxa"/>
            <w:vAlign w:val="bottom"/>
          </w:tcPr>
          <w:p>
            <w:pPr>
              <w:jc w:val="center"/>
              <w:spacing w:after="0"/>
              <w:rPr>
                <w:sz w:val="20"/>
                <w:szCs w:val="20"/>
                <w:color w:val="auto"/>
              </w:rPr>
            </w:pPr>
            <w:r>
              <w:rPr>
                <w:rFonts w:ascii="Arial" w:cs="Arial" w:eastAsia="Arial" w:hAnsi="Arial"/>
                <w:sz w:val="14"/>
                <w:szCs w:val="14"/>
                <w:b w:val="1"/>
                <w:bCs w:val="1"/>
                <w:color w:val="auto"/>
                <w:w w:val="89"/>
              </w:rPr>
              <w:t>1-5 Years</w:t>
            </w:r>
          </w:p>
        </w:tc>
        <w:tc>
          <w:tcPr>
            <w:tcW w:w="1540" w:type="dxa"/>
            <w:vAlign w:val="bottom"/>
          </w:tcPr>
          <w:p>
            <w:pPr>
              <w:ind w:left="360"/>
              <w:spacing w:after="0"/>
              <w:rPr>
                <w:sz w:val="20"/>
                <w:szCs w:val="20"/>
                <w:color w:val="auto"/>
              </w:rPr>
            </w:pPr>
            <w:r>
              <w:rPr>
                <w:rFonts w:ascii="Arial" w:cs="Arial" w:eastAsia="Arial" w:hAnsi="Arial"/>
                <w:sz w:val="14"/>
                <w:szCs w:val="14"/>
                <w:b w:val="1"/>
                <w:bCs w:val="1"/>
                <w:color w:val="auto"/>
              </w:rPr>
              <w:t>After 5 Years</w:t>
            </w:r>
          </w:p>
        </w:tc>
        <w:tc>
          <w:tcPr>
            <w:tcW w:w="13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7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June 30, 2018</w:t>
            </w:r>
          </w:p>
        </w:tc>
        <w:tc>
          <w:tcPr>
            <w:tcW w:w="2920" w:type="dxa"/>
            <w:vAlign w:val="bottom"/>
            <w:shd w:val="clear" w:color="auto" w:fill="CCEEFF"/>
          </w:tcPr>
          <w:p>
            <w:pPr>
              <w:ind w:left="1700"/>
              <w:spacing w:after="0"/>
              <w:rPr>
                <w:sz w:val="20"/>
                <w:szCs w:val="20"/>
                <w:color w:val="auto"/>
              </w:rPr>
            </w:pPr>
            <w:r>
              <w:rPr>
                <w:rFonts w:ascii="Arial" w:cs="Arial" w:eastAsia="Arial" w:hAnsi="Arial"/>
                <w:sz w:val="18"/>
                <w:szCs w:val="18"/>
                <w:color w:val="auto"/>
              </w:rPr>
              <w:t>A$ 525,919</w:t>
            </w:r>
          </w:p>
        </w:tc>
        <w:tc>
          <w:tcPr>
            <w:tcW w:w="15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4"/>
              </w:rPr>
              <w:t>A$856,541</w:t>
            </w:r>
          </w:p>
        </w:tc>
        <w:tc>
          <w:tcPr>
            <w:tcW w:w="1540" w:type="dxa"/>
            <w:vAlign w:val="bottom"/>
            <w:shd w:val="clear" w:color="auto" w:fill="CCEEFF"/>
          </w:tcPr>
          <w:p>
            <w:pPr>
              <w:ind w:left="900"/>
              <w:spacing w:after="0"/>
              <w:rPr>
                <w:sz w:val="20"/>
                <w:szCs w:val="20"/>
                <w:color w:val="auto"/>
              </w:rPr>
            </w:pPr>
            <w:r>
              <w:rPr>
                <w:rFonts w:ascii="Arial" w:cs="Arial" w:eastAsia="Arial" w:hAnsi="Arial"/>
                <w:sz w:val="18"/>
                <w:szCs w:val="18"/>
                <w:color w:val="auto"/>
              </w:rPr>
              <w:t>—</w:t>
            </w:r>
          </w:p>
        </w:tc>
        <w:tc>
          <w:tcPr>
            <w:tcW w:w="1380" w:type="dxa"/>
            <w:vAlign w:val="bottom"/>
            <w:shd w:val="clear" w:color="auto" w:fill="CCEEFF"/>
          </w:tcPr>
          <w:p>
            <w:pPr>
              <w:jc w:val="center"/>
              <w:ind w:left="219"/>
              <w:spacing w:after="0"/>
              <w:rPr>
                <w:sz w:val="20"/>
                <w:szCs w:val="20"/>
                <w:color w:val="auto"/>
              </w:rPr>
            </w:pPr>
            <w:r>
              <w:rPr>
                <w:rFonts w:ascii="Arial" w:cs="Arial" w:eastAsia="Arial" w:hAnsi="Arial"/>
                <w:sz w:val="18"/>
                <w:szCs w:val="18"/>
                <w:color w:val="auto"/>
                <w:w w:val="93"/>
              </w:rPr>
              <w:t>A$1,382,460</w:t>
            </w:r>
          </w:p>
        </w:tc>
        <w:tc>
          <w:tcPr>
            <w:tcW w:w="0" w:type="dxa"/>
            <w:vAlign w:val="bottom"/>
          </w:tcPr>
          <w:p>
            <w:pPr>
              <w:spacing w:after="0"/>
              <w:rPr>
                <w:sz w:val="1"/>
                <w:szCs w:val="1"/>
                <w:color w:val="auto"/>
              </w:rPr>
            </w:pPr>
          </w:p>
        </w:tc>
      </w:tr>
    </w:tbl>
    <w:p>
      <w:pPr>
        <w:spacing w:after="0" w:line="306"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ITEM 6. DIRECTORS, SENIOR MANAGEMENT AND EMPLOYEES</w:t>
      </w:r>
    </w:p>
    <w:p>
      <w:pPr>
        <w:spacing w:after="0" w:line="117"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A. Directors and Senior Management</w:t>
      </w:r>
    </w:p>
    <w:p>
      <w:pPr>
        <w:spacing w:after="0" w:line="121" w:lineRule="exact"/>
        <w:rPr>
          <w:sz w:val="20"/>
          <w:szCs w:val="20"/>
          <w:color w:val="auto"/>
        </w:rPr>
      </w:pPr>
    </w:p>
    <w:p>
      <w:pPr>
        <w:ind w:left="200" w:right="20" w:firstLine="441"/>
        <w:spacing w:after="0" w:line="264" w:lineRule="auto"/>
        <w:rPr>
          <w:sz w:val="20"/>
          <w:szCs w:val="20"/>
          <w:color w:val="auto"/>
        </w:rPr>
      </w:pPr>
      <w:r>
        <w:rPr>
          <w:rFonts w:ascii="Arial" w:cs="Arial" w:eastAsia="Arial" w:hAnsi="Arial"/>
          <w:sz w:val="18"/>
          <w:szCs w:val="18"/>
          <w:color w:val="auto"/>
        </w:rPr>
        <w:t>The following table sets forth our directors and senior management, their age and the positions they held as of the date of this registration statement on Form 20-F. All of our directors and senior management may be contacted at our registered office located at c/o Mertons Corporate Services Pty Ltd Level 7 330 Collins Street Melbourne VIC 3000, Australia.</w:t>
      </w:r>
    </w:p>
    <w:p>
      <w:pPr>
        <w:spacing w:after="0" w:line="200" w:lineRule="exact"/>
        <w:rPr>
          <w:sz w:val="20"/>
          <w:szCs w:val="20"/>
          <w:color w:val="auto"/>
        </w:rPr>
      </w:pPr>
    </w:p>
    <w:tbl>
      <w:tblPr>
        <w:tblLayout w:type="fixed"/>
        <w:tblInd w:w="200" w:type="dxa"/>
        <w:tblCellMar>
          <w:top w:w="0" w:type="dxa"/>
          <w:left w:w="0" w:type="dxa"/>
          <w:bottom w:w="0" w:type="dxa"/>
          <w:right w:w="0" w:type="dxa"/>
        </w:tblCellMar>
      </w:tblPr>
      <w:tr>
        <w:trPr>
          <w:trHeight w:val="191"/>
        </w:trPr>
        <w:tc>
          <w:tcPr>
            <w:tcW w:w="2960" w:type="dxa"/>
            <w:vAlign w:val="bottom"/>
            <w:gridSpan w:val="2"/>
          </w:tcPr>
          <w:p>
            <w:pPr>
              <w:spacing w:after="0"/>
              <w:rPr>
                <w:sz w:val="20"/>
                <w:szCs w:val="20"/>
                <w:color w:val="auto"/>
              </w:rPr>
            </w:pPr>
            <w:r>
              <w:rPr>
                <w:rFonts w:ascii="Arial" w:cs="Arial" w:eastAsia="Arial" w:hAnsi="Arial"/>
                <w:sz w:val="14"/>
                <w:szCs w:val="14"/>
                <w:b w:val="1"/>
                <w:bCs w:val="1"/>
                <w:color w:val="auto"/>
              </w:rPr>
              <w:t>Name</w:t>
            </w:r>
          </w:p>
        </w:tc>
        <w:tc>
          <w:tcPr>
            <w:tcW w:w="1140" w:type="dxa"/>
            <w:vAlign w:val="bottom"/>
            <w:gridSpan w:val="2"/>
          </w:tcPr>
          <w:p>
            <w:pPr>
              <w:jc w:val="right"/>
              <w:spacing w:after="0"/>
              <w:rPr>
                <w:sz w:val="20"/>
                <w:szCs w:val="20"/>
                <w:color w:val="auto"/>
              </w:rPr>
            </w:pPr>
            <w:r>
              <w:rPr>
                <w:rFonts w:ascii="Arial" w:cs="Arial" w:eastAsia="Arial" w:hAnsi="Arial"/>
                <w:sz w:val="14"/>
                <w:szCs w:val="14"/>
                <w:b w:val="1"/>
                <w:bCs w:val="1"/>
                <w:color w:val="auto"/>
              </w:rPr>
              <w:t>Age</w:t>
            </w:r>
          </w:p>
        </w:tc>
        <w:tc>
          <w:tcPr>
            <w:tcW w:w="4880" w:type="dxa"/>
            <w:vAlign w:val="bottom"/>
            <w:gridSpan w:val="3"/>
          </w:tcPr>
          <w:p>
            <w:pPr>
              <w:ind w:left="220"/>
              <w:spacing w:after="0"/>
              <w:rPr>
                <w:sz w:val="20"/>
                <w:szCs w:val="20"/>
                <w:color w:val="auto"/>
              </w:rPr>
            </w:pPr>
            <w:r>
              <w:rPr>
                <w:rFonts w:ascii="Arial" w:cs="Arial" w:eastAsia="Arial" w:hAnsi="Arial"/>
                <w:sz w:val="14"/>
                <w:szCs w:val="14"/>
                <w:b w:val="1"/>
                <w:bCs w:val="1"/>
                <w:color w:val="auto"/>
              </w:rPr>
              <w:t>Position</w:t>
            </w:r>
          </w:p>
        </w:tc>
      </w:tr>
      <w:tr>
        <w:trPr>
          <w:trHeight w:val="189"/>
        </w:trPr>
        <w:tc>
          <w:tcPr>
            <w:tcW w:w="380" w:type="dxa"/>
            <w:vAlign w:val="bottom"/>
            <w:tcBorders>
              <w:top w:val="single" w:sz="8" w:color="auto"/>
            </w:tcBorders>
          </w:tcPr>
          <w:p>
            <w:pPr>
              <w:spacing w:after="0" w:line="189" w:lineRule="exact"/>
              <w:rPr>
                <w:sz w:val="20"/>
                <w:szCs w:val="20"/>
                <w:color w:val="auto"/>
              </w:rPr>
            </w:pPr>
            <w:r>
              <w:rPr>
                <w:rFonts w:ascii="Arial" w:cs="Arial" w:eastAsia="Arial" w:hAnsi="Arial"/>
                <w:sz w:val="18"/>
                <w:szCs w:val="18"/>
                <w:color w:val="auto"/>
              </w:rPr>
              <w:t>Lou</w:t>
            </w:r>
          </w:p>
        </w:tc>
        <w:tc>
          <w:tcPr>
            <w:tcW w:w="2580" w:type="dxa"/>
            <w:vAlign w:val="bottom"/>
          </w:tcPr>
          <w:p>
            <w:pPr>
              <w:spacing w:after="0" w:line="189" w:lineRule="exact"/>
              <w:rPr>
                <w:sz w:val="20"/>
                <w:szCs w:val="20"/>
                <w:color w:val="auto"/>
              </w:rPr>
            </w:pPr>
            <w:r>
              <w:rPr>
                <w:rFonts w:ascii="Arial" w:cs="Arial" w:eastAsia="Arial" w:hAnsi="Arial"/>
                <w:sz w:val="18"/>
                <w:szCs w:val="18"/>
                <w:color w:val="auto"/>
              </w:rPr>
              <w:t>Panaccio(1)</w:t>
            </w:r>
          </w:p>
        </w:tc>
        <w:tc>
          <w:tcPr>
            <w:tcW w:w="900" w:type="dxa"/>
            <w:vAlign w:val="bottom"/>
          </w:tcPr>
          <w:p>
            <w:pPr>
              <w:spacing w:after="0"/>
              <w:rPr>
                <w:sz w:val="16"/>
                <w:szCs w:val="16"/>
                <w:color w:val="auto"/>
              </w:rPr>
            </w:pPr>
          </w:p>
        </w:tc>
        <w:tc>
          <w:tcPr>
            <w:tcW w:w="240" w:type="dxa"/>
            <w:vAlign w:val="bottom"/>
            <w:tcBorders>
              <w:top w:val="single" w:sz="8" w:color="auto"/>
            </w:tcBorders>
          </w:tcPr>
          <w:p>
            <w:pPr>
              <w:jc w:val="right"/>
              <w:spacing w:after="0" w:line="189" w:lineRule="exact"/>
              <w:rPr>
                <w:sz w:val="20"/>
                <w:szCs w:val="20"/>
                <w:color w:val="auto"/>
              </w:rPr>
            </w:pPr>
            <w:r>
              <w:rPr>
                <w:rFonts w:ascii="Arial" w:cs="Arial" w:eastAsia="Arial" w:hAnsi="Arial"/>
                <w:sz w:val="18"/>
                <w:szCs w:val="18"/>
                <w:color w:val="auto"/>
                <w:w w:val="79"/>
              </w:rPr>
              <w:t>61</w:t>
            </w:r>
          </w:p>
        </w:tc>
        <w:tc>
          <w:tcPr>
            <w:tcW w:w="220" w:type="dxa"/>
            <w:vAlign w:val="bottom"/>
          </w:tcPr>
          <w:p>
            <w:pPr>
              <w:spacing w:after="0"/>
              <w:rPr>
                <w:sz w:val="16"/>
                <w:szCs w:val="16"/>
                <w:color w:val="auto"/>
              </w:rPr>
            </w:pPr>
          </w:p>
        </w:tc>
        <w:tc>
          <w:tcPr>
            <w:tcW w:w="500" w:type="dxa"/>
            <w:vAlign w:val="bottom"/>
            <w:tcBorders>
              <w:top w:val="single" w:sz="8" w:color="auto"/>
            </w:tcBorders>
          </w:tcPr>
          <w:p>
            <w:pPr>
              <w:spacing w:after="0" w:line="189" w:lineRule="exact"/>
              <w:rPr>
                <w:sz w:val="20"/>
                <w:szCs w:val="20"/>
                <w:color w:val="auto"/>
              </w:rPr>
            </w:pPr>
            <w:r>
              <w:rPr>
                <w:rFonts w:ascii="Arial" w:cs="Arial" w:eastAsia="Arial" w:hAnsi="Arial"/>
                <w:sz w:val="18"/>
                <w:szCs w:val="18"/>
                <w:color w:val="auto"/>
              </w:rPr>
              <w:t>Non-</w:t>
            </w:r>
          </w:p>
        </w:tc>
        <w:tc>
          <w:tcPr>
            <w:tcW w:w="4160" w:type="dxa"/>
            <w:vAlign w:val="bottom"/>
          </w:tcPr>
          <w:p>
            <w:pPr>
              <w:spacing w:after="0" w:line="189" w:lineRule="exact"/>
              <w:rPr>
                <w:sz w:val="20"/>
                <w:szCs w:val="20"/>
                <w:color w:val="auto"/>
              </w:rPr>
            </w:pPr>
            <w:r>
              <w:rPr>
                <w:rFonts w:ascii="Arial" w:cs="Arial" w:eastAsia="Arial" w:hAnsi="Arial"/>
                <w:sz w:val="18"/>
                <w:szCs w:val="18"/>
                <w:color w:val="auto"/>
              </w:rPr>
              <w:t>Executive Chairman</w:t>
            </w:r>
          </w:p>
        </w:tc>
      </w:tr>
      <w:tr>
        <w:trPr>
          <w:trHeight w:val="216"/>
        </w:trPr>
        <w:tc>
          <w:tcPr>
            <w:tcW w:w="2960" w:type="dxa"/>
            <w:vAlign w:val="bottom"/>
            <w:gridSpan w:val="2"/>
          </w:tcPr>
          <w:p>
            <w:pPr>
              <w:spacing w:after="0"/>
              <w:rPr>
                <w:sz w:val="20"/>
                <w:szCs w:val="20"/>
                <w:color w:val="auto"/>
              </w:rPr>
            </w:pPr>
            <w:r>
              <w:rPr>
                <w:rFonts w:ascii="Arial" w:cs="Arial" w:eastAsia="Arial" w:hAnsi="Arial"/>
                <w:sz w:val="18"/>
                <w:szCs w:val="18"/>
                <w:color w:val="auto"/>
              </w:rPr>
              <w:t>Dr. Michael Perry</w:t>
            </w:r>
          </w:p>
        </w:tc>
        <w:tc>
          <w:tcPr>
            <w:tcW w:w="1140" w:type="dxa"/>
            <w:vAlign w:val="bottom"/>
            <w:gridSpan w:val="2"/>
          </w:tcPr>
          <w:p>
            <w:pPr>
              <w:jc w:val="right"/>
              <w:spacing w:after="0"/>
              <w:rPr>
                <w:sz w:val="20"/>
                <w:szCs w:val="20"/>
                <w:color w:val="auto"/>
              </w:rPr>
            </w:pPr>
            <w:r>
              <w:rPr>
                <w:rFonts w:ascii="Arial" w:cs="Arial" w:eastAsia="Arial" w:hAnsi="Arial"/>
                <w:sz w:val="18"/>
                <w:szCs w:val="18"/>
                <w:color w:val="auto"/>
              </w:rPr>
              <w:t>60</w:t>
            </w:r>
          </w:p>
        </w:tc>
        <w:tc>
          <w:tcPr>
            <w:tcW w:w="4880" w:type="dxa"/>
            <w:vAlign w:val="bottom"/>
            <w:gridSpan w:val="3"/>
          </w:tcPr>
          <w:p>
            <w:pPr>
              <w:ind w:left="220"/>
              <w:spacing w:after="0"/>
              <w:rPr>
                <w:sz w:val="20"/>
                <w:szCs w:val="20"/>
                <w:color w:val="auto"/>
              </w:rPr>
            </w:pPr>
            <w:r>
              <w:rPr>
                <w:rFonts w:ascii="Arial" w:cs="Arial" w:eastAsia="Arial" w:hAnsi="Arial"/>
                <w:sz w:val="18"/>
                <w:szCs w:val="18"/>
                <w:color w:val="auto"/>
              </w:rPr>
              <w:t>Executive Director and Chief Executive Officer</w:t>
            </w:r>
          </w:p>
        </w:tc>
      </w:tr>
      <w:tr>
        <w:trPr>
          <w:trHeight w:val="216"/>
        </w:trPr>
        <w:tc>
          <w:tcPr>
            <w:tcW w:w="2960" w:type="dxa"/>
            <w:vAlign w:val="bottom"/>
            <w:gridSpan w:val="2"/>
          </w:tcPr>
          <w:p>
            <w:pPr>
              <w:spacing w:after="0"/>
              <w:rPr>
                <w:sz w:val="20"/>
                <w:szCs w:val="20"/>
                <w:color w:val="auto"/>
              </w:rPr>
            </w:pPr>
            <w:r>
              <w:rPr>
                <w:rFonts w:ascii="Arial" w:cs="Arial" w:eastAsia="Arial" w:hAnsi="Arial"/>
                <w:sz w:val="18"/>
                <w:szCs w:val="18"/>
                <w:color w:val="auto"/>
              </w:rPr>
              <w:t>Erin Liberto</w:t>
            </w:r>
          </w:p>
        </w:tc>
        <w:tc>
          <w:tcPr>
            <w:tcW w:w="1140" w:type="dxa"/>
            <w:vAlign w:val="bottom"/>
            <w:gridSpan w:val="2"/>
          </w:tcPr>
          <w:p>
            <w:pPr>
              <w:jc w:val="right"/>
              <w:spacing w:after="0"/>
              <w:rPr>
                <w:sz w:val="20"/>
                <w:szCs w:val="20"/>
                <w:color w:val="auto"/>
              </w:rPr>
            </w:pPr>
            <w:r>
              <w:rPr>
                <w:rFonts w:ascii="Arial" w:cs="Arial" w:eastAsia="Arial" w:hAnsi="Arial"/>
                <w:sz w:val="18"/>
                <w:szCs w:val="18"/>
                <w:color w:val="auto"/>
              </w:rPr>
              <w:t>45</w:t>
            </w:r>
          </w:p>
        </w:tc>
        <w:tc>
          <w:tcPr>
            <w:tcW w:w="4880" w:type="dxa"/>
            <w:vAlign w:val="bottom"/>
            <w:gridSpan w:val="3"/>
          </w:tcPr>
          <w:p>
            <w:pPr>
              <w:ind w:left="220"/>
              <w:spacing w:after="0"/>
              <w:rPr>
                <w:sz w:val="20"/>
                <w:szCs w:val="20"/>
                <w:color w:val="auto"/>
              </w:rPr>
            </w:pPr>
            <w:r>
              <w:rPr>
                <w:rFonts w:ascii="Arial" w:cs="Arial" w:eastAsia="Arial" w:hAnsi="Arial"/>
                <w:sz w:val="18"/>
                <w:szCs w:val="18"/>
                <w:color w:val="auto"/>
              </w:rPr>
              <w:t>Chief Commercial Officer</w:t>
            </w:r>
          </w:p>
        </w:tc>
      </w:tr>
      <w:tr>
        <w:trPr>
          <w:trHeight w:val="216"/>
        </w:trPr>
        <w:tc>
          <w:tcPr>
            <w:tcW w:w="2960" w:type="dxa"/>
            <w:vAlign w:val="bottom"/>
            <w:gridSpan w:val="2"/>
          </w:tcPr>
          <w:p>
            <w:pPr>
              <w:spacing w:after="0"/>
              <w:rPr>
                <w:sz w:val="20"/>
                <w:szCs w:val="20"/>
                <w:color w:val="auto"/>
              </w:rPr>
            </w:pPr>
            <w:r>
              <w:rPr>
                <w:rFonts w:ascii="Arial" w:cs="Arial" w:eastAsia="Arial" w:hAnsi="Arial"/>
                <w:sz w:val="18"/>
                <w:szCs w:val="18"/>
                <w:color w:val="auto"/>
              </w:rPr>
              <w:t>Tim Rooney</w:t>
            </w:r>
          </w:p>
        </w:tc>
        <w:tc>
          <w:tcPr>
            <w:tcW w:w="1140" w:type="dxa"/>
            <w:vAlign w:val="bottom"/>
            <w:gridSpan w:val="2"/>
          </w:tcPr>
          <w:p>
            <w:pPr>
              <w:jc w:val="right"/>
              <w:spacing w:after="0"/>
              <w:rPr>
                <w:sz w:val="20"/>
                <w:szCs w:val="20"/>
                <w:color w:val="auto"/>
              </w:rPr>
            </w:pPr>
            <w:r>
              <w:rPr>
                <w:rFonts w:ascii="Arial" w:cs="Arial" w:eastAsia="Arial" w:hAnsi="Arial"/>
                <w:sz w:val="18"/>
                <w:szCs w:val="18"/>
                <w:color w:val="auto"/>
              </w:rPr>
              <w:t>52</w:t>
            </w:r>
          </w:p>
        </w:tc>
        <w:tc>
          <w:tcPr>
            <w:tcW w:w="4880" w:type="dxa"/>
            <w:vAlign w:val="bottom"/>
            <w:gridSpan w:val="3"/>
          </w:tcPr>
          <w:p>
            <w:pPr>
              <w:ind w:left="220"/>
              <w:spacing w:after="0"/>
              <w:rPr>
                <w:sz w:val="20"/>
                <w:szCs w:val="20"/>
                <w:color w:val="auto"/>
              </w:rPr>
            </w:pPr>
            <w:r>
              <w:rPr>
                <w:rFonts w:ascii="Arial" w:cs="Arial" w:eastAsia="Arial" w:hAnsi="Arial"/>
                <w:sz w:val="18"/>
                <w:szCs w:val="18"/>
                <w:color w:val="auto"/>
                <w:w w:val="93"/>
              </w:rPr>
              <w:t>Chief Administrative Officer and interim Chief Financial Officer</w:t>
            </w:r>
          </w:p>
        </w:tc>
      </w:tr>
      <w:tr>
        <w:trPr>
          <w:trHeight w:val="216"/>
        </w:trPr>
        <w:tc>
          <w:tcPr>
            <w:tcW w:w="2960" w:type="dxa"/>
            <w:vAlign w:val="bottom"/>
            <w:gridSpan w:val="2"/>
          </w:tcPr>
          <w:p>
            <w:pPr>
              <w:spacing w:after="0"/>
              <w:rPr>
                <w:sz w:val="20"/>
                <w:szCs w:val="20"/>
                <w:color w:val="auto"/>
              </w:rPr>
            </w:pPr>
            <w:r>
              <w:rPr>
                <w:rFonts w:ascii="Arial" w:cs="Arial" w:eastAsia="Arial" w:hAnsi="Arial"/>
                <w:sz w:val="18"/>
                <w:szCs w:val="18"/>
                <w:color w:val="auto"/>
              </w:rPr>
              <w:t>Andrew Quick</w:t>
            </w:r>
          </w:p>
        </w:tc>
        <w:tc>
          <w:tcPr>
            <w:tcW w:w="1140" w:type="dxa"/>
            <w:vAlign w:val="bottom"/>
            <w:gridSpan w:val="2"/>
          </w:tcPr>
          <w:p>
            <w:pPr>
              <w:jc w:val="right"/>
              <w:spacing w:after="0"/>
              <w:rPr>
                <w:sz w:val="20"/>
                <w:szCs w:val="20"/>
                <w:color w:val="auto"/>
              </w:rPr>
            </w:pPr>
            <w:r>
              <w:rPr>
                <w:rFonts w:ascii="Arial" w:cs="Arial" w:eastAsia="Arial" w:hAnsi="Arial"/>
                <w:sz w:val="18"/>
                <w:szCs w:val="18"/>
                <w:color w:val="auto"/>
              </w:rPr>
              <w:t>48</w:t>
            </w:r>
          </w:p>
        </w:tc>
        <w:tc>
          <w:tcPr>
            <w:tcW w:w="4880" w:type="dxa"/>
            <w:vAlign w:val="bottom"/>
            <w:gridSpan w:val="3"/>
          </w:tcPr>
          <w:p>
            <w:pPr>
              <w:ind w:left="220"/>
              <w:spacing w:after="0"/>
              <w:rPr>
                <w:sz w:val="20"/>
                <w:szCs w:val="20"/>
                <w:color w:val="auto"/>
              </w:rPr>
            </w:pPr>
            <w:r>
              <w:rPr>
                <w:rFonts w:ascii="Arial" w:cs="Arial" w:eastAsia="Arial" w:hAnsi="Arial"/>
                <w:sz w:val="18"/>
                <w:szCs w:val="18"/>
                <w:color w:val="auto"/>
              </w:rPr>
              <w:t>Chief Technology Officer</w:t>
            </w:r>
          </w:p>
        </w:tc>
      </w:tr>
      <w:tr>
        <w:trPr>
          <w:trHeight w:val="216"/>
        </w:trPr>
        <w:tc>
          <w:tcPr>
            <w:tcW w:w="2960" w:type="dxa"/>
            <w:vAlign w:val="bottom"/>
            <w:gridSpan w:val="2"/>
          </w:tcPr>
          <w:p>
            <w:pPr>
              <w:spacing w:after="0"/>
              <w:rPr>
                <w:sz w:val="20"/>
                <w:szCs w:val="20"/>
                <w:color w:val="auto"/>
              </w:rPr>
            </w:pPr>
            <w:r>
              <w:rPr>
                <w:rFonts w:ascii="Arial" w:cs="Arial" w:eastAsia="Arial" w:hAnsi="Arial"/>
                <w:sz w:val="18"/>
                <w:szCs w:val="18"/>
                <w:color w:val="auto"/>
              </w:rPr>
              <w:t>Donna Shiroma</w:t>
            </w:r>
          </w:p>
        </w:tc>
        <w:tc>
          <w:tcPr>
            <w:tcW w:w="1140" w:type="dxa"/>
            <w:vAlign w:val="bottom"/>
            <w:gridSpan w:val="2"/>
          </w:tcPr>
          <w:p>
            <w:pPr>
              <w:jc w:val="right"/>
              <w:spacing w:after="0"/>
              <w:rPr>
                <w:sz w:val="20"/>
                <w:szCs w:val="20"/>
                <w:color w:val="auto"/>
              </w:rPr>
            </w:pPr>
            <w:r>
              <w:rPr>
                <w:rFonts w:ascii="Arial" w:cs="Arial" w:eastAsia="Arial" w:hAnsi="Arial"/>
                <w:sz w:val="18"/>
                <w:szCs w:val="18"/>
                <w:color w:val="auto"/>
              </w:rPr>
              <w:t>56</w:t>
            </w:r>
          </w:p>
        </w:tc>
        <w:tc>
          <w:tcPr>
            <w:tcW w:w="4880" w:type="dxa"/>
            <w:vAlign w:val="bottom"/>
            <w:gridSpan w:val="3"/>
          </w:tcPr>
          <w:p>
            <w:pPr>
              <w:ind w:left="220"/>
              <w:spacing w:after="0"/>
              <w:rPr>
                <w:sz w:val="20"/>
                <w:szCs w:val="20"/>
                <w:color w:val="auto"/>
              </w:rPr>
            </w:pPr>
            <w:r>
              <w:rPr>
                <w:rFonts w:ascii="Arial" w:cs="Arial" w:eastAsia="Arial" w:hAnsi="Arial"/>
                <w:sz w:val="18"/>
                <w:szCs w:val="18"/>
                <w:color w:val="auto"/>
              </w:rPr>
              <w:t>General Counsel</w:t>
            </w:r>
          </w:p>
        </w:tc>
      </w:tr>
      <w:tr>
        <w:trPr>
          <w:trHeight w:val="216"/>
        </w:trPr>
        <w:tc>
          <w:tcPr>
            <w:tcW w:w="2960" w:type="dxa"/>
            <w:vAlign w:val="bottom"/>
            <w:gridSpan w:val="2"/>
          </w:tcPr>
          <w:p>
            <w:pPr>
              <w:spacing w:after="0"/>
              <w:rPr>
                <w:sz w:val="20"/>
                <w:szCs w:val="20"/>
                <w:color w:val="auto"/>
              </w:rPr>
            </w:pPr>
            <w:r>
              <w:rPr>
                <w:rFonts w:ascii="Arial" w:cs="Arial" w:eastAsia="Arial" w:hAnsi="Arial"/>
                <w:sz w:val="18"/>
                <w:szCs w:val="18"/>
                <w:color w:val="auto"/>
              </w:rPr>
              <w:t>Jeremy Curnock Cook(2)</w:t>
            </w:r>
          </w:p>
        </w:tc>
        <w:tc>
          <w:tcPr>
            <w:tcW w:w="1140" w:type="dxa"/>
            <w:vAlign w:val="bottom"/>
            <w:gridSpan w:val="2"/>
          </w:tcPr>
          <w:p>
            <w:pPr>
              <w:jc w:val="right"/>
              <w:spacing w:after="0"/>
              <w:rPr>
                <w:sz w:val="20"/>
                <w:szCs w:val="20"/>
                <w:color w:val="auto"/>
              </w:rPr>
            </w:pPr>
            <w:r>
              <w:rPr>
                <w:rFonts w:ascii="Arial" w:cs="Arial" w:eastAsia="Arial" w:hAnsi="Arial"/>
                <w:sz w:val="18"/>
                <w:szCs w:val="18"/>
                <w:color w:val="auto"/>
              </w:rPr>
              <w:t>69</w:t>
            </w:r>
          </w:p>
        </w:tc>
        <w:tc>
          <w:tcPr>
            <w:tcW w:w="4880" w:type="dxa"/>
            <w:vAlign w:val="bottom"/>
            <w:gridSpan w:val="3"/>
          </w:tcPr>
          <w:p>
            <w:pPr>
              <w:ind w:left="220"/>
              <w:spacing w:after="0"/>
              <w:rPr>
                <w:sz w:val="20"/>
                <w:szCs w:val="20"/>
                <w:color w:val="auto"/>
              </w:rPr>
            </w:pPr>
            <w:r>
              <w:rPr>
                <w:rFonts w:ascii="Arial" w:cs="Arial" w:eastAsia="Arial" w:hAnsi="Arial"/>
                <w:sz w:val="18"/>
                <w:szCs w:val="18"/>
                <w:color w:val="auto"/>
              </w:rPr>
              <w:t>Non-Executive Director</w:t>
            </w:r>
          </w:p>
        </w:tc>
      </w:tr>
      <w:tr>
        <w:trPr>
          <w:trHeight w:val="216"/>
        </w:trPr>
        <w:tc>
          <w:tcPr>
            <w:tcW w:w="2960" w:type="dxa"/>
            <w:vAlign w:val="bottom"/>
            <w:gridSpan w:val="2"/>
          </w:tcPr>
          <w:p>
            <w:pPr>
              <w:spacing w:after="0"/>
              <w:rPr>
                <w:sz w:val="20"/>
                <w:szCs w:val="20"/>
                <w:color w:val="auto"/>
              </w:rPr>
            </w:pPr>
            <w:r>
              <w:rPr>
                <w:rFonts w:ascii="Arial" w:cs="Arial" w:eastAsia="Arial" w:hAnsi="Arial"/>
                <w:sz w:val="18"/>
                <w:szCs w:val="18"/>
                <w:color w:val="auto"/>
              </w:rPr>
              <w:t>Louis Drapeau(3)(2)</w:t>
            </w:r>
          </w:p>
        </w:tc>
        <w:tc>
          <w:tcPr>
            <w:tcW w:w="1140" w:type="dxa"/>
            <w:vAlign w:val="bottom"/>
            <w:gridSpan w:val="2"/>
          </w:tcPr>
          <w:p>
            <w:pPr>
              <w:jc w:val="right"/>
              <w:spacing w:after="0"/>
              <w:rPr>
                <w:sz w:val="20"/>
                <w:szCs w:val="20"/>
                <w:color w:val="auto"/>
              </w:rPr>
            </w:pPr>
            <w:r>
              <w:rPr>
                <w:rFonts w:ascii="Arial" w:cs="Arial" w:eastAsia="Arial" w:hAnsi="Arial"/>
                <w:sz w:val="18"/>
                <w:szCs w:val="18"/>
                <w:color w:val="auto"/>
              </w:rPr>
              <w:t>54</w:t>
            </w:r>
          </w:p>
        </w:tc>
        <w:tc>
          <w:tcPr>
            <w:tcW w:w="4880" w:type="dxa"/>
            <w:vAlign w:val="bottom"/>
            <w:gridSpan w:val="3"/>
          </w:tcPr>
          <w:p>
            <w:pPr>
              <w:ind w:left="220"/>
              <w:spacing w:after="0"/>
              <w:rPr>
                <w:sz w:val="20"/>
                <w:szCs w:val="20"/>
                <w:color w:val="auto"/>
              </w:rPr>
            </w:pPr>
            <w:r>
              <w:rPr>
                <w:rFonts w:ascii="Arial" w:cs="Arial" w:eastAsia="Arial" w:hAnsi="Arial"/>
                <w:sz w:val="18"/>
                <w:szCs w:val="18"/>
                <w:color w:val="auto"/>
              </w:rPr>
              <w:t>Non-Executive Director</w:t>
            </w:r>
          </w:p>
        </w:tc>
      </w:tr>
      <w:tr>
        <w:trPr>
          <w:trHeight w:val="216"/>
        </w:trPr>
        <w:tc>
          <w:tcPr>
            <w:tcW w:w="2960" w:type="dxa"/>
            <w:vAlign w:val="bottom"/>
            <w:gridSpan w:val="2"/>
          </w:tcPr>
          <w:p>
            <w:pPr>
              <w:spacing w:after="0"/>
              <w:rPr>
                <w:sz w:val="20"/>
                <w:szCs w:val="20"/>
                <w:color w:val="auto"/>
              </w:rPr>
            </w:pPr>
            <w:r>
              <w:rPr>
                <w:rFonts w:ascii="Arial" w:cs="Arial" w:eastAsia="Arial" w:hAnsi="Arial"/>
                <w:sz w:val="18"/>
                <w:szCs w:val="18"/>
                <w:color w:val="auto"/>
              </w:rPr>
              <w:t>Damien McDonald(1)</w:t>
            </w:r>
          </w:p>
        </w:tc>
        <w:tc>
          <w:tcPr>
            <w:tcW w:w="1140" w:type="dxa"/>
            <w:vAlign w:val="bottom"/>
            <w:gridSpan w:val="2"/>
          </w:tcPr>
          <w:p>
            <w:pPr>
              <w:jc w:val="right"/>
              <w:spacing w:after="0"/>
              <w:rPr>
                <w:sz w:val="20"/>
                <w:szCs w:val="20"/>
                <w:color w:val="auto"/>
              </w:rPr>
            </w:pPr>
            <w:r>
              <w:rPr>
                <w:rFonts w:ascii="Arial" w:cs="Arial" w:eastAsia="Arial" w:hAnsi="Arial"/>
                <w:sz w:val="18"/>
                <w:szCs w:val="18"/>
                <w:color w:val="auto"/>
              </w:rPr>
              <w:t>53</w:t>
            </w:r>
          </w:p>
        </w:tc>
        <w:tc>
          <w:tcPr>
            <w:tcW w:w="4880" w:type="dxa"/>
            <w:vAlign w:val="bottom"/>
            <w:gridSpan w:val="3"/>
          </w:tcPr>
          <w:p>
            <w:pPr>
              <w:ind w:left="220"/>
              <w:spacing w:after="0"/>
              <w:rPr>
                <w:sz w:val="20"/>
                <w:szCs w:val="20"/>
                <w:color w:val="auto"/>
              </w:rPr>
            </w:pPr>
            <w:r>
              <w:rPr>
                <w:rFonts w:ascii="Arial" w:cs="Arial" w:eastAsia="Arial" w:hAnsi="Arial"/>
                <w:sz w:val="18"/>
                <w:szCs w:val="18"/>
                <w:color w:val="auto"/>
              </w:rPr>
              <w:t>Non-Executive Director</w:t>
            </w:r>
          </w:p>
        </w:tc>
      </w:tr>
      <w:tr>
        <w:trPr>
          <w:trHeight w:val="230"/>
        </w:trPr>
        <w:tc>
          <w:tcPr>
            <w:tcW w:w="2960" w:type="dxa"/>
            <w:vAlign w:val="bottom"/>
            <w:gridSpan w:val="2"/>
          </w:tcPr>
          <w:p>
            <w:pPr>
              <w:spacing w:after="0"/>
              <w:rPr>
                <w:sz w:val="20"/>
                <w:szCs w:val="20"/>
                <w:color w:val="auto"/>
              </w:rPr>
            </w:pPr>
            <w:r>
              <w:rPr>
                <w:rFonts w:ascii="Arial" w:cs="Arial" w:eastAsia="Arial" w:hAnsi="Arial"/>
                <w:sz w:val="18"/>
                <w:szCs w:val="18"/>
                <w:color w:val="auto"/>
              </w:rPr>
              <w:t>Professor Suzanne Crowe(4)</w:t>
            </w:r>
          </w:p>
        </w:tc>
        <w:tc>
          <w:tcPr>
            <w:tcW w:w="1140" w:type="dxa"/>
            <w:vAlign w:val="bottom"/>
            <w:gridSpan w:val="2"/>
          </w:tcPr>
          <w:p>
            <w:pPr>
              <w:jc w:val="right"/>
              <w:spacing w:after="0"/>
              <w:rPr>
                <w:sz w:val="20"/>
                <w:szCs w:val="20"/>
                <w:color w:val="auto"/>
              </w:rPr>
            </w:pPr>
            <w:r>
              <w:rPr>
                <w:rFonts w:ascii="Arial" w:cs="Arial" w:eastAsia="Arial" w:hAnsi="Arial"/>
                <w:sz w:val="18"/>
                <w:szCs w:val="18"/>
                <w:color w:val="auto"/>
              </w:rPr>
              <w:t>68</w:t>
            </w:r>
          </w:p>
        </w:tc>
        <w:tc>
          <w:tcPr>
            <w:tcW w:w="4880" w:type="dxa"/>
            <w:vAlign w:val="bottom"/>
            <w:gridSpan w:val="3"/>
          </w:tcPr>
          <w:p>
            <w:pPr>
              <w:ind w:left="220"/>
              <w:spacing w:after="0"/>
              <w:rPr>
                <w:sz w:val="20"/>
                <w:szCs w:val="20"/>
                <w:color w:val="auto"/>
              </w:rPr>
            </w:pPr>
            <w:r>
              <w:rPr>
                <w:rFonts w:ascii="Arial" w:cs="Arial" w:eastAsia="Arial" w:hAnsi="Arial"/>
                <w:sz w:val="18"/>
                <w:szCs w:val="18"/>
                <w:color w:val="auto"/>
              </w:rPr>
              <w:t>Non-Executive Director</w:t>
            </w:r>
          </w:p>
        </w:tc>
      </w:tr>
    </w:tbl>
    <w:p>
      <w:pPr>
        <w:spacing w:after="0" w:line="229" w:lineRule="exact"/>
        <w:rPr>
          <w:sz w:val="20"/>
          <w:szCs w:val="20"/>
          <w:color w:val="auto"/>
        </w:rPr>
      </w:pPr>
    </w:p>
    <w:p>
      <w:pPr>
        <w:ind w:left="640" w:hanging="436"/>
        <w:spacing w:after="0"/>
        <w:tabs>
          <w:tab w:leader="none" w:pos="640" w:val="left"/>
        </w:tabs>
        <w:numPr>
          <w:ilvl w:val="0"/>
          <w:numId w:val="21"/>
        </w:numPr>
        <w:rPr>
          <w:rFonts w:ascii="Arial" w:cs="Arial" w:eastAsia="Arial" w:hAnsi="Arial"/>
          <w:sz w:val="18"/>
          <w:szCs w:val="18"/>
          <w:color w:val="auto"/>
        </w:rPr>
      </w:pPr>
      <w:r>
        <w:rPr>
          <w:rFonts w:ascii="Arial" w:cs="Arial" w:eastAsia="Arial" w:hAnsi="Arial"/>
          <w:sz w:val="18"/>
          <w:szCs w:val="18"/>
          <w:color w:val="auto"/>
        </w:rPr>
        <w:t>Member of the Audit Committee</w:t>
      </w:r>
    </w:p>
    <w:p>
      <w:pPr>
        <w:spacing w:after="0" w:line="23" w:lineRule="exact"/>
        <w:rPr>
          <w:rFonts w:ascii="Arial" w:cs="Arial" w:eastAsia="Arial" w:hAnsi="Arial"/>
          <w:sz w:val="18"/>
          <w:szCs w:val="18"/>
          <w:color w:val="auto"/>
        </w:rPr>
      </w:pPr>
    </w:p>
    <w:p>
      <w:pPr>
        <w:ind w:left="640" w:hanging="436"/>
        <w:spacing w:after="0"/>
        <w:tabs>
          <w:tab w:leader="none" w:pos="640" w:val="left"/>
        </w:tabs>
        <w:numPr>
          <w:ilvl w:val="0"/>
          <w:numId w:val="21"/>
        </w:numPr>
        <w:rPr>
          <w:rFonts w:ascii="Arial" w:cs="Arial" w:eastAsia="Arial" w:hAnsi="Arial"/>
          <w:sz w:val="18"/>
          <w:szCs w:val="18"/>
          <w:color w:val="auto"/>
        </w:rPr>
      </w:pPr>
      <w:r>
        <w:rPr>
          <w:rFonts w:ascii="Arial" w:cs="Arial" w:eastAsia="Arial" w:hAnsi="Arial"/>
          <w:sz w:val="18"/>
          <w:szCs w:val="18"/>
          <w:color w:val="auto"/>
        </w:rPr>
        <w:t>Member of the Remuneration Committee and the Nomination Committee</w:t>
      </w:r>
    </w:p>
    <w:p>
      <w:pPr>
        <w:spacing w:after="0" w:line="9" w:lineRule="exact"/>
        <w:rPr>
          <w:rFonts w:ascii="Arial" w:cs="Arial" w:eastAsia="Arial" w:hAnsi="Arial"/>
          <w:sz w:val="18"/>
          <w:szCs w:val="18"/>
          <w:color w:val="auto"/>
        </w:rPr>
      </w:pPr>
    </w:p>
    <w:p>
      <w:pPr>
        <w:ind w:left="640" w:hanging="436"/>
        <w:spacing w:after="0"/>
        <w:tabs>
          <w:tab w:leader="none" w:pos="640" w:val="left"/>
        </w:tabs>
        <w:numPr>
          <w:ilvl w:val="0"/>
          <w:numId w:val="21"/>
        </w:numPr>
        <w:rPr>
          <w:rFonts w:ascii="Arial" w:cs="Arial" w:eastAsia="Arial" w:hAnsi="Arial"/>
          <w:sz w:val="18"/>
          <w:szCs w:val="18"/>
          <w:color w:val="auto"/>
        </w:rPr>
      </w:pPr>
      <w:r>
        <w:rPr>
          <w:rFonts w:ascii="Arial" w:cs="Arial" w:eastAsia="Arial" w:hAnsi="Arial"/>
          <w:sz w:val="18"/>
          <w:szCs w:val="18"/>
          <w:color w:val="auto"/>
        </w:rPr>
        <w:t>Chairman of the Audit Committee</w:t>
      </w:r>
    </w:p>
    <w:p>
      <w:pPr>
        <w:spacing w:after="0" w:line="9" w:lineRule="exact"/>
        <w:rPr>
          <w:rFonts w:ascii="Arial" w:cs="Arial" w:eastAsia="Arial" w:hAnsi="Arial"/>
          <w:sz w:val="18"/>
          <w:szCs w:val="18"/>
          <w:color w:val="auto"/>
        </w:rPr>
      </w:pPr>
    </w:p>
    <w:p>
      <w:pPr>
        <w:ind w:left="640" w:hanging="436"/>
        <w:spacing w:after="0"/>
        <w:tabs>
          <w:tab w:leader="none" w:pos="640" w:val="left"/>
        </w:tabs>
        <w:numPr>
          <w:ilvl w:val="0"/>
          <w:numId w:val="21"/>
        </w:numPr>
        <w:rPr>
          <w:rFonts w:ascii="Arial" w:cs="Arial" w:eastAsia="Arial" w:hAnsi="Arial"/>
          <w:sz w:val="18"/>
          <w:szCs w:val="18"/>
          <w:color w:val="auto"/>
        </w:rPr>
      </w:pPr>
      <w:r>
        <w:rPr>
          <w:rFonts w:ascii="Arial" w:cs="Arial" w:eastAsia="Arial" w:hAnsi="Arial"/>
          <w:sz w:val="18"/>
          <w:szCs w:val="18"/>
          <w:color w:val="auto"/>
        </w:rPr>
        <w:t>Chairman of the Remuneration Committee and the Nomination Committee</w:t>
      </w:r>
    </w:p>
    <w:p>
      <w:pPr>
        <w:spacing w:after="0" w:line="207" w:lineRule="exact"/>
        <w:rPr>
          <w:sz w:val="20"/>
          <w:szCs w:val="20"/>
          <w:color w:val="auto"/>
        </w:rPr>
      </w:pPr>
    </w:p>
    <w:p>
      <w:pPr>
        <w:ind w:left="200" w:right="200"/>
        <w:spacing w:after="0" w:line="282" w:lineRule="auto"/>
        <w:rPr>
          <w:sz w:val="20"/>
          <w:szCs w:val="20"/>
          <w:color w:val="auto"/>
        </w:rPr>
      </w:pPr>
      <w:r>
        <w:rPr>
          <w:rFonts w:ascii="Arial" w:cs="Arial" w:eastAsia="Arial" w:hAnsi="Arial"/>
          <w:sz w:val="18"/>
          <w:szCs w:val="18"/>
          <w:b w:val="1"/>
          <w:bCs w:val="1"/>
          <w:color w:val="auto"/>
        </w:rPr>
        <w:t xml:space="preserve">Lou Panaccio </w:t>
      </w:r>
      <w:r>
        <w:rPr>
          <w:rFonts w:ascii="Arial" w:cs="Arial" w:eastAsia="Arial" w:hAnsi="Arial"/>
          <w:sz w:val="18"/>
          <w:szCs w:val="18"/>
          <w:color w:val="auto"/>
        </w:rPr>
        <w:t>has served as Non-Executive Chairman of the Board of Directors since July 2014. Mr. Panaccio is a successful healthcare businessman</w:t>
      </w:r>
      <w:r>
        <w:rPr>
          <w:rFonts w:ascii="Arial" w:cs="Arial" w:eastAsia="Arial" w:hAnsi="Arial"/>
          <w:sz w:val="18"/>
          <w:szCs w:val="18"/>
          <w:b w:val="1"/>
          <w:bCs w:val="1"/>
          <w:color w:val="auto"/>
        </w:rPr>
        <w:t xml:space="preserve"> </w:t>
      </w:r>
      <w:r>
        <w:rPr>
          <w:rFonts w:ascii="Arial" w:cs="Arial" w:eastAsia="Arial" w:hAnsi="Arial"/>
          <w:sz w:val="18"/>
          <w:szCs w:val="18"/>
          <w:color w:val="auto"/>
        </w:rPr>
        <w:t>with extensive experience leading companies from concept to</w:t>
      </w:r>
    </w:p>
    <w:p>
      <w:pPr>
        <w:spacing w:after="0" w:line="98"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53</w:t>
      </w:r>
    </w:p>
    <w:p>
      <w:pPr>
        <w:sectPr>
          <w:pgSz w:w="11900" w:h="16838" w:orient="portrait"/>
          <w:cols w:equalWidth="0" w:num="1">
            <w:col w:w="11220"/>
          </w:cols>
          <w:pgMar w:left="240" w:top="459" w:right="439" w:bottom="1440" w:gutter="0" w:footer="0" w:header="0"/>
        </w:sectPr>
      </w:pPr>
    </w:p>
    <w:bookmarkStart w:id="55" w:name="page56"/>
    <w:bookmarkEnd w:id="5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80"/>
        <w:spacing w:after="0" w:line="255" w:lineRule="auto"/>
        <w:rPr>
          <w:sz w:val="20"/>
          <w:szCs w:val="20"/>
          <w:color w:val="auto"/>
        </w:rPr>
      </w:pPr>
      <w:r>
        <w:rPr>
          <w:rFonts w:ascii="Arial" w:cs="Arial" w:eastAsia="Arial" w:hAnsi="Arial"/>
          <w:sz w:val="18"/>
          <w:szCs w:val="18"/>
          <w:color w:val="auto"/>
        </w:rPr>
        <w:t>commercialization. Mr. Panaccio possesses more than 30 years of executive leadership experience in healthcare services and life sciences, including more than 20 years of board-level experience. Mr. Panaccio is currently a Non-Executive Director of ASX50 company and one of the world’s largest medical diagnostics companies, Sonic Healthcare Limited, where he has served since 2005. In addition, Mr. Panaccio is Non-Executive Director of Unison Housing Limited, Non-Executive Chairman of Genera Biosystems Limited, a publicly listed company (ASX) that develops and commercializes multiplexed molecular diagnostic tests, and a Non-Executive Director of Rhythm Biosciences Limited, a publicly listed (ASX) development-stage medical diagnostics company.</w:t>
      </w:r>
    </w:p>
    <w:p>
      <w:pPr>
        <w:spacing w:after="0" w:line="189" w:lineRule="exact"/>
        <w:rPr>
          <w:sz w:val="20"/>
          <w:szCs w:val="20"/>
          <w:color w:val="auto"/>
        </w:rPr>
      </w:pPr>
    </w:p>
    <w:p>
      <w:pPr>
        <w:ind w:left="200"/>
        <w:spacing w:after="0" w:line="284" w:lineRule="auto"/>
        <w:rPr>
          <w:sz w:val="20"/>
          <w:szCs w:val="20"/>
          <w:color w:val="auto"/>
        </w:rPr>
      </w:pPr>
      <w:r>
        <w:rPr>
          <w:rFonts w:ascii="Arial" w:cs="Arial" w:eastAsia="Arial" w:hAnsi="Arial"/>
          <w:sz w:val="16"/>
          <w:szCs w:val="16"/>
          <w:b w:val="1"/>
          <w:bCs w:val="1"/>
          <w:color w:val="auto"/>
        </w:rPr>
        <w:t xml:space="preserve">Dr. Michael Perry </w:t>
      </w:r>
      <w:r>
        <w:rPr>
          <w:rFonts w:ascii="Arial" w:cs="Arial" w:eastAsia="Arial" w:hAnsi="Arial"/>
          <w:sz w:val="16"/>
          <w:szCs w:val="16"/>
          <w:color w:val="auto"/>
        </w:rPr>
        <w:t>was appointed Chief Executive Officer and Executive Director in June 2017. Prior to this appointment, Dr. Perry had served as a</w:t>
      </w:r>
      <w:r>
        <w:rPr>
          <w:rFonts w:ascii="Arial" w:cs="Arial" w:eastAsia="Arial" w:hAnsi="Arial"/>
          <w:sz w:val="16"/>
          <w:szCs w:val="16"/>
          <w:b w:val="1"/>
          <w:bCs w:val="1"/>
          <w:color w:val="auto"/>
        </w:rPr>
        <w:t xml:space="preserve"> </w:t>
      </w:r>
      <w:r>
        <w:rPr>
          <w:rFonts w:ascii="Arial" w:cs="Arial" w:eastAsia="Arial" w:hAnsi="Arial"/>
          <w:sz w:val="16"/>
          <w:szCs w:val="16"/>
          <w:color w:val="auto"/>
        </w:rPr>
        <w:t>Non-Executive Director commencing in February 2013. From 2016 to 2017, he served as Senior Vice President and Chief Scientific Officer of Global Business Development and Licensing for Novartis AG. From 2014 to 2016, Dr. Perry served as Chief Scientific Officer of Novartis’ Cell and Gene Therapy Unit, and from 2012 to 2014 he served as Vice President and Global Head of Stem Cell Therapy for Novartis Pharmaceuticals Corp, a US affiliate of Switzerland-based Novartis AG. Dr. Perry previously served as the Global Head of R&amp;D at Baxter Healthcare, President and CEO of Cell &amp; Gene Therapy at Novartis affiliates Systemix Inc. and Genetic Therapy, Inc., VP Regulatory Affairs at Sandoz Pharmaceuticals Corp., Director of Regulatory Affairs at Schering-Plough Corporation, and Chairman, CEO or CMO at several early stage biotech companies. He also previously served as a Venture Partner with Bay City Capital, LLC, a life science investment firm managing venture capital funds, based in San Francisco California.</w:t>
      </w:r>
    </w:p>
    <w:p>
      <w:pPr>
        <w:spacing w:after="0" w:line="5" w:lineRule="exact"/>
        <w:rPr>
          <w:sz w:val="20"/>
          <w:szCs w:val="20"/>
          <w:color w:val="auto"/>
        </w:rPr>
      </w:pPr>
    </w:p>
    <w:p>
      <w:pPr>
        <w:ind w:left="200"/>
        <w:spacing w:after="0" w:line="254" w:lineRule="auto"/>
        <w:rPr>
          <w:sz w:val="20"/>
          <w:szCs w:val="20"/>
          <w:color w:val="auto"/>
        </w:rPr>
      </w:pPr>
      <w:r>
        <w:rPr>
          <w:rFonts w:ascii="Arial" w:cs="Arial" w:eastAsia="Arial" w:hAnsi="Arial"/>
          <w:sz w:val="18"/>
          <w:szCs w:val="18"/>
          <w:color w:val="auto"/>
        </w:rPr>
        <w:t>Dr. Perry serves as a Director of Arrowhead Pharmaceuticals, a public (NASDAQ) development stage company focused on medicines that treat intractable diseases by silencing the genes, and AmpliPhi Biosciences Corporation, Inc., a public (NYSE) clinical-stage biotechnology company focused on the development of bacteriophage-based therapies for the treatment of antibiotic-resistant bacterial infections. He is also a Director at BioScience Managers Pty Ltd, a shareholder of the Company.</w:t>
      </w:r>
    </w:p>
    <w:p>
      <w:pPr>
        <w:spacing w:after="0" w:line="186" w:lineRule="exact"/>
        <w:rPr>
          <w:sz w:val="20"/>
          <w:szCs w:val="20"/>
          <w:color w:val="auto"/>
        </w:rPr>
      </w:pPr>
    </w:p>
    <w:p>
      <w:pPr>
        <w:ind w:left="200" w:right="100"/>
        <w:spacing w:after="0" w:line="298" w:lineRule="auto"/>
        <w:rPr>
          <w:sz w:val="20"/>
          <w:szCs w:val="20"/>
          <w:color w:val="auto"/>
        </w:rPr>
      </w:pPr>
      <w:r>
        <w:rPr>
          <w:rFonts w:ascii="Arial" w:cs="Arial" w:eastAsia="Arial" w:hAnsi="Arial"/>
          <w:sz w:val="16"/>
          <w:szCs w:val="16"/>
          <w:b w:val="1"/>
          <w:bCs w:val="1"/>
          <w:color w:val="auto"/>
        </w:rPr>
        <w:t xml:space="preserve">Erin Liberto </w:t>
      </w:r>
      <w:r>
        <w:rPr>
          <w:rFonts w:ascii="Arial" w:cs="Arial" w:eastAsia="Arial" w:hAnsi="Arial"/>
          <w:sz w:val="16"/>
          <w:szCs w:val="16"/>
          <w:color w:val="auto"/>
        </w:rPr>
        <w:t>has served as Chief Commercial Officer since August 2017. Ms. Liberto has more than 17 years of multifaceted global commercial</w:t>
      </w:r>
      <w:r>
        <w:rPr>
          <w:rFonts w:ascii="Arial" w:cs="Arial" w:eastAsia="Arial" w:hAnsi="Arial"/>
          <w:sz w:val="16"/>
          <w:szCs w:val="16"/>
          <w:b w:val="1"/>
          <w:bCs w:val="1"/>
          <w:color w:val="auto"/>
        </w:rPr>
        <w:t xml:space="preserve"> </w:t>
      </w:r>
      <w:r>
        <w:rPr>
          <w:rFonts w:ascii="Arial" w:cs="Arial" w:eastAsia="Arial" w:hAnsi="Arial"/>
          <w:sz w:val="16"/>
          <w:szCs w:val="16"/>
          <w:color w:val="auto"/>
        </w:rPr>
        <w:t>experience developing, launching, managing, and optimizing healthcare portfolios with products that span therapeutic and aesthetic indications for international organizations including Allergan and Johnson &amp; Johnson. Ms. Liberto’s proficiency in long-term strategic planning has led to more than a dozen successful product launches across the U.S., Europe, and Asia Pacific. Ms. Liberto holds an International MBA with a concentration in Global Marketing from Thunderbird School of Global Management in Arizona and a Bachelor of Commerce from McMaster University in Canada.</w:t>
      </w:r>
    </w:p>
    <w:p>
      <w:pPr>
        <w:spacing w:after="0" w:line="154" w:lineRule="exact"/>
        <w:rPr>
          <w:sz w:val="20"/>
          <w:szCs w:val="20"/>
          <w:color w:val="auto"/>
        </w:rPr>
      </w:pPr>
    </w:p>
    <w:p>
      <w:pPr>
        <w:ind w:left="200" w:right="60"/>
        <w:spacing w:after="0" w:line="295" w:lineRule="auto"/>
        <w:rPr>
          <w:sz w:val="20"/>
          <w:szCs w:val="20"/>
          <w:color w:val="auto"/>
        </w:rPr>
      </w:pPr>
      <w:r>
        <w:rPr>
          <w:rFonts w:ascii="Arial" w:cs="Arial" w:eastAsia="Arial" w:hAnsi="Arial"/>
          <w:sz w:val="16"/>
          <w:szCs w:val="16"/>
          <w:b w:val="1"/>
          <w:bCs w:val="1"/>
          <w:color w:val="auto"/>
        </w:rPr>
        <w:t xml:space="preserve">Tim Rooney </w:t>
      </w:r>
      <w:r>
        <w:rPr>
          <w:rFonts w:ascii="Arial" w:cs="Arial" w:eastAsia="Arial" w:hAnsi="Arial"/>
          <w:sz w:val="16"/>
          <w:szCs w:val="16"/>
          <w:color w:val="auto"/>
        </w:rPr>
        <w:t>was appointed Chief Administrative Officer in December 2017 and is responsible for operations of the Company. Mr. Rooney was also</w:t>
      </w:r>
      <w:r>
        <w:rPr>
          <w:rFonts w:ascii="Arial" w:cs="Arial" w:eastAsia="Arial" w:hAnsi="Arial"/>
          <w:sz w:val="16"/>
          <w:szCs w:val="16"/>
          <w:b w:val="1"/>
          <w:bCs w:val="1"/>
          <w:color w:val="auto"/>
        </w:rPr>
        <w:t xml:space="preserve"> </w:t>
      </w:r>
      <w:r>
        <w:rPr>
          <w:rFonts w:ascii="Arial" w:cs="Arial" w:eastAsia="Arial" w:hAnsi="Arial"/>
          <w:sz w:val="16"/>
          <w:szCs w:val="16"/>
          <w:color w:val="auto"/>
        </w:rPr>
        <w:t>appointed as our interim Chief Financial Officer in May 2019. Mr. Rooney has served the Company in multiple roles since joining in October 2012 as Chief Financial Officer and Chief Operating Officer, including interim Chief Executive Officer from 2013 to 2015. Mr. Rooney has over 20 years of experience in senior finance and operations management in medical devices and pharmaceutical wholesale distribution, including PDI Enterprises, Inc., a pharmaceutical wholesale distributor, where he served as Chief Financial Officer and Chief Operating Officer from 1991 to 2007 and served in other roles starting in 1984. Mr., Rooney holds a B.S. degree in Business Administration, Finance from California State University, Northridge.</w:t>
      </w:r>
    </w:p>
    <w:p>
      <w:pPr>
        <w:spacing w:after="0" w:line="156" w:lineRule="exact"/>
        <w:rPr>
          <w:sz w:val="20"/>
          <w:szCs w:val="20"/>
          <w:color w:val="auto"/>
        </w:rPr>
      </w:pPr>
    </w:p>
    <w:p>
      <w:pPr>
        <w:jc w:val="both"/>
        <w:ind w:left="200" w:right="400"/>
        <w:spacing w:after="0" w:line="293" w:lineRule="auto"/>
        <w:rPr>
          <w:sz w:val="20"/>
          <w:szCs w:val="20"/>
          <w:color w:val="auto"/>
        </w:rPr>
      </w:pPr>
      <w:r>
        <w:rPr>
          <w:rFonts w:ascii="Arial" w:cs="Arial" w:eastAsia="Arial" w:hAnsi="Arial"/>
          <w:sz w:val="16"/>
          <w:szCs w:val="16"/>
          <w:b w:val="1"/>
          <w:bCs w:val="1"/>
          <w:color w:val="auto"/>
        </w:rPr>
        <w:t xml:space="preserve">Andrew Quick </w:t>
      </w:r>
      <w:r>
        <w:rPr>
          <w:rFonts w:ascii="Arial" w:cs="Arial" w:eastAsia="Arial" w:hAnsi="Arial"/>
          <w:sz w:val="16"/>
          <w:szCs w:val="16"/>
          <w:color w:val="auto"/>
        </w:rPr>
        <w:t>was appointed Chief Technology Officer in April 2019 and previous to that served as Senior Vice President, Clinical Development</w:t>
      </w:r>
      <w:r>
        <w:rPr>
          <w:rFonts w:ascii="Arial" w:cs="Arial" w:eastAsia="Arial" w:hAnsi="Arial"/>
          <w:sz w:val="16"/>
          <w:szCs w:val="16"/>
          <w:b w:val="1"/>
          <w:bCs w:val="1"/>
          <w:color w:val="auto"/>
        </w:rPr>
        <w:t xml:space="preserve"> </w:t>
      </w:r>
      <w:r>
        <w:rPr>
          <w:rFonts w:ascii="Arial" w:cs="Arial" w:eastAsia="Arial" w:hAnsi="Arial"/>
          <w:sz w:val="16"/>
          <w:szCs w:val="16"/>
          <w:color w:val="auto"/>
        </w:rPr>
        <w:t>beginning July 2010. Mr. Quick has more than 25 years of experience in medical device design, development, clinical research and medical affairs.</w:t>
      </w:r>
    </w:p>
    <w:p>
      <w:pPr>
        <w:spacing w:after="0" w:line="1" w:lineRule="exact"/>
        <w:rPr>
          <w:sz w:val="20"/>
          <w:szCs w:val="20"/>
          <w:color w:val="auto"/>
        </w:rPr>
      </w:pPr>
    </w:p>
    <w:p>
      <w:pPr>
        <w:ind w:left="200"/>
        <w:spacing w:after="0" w:line="273" w:lineRule="auto"/>
        <w:rPr>
          <w:sz w:val="20"/>
          <w:szCs w:val="20"/>
          <w:color w:val="auto"/>
        </w:rPr>
      </w:pPr>
      <w:r>
        <w:rPr>
          <w:rFonts w:ascii="Arial" w:cs="Arial" w:eastAsia="Arial" w:hAnsi="Arial"/>
          <w:sz w:val="17"/>
          <w:szCs w:val="17"/>
          <w:color w:val="auto"/>
        </w:rPr>
        <w:t>Mr. Quick has previously held leadership positions in the development of diagnostic instrumentation and active implantable therapeutics, including most recently with Boston Scientific Neuromodulation / Advanced Bionics from 2006 to 2010 where he led U.S. investigational device and post-market clinical research in the cochlear implant business. He also served in a series of positions with SonaMed Corporation from 1994 to 2005, including Vice President, Products and Clinical Affairs. Mr. Quick has B.S. and M.S. degrees in Biomedical Engineering from Boston University.</w:t>
      </w:r>
    </w:p>
    <w:p>
      <w:pPr>
        <w:spacing w:after="0" w:line="173" w:lineRule="exact"/>
        <w:rPr>
          <w:sz w:val="20"/>
          <w:szCs w:val="20"/>
          <w:color w:val="auto"/>
        </w:rPr>
      </w:pPr>
    </w:p>
    <w:p>
      <w:pPr>
        <w:ind w:left="200" w:right="580"/>
        <w:spacing w:after="0" w:line="282" w:lineRule="auto"/>
        <w:rPr>
          <w:sz w:val="20"/>
          <w:szCs w:val="20"/>
          <w:color w:val="auto"/>
        </w:rPr>
      </w:pPr>
      <w:r>
        <w:rPr>
          <w:rFonts w:ascii="Arial" w:cs="Arial" w:eastAsia="Arial" w:hAnsi="Arial"/>
          <w:sz w:val="18"/>
          <w:szCs w:val="18"/>
          <w:b w:val="1"/>
          <w:bCs w:val="1"/>
          <w:color w:val="auto"/>
        </w:rPr>
        <w:t xml:space="preserve">Donna Shiroma </w:t>
      </w:r>
      <w:r>
        <w:rPr>
          <w:rFonts w:ascii="Arial" w:cs="Arial" w:eastAsia="Arial" w:hAnsi="Arial"/>
          <w:sz w:val="18"/>
          <w:szCs w:val="18"/>
          <w:color w:val="auto"/>
        </w:rPr>
        <w:t>has served as General Counsel since June 2018. Ms. Shiroma has more than 20 years of legal and compliance experience in the</w:t>
      </w:r>
      <w:r>
        <w:rPr>
          <w:rFonts w:ascii="Arial" w:cs="Arial" w:eastAsia="Arial" w:hAnsi="Arial"/>
          <w:sz w:val="18"/>
          <w:szCs w:val="18"/>
          <w:b w:val="1"/>
          <w:bCs w:val="1"/>
          <w:color w:val="auto"/>
        </w:rPr>
        <w:t xml:space="preserve"> </w:t>
      </w:r>
      <w:r>
        <w:rPr>
          <w:rFonts w:ascii="Arial" w:cs="Arial" w:eastAsia="Arial" w:hAnsi="Arial"/>
          <w:sz w:val="18"/>
          <w:szCs w:val="18"/>
          <w:color w:val="auto"/>
        </w:rPr>
        <w:t>pharmaceutical and medical device industries and has played an instrumental role in</w:t>
      </w:r>
    </w:p>
    <w:p>
      <w:pPr>
        <w:spacing w:after="0" w:line="98"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54</w:t>
      </w:r>
    </w:p>
    <w:p>
      <w:pPr>
        <w:sectPr>
          <w:pgSz w:w="11900" w:h="16838" w:orient="portrait"/>
          <w:cols w:equalWidth="0" w:num="1">
            <w:col w:w="11200"/>
          </w:cols>
          <w:pgMar w:left="240" w:top="459" w:right="459" w:bottom="1440" w:gutter="0" w:footer="0" w:header="0"/>
        </w:sectPr>
      </w:pPr>
    </w:p>
    <w:bookmarkStart w:id="56" w:name="page57"/>
    <w:bookmarkEnd w:id="5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140"/>
        <w:spacing w:after="0" w:line="257" w:lineRule="auto"/>
        <w:rPr>
          <w:sz w:val="20"/>
          <w:szCs w:val="20"/>
          <w:color w:val="auto"/>
        </w:rPr>
      </w:pPr>
      <w:r>
        <w:rPr>
          <w:rFonts w:ascii="Arial" w:cs="Arial" w:eastAsia="Arial" w:hAnsi="Arial"/>
          <w:sz w:val="18"/>
          <w:szCs w:val="18"/>
          <w:color w:val="auto"/>
        </w:rPr>
        <w:t>transitioning companies from clinical to commercial entities. Prior to joining the Company, she served in roles of increasing responsibility as corporate counsel, general counsel, vice president of legal, chief privacy and compliance officer, and chief commercial officer for Astrex Pharmaceuticals from 2017 to 2018, Ascend Therapeutics from 2008 to 2017, PDL BioPharma from 2006 to 2008, and several Johnson &amp; Johnson companies. Ms. Shiroma holds a B.S. in Environmental Sciences from University of California Berkley, and a Juris Doctor degree from Santa Clara University School of Law. She is licensed in the State of California as an attorney.</w:t>
      </w:r>
    </w:p>
    <w:p>
      <w:pPr>
        <w:spacing w:after="0" w:line="184" w:lineRule="exact"/>
        <w:rPr>
          <w:sz w:val="20"/>
          <w:szCs w:val="20"/>
          <w:color w:val="auto"/>
        </w:rPr>
      </w:pPr>
    </w:p>
    <w:p>
      <w:pPr>
        <w:ind w:left="200" w:right="100"/>
        <w:spacing w:after="0" w:line="284" w:lineRule="auto"/>
        <w:rPr>
          <w:sz w:val="20"/>
          <w:szCs w:val="20"/>
          <w:color w:val="auto"/>
        </w:rPr>
      </w:pPr>
      <w:r>
        <w:rPr>
          <w:rFonts w:ascii="Arial" w:cs="Arial" w:eastAsia="Arial" w:hAnsi="Arial"/>
          <w:sz w:val="16"/>
          <w:szCs w:val="16"/>
          <w:b w:val="1"/>
          <w:bCs w:val="1"/>
          <w:color w:val="auto"/>
        </w:rPr>
        <w:t xml:space="preserve">Jeremy Curnock Cook </w:t>
      </w:r>
      <w:r>
        <w:rPr>
          <w:rFonts w:ascii="Arial" w:cs="Arial" w:eastAsia="Arial" w:hAnsi="Arial"/>
          <w:sz w:val="16"/>
          <w:szCs w:val="16"/>
          <w:color w:val="auto"/>
        </w:rPr>
        <w:t>has served as a Non-Executive Director of the Board since October 2012. Mr. Curnock Cook is currently the Managing</w:t>
      </w:r>
      <w:r>
        <w:rPr>
          <w:rFonts w:ascii="Arial" w:cs="Arial" w:eastAsia="Arial" w:hAnsi="Arial"/>
          <w:sz w:val="16"/>
          <w:szCs w:val="16"/>
          <w:b w:val="1"/>
          <w:bCs w:val="1"/>
          <w:color w:val="auto"/>
        </w:rPr>
        <w:t xml:space="preserve"> </w:t>
      </w:r>
      <w:r>
        <w:rPr>
          <w:rFonts w:ascii="Arial" w:cs="Arial" w:eastAsia="Arial" w:hAnsi="Arial"/>
          <w:sz w:val="16"/>
          <w:szCs w:val="16"/>
          <w:color w:val="auto"/>
        </w:rPr>
        <w:t>Director of Bioscience Managers Pty Ltd, a shareholder of the Company, responsible for the BM Asia Pacific Healthcare Fund, and serves as Chairman of International Bioscience Managers Ltd. He is the former head of the life science private equity team at Rothschild Asset Management, and was responsible for the launch of the first dedicated biotechnology fund for the Australian market and the conception and launch of the International Biotechnology Trust. Mr. Curnock Cook serves as a Non-Executive Director of Adherium Ltd, a public (ASX) company with a digital health platform focused on improving medication adherence and patient outcomes, and AmpliPhi Biosciences Corporation, Inc., a public (NYSE) clinical-stage biotechnology company focused on the development of bacteriophage-based therapies for the treatment of antibiotic-resistant bacterial infections. He also serves as an Alternate Director for Sea Dragon Limited, a public (NZX) company processing fish oils into marine bioactive compounds.</w:t>
      </w:r>
    </w:p>
    <w:p>
      <w:pPr>
        <w:spacing w:after="0" w:line="5" w:lineRule="exact"/>
        <w:rPr>
          <w:sz w:val="20"/>
          <w:szCs w:val="20"/>
          <w:color w:val="auto"/>
        </w:rPr>
      </w:pPr>
    </w:p>
    <w:p>
      <w:pPr>
        <w:ind w:left="200" w:right="760"/>
        <w:spacing w:after="0" w:line="261" w:lineRule="auto"/>
        <w:rPr>
          <w:sz w:val="20"/>
          <w:szCs w:val="20"/>
          <w:color w:val="auto"/>
        </w:rPr>
      </w:pPr>
      <w:r>
        <w:rPr>
          <w:rFonts w:ascii="Arial" w:cs="Arial" w:eastAsia="Arial" w:hAnsi="Arial"/>
          <w:sz w:val="18"/>
          <w:szCs w:val="18"/>
          <w:color w:val="auto"/>
        </w:rPr>
        <w:t>Mr. Curnock Cook previously served as a Non-Executive Director of Phylogica Limited, a public (ASX) company developing next generation intracellular biological therapeutics.</w:t>
      </w:r>
    </w:p>
    <w:p>
      <w:pPr>
        <w:spacing w:after="0" w:line="180" w:lineRule="exact"/>
        <w:rPr>
          <w:sz w:val="20"/>
          <w:szCs w:val="20"/>
          <w:color w:val="auto"/>
        </w:rPr>
      </w:pPr>
    </w:p>
    <w:p>
      <w:pPr>
        <w:ind w:left="200"/>
        <w:spacing w:after="0" w:line="273" w:lineRule="auto"/>
        <w:rPr>
          <w:sz w:val="20"/>
          <w:szCs w:val="20"/>
          <w:color w:val="auto"/>
        </w:rPr>
      </w:pPr>
      <w:r>
        <w:rPr>
          <w:rFonts w:ascii="Arial" w:cs="Arial" w:eastAsia="Arial" w:hAnsi="Arial"/>
          <w:sz w:val="17"/>
          <w:szCs w:val="17"/>
          <w:b w:val="1"/>
          <w:bCs w:val="1"/>
          <w:color w:val="auto"/>
        </w:rPr>
        <w:t xml:space="preserve">Louis Drapeau </w:t>
      </w:r>
      <w:r>
        <w:rPr>
          <w:rFonts w:ascii="Arial" w:cs="Arial" w:eastAsia="Arial" w:hAnsi="Arial"/>
          <w:sz w:val="17"/>
          <w:szCs w:val="17"/>
          <w:color w:val="auto"/>
        </w:rPr>
        <w:t>has served as Non-Executive Director of the Board since January 2016. Mr. Drapeau has considerable expertise in both the biotech</w:t>
      </w:r>
      <w:r>
        <w:rPr>
          <w:rFonts w:ascii="Arial" w:cs="Arial" w:eastAsia="Arial" w:hAnsi="Arial"/>
          <w:sz w:val="17"/>
          <w:szCs w:val="17"/>
          <w:b w:val="1"/>
          <w:bCs w:val="1"/>
          <w:color w:val="auto"/>
        </w:rPr>
        <w:t xml:space="preserve"> </w:t>
      </w:r>
      <w:r>
        <w:rPr>
          <w:rFonts w:ascii="Arial" w:cs="Arial" w:eastAsia="Arial" w:hAnsi="Arial"/>
          <w:sz w:val="17"/>
          <w:szCs w:val="17"/>
          <w:color w:val="auto"/>
        </w:rPr>
        <w:t>sector and with the financial reporting and other requirements of U.S. public companies. Mr. Drapeau is an Independent Director at AmpliPhi Biosciences Corporation, Inc., a public (NYSE) clinical-stage biotechnology company focused on the development of bacteriophage-based therapies for the treatment of antibiotic-resistant bacterial infections. Mr. Drapeau has held senior positions with Insite Vision Inc., Nektar Therapeutics and BioMarin Pharmaceutical, Inc., and served as an Audit Partner at Arthur Andersen LLP. Mr. Drapeau was previously an Independent Director at Bio-Rad Laboratories, a public (NYSE) company manufacturing products for the life science research and clinical diagnostics markets, and InterMune, Inc., a public (NASDAQ) commercial-stage biotech company. He has an MBA from Stanford University.</w:t>
      </w:r>
    </w:p>
    <w:p>
      <w:pPr>
        <w:spacing w:after="0" w:line="172" w:lineRule="exact"/>
        <w:rPr>
          <w:sz w:val="20"/>
          <w:szCs w:val="20"/>
          <w:color w:val="auto"/>
        </w:rPr>
      </w:pPr>
    </w:p>
    <w:p>
      <w:pPr>
        <w:ind w:left="200" w:right="20"/>
        <w:spacing w:after="0" w:line="271" w:lineRule="auto"/>
        <w:rPr>
          <w:sz w:val="20"/>
          <w:szCs w:val="20"/>
          <w:color w:val="auto"/>
        </w:rPr>
      </w:pPr>
      <w:r>
        <w:rPr>
          <w:rFonts w:ascii="Arial" w:cs="Arial" w:eastAsia="Arial" w:hAnsi="Arial"/>
          <w:sz w:val="17"/>
          <w:szCs w:val="17"/>
          <w:b w:val="1"/>
          <w:bCs w:val="1"/>
          <w:color w:val="auto"/>
        </w:rPr>
        <w:t xml:space="preserve">Damien McDonald </w:t>
      </w:r>
      <w:r>
        <w:rPr>
          <w:rFonts w:ascii="Arial" w:cs="Arial" w:eastAsia="Arial" w:hAnsi="Arial"/>
          <w:sz w:val="17"/>
          <w:szCs w:val="17"/>
          <w:color w:val="auto"/>
        </w:rPr>
        <w:t>has served as a Non-Executive Director since January 2016. Mr. McDonald has a proven track record of achieving value in the</w:t>
      </w:r>
      <w:r>
        <w:rPr>
          <w:rFonts w:ascii="Arial" w:cs="Arial" w:eastAsia="Arial" w:hAnsi="Arial"/>
          <w:sz w:val="17"/>
          <w:szCs w:val="17"/>
          <w:b w:val="1"/>
          <w:bCs w:val="1"/>
          <w:color w:val="auto"/>
        </w:rPr>
        <w:t xml:space="preserve"> </w:t>
      </w:r>
      <w:r>
        <w:rPr>
          <w:rFonts w:ascii="Arial" w:cs="Arial" w:eastAsia="Arial" w:hAnsi="Arial"/>
          <w:sz w:val="17"/>
          <w:szCs w:val="17"/>
          <w:color w:val="auto"/>
        </w:rPr>
        <w:t>medical device space. Mr. McDonald is currently Chief Executive Officer and a Director of the Board of LivaNova plc, having previously served as Chief Operating Officer. LivaNova plc is a public (NASDAQ) company that is a leader in cardiovascular and neuromodulation solutions. Prior to that, he was a Group Executive and Corporate Vice President at NYSE-listed Danaher Corporation, a multinational science and technology innovation company that acquires and produces life science and industrial products and brands, where he led a $1.5 billion group of dental consumable companies. Earlier in his tenure, Mr. McDonald was Group President of Kerr where he and his team focused on building a strong research and development pipeline while improving operational performance utilizing the Denaher Business System. He has also previously worked for Merck &amp;Co, Johnson &amp; Johnson and Zimmer. Mr. McDonald has B.S. degrees in both pharmacy and economics from the University of Queensland, a master’s degree in International Economics from the University of Wales, and an MBA from IMD of Lausanne, Switzerland.</w:t>
      </w:r>
    </w:p>
    <w:p>
      <w:pPr>
        <w:spacing w:after="0" w:line="174" w:lineRule="exact"/>
        <w:rPr>
          <w:sz w:val="20"/>
          <w:szCs w:val="20"/>
          <w:color w:val="auto"/>
        </w:rPr>
      </w:pPr>
    </w:p>
    <w:p>
      <w:pPr>
        <w:ind w:left="200" w:right="40"/>
        <w:spacing w:after="0" w:line="255" w:lineRule="auto"/>
        <w:rPr>
          <w:sz w:val="20"/>
          <w:szCs w:val="20"/>
          <w:color w:val="auto"/>
        </w:rPr>
      </w:pPr>
      <w:r>
        <w:rPr>
          <w:rFonts w:ascii="Arial" w:cs="Arial" w:eastAsia="Arial" w:hAnsi="Arial"/>
          <w:sz w:val="18"/>
          <w:szCs w:val="18"/>
          <w:b w:val="1"/>
          <w:bCs w:val="1"/>
          <w:color w:val="auto"/>
        </w:rPr>
        <w:t xml:space="preserve">Professor Suzanne Crowe AM </w:t>
      </w:r>
      <w:r>
        <w:rPr>
          <w:rFonts w:ascii="Arial" w:cs="Arial" w:eastAsia="Arial" w:hAnsi="Arial"/>
          <w:sz w:val="18"/>
          <w:szCs w:val="18"/>
          <w:color w:val="auto"/>
        </w:rPr>
        <w:t>has served as a Non-Executive Director since January 2016. Australian-based, she is a physician-scientist and company</w:t>
      </w:r>
      <w:r>
        <w:rPr>
          <w:rFonts w:ascii="Arial" w:cs="Arial" w:eastAsia="Arial" w:hAnsi="Arial"/>
          <w:sz w:val="18"/>
          <w:szCs w:val="18"/>
          <w:b w:val="1"/>
          <w:bCs w:val="1"/>
          <w:color w:val="auto"/>
        </w:rPr>
        <w:t xml:space="preserve"> </w:t>
      </w:r>
      <w:r>
        <w:rPr>
          <w:rFonts w:ascii="Arial" w:cs="Arial" w:eastAsia="Arial" w:hAnsi="Arial"/>
          <w:sz w:val="18"/>
          <w:szCs w:val="18"/>
          <w:color w:val="auto"/>
        </w:rPr>
        <w:t>director with extensive expertise in supporting companies with their medical and scientific strategies. Professor Crowe is a Principal Research Fellow of the Australian National Health and Medical Research Council. She is a Principal Specialist in Infectious Diseases at The Alfred Hospital, Melbourne and Adjunct Professor of Medicine and Infectious Diseases at Monash University, Melbourne, and has published more than 200 peer-reviewed papers. Professor Crowe is a member of the Australian Institute of Company Directors and is a Director of St Vincents Health Australia, the country’s largest not-for-profit health and aged care provider. Professor Crowe was appointed as a Member of the Order of Australia (AM) in 2011 to recognize her service to</w:t>
      </w:r>
    </w:p>
    <w:p>
      <w:pPr>
        <w:spacing w:after="0" w:line="126"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55</w:t>
      </w:r>
    </w:p>
    <w:p>
      <w:pPr>
        <w:sectPr>
          <w:pgSz w:w="11900" w:h="16838" w:orient="portrait"/>
          <w:cols w:equalWidth="0" w:num="1">
            <w:col w:w="11220"/>
          </w:cols>
          <w:pgMar w:left="240" w:top="459" w:right="439" w:bottom="1440" w:gutter="0" w:footer="0" w:header="0"/>
        </w:sectPr>
      </w:pPr>
    </w:p>
    <w:bookmarkStart w:id="57" w:name="page58"/>
    <w:bookmarkEnd w:id="5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160"/>
        <w:spacing w:after="0" w:line="264" w:lineRule="auto"/>
        <w:rPr>
          <w:sz w:val="20"/>
          <w:szCs w:val="20"/>
          <w:color w:val="auto"/>
        </w:rPr>
      </w:pPr>
      <w:r>
        <w:rPr>
          <w:rFonts w:ascii="Arial" w:cs="Arial" w:eastAsia="Arial" w:hAnsi="Arial"/>
          <w:sz w:val="18"/>
          <w:szCs w:val="18"/>
          <w:color w:val="auto"/>
        </w:rPr>
        <w:t>medical research in HIV/AIDS. She has medical and MD degrees from Monash University, an internal medicine specialist qualification in Infectious Diseases from the Royal Australasian College of Physicians, and a Diploma in Medical Laboratory Technology from the Royal Melbourne Institute of Technology.</w:t>
      </w:r>
    </w:p>
    <w:p>
      <w:pPr>
        <w:spacing w:after="0" w:line="285" w:lineRule="exact"/>
        <w:rPr>
          <w:sz w:val="20"/>
          <w:szCs w:val="20"/>
          <w:color w:val="auto"/>
        </w:rPr>
      </w:pPr>
    </w:p>
    <w:p>
      <w:pPr>
        <w:ind w:left="200" w:right="9080" w:firstLine="4"/>
        <w:spacing w:after="0" w:line="425" w:lineRule="auto"/>
        <w:tabs>
          <w:tab w:leader="none" w:pos="410" w:val="left"/>
        </w:tabs>
        <w:numPr>
          <w:ilvl w:val="0"/>
          <w:numId w:val="22"/>
        </w:numPr>
        <w:rPr>
          <w:rFonts w:ascii="Arial" w:cs="Arial" w:eastAsia="Arial" w:hAnsi="Arial"/>
          <w:sz w:val="16"/>
          <w:szCs w:val="16"/>
          <w:b w:val="1"/>
          <w:bCs w:val="1"/>
          <w:color w:val="auto"/>
        </w:rPr>
      </w:pPr>
      <w:r>
        <w:rPr>
          <w:rFonts w:ascii="Arial" w:cs="Arial" w:eastAsia="Arial" w:hAnsi="Arial"/>
          <w:sz w:val="16"/>
          <w:szCs w:val="16"/>
          <w:b w:val="1"/>
          <w:bCs w:val="1"/>
          <w:color w:val="auto"/>
        </w:rPr>
        <w:t>Compensation Remuneration Principles</w:t>
      </w:r>
    </w:p>
    <w:p>
      <w:pPr>
        <w:spacing w:after="0" w:line="1" w:lineRule="exact"/>
        <w:rPr>
          <w:sz w:val="20"/>
          <w:szCs w:val="20"/>
          <w:color w:val="auto"/>
        </w:rPr>
      </w:pPr>
    </w:p>
    <w:p>
      <w:pPr>
        <w:ind w:left="200" w:right="160" w:firstLine="441"/>
        <w:spacing w:after="0" w:line="257" w:lineRule="auto"/>
        <w:rPr>
          <w:sz w:val="20"/>
          <w:szCs w:val="20"/>
          <w:color w:val="auto"/>
        </w:rPr>
      </w:pPr>
      <w:r>
        <w:rPr>
          <w:rFonts w:ascii="Arial" w:cs="Arial" w:eastAsia="Arial" w:hAnsi="Arial"/>
          <w:sz w:val="18"/>
          <w:szCs w:val="18"/>
          <w:color w:val="auto"/>
        </w:rPr>
        <w:t>This Remuneration Report outlines the Director and Executive remuneration arrangements of the Company in accordance with the requirements of the Australian Corporations Act 2001 and its Regulations. For the purposes of this report Key Management Personnel (KMP) of the Company are defined as those persons having authority and responsibility for planning, directing and controlling the major activities of the Company, directly or indirectly, including any Director (whether Executive or otherwise) of the parent Company. For the purposes of this report, the term ‘executive’ encompasses the Chief Executive and Senior Executives of the Company.</w:t>
      </w:r>
    </w:p>
    <w:p>
      <w:pPr>
        <w:spacing w:after="0" w:line="188" w:lineRule="exact"/>
        <w:rPr>
          <w:sz w:val="20"/>
          <w:szCs w:val="20"/>
          <w:color w:val="auto"/>
        </w:rPr>
      </w:pPr>
    </w:p>
    <w:p>
      <w:pPr>
        <w:ind w:left="200" w:firstLine="441"/>
        <w:spacing w:after="0" w:line="279" w:lineRule="auto"/>
        <w:rPr>
          <w:sz w:val="20"/>
          <w:szCs w:val="20"/>
          <w:color w:val="auto"/>
        </w:rPr>
      </w:pPr>
      <w:r>
        <w:rPr>
          <w:rFonts w:ascii="Arial" w:cs="Arial" w:eastAsia="Arial" w:hAnsi="Arial"/>
          <w:sz w:val="17"/>
          <w:szCs w:val="17"/>
          <w:color w:val="auto"/>
        </w:rPr>
        <w:t>During the year ended June 30, 2018 we appointed Erin Liberto as our Chief Commercial Officer effective August 28, 2017 and Donna Shiroma as General Counsel effective June 25, 2018. We also appointed Dale Sander as Chief Financial Officer effective December 5, 2017, and he served in that position until his resignation on May 15, 2019. On December 5, 2017 the Company also appointed of Timothy Rooney as Chief Administrative Officer, and effective May 15, 2019 Mr. Rooney was also appointed as our interim Chief Financial Officer.</w:t>
      </w:r>
    </w:p>
    <w:p>
      <w:pPr>
        <w:spacing w:after="0" w:line="171" w:lineRule="exact"/>
        <w:rPr>
          <w:sz w:val="20"/>
          <w:szCs w:val="20"/>
          <w:color w:val="auto"/>
        </w:rPr>
      </w:pPr>
    </w:p>
    <w:p>
      <w:pPr>
        <w:ind w:left="200" w:right="120" w:firstLine="441"/>
        <w:spacing w:after="0" w:line="308" w:lineRule="auto"/>
        <w:rPr>
          <w:sz w:val="20"/>
          <w:szCs w:val="20"/>
          <w:color w:val="auto"/>
        </w:rPr>
      </w:pPr>
      <w:r>
        <w:rPr>
          <w:rFonts w:ascii="Arial" w:cs="Arial" w:eastAsia="Arial" w:hAnsi="Arial"/>
          <w:sz w:val="17"/>
          <w:szCs w:val="17"/>
          <w:color w:val="auto"/>
        </w:rPr>
        <w:t>Effective April 1, 2019 Andrew Quick was promoted from Senior Vice President Clinical Development to Chief Technology Officer. There were no other changes of Key Management Personnel after the reporting date and through the date of this registration statement on Form 20-F.</w:t>
      </w:r>
    </w:p>
    <w:p>
      <w:pPr>
        <w:spacing w:after="0" w:line="147" w:lineRule="exact"/>
        <w:rPr>
          <w:sz w:val="20"/>
          <w:szCs w:val="20"/>
          <w:color w:val="auto"/>
        </w:rPr>
      </w:pPr>
    </w:p>
    <w:p>
      <w:pPr>
        <w:ind w:left="200" w:right="60" w:firstLine="441"/>
        <w:spacing w:after="0" w:line="264" w:lineRule="auto"/>
        <w:rPr>
          <w:sz w:val="20"/>
          <w:szCs w:val="20"/>
          <w:color w:val="auto"/>
        </w:rPr>
      </w:pPr>
      <w:r>
        <w:rPr>
          <w:rFonts w:ascii="Arial" w:cs="Arial" w:eastAsia="Arial" w:hAnsi="Arial"/>
          <w:sz w:val="18"/>
          <w:szCs w:val="18"/>
          <w:color w:val="auto"/>
        </w:rPr>
        <w:t>In prior years we identified a number of key areas for additional emphasis which has resulted in a review of remuneration practices, policies and plans associated with key management personnel remuneration. To develop an appropriate foundation for future practices the Remuneration Committee has a formal Remuneration Governance Framework which, at the core, consists of:</w:t>
      </w:r>
    </w:p>
    <w:p>
      <w:pPr>
        <w:spacing w:after="0" w:line="87" w:lineRule="exact"/>
        <w:rPr>
          <w:sz w:val="20"/>
          <w:szCs w:val="20"/>
          <w:color w:val="auto"/>
        </w:rPr>
      </w:pPr>
    </w:p>
    <w:p>
      <w:pPr>
        <w:ind w:left="1180" w:hanging="436"/>
        <w:spacing w:after="0" w:line="277" w:lineRule="auto"/>
        <w:tabs>
          <w:tab w:leader="none" w:pos="11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A revised Remuneration &amp; Nomination Committee Charter which now mandates the development and maintenance of other Remuneration Governance Framework elements;</w:t>
      </w:r>
    </w:p>
    <w:p>
      <w:pPr>
        <w:spacing w:after="0" w:line="75" w:lineRule="exact"/>
        <w:rPr>
          <w:rFonts w:ascii="Arial" w:cs="Arial" w:eastAsia="Arial" w:hAnsi="Arial"/>
          <w:sz w:val="18"/>
          <w:szCs w:val="18"/>
          <w:color w:val="auto"/>
        </w:rPr>
      </w:pPr>
    </w:p>
    <w:p>
      <w:pPr>
        <w:ind w:left="1180" w:hanging="436"/>
        <w:spacing w:after="0"/>
        <w:tabs>
          <w:tab w:leader="none" w:pos="11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A Senior Executive Remuneration Policy;</w:t>
      </w:r>
    </w:p>
    <w:p>
      <w:pPr>
        <w:spacing w:after="0" w:line="130" w:lineRule="exact"/>
        <w:rPr>
          <w:rFonts w:ascii="Arial" w:cs="Arial" w:eastAsia="Arial" w:hAnsi="Arial"/>
          <w:sz w:val="18"/>
          <w:szCs w:val="18"/>
          <w:color w:val="auto"/>
        </w:rPr>
      </w:pPr>
    </w:p>
    <w:p>
      <w:pPr>
        <w:ind w:left="1180" w:hanging="436"/>
        <w:spacing w:after="0"/>
        <w:tabs>
          <w:tab w:leader="none" w:pos="11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A Short-Term Incentive (STI) Policy &amp; Procedure document; and</w:t>
      </w:r>
    </w:p>
    <w:p>
      <w:pPr>
        <w:spacing w:after="0" w:line="130" w:lineRule="exact"/>
        <w:rPr>
          <w:rFonts w:ascii="Arial" w:cs="Arial" w:eastAsia="Arial" w:hAnsi="Arial"/>
          <w:sz w:val="18"/>
          <w:szCs w:val="18"/>
          <w:color w:val="auto"/>
        </w:rPr>
      </w:pPr>
    </w:p>
    <w:p>
      <w:pPr>
        <w:ind w:left="1180" w:hanging="436"/>
        <w:spacing w:after="0"/>
        <w:tabs>
          <w:tab w:leader="none" w:pos="11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A Long-Term Incentive (LTI) Policy &amp; Procedure document.</w:t>
      </w:r>
    </w:p>
    <w:p>
      <w:pPr>
        <w:spacing w:after="0" w:line="333" w:lineRule="exact"/>
        <w:rPr>
          <w:sz w:val="20"/>
          <w:szCs w:val="20"/>
          <w:color w:val="auto"/>
        </w:rPr>
      </w:pPr>
    </w:p>
    <w:p>
      <w:pPr>
        <w:ind w:left="200"/>
        <w:spacing w:after="0"/>
        <w:rPr>
          <w:sz w:val="20"/>
          <w:szCs w:val="20"/>
          <w:color w:val="auto"/>
        </w:rPr>
      </w:pPr>
      <w:r>
        <w:rPr>
          <w:rFonts w:ascii="Arial" w:cs="Arial" w:eastAsia="Arial" w:hAnsi="Arial"/>
          <w:sz w:val="18"/>
          <w:szCs w:val="18"/>
          <w:u w:val="single" w:color="auto"/>
          <w:color w:val="auto"/>
        </w:rPr>
        <w:t>Remuneration Committee</w:t>
      </w:r>
    </w:p>
    <w:p>
      <w:pPr>
        <w:spacing w:after="0" w:line="117" w:lineRule="exact"/>
        <w:rPr>
          <w:sz w:val="20"/>
          <w:szCs w:val="20"/>
          <w:color w:val="auto"/>
        </w:rPr>
      </w:pPr>
    </w:p>
    <w:p>
      <w:pPr>
        <w:ind w:left="200" w:right="20" w:firstLine="441"/>
        <w:spacing w:after="0" w:line="277" w:lineRule="auto"/>
        <w:rPr>
          <w:sz w:val="20"/>
          <w:szCs w:val="20"/>
          <w:color w:val="auto"/>
        </w:rPr>
      </w:pPr>
      <w:r>
        <w:rPr>
          <w:rFonts w:ascii="Arial" w:cs="Arial" w:eastAsia="Arial" w:hAnsi="Arial"/>
          <w:sz w:val="18"/>
          <w:szCs w:val="18"/>
          <w:color w:val="auto"/>
        </w:rPr>
        <w:t>The Remuneration Committee of the Board of Directors of the Company is responsible for determining and reviewing remuneration arrangements for the Board and Executives.</w:t>
      </w:r>
    </w:p>
    <w:p>
      <w:pPr>
        <w:spacing w:after="0" w:line="170" w:lineRule="exact"/>
        <w:rPr>
          <w:sz w:val="20"/>
          <w:szCs w:val="20"/>
          <w:color w:val="auto"/>
        </w:rPr>
      </w:pPr>
    </w:p>
    <w:p>
      <w:pPr>
        <w:ind w:left="200" w:right="200" w:firstLine="441"/>
        <w:spacing w:after="0" w:line="264" w:lineRule="auto"/>
        <w:rPr>
          <w:sz w:val="20"/>
          <w:szCs w:val="20"/>
          <w:color w:val="auto"/>
        </w:rPr>
      </w:pPr>
      <w:r>
        <w:rPr>
          <w:rFonts w:ascii="Arial" w:cs="Arial" w:eastAsia="Arial" w:hAnsi="Arial"/>
          <w:sz w:val="18"/>
          <w:szCs w:val="18"/>
          <w:color w:val="auto"/>
        </w:rPr>
        <w:t>The Remuneration Committee assesses the appropriateness of the nature and amount of remuneration of Executives on a periodic basis by reference to relevant employment market conditions with the overall objective of ensuring maximum stakeholder benefit from the retention of a high-quality Board and executive team.</w:t>
      </w:r>
    </w:p>
    <w:p>
      <w:pPr>
        <w:spacing w:after="0" w:line="289" w:lineRule="exact"/>
        <w:rPr>
          <w:sz w:val="20"/>
          <w:szCs w:val="20"/>
          <w:color w:val="auto"/>
        </w:rPr>
      </w:pPr>
    </w:p>
    <w:p>
      <w:pPr>
        <w:ind w:left="200"/>
        <w:spacing w:after="0"/>
        <w:rPr>
          <w:sz w:val="20"/>
          <w:szCs w:val="20"/>
          <w:color w:val="auto"/>
        </w:rPr>
      </w:pPr>
      <w:r>
        <w:rPr>
          <w:rFonts w:ascii="Arial" w:cs="Arial" w:eastAsia="Arial" w:hAnsi="Arial"/>
          <w:sz w:val="18"/>
          <w:szCs w:val="18"/>
          <w:u w:val="single" w:color="auto"/>
          <w:color w:val="auto"/>
        </w:rPr>
        <w:t>Use of Remuneration Consultants</w:t>
      </w:r>
    </w:p>
    <w:p>
      <w:pPr>
        <w:spacing w:after="0" w:line="117" w:lineRule="exact"/>
        <w:rPr>
          <w:sz w:val="20"/>
          <w:szCs w:val="20"/>
          <w:color w:val="auto"/>
        </w:rPr>
      </w:pPr>
    </w:p>
    <w:p>
      <w:pPr>
        <w:ind w:left="200" w:right="540" w:firstLine="441"/>
        <w:spacing w:after="0" w:line="277" w:lineRule="auto"/>
        <w:rPr>
          <w:sz w:val="20"/>
          <w:szCs w:val="20"/>
          <w:color w:val="auto"/>
        </w:rPr>
      </w:pPr>
      <w:r>
        <w:rPr>
          <w:rFonts w:ascii="Arial" w:cs="Arial" w:eastAsia="Arial" w:hAnsi="Arial"/>
          <w:sz w:val="18"/>
          <w:szCs w:val="18"/>
          <w:color w:val="auto"/>
        </w:rPr>
        <w:t>The Company did not make use of any external remuneration consultants during the financial year, although it did obtain from third parties industry benchmarking information.</w:t>
      </w:r>
    </w:p>
    <w:p>
      <w:pPr>
        <w:spacing w:after="0" w:line="103"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56</w:t>
      </w:r>
    </w:p>
    <w:p>
      <w:pPr>
        <w:sectPr>
          <w:pgSz w:w="11900" w:h="16838" w:orient="portrait"/>
          <w:cols w:equalWidth="0" w:num="1">
            <w:col w:w="11200"/>
          </w:cols>
          <w:pgMar w:left="240" w:top="459" w:right="459" w:bottom="1440" w:gutter="0" w:footer="0" w:header="0"/>
        </w:sectPr>
      </w:pPr>
    </w:p>
    <w:bookmarkStart w:id="58" w:name="page59"/>
    <w:bookmarkEnd w:id="5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spacing w:after="0"/>
        <w:rPr>
          <w:sz w:val="20"/>
          <w:szCs w:val="20"/>
          <w:color w:val="auto"/>
        </w:rPr>
      </w:pPr>
      <w:r>
        <w:rPr>
          <w:rFonts w:ascii="Arial" w:cs="Arial" w:eastAsia="Arial" w:hAnsi="Arial"/>
          <w:sz w:val="18"/>
          <w:szCs w:val="18"/>
          <w:u w:val="single" w:color="auto"/>
          <w:color w:val="auto"/>
        </w:rPr>
        <w:t>Remuneration Framework, Philosophy and Policies</w:t>
      </w:r>
    </w:p>
    <w:p>
      <w:pPr>
        <w:spacing w:after="0" w:line="117" w:lineRule="exact"/>
        <w:rPr>
          <w:sz w:val="20"/>
          <w:szCs w:val="20"/>
          <w:color w:val="auto"/>
        </w:rPr>
      </w:pPr>
    </w:p>
    <w:p>
      <w:pPr>
        <w:ind w:left="200" w:right="180" w:firstLine="441"/>
        <w:spacing w:after="0" w:line="342" w:lineRule="auto"/>
        <w:rPr>
          <w:sz w:val="20"/>
          <w:szCs w:val="20"/>
          <w:color w:val="auto"/>
        </w:rPr>
      </w:pPr>
      <w:r>
        <w:rPr>
          <w:rFonts w:ascii="Arial" w:cs="Arial" w:eastAsia="Arial" w:hAnsi="Arial"/>
          <w:sz w:val="16"/>
          <w:szCs w:val="16"/>
          <w:color w:val="auto"/>
        </w:rPr>
        <w:t>The performance of the Company depends upon the quality of its Directors and Executives. To prosper, the Company must attract, motivate and retain highly skilled Directors and Executives. To this end, the Company embodies the following principles in its remuneration framework:</w:t>
      </w:r>
    </w:p>
    <w:p>
      <w:pPr>
        <w:spacing w:after="0" w:line="29" w:lineRule="exact"/>
        <w:rPr>
          <w:sz w:val="20"/>
          <w:szCs w:val="20"/>
          <w:color w:val="auto"/>
        </w:rPr>
      </w:pPr>
    </w:p>
    <w:p>
      <w:pPr>
        <w:ind w:left="1180" w:hanging="436"/>
        <w:spacing w:after="0"/>
        <w:tabs>
          <w:tab w:leader="none" w:pos="11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Provide competitive rewards to attract and retain high caliber Executives;</w:t>
      </w:r>
    </w:p>
    <w:p>
      <w:pPr>
        <w:spacing w:after="0" w:line="130" w:lineRule="exact"/>
        <w:rPr>
          <w:rFonts w:ascii="Arial" w:cs="Arial" w:eastAsia="Arial" w:hAnsi="Arial"/>
          <w:sz w:val="18"/>
          <w:szCs w:val="18"/>
          <w:color w:val="auto"/>
        </w:rPr>
      </w:pPr>
    </w:p>
    <w:p>
      <w:pPr>
        <w:ind w:left="1180" w:right="640" w:hanging="436"/>
        <w:spacing w:after="0" w:line="277" w:lineRule="auto"/>
        <w:tabs>
          <w:tab w:leader="none" w:pos="11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Acceptability to shareholders through transparency and engagement, and ensuring that remuneration frameworks and practices are appropriate to the circumstances of the Company as it evolves;</w:t>
      </w:r>
    </w:p>
    <w:p>
      <w:pPr>
        <w:spacing w:after="0" w:line="75" w:lineRule="exact"/>
        <w:rPr>
          <w:rFonts w:ascii="Arial" w:cs="Arial" w:eastAsia="Arial" w:hAnsi="Arial"/>
          <w:sz w:val="18"/>
          <w:szCs w:val="18"/>
          <w:color w:val="auto"/>
        </w:rPr>
      </w:pPr>
    </w:p>
    <w:p>
      <w:pPr>
        <w:ind w:left="1180" w:hanging="436"/>
        <w:spacing w:after="0"/>
        <w:tabs>
          <w:tab w:leader="none" w:pos="11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Performance linkage to and alignment with Executive compensation; and</w:t>
      </w:r>
    </w:p>
    <w:p>
      <w:pPr>
        <w:spacing w:after="0" w:line="130" w:lineRule="exact"/>
        <w:rPr>
          <w:rFonts w:ascii="Arial" w:cs="Arial" w:eastAsia="Arial" w:hAnsi="Arial"/>
          <w:sz w:val="18"/>
          <w:szCs w:val="18"/>
          <w:color w:val="auto"/>
        </w:rPr>
      </w:pPr>
    </w:p>
    <w:p>
      <w:pPr>
        <w:ind w:left="1180" w:hanging="436"/>
        <w:spacing w:after="0"/>
        <w:tabs>
          <w:tab w:leader="none" w:pos="11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Establish appropriate, demanding performance hurdles as a prerequisite to payment of variable Executive remuneration.</w:t>
      </w:r>
    </w:p>
    <w:p>
      <w:pPr>
        <w:spacing w:after="0" w:line="225" w:lineRule="exact"/>
        <w:rPr>
          <w:sz w:val="20"/>
          <w:szCs w:val="20"/>
          <w:color w:val="auto"/>
        </w:rPr>
      </w:pPr>
    </w:p>
    <w:p>
      <w:pPr>
        <w:ind w:left="200" w:right="180" w:firstLine="441"/>
        <w:spacing w:after="0" w:line="276" w:lineRule="auto"/>
        <w:rPr>
          <w:sz w:val="20"/>
          <w:szCs w:val="20"/>
          <w:color w:val="auto"/>
        </w:rPr>
      </w:pPr>
      <w:r>
        <w:rPr>
          <w:rFonts w:ascii="Arial" w:cs="Arial" w:eastAsia="Arial" w:hAnsi="Arial"/>
          <w:sz w:val="17"/>
          <w:szCs w:val="17"/>
          <w:color w:val="auto"/>
        </w:rPr>
        <w:t>The main focus of executives and of performance assessment for Fiscal 2018 was related to the U.S. PMA application for the RECELL System, related activities required to support FDA approval, and preparation for the planned market launch of the RECELL System in the U.S. For the current year, the primary focus is on the successful market launch of the RECELL System in the U.S., advancement of the Company’s pipeline and successful completion of the listing of our ADSs on the NASDAQ Capital Market (US Quotation). Incentives are intended to be linked to shareholder value via milestone completion, clinical trial outcomes and total shareholder return.</w:t>
      </w:r>
    </w:p>
    <w:p>
      <w:pPr>
        <w:spacing w:after="0" w:line="281" w:lineRule="exact"/>
        <w:rPr>
          <w:sz w:val="20"/>
          <w:szCs w:val="20"/>
          <w:color w:val="auto"/>
        </w:rPr>
      </w:pPr>
    </w:p>
    <w:p>
      <w:pPr>
        <w:ind w:left="200"/>
        <w:spacing w:after="0"/>
        <w:rPr>
          <w:sz w:val="20"/>
          <w:szCs w:val="20"/>
          <w:color w:val="auto"/>
        </w:rPr>
      </w:pPr>
      <w:r>
        <w:rPr>
          <w:rFonts w:ascii="Arial" w:cs="Arial" w:eastAsia="Arial" w:hAnsi="Arial"/>
          <w:sz w:val="18"/>
          <w:szCs w:val="18"/>
          <w:u w:val="single" w:color="auto"/>
          <w:color w:val="auto"/>
        </w:rPr>
        <w:t>Non-Executive Director Remuneration</w:t>
      </w:r>
    </w:p>
    <w:p>
      <w:pPr>
        <w:spacing w:after="0" w:line="113" w:lineRule="exact"/>
        <w:rPr>
          <w:sz w:val="20"/>
          <w:szCs w:val="20"/>
          <w:color w:val="auto"/>
        </w:rPr>
      </w:pPr>
    </w:p>
    <w:p>
      <w:pPr>
        <w:ind w:left="200" w:firstLine="441"/>
        <w:spacing w:after="0" w:line="282" w:lineRule="auto"/>
        <w:rPr>
          <w:sz w:val="20"/>
          <w:szCs w:val="20"/>
          <w:color w:val="auto"/>
        </w:rPr>
      </w:pPr>
      <w:r>
        <w:rPr>
          <w:rFonts w:ascii="Arial" w:cs="Arial" w:eastAsia="Arial" w:hAnsi="Arial"/>
          <w:sz w:val="18"/>
          <w:szCs w:val="18"/>
          <w:b w:val="1"/>
          <w:bCs w:val="1"/>
          <w:color w:val="auto"/>
        </w:rPr>
        <w:t>Objective</w:t>
      </w:r>
      <w:r>
        <w:rPr>
          <w:rFonts w:ascii="Arial" w:cs="Arial" w:eastAsia="Arial" w:hAnsi="Arial"/>
          <w:sz w:val="18"/>
          <w:szCs w:val="18"/>
          <w:color w:val="auto"/>
        </w:rPr>
        <w:t>: The Board seeks to set aggregate remuneration at a level which provides the Company with the ability to attract and retain Directors of</w:t>
      </w:r>
      <w:r>
        <w:rPr>
          <w:rFonts w:ascii="Arial" w:cs="Arial" w:eastAsia="Arial" w:hAnsi="Arial"/>
          <w:sz w:val="18"/>
          <w:szCs w:val="18"/>
          <w:b w:val="1"/>
          <w:bCs w:val="1"/>
          <w:color w:val="auto"/>
        </w:rPr>
        <w:t xml:space="preserve"> </w:t>
      </w:r>
      <w:r>
        <w:rPr>
          <w:rFonts w:ascii="Arial" w:cs="Arial" w:eastAsia="Arial" w:hAnsi="Arial"/>
          <w:sz w:val="18"/>
          <w:szCs w:val="18"/>
          <w:color w:val="auto"/>
        </w:rPr>
        <w:t>the highest caliber, whilst incurring a cost which is acceptable to shareholders.</w:t>
      </w:r>
    </w:p>
    <w:p>
      <w:pPr>
        <w:spacing w:after="0" w:line="162" w:lineRule="exact"/>
        <w:rPr>
          <w:sz w:val="20"/>
          <w:szCs w:val="20"/>
          <w:color w:val="auto"/>
        </w:rPr>
      </w:pPr>
    </w:p>
    <w:p>
      <w:pPr>
        <w:ind w:left="200" w:right="280" w:firstLine="441"/>
        <w:spacing w:after="0" w:line="266" w:lineRule="auto"/>
        <w:rPr>
          <w:sz w:val="20"/>
          <w:szCs w:val="20"/>
          <w:color w:val="auto"/>
        </w:rPr>
      </w:pPr>
      <w:r>
        <w:rPr>
          <w:rFonts w:ascii="Arial" w:cs="Arial" w:eastAsia="Arial" w:hAnsi="Arial"/>
          <w:sz w:val="18"/>
          <w:szCs w:val="18"/>
          <w:b w:val="1"/>
          <w:bCs w:val="1"/>
          <w:color w:val="auto"/>
        </w:rPr>
        <w:t>Policy</w:t>
      </w:r>
      <w:r>
        <w:rPr>
          <w:rFonts w:ascii="Arial" w:cs="Arial" w:eastAsia="Arial" w:hAnsi="Arial"/>
          <w:sz w:val="18"/>
          <w:szCs w:val="18"/>
          <w:color w:val="auto"/>
        </w:rPr>
        <w:t>: The amount of aggregate remuneration sought to be approved by shareholders and the fee structure is to be commercially acceptable,</w:t>
      </w:r>
      <w:r>
        <w:rPr>
          <w:rFonts w:ascii="Arial" w:cs="Arial" w:eastAsia="Arial" w:hAnsi="Arial"/>
          <w:sz w:val="18"/>
          <w:szCs w:val="18"/>
          <w:b w:val="1"/>
          <w:bCs w:val="1"/>
          <w:color w:val="auto"/>
        </w:rPr>
        <w:t xml:space="preserve"> </w:t>
      </w:r>
      <w:r>
        <w:rPr>
          <w:rFonts w:ascii="Arial" w:cs="Arial" w:eastAsia="Arial" w:hAnsi="Arial"/>
          <w:sz w:val="18"/>
          <w:szCs w:val="18"/>
          <w:color w:val="auto"/>
        </w:rPr>
        <w:t>competitive and subject to an annual review. The Board considers industry benchmarking data regarding the fees paid to Non-Executive Directors of comparable companies when undertaking the annual review process.</w:t>
      </w:r>
    </w:p>
    <w:p>
      <w:pPr>
        <w:spacing w:after="0" w:line="176" w:lineRule="exact"/>
        <w:rPr>
          <w:sz w:val="20"/>
          <w:szCs w:val="20"/>
          <w:color w:val="auto"/>
        </w:rPr>
      </w:pPr>
    </w:p>
    <w:p>
      <w:pPr>
        <w:ind w:left="200" w:right="40" w:firstLine="441"/>
        <w:spacing w:after="0" w:line="258" w:lineRule="auto"/>
        <w:rPr>
          <w:sz w:val="20"/>
          <w:szCs w:val="20"/>
          <w:color w:val="auto"/>
        </w:rPr>
      </w:pPr>
      <w:r>
        <w:rPr>
          <w:rFonts w:ascii="Arial" w:cs="Arial" w:eastAsia="Arial" w:hAnsi="Arial"/>
          <w:sz w:val="18"/>
          <w:szCs w:val="18"/>
          <w:b w:val="1"/>
          <w:bCs w:val="1"/>
          <w:color w:val="auto"/>
        </w:rPr>
        <w:t>Structure</w:t>
      </w:r>
      <w:r>
        <w:rPr>
          <w:rFonts w:ascii="Arial" w:cs="Arial" w:eastAsia="Arial" w:hAnsi="Arial"/>
          <w:sz w:val="18"/>
          <w:szCs w:val="18"/>
          <w:color w:val="auto"/>
        </w:rPr>
        <w:t>: In accordance with best practice corporate governance, the structure of Non-Executive Director and Senior Management remuneration</w:t>
      </w:r>
      <w:r>
        <w:rPr>
          <w:rFonts w:ascii="Arial" w:cs="Arial" w:eastAsia="Arial" w:hAnsi="Arial"/>
          <w:sz w:val="18"/>
          <w:szCs w:val="18"/>
          <w:b w:val="1"/>
          <w:bCs w:val="1"/>
          <w:color w:val="auto"/>
        </w:rPr>
        <w:t xml:space="preserve"> </w:t>
      </w:r>
      <w:r>
        <w:rPr>
          <w:rFonts w:ascii="Arial" w:cs="Arial" w:eastAsia="Arial" w:hAnsi="Arial"/>
          <w:sz w:val="18"/>
          <w:szCs w:val="18"/>
          <w:color w:val="auto"/>
        </w:rPr>
        <w:t>is separate and distinct. The Constitution and the ASX Listing Rules specify that the aggregate remuneration of Non-Executive Directors shall be determined from time to time by a general meeting. The latest determination was at the Annual General Meeting held on November 29, 2005 when shareholders approved an aggregate remuneration of $450,000 per year in respect of fees payable to Non-Executive Directors. Please refer to Table 2 of this report for the allocation of Directors’ fees.</w:t>
      </w:r>
    </w:p>
    <w:p>
      <w:pPr>
        <w:spacing w:after="0" w:line="188" w:lineRule="exact"/>
        <w:rPr>
          <w:sz w:val="20"/>
          <w:szCs w:val="20"/>
          <w:color w:val="auto"/>
        </w:rPr>
      </w:pPr>
    </w:p>
    <w:p>
      <w:pPr>
        <w:ind w:left="200" w:firstLine="441"/>
        <w:spacing w:after="0" w:line="277" w:lineRule="auto"/>
        <w:rPr>
          <w:sz w:val="20"/>
          <w:szCs w:val="20"/>
          <w:color w:val="auto"/>
        </w:rPr>
      </w:pPr>
      <w:r>
        <w:rPr>
          <w:rFonts w:ascii="Arial" w:cs="Arial" w:eastAsia="Arial" w:hAnsi="Arial"/>
          <w:sz w:val="18"/>
          <w:szCs w:val="18"/>
          <w:color w:val="auto"/>
        </w:rPr>
        <w:t>Each Director receives a fee for being a Director of the Company and includes attendance and participation at Board and committee meetings. The Non-Executive Directors do not participate in any incentive programs.</w:t>
      </w:r>
    </w:p>
    <w:p>
      <w:pPr>
        <w:spacing w:after="0" w:line="170" w:lineRule="exact"/>
        <w:rPr>
          <w:sz w:val="20"/>
          <w:szCs w:val="20"/>
          <w:color w:val="auto"/>
        </w:rPr>
      </w:pPr>
    </w:p>
    <w:p>
      <w:pPr>
        <w:ind w:left="640"/>
        <w:spacing w:after="0"/>
        <w:rPr>
          <w:sz w:val="20"/>
          <w:szCs w:val="20"/>
          <w:color w:val="auto"/>
        </w:rPr>
      </w:pPr>
      <w:r>
        <w:rPr>
          <w:rFonts w:ascii="Arial" w:cs="Arial" w:eastAsia="Arial" w:hAnsi="Arial"/>
          <w:sz w:val="18"/>
          <w:szCs w:val="18"/>
          <w:color w:val="auto"/>
        </w:rPr>
        <w:t>The remuneration of Non-Executive Directors for the year ended June 30, 2018 is detailed in Table 2 of this report.</w:t>
      </w:r>
    </w:p>
    <w:p>
      <w:pPr>
        <w:spacing w:after="0" w:line="333" w:lineRule="exact"/>
        <w:rPr>
          <w:sz w:val="20"/>
          <w:szCs w:val="20"/>
          <w:color w:val="auto"/>
        </w:rPr>
      </w:pPr>
    </w:p>
    <w:p>
      <w:pPr>
        <w:ind w:left="200"/>
        <w:spacing w:after="0"/>
        <w:rPr>
          <w:sz w:val="20"/>
          <w:szCs w:val="20"/>
          <w:color w:val="auto"/>
        </w:rPr>
      </w:pPr>
      <w:r>
        <w:rPr>
          <w:rFonts w:ascii="Arial" w:cs="Arial" w:eastAsia="Arial" w:hAnsi="Arial"/>
          <w:sz w:val="18"/>
          <w:szCs w:val="18"/>
          <w:u w:val="single" w:color="auto"/>
          <w:color w:val="auto"/>
        </w:rPr>
        <w:t>Executive Remuneration (including Executive Directors)</w:t>
      </w:r>
    </w:p>
    <w:p>
      <w:pPr>
        <w:spacing w:after="0" w:line="113" w:lineRule="exact"/>
        <w:rPr>
          <w:sz w:val="20"/>
          <w:szCs w:val="20"/>
          <w:color w:val="auto"/>
        </w:rPr>
      </w:pPr>
    </w:p>
    <w:p>
      <w:pPr>
        <w:ind w:left="200" w:right="140" w:firstLine="441"/>
        <w:spacing w:after="0" w:line="282" w:lineRule="auto"/>
        <w:rPr>
          <w:sz w:val="20"/>
          <w:szCs w:val="20"/>
          <w:color w:val="auto"/>
        </w:rPr>
      </w:pPr>
      <w:r>
        <w:rPr>
          <w:rFonts w:ascii="Arial" w:cs="Arial" w:eastAsia="Arial" w:hAnsi="Arial"/>
          <w:sz w:val="18"/>
          <w:szCs w:val="18"/>
          <w:b w:val="1"/>
          <w:bCs w:val="1"/>
          <w:color w:val="auto"/>
        </w:rPr>
        <w:t>Objective</w:t>
      </w:r>
      <w:r>
        <w:rPr>
          <w:rFonts w:ascii="Arial" w:cs="Arial" w:eastAsia="Arial" w:hAnsi="Arial"/>
          <w:sz w:val="18"/>
          <w:szCs w:val="18"/>
          <w:color w:val="auto"/>
        </w:rPr>
        <w:t>: The Company aims to reward Executives with a level and mix of remuneration commensurate with their position and responsibilities</w:t>
      </w:r>
      <w:r>
        <w:rPr>
          <w:rFonts w:ascii="Arial" w:cs="Arial" w:eastAsia="Arial" w:hAnsi="Arial"/>
          <w:sz w:val="18"/>
          <w:szCs w:val="18"/>
          <w:b w:val="1"/>
          <w:bCs w:val="1"/>
          <w:color w:val="auto"/>
        </w:rPr>
        <w:t xml:space="preserve"> </w:t>
      </w:r>
      <w:r>
        <w:rPr>
          <w:rFonts w:ascii="Arial" w:cs="Arial" w:eastAsia="Arial" w:hAnsi="Arial"/>
          <w:sz w:val="18"/>
          <w:szCs w:val="18"/>
          <w:color w:val="auto"/>
        </w:rPr>
        <w:t>within the Company so as to:</w:t>
      </w:r>
    </w:p>
    <w:p>
      <w:pPr>
        <w:spacing w:after="0" w:line="71" w:lineRule="exact"/>
        <w:rPr>
          <w:sz w:val="20"/>
          <w:szCs w:val="20"/>
          <w:color w:val="auto"/>
        </w:rPr>
      </w:pPr>
    </w:p>
    <w:p>
      <w:pPr>
        <w:ind w:left="1180" w:right="500" w:hanging="436"/>
        <w:spacing w:after="0" w:line="277" w:lineRule="auto"/>
        <w:tabs>
          <w:tab w:leader="none" w:pos="11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reward Executives for Company and individual performance against targets set by reference to appropriate benchmarks as well as to specific short- and long-term goals of the Company;</w:t>
      </w:r>
    </w:p>
    <w:p>
      <w:pPr>
        <w:spacing w:after="0" w:line="103"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57</w:t>
      </w:r>
    </w:p>
    <w:p>
      <w:pPr>
        <w:sectPr>
          <w:pgSz w:w="11900" w:h="16838" w:orient="portrait"/>
          <w:cols w:equalWidth="0" w:num="1">
            <w:col w:w="11200"/>
          </w:cols>
          <w:pgMar w:left="240" w:top="459" w:right="459" w:bottom="1440" w:gutter="0" w:footer="0" w:header="0"/>
        </w:sectPr>
      </w:pPr>
    </w:p>
    <w:bookmarkStart w:id="59" w:name="page60"/>
    <w:bookmarkEnd w:id="5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1180" w:hanging="436"/>
        <w:spacing w:after="0"/>
        <w:tabs>
          <w:tab w:leader="none" w:pos="11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align the interests of Executives with those of shareholders; and</w:t>
      </w:r>
    </w:p>
    <w:p>
      <w:pPr>
        <w:spacing w:after="0" w:line="130" w:lineRule="exact"/>
        <w:rPr>
          <w:rFonts w:ascii="Arial" w:cs="Arial" w:eastAsia="Arial" w:hAnsi="Arial"/>
          <w:sz w:val="18"/>
          <w:szCs w:val="18"/>
          <w:color w:val="auto"/>
        </w:rPr>
      </w:pPr>
    </w:p>
    <w:p>
      <w:pPr>
        <w:ind w:left="1180" w:hanging="436"/>
        <w:spacing w:after="0"/>
        <w:tabs>
          <w:tab w:leader="none" w:pos="11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ensure total remuneration is competitive by market standards.</w:t>
      </w:r>
    </w:p>
    <w:p>
      <w:pPr>
        <w:spacing w:after="0" w:line="221" w:lineRule="exact"/>
        <w:rPr>
          <w:sz w:val="20"/>
          <w:szCs w:val="20"/>
          <w:color w:val="auto"/>
        </w:rPr>
      </w:pPr>
    </w:p>
    <w:p>
      <w:pPr>
        <w:ind w:left="640"/>
        <w:spacing w:after="0"/>
        <w:rPr>
          <w:sz w:val="20"/>
          <w:szCs w:val="20"/>
          <w:color w:val="auto"/>
        </w:rPr>
      </w:pPr>
      <w:r>
        <w:rPr>
          <w:rFonts w:ascii="Arial" w:cs="Arial" w:eastAsia="Arial" w:hAnsi="Arial"/>
          <w:sz w:val="18"/>
          <w:szCs w:val="18"/>
          <w:b w:val="1"/>
          <w:bCs w:val="1"/>
          <w:color w:val="auto"/>
        </w:rPr>
        <w:t>Policy</w:t>
      </w:r>
      <w:r>
        <w:rPr>
          <w:rFonts w:ascii="Arial" w:cs="Arial" w:eastAsia="Arial" w:hAnsi="Arial"/>
          <w:sz w:val="18"/>
          <w:szCs w:val="18"/>
          <w:color w:val="auto"/>
        </w:rPr>
        <w:t>: The Company’s broad framework for the Remuneration Committee requires the committee to ensure that:</w:t>
      </w:r>
    </w:p>
    <w:p>
      <w:pPr>
        <w:spacing w:after="0" w:line="135" w:lineRule="exact"/>
        <w:rPr>
          <w:sz w:val="20"/>
          <w:szCs w:val="20"/>
          <w:color w:val="auto"/>
        </w:rPr>
      </w:pPr>
    </w:p>
    <w:p>
      <w:pPr>
        <w:ind w:left="1180" w:right="220" w:hanging="436"/>
        <w:spacing w:after="0" w:line="277" w:lineRule="auto"/>
        <w:tabs>
          <w:tab w:leader="none" w:pos="11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executive remuneration packages may involve a balance between fixed and incentive pay, reflecting short and/or long-term performance objectives appropriate to the Company’s circumstances and objectives;</w:t>
      </w:r>
    </w:p>
    <w:p>
      <w:pPr>
        <w:spacing w:after="0" w:line="75" w:lineRule="exact"/>
        <w:rPr>
          <w:rFonts w:ascii="Arial" w:cs="Arial" w:eastAsia="Arial" w:hAnsi="Arial"/>
          <w:sz w:val="18"/>
          <w:szCs w:val="18"/>
          <w:color w:val="auto"/>
        </w:rPr>
      </w:pPr>
    </w:p>
    <w:p>
      <w:pPr>
        <w:ind w:left="1180" w:hanging="436"/>
        <w:spacing w:after="0"/>
        <w:tabs>
          <w:tab w:leader="none" w:pos="1180" w:val="left"/>
        </w:tabs>
        <w:numPr>
          <w:ilvl w:val="0"/>
          <w:numId w:val="27"/>
        </w:numPr>
        <w:rPr>
          <w:rFonts w:ascii="Arial" w:cs="Arial" w:eastAsia="Arial" w:hAnsi="Arial"/>
          <w:sz w:val="16"/>
          <w:szCs w:val="16"/>
          <w:color w:val="auto"/>
        </w:rPr>
      </w:pPr>
      <w:r>
        <w:rPr>
          <w:rFonts w:ascii="Arial" w:cs="Arial" w:eastAsia="Arial" w:hAnsi="Arial"/>
          <w:sz w:val="16"/>
          <w:szCs w:val="16"/>
          <w:color w:val="auto"/>
        </w:rPr>
        <w:t>a proportion of executives’ remuneration is structured in a manner designed to link reward to corporate and individual performances; and</w:t>
      </w:r>
    </w:p>
    <w:p>
      <w:pPr>
        <w:spacing w:after="0" w:line="153" w:lineRule="exact"/>
        <w:rPr>
          <w:rFonts w:ascii="Arial" w:cs="Arial" w:eastAsia="Arial" w:hAnsi="Arial"/>
          <w:sz w:val="16"/>
          <w:szCs w:val="16"/>
          <w:color w:val="auto"/>
        </w:rPr>
      </w:pPr>
    </w:p>
    <w:p>
      <w:pPr>
        <w:ind w:left="1180" w:hanging="436"/>
        <w:spacing w:after="0"/>
        <w:tabs>
          <w:tab w:leader="none" w:pos="11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recommendations are made to the Board with respect to the quantum of bonuses to be paid to executives.</w:t>
      </w:r>
    </w:p>
    <w:p>
      <w:pPr>
        <w:spacing w:after="0" w:line="225" w:lineRule="exact"/>
        <w:rPr>
          <w:sz w:val="20"/>
          <w:szCs w:val="20"/>
          <w:color w:val="auto"/>
        </w:rPr>
      </w:pPr>
    </w:p>
    <w:p>
      <w:pPr>
        <w:ind w:left="200" w:right="500" w:firstLine="441"/>
        <w:spacing w:after="0" w:line="277" w:lineRule="auto"/>
        <w:rPr>
          <w:sz w:val="20"/>
          <w:szCs w:val="20"/>
          <w:color w:val="auto"/>
        </w:rPr>
      </w:pPr>
      <w:r>
        <w:rPr>
          <w:rFonts w:ascii="Arial" w:cs="Arial" w:eastAsia="Arial" w:hAnsi="Arial"/>
          <w:sz w:val="18"/>
          <w:szCs w:val="18"/>
          <w:color w:val="auto"/>
        </w:rPr>
        <w:t>To the extent that the Company adopts a different remuneration structure for its Non-Executive Directors, the Committee shall document its reasons for the purpose of disclosure to stakeholders.</w:t>
      </w:r>
    </w:p>
    <w:p>
      <w:pPr>
        <w:spacing w:after="0" w:line="166" w:lineRule="exact"/>
        <w:rPr>
          <w:sz w:val="20"/>
          <w:szCs w:val="20"/>
          <w:color w:val="auto"/>
        </w:rPr>
      </w:pPr>
    </w:p>
    <w:p>
      <w:pPr>
        <w:ind w:left="200" w:firstLine="441"/>
        <w:spacing w:after="0" w:line="261" w:lineRule="auto"/>
        <w:rPr>
          <w:sz w:val="20"/>
          <w:szCs w:val="20"/>
          <w:color w:val="auto"/>
        </w:rPr>
      </w:pPr>
      <w:r>
        <w:rPr>
          <w:rFonts w:ascii="Arial" w:cs="Arial" w:eastAsia="Arial" w:hAnsi="Arial"/>
          <w:sz w:val="18"/>
          <w:szCs w:val="18"/>
          <w:b w:val="1"/>
          <w:bCs w:val="1"/>
          <w:color w:val="auto"/>
        </w:rPr>
        <w:t>Structure</w:t>
      </w:r>
      <w:r>
        <w:rPr>
          <w:rFonts w:ascii="Arial" w:cs="Arial" w:eastAsia="Arial" w:hAnsi="Arial"/>
          <w:sz w:val="18"/>
          <w:szCs w:val="18"/>
          <w:color w:val="auto"/>
        </w:rPr>
        <w:t>: The Remuneration Committee determines the level and make-up of the Chief Executive remuneration. The Committee takes advice</w:t>
      </w:r>
      <w:r>
        <w:rPr>
          <w:rFonts w:ascii="Arial" w:cs="Arial" w:eastAsia="Arial" w:hAnsi="Arial"/>
          <w:sz w:val="18"/>
          <w:szCs w:val="18"/>
          <w:b w:val="1"/>
          <w:bCs w:val="1"/>
          <w:color w:val="auto"/>
        </w:rPr>
        <w:t xml:space="preserve"> </w:t>
      </w:r>
      <w:r>
        <w:rPr>
          <w:rFonts w:ascii="Arial" w:cs="Arial" w:eastAsia="Arial" w:hAnsi="Arial"/>
          <w:sz w:val="18"/>
          <w:szCs w:val="18"/>
          <w:color w:val="auto"/>
        </w:rPr>
        <w:t>from the Chief Executive with input from industry benchmarking data to set and approve all other executive remuneration. To assist in achieving the Company’s objectives, the Remuneration Committee links the nature and number of officers’ emoluments to the Company’s performance. Remuneration may consist of the following key elements:</w:t>
      </w:r>
    </w:p>
    <w:p>
      <w:pPr>
        <w:spacing w:after="0" w:line="90" w:lineRule="exact"/>
        <w:rPr>
          <w:sz w:val="20"/>
          <w:szCs w:val="20"/>
          <w:color w:val="auto"/>
        </w:rPr>
      </w:pPr>
    </w:p>
    <w:p>
      <w:pPr>
        <w:ind w:left="1180" w:hanging="436"/>
        <w:spacing w:after="0"/>
        <w:tabs>
          <w:tab w:leader="none" w:pos="11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Fixed Remuneration</w:t>
      </w:r>
    </w:p>
    <w:p>
      <w:pPr>
        <w:spacing w:after="0" w:line="130" w:lineRule="exact"/>
        <w:rPr>
          <w:rFonts w:ascii="Arial" w:cs="Arial" w:eastAsia="Arial" w:hAnsi="Arial"/>
          <w:sz w:val="18"/>
          <w:szCs w:val="18"/>
          <w:color w:val="auto"/>
        </w:rPr>
      </w:pPr>
    </w:p>
    <w:p>
      <w:pPr>
        <w:ind w:left="1180" w:hanging="436"/>
        <w:spacing w:after="0"/>
        <w:tabs>
          <w:tab w:leader="none" w:pos="11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Variable Remuneration</w:t>
      </w:r>
    </w:p>
    <w:p>
      <w:pPr>
        <w:spacing w:after="0" w:line="130" w:lineRule="exact"/>
        <w:rPr>
          <w:rFonts w:ascii="Arial" w:cs="Arial" w:eastAsia="Arial" w:hAnsi="Arial"/>
          <w:sz w:val="18"/>
          <w:szCs w:val="18"/>
          <w:color w:val="auto"/>
        </w:rPr>
      </w:pPr>
    </w:p>
    <w:p>
      <w:pPr>
        <w:ind w:left="1620" w:hanging="322"/>
        <w:spacing w:after="0"/>
        <w:tabs>
          <w:tab w:leader="none" w:pos="1620" w:val="left"/>
        </w:tabs>
        <w:numPr>
          <w:ilvl w:val="1"/>
          <w:numId w:val="28"/>
        </w:numPr>
        <w:rPr>
          <w:rFonts w:ascii="Arial" w:cs="Arial" w:eastAsia="Arial" w:hAnsi="Arial"/>
          <w:sz w:val="18"/>
          <w:szCs w:val="18"/>
          <w:color w:val="auto"/>
        </w:rPr>
      </w:pPr>
      <w:r>
        <w:rPr>
          <w:rFonts w:ascii="Arial" w:cs="Arial" w:eastAsia="Arial" w:hAnsi="Arial"/>
          <w:sz w:val="18"/>
          <w:szCs w:val="18"/>
          <w:color w:val="auto"/>
        </w:rPr>
        <w:t>Short Term Incentive (STI) and/or</w:t>
      </w:r>
    </w:p>
    <w:p>
      <w:pPr>
        <w:spacing w:after="0" w:line="130" w:lineRule="exact"/>
        <w:rPr>
          <w:rFonts w:ascii="Arial" w:cs="Arial" w:eastAsia="Arial" w:hAnsi="Arial"/>
          <w:sz w:val="18"/>
          <w:szCs w:val="18"/>
          <w:color w:val="auto"/>
        </w:rPr>
      </w:pPr>
    </w:p>
    <w:p>
      <w:pPr>
        <w:ind w:left="1620" w:hanging="322"/>
        <w:spacing w:after="0"/>
        <w:tabs>
          <w:tab w:leader="none" w:pos="1620" w:val="left"/>
        </w:tabs>
        <w:numPr>
          <w:ilvl w:val="1"/>
          <w:numId w:val="28"/>
        </w:numPr>
        <w:rPr>
          <w:rFonts w:ascii="Arial" w:cs="Arial" w:eastAsia="Arial" w:hAnsi="Arial"/>
          <w:sz w:val="18"/>
          <w:szCs w:val="18"/>
          <w:color w:val="auto"/>
        </w:rPr>
      </w:pPr>
      <w:r>
        <w:rPr>
          <w:rFonts w:ascii="Arial" w:cs="Arial" w:eastAsia="Arial" w:hAnsi="Arial"/>
          <w:sz w:val="18"/>
          <w:szCs w:val="18"/>
          <w:color w:val="auto"/>
        </w:rPr>
        <w:t>Long Term Incentive (LTI)</w:t>
      </w:r>
    </w:p>
    <w:p>
      <w:pPr>
        <w:spacing w:after="0" w:line="225" w:lineRule="exact"/>
        <w:rPr>
          <w:sz w:val="20"/>
          <w:szCs w:val="20"/>
          <w:color w:val="auto"/>
        </w:rPr>
      </w:pPr>
    </w:p>
    <w:p>
      <w:pPr>
        <w:ind w:left="200" w:right="120" w:firstLine="441"/>
        <w:spacing w:after="0" w:line="308" w:lineRule="auto"/>
        <w:rPr>
          <w:sz w:val="20"/>
          <w:szCs w:val="20"/>
          <w:color w:val="auto"/>
        </w:rPr>
      </w:pPr>
      <w:r>
        <w:rPr>
          <w:rFonts w:ascii="Arial" w:cs="Arial" w:eastAsia="Arial" w:hAnsi="Arial"/>
          <w:sz w:val="17"/>
          <w:szCs w:val="17"/>
          <w:color w:val="auto"/>
        </w:rPr>
        <w:t>The proportion of fixed remuneration and variable remuneration (potential short term and long-term incentives) is established for each Executive by the Remuneration Committee annually. Table 2 details the fixed and variable components for the Executives of the Company.</w:t>
      </w:r>
    </w:p>
    <w:p>
      <w:pPr>
        <w:spacing w:after="0" w:line="143" w:lineRule="exact"/>
        <w:rPr>
          <w:sz w:val="20"/>
          <w:szCs w:val="20"/>
          <w:color w:val="auto"/>
        </w:rPr>
      </w:pPr>
    </w:p>
    <w:p>
      <w:pPr>
        <w:ind w:left="200" w:right="20" w:firstLine="441"/>
        <w:spacing w:after="0" w:line="261" w:lineRule="auto"/>
        <w:rPr>
          <w:sz w:val="20"/>
          <w:szCs w:val="20"/>
          <w:color w:val="auto"/>
        </w:rPr>
      </w:pPr>
      <w:r>
        <w:rPr>
          <w:rFonts w:ascii="Arial" w:cs="Arial" w:eastAsia="Arial" w:hAnsi="Arial"/>
          <w:sz w:val="18"/>
          <w:szCs w:val="18"/>
          <w:b w:val="1"/>
          <w:bCs w:val="1"/>
          <w:color w:val="auto"/>
        </w:rPr>
        <w:t>Fixed Remuneration Objective and Structure</w:t>
      </w:r>
      <w:r>
        <w:rPr>
          <w:rFonts w:ascii="Arial" w:cs="Arial" w:eastAsia="Arial" w:hAnsi="Arial"/>
          <w:sz w:val="18"/>
          <w:szCs w:val="18"/>
          <w:color w:val="auto"/>
        </w:rPr>
        <w:t>: The level of fixed remuneration is set so as to provide a base level of remuneration which is both</w:t>
      </w:r>
      <w:r>
        <w:rPr>
          <w:rFonts w:ascii="Arial" w:cs="Arial" w:eastAsia="Arial" w:hAnsi="Arial"/>
          <w:sz w:val="18"/>
          <w:szCs w:val="18"/>
          <w:b w:val="1"/>
          <w:bCs w:val="1"/>
          <w:color w:val="auto"/>
        </w:rPr>
        <w:t xml:space="preserve"> </w:t>
      </w:r>
      <w:r>
        <w:rPr>
          <w:rFonts w:ascii="Arial" w:cs="Arial" w:eastAsia="Arial" w:hAnsi="Arial"/>
          <w:sz w:val="18"/>
          <w:szCs w:val="18"/>
          <w:color w:val="auto"/>
        </w:rPr>
        <w:t>appropriate to the position and is competitive in the market. During the 2018, 2017 and 2016 financial years there were no benefits paid in kind. Fixed remuneration is reviewed annually by the Remuneration Committee and the process consists of a review of Company-wide and individual performance and relevant comparative remuneration in the market.</w:t>
      </w:r>
    </w:p>
    <w:p>
      <w:pPr>
        <w:spacing w:after="0" w:line="180" w:lineRule="exact"/>
        <w:rPr>
          <w:sz w:val="20"/>
          <w:szCs w:val="20"/>
          <w:color w:val="auto"/>
        </w:rPr>
      </w:pPr>
    </w:p>
    <w:p>
      <w:pPr>
        <w:ind w:left="200" w:firstLine="441"/>
        <w:spacing w:after="0" w:line="266" w:lineRule="auto"/>
        <w:rPr>
          <w:sz w:val="20"/>
          <w:szCs w:val="20"/>
          <w:color w:val="auto"/>
        </w:rPr>
      </w:pPr>
      <w:r>
        <w:rPr>
          <w:rFonts w:ascii="Arial" w:cs="Arial" w:eastAsia="Arial" w:hAnsi="Arial"/>
          <w:sz w:val="18"/>
          <w:szCs w:val="18"/>
          <w:b w:val="1"/>
          <w:bCs w:val="1"/>
          <w:color w:val="auto"/>
        </w:rPr>
        <w:t>Variable Remuneration – Short Term Incentive (STI) Objective and Structure</w:t>
      </w:r>
      <w:r>
        <w:rPr>
          <w:rFonts w:ascii="Arial" w:cs="Arial" w:eastAsia="Arial" w:hAnsi="Arial"/>
          <w:sz w:val="18"/>
          <w:szCs w:val="18"/>
          <w:color w:val="auto"/>
        </w:rPr>
        <w:t>: The objective of variable remuneration is to link the</w:t>
      </w:r>
      <w:r>
        <w:rPr>
          <w:rFonts w:ascii="Arial" w:cs="Arial" w:eastAsia="Arial" w:hAnsi="Arial"/>
          <w:sz w:val="18"/>
          <w:szCs w:val="18"/>
          <w:b w:val="1"/>
          <w:bCs w:val="1"/>
          <w:color w:val="auto"/>
        </w:rPr>
        <w:t xml:space="preserve"> </w:t>
      </w:r>
      <w:r>
        <w:rPr>
          <w:rFonts w:ascii="Arial" w:cs="Arial" w:eastAsia="Arial" w:hAnsi="Arial"/>
          <w:sz w:val="18"/>
          <w:szCs w:val="18"/>
          <w:color w:val="auto"/>
        </w:rPr>
        <w:t>achievement of the Company’s operational targets with the remuneration received by the Executives charged with meeting those targets. The Company’s STI objectives:</w:t>
      </w:r>
    </w:p>
    <w:p>
      <w:pPr>
        <w:spacing w:after="0" w:line="86" w:lineRule="exact"/>
        <w:rPr>
          <w:sz w:val="20"/>
          <w:szCs w:val="20"/>
          <w:color w:val="auto"/>
        </w:rPr>
      </w:pPr>
    </w:p>
    <w:p>
      <w:pPr>
        <w:ind w:left="1180" w:hanging="436"/>
        <w:spacing w:after="0"/>
        <w:tabs>
          <w:tab w:leader="none" w:pos="1180" w:val="left"/>
        </w:tabs>
        <w:numPr>
          <w:ilvl w:val="0"/>
          <w:numId w:val="29"/>
        </w:numPr>
        <w:rPr>
          <w:rFonts w:ascii="Arial" w:cs="Arial" w:eastAsia="Arial" w:hAnsi="Arial"/>
          <w:sz w:val="17"/>
          <w:szCs w:val="17"/>
          <w:color w:val="auto"/>
        </w:rPr>
      </w:pPr>
      <w:r>
        <w:rPr>
          <w:rFonts w:ascii="Arial" w:cs="Arial" w:eastAsia="Arial" w:hAnsi="Arial"/>
          <w:sz w:val="17"/>
          <w:szCs w:val="17"/>
          <w:color w:val="auto"/>
        </w:rPr>
        <w:t>Motivate Senior Executives to achieve the short-term annual objectives linked to Company success and shareholder value creation;</w:t>
      </w:r>
    </w:p>
    <w:p>
      <w:pPr>
        <w:spacing w:after="0" w:line="142" w:lineRule="exact"/>
        <w:rPr>
          <w:rFonts w:ascii="Arial" w:cs="Arial" w:eastAsia="Arial" w:hAnsi="Arial"/>
          <w:sz w:val="17"/>
          <w:szCs w:val="17"/>
          <w:color w:val="auto"/>
        </w:rPr>
      </w:pPr>
    </w:p>
    <w:p>
      <w:pPr>
        <w:ind w:left="1180" w:hanging="436"/>
        <w:spacing w:after="0"/>
        <w:tabs>
          <w:tab w:leader="none" w:pos="11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Create a strong link between performance and reward;</w:t>
      </w:r>
    </w:p>
    <w:p>
      <w:pPr>
        <w:spacing w:after="0" w:line="130" w:lineRule="exact"/>
        <w:rPr>
          <w:rFonts w:ascii="Arial" w:cs="Arial" w:eastAsia="Arial" w:hAnsi="Arial"/>
          <w:sz w:val="18"/>
          <w:szCs w:val="18"/>
          <w:color w:val="auto"/>
        </w:rPr>
      </w:pPr>
    </w:p>
    <w:p>
      <w:pPr>
        <w:ind w:left="1180" w:hanging="436"/>
        <w:spacing w:after="0"/>
        <w:tabs>
          <w:tab w:leader="none" w:pos="11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Share Company success with the Senior Executives that contribute to it; and</w:t>
      </w:r>
    </w:p>
    <w:p>
      <w:pPr>
        <w:spacing w:after="0" w:line="130" w:lineRule="exact"/>
        <w:rPr>
          <w:rFonts w:ascii="Arial" w:cs="Arial" w:eastAsia="Arial" w:hAnsi="Arial"/>
          <w:sz w:val="18"/>
          <w:szCs w:val="18"/>
          <w:color w:val="auto"/>
        </w:rPr>
      </w:pPr>
    </w:p>
    <w:p>
      <w:pPr>
        <w:ind w:left="5620" w:right="400" w:hanging="4876"/>
        <w:spacing w:after="0" w:line="449" w:lineRule="auto"/>
        <w:tabs>
          <w:tab w:leader="none" w:pos="1172" w:val="left"/>
        </w:tabs>
        <w:numPr>
          <w:ilvl w:val="0"/>
          <w:numId w:val="29"/>
        </w:numPr>
        <w:rPr>
          <w:rFonts w:ascii="Arial" w:cs="Arial" w:eastAsia="Arial" w:hAnsi="Arial"/>
          <w:sz w:val="18"/>
          <w:szCs w:val="18"/>
          <w:color w:val="auto"/>
        </w:rPr>
      </w:pPr>
      <w:r>
        <w:rPr>
          <w:rFonts w:ascii="Arial" w:cs="Arial" w:eastAsia="Arial" w:hAnsi="Arial"/>
          <w:sz w:val="18"/>
          <w:szCs w:val="18"/>
          <w:color w:val="auto"/>
        </w:rPr>
        <w:t>Create a component of the employment cost that is responsive to short to medium term changes in the circumstances of the Company. 58</w:t>
      </w:r>
    </w:p>
    <w:p>
      <w:pPr>
        <w:sectPr>
          <w:pgSz w:w="11900" w:h="16838" w:orient="portrait"/>
          <w:cols w:equalWidth="0" w:num="1">
            <w:col w:w="11220"/>
          </w:cols>
          <w:pgMar w:left="240" w:top="459" w:right="439" w:bottom="1440" w:gutter="0" w:footer="0" w:header="0"/>
        </w:sectPr>
      </w:pPr>
    </w:p>
    <w:bookmarkStart w:id="60" w:name="page61"/>
    <w:bookmarkEnd w:id="6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740" w:firstLine="441"/>
        <w:spacing w:after="0" w:line="277" w:lineRule="auto"/>
        <w:rPr>
          <w:sz w:val="20"/>
          <w:szCs w:val="20"/>
          <w:color w:val="auto"/>
        </w:rPr>
      </w:pPr>
      <w:r>
        <w:rPr>
          <w:rFonts w:ascii="Arial" w:cs="Arial" w:eastAsia="Arial" w:hAnsi="Arial"/>
          <w:sz w:val="18"/>
          <w:szCs w:val="18"/>
          <w:color w:val="auto"/>
        </w:rPr>
        <w:t>Variable remuneration is reviewed annually by the Remuneration Committee and the process consists of a review of Company-wide and individual performance and relevant comparative remuneration in the market.</w:t>
      </w:r>
    </w:p>
    <w:p>
      <w:pPr>
        <w:spacing w:after="0" w:line="166" w:lineRule="exact"/>
        <w:rPr>
          <w:sz w:val="20"/>
          <w:szCs w:val="20"/>
          <w:color w:val="auto"/>
        </w:rPr>
      </w:pPr>
    </w:p>
    <w:p>
      <w:pPr>
        <w:ind w:left="200" w:right="60" w:firstLine="441"/>
        <w:spacing w:after="0" w:line="256" w:lineRule="auto"/>
        <w:rPr>
          <w:sz w:val="20"/>
          <w:szCs w:val="20"/>
          <w:color w:val="auto"/>
        </w:rPr>
      </w:pPr>
      <w:r>
        <w:rPr>
          <w:rFonts w:ascii="Arial" w:cs="Arial" w:eastAsia="Arial" w:hAnsi="Arial"/>
          <w:sz w:val="18"/>
          <w:szCs w:val="18"/>
          <w:b w:val="1"/>
          <w:bCs w:val="1"/>
          <w:color w:val="auto"/>
        </w:rPr>
        <w:t>Variable Remuneration – Long Term Incentive (LTI) Objective and Structure</w:t>
      </w:r>
      <w:r>
        <w:rPr>
          <w:rFonts w:ascii="Arial" w:cs="Arial" w:eastAsia="Arial" w:hAnsi="Arial"/>
          <w:sz w:val="18"/>
          <w:szCs w:val="18"/>
          <w:color w:val="auto"/>
        </w:rPr>
        <w:t>: The objective of the LTI plan is to reward Executives in a</w:t>
      </w:r>
      <w:r>
        <w:rPr>
          <w:rFonts w:ascii="Arial" w:cs="Arial" w:eastAsia="Arial" w:hAnsi="Arial"/>
          <w:sz w:val="18"/>
          <w:szCs w:val="18"/>
          <w:b w:val="1"/>
          <w:bCs w:val="1"/>
          <w:color w:val="auto"/>
        </w:rPr>
        <w:t xml:space="preserve"> </w:t>
      </w:r>
      <w:r>
        <w:rPr>
          <w:rFonts w:ascii="Arial" w:cs="Arial" w:eastAsia="Arial" w:hAnsi="Arial"/>
          <w:sz w:val="18"/>
          <w:szCs w:val="18"/>
          <w:color w:val="auto"/>
        </w:rPr>
        <w:t>manner that aligns remuneration with the creation of shareholder value and to create an element of remuneration that supports the executive team working together to achieve this outcome over the long term. The LTI plan is also a key component of the Company’s retention strategy. The Company has two LTI plans available for use with senior executives and staff. At the 2014 AGM, shareholders approved a Performance Rights Plan. At the General Meeting of shareholders on August 24, 2015, shareholders approved a share loan plan for senior executives. Currently no loans are outstanding under the share loan plan.</w:t>
      </w:r>
    </w:p>
    <w:p>
      <w:pPr>
        <w:spacing w:after="0" w:line="300" w:lineRule="exact"/>
        <w:rPr>
          <w:sz w:val="20"/>
          <w:szCs w:val="20"/>
          <w:color w:val="auto"/>
        </w:rPr>
      </w:pPr>
    </w:p>
    <w:p>
      <w:pPr>
        <w:ind w:left="200"/>
        <w:spacing w:after="0"/>
        <w:rPr>
          <w:sz w:val="20"/>
          <w:szCs w:val="20"/>
          <w:color w:val="auto"/>
        </w:rPr>
      </w:pPr>
      <w:r>
        <w:rPr>
          <w:rFonts w:ascii="Arial" w:cs="Arial" w:eastAsia="Arial" w:hAnsi="Arial"/>
          <w:sz w:val="18"/>
          <w:szCs w:val="18"/>
          <w:u w:val="single" w:color="auto"/>
          <w:color w:val="auto"/>
        </w:rPr>
        <w:t>LTI for 2018 financial year</w:t>
      </w:r>
    </w:p>
    <w:p>
      <w:pPr>
        <w:spacing w:after="0" w:line="117" w:lineRule="exact"/>
        <w:rPr>
          <w:sz w:val="20"/>
          <w:szCs w:val="20"/>
          <w:color w:val="auto"/>
        </w:rPr>
      </w:pPr>
    </w:p>
    <w:p>
      <w:pPr>
        <w:jc w:val="both"/>
        <w:ind w:left="200" w:right="320" w:firstLine="441"/>
        <w:spacing w:after="0" w:line="312" w:lineRule="auto"/>
        <w:rPr>
          <w:sz w:val="20"/>
          <w:szCs w:val="20"/>
          <w:color w:val="auto"/>
        </w:rPr>
      </w:pPr>
      <w:r>
        <w:rPr>
          <w:rFonts w:ascii="Arial" w:cs="Arial" w:eastAsia="Arial" w:hAnsi="Arial"/>
          <w:sz w:val="16"/>
          <w:szCs w:val="16"/>
          <w:color w:val="auto"/>
        </w:rPr>
        <w:t>In addition to the before mentioned CEO Long Term Incentive Plan (Operating and Financial Review), 9,110,000 share options were granted during FY18. The Company has two separate LTI plans that it can use as part of incentivizing senior executives and staff for achieving targeted Key Performance Indicators (KPIs) including financial and non-financial targets, corporate metrics and individual measures of performance.</w:t>
      </w:r>
    </w:p>
    <w:p>
      <w:pPr>
        <w:spacing w:after="0" w:line="251"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Remuneration of Key Management Personnel</w:t>
      </w:r>
    </w:p>
    <w:p>
      <w:pPr>
        <w:spacing w:after="0" w:line="121" w:lineRule="exact"/>
        <w:rPr>
          <w:sz w:val="20"/>
          <w:szCs w:val="20"/>
          <w:color w:val="auto"/>
        </w:rPr>
      </w:pPr>
    </w:p>
    <w:p>
      <w:pPr>
        <w:ind w:left="200"/>
        <w:spacing w:after="0"/>
        <w:rPr>
          <w:sz w:val="20"/>
          <w:szCs w:val="20"/>
          <w:color w:val="auto"/>
        </w:rPr>
      </w:pPr>
      <w:r>
        <w:rPr>
          <w:rFonts w:ascii="Arial" w:cs="Arial" w:eastAsia="Arial" w:hAnsi="Arial"/>
          <w:sz w:val="18"/>
          <w:szCs w:val="18"/>
          <w:u w:val="single" w:color="auto"/>
          <w:color w:val="auto"/>
        </w:rPr>
        <w:t>Table 1: Employment Contracts</w:t>
      </w:r>
    </w:p>
    <w:p>
      <w:pPr>
        <w:spacing w:after="0" w:line="117" w:lineRule="exact"/>
        <w:rPr>
          <w:sz w:val="20"/>
          <w:szCs w:val="20"/>
          <w:color w:val="auto"/>
        </w:rPr>
      </w:pPr>
    </w:p>
    <w:p>
      <w:pPr>
        <w:ind w:left="640"/>
        <w:spacing w:after="0"/>
        <w:rPr>
          <w:sz w:val="20"/>
          <w:szCs w:val="20"/>
          <w:color w:val="auto"/>
        </w:rPr>
      </w:pPr>
      <w:r>
        <w:rPr>
          <w:rFonts w:ascii="Arial" w:cs="Arial" w:eastAsia="Arial" w:hAnsi="Arial"/>
          <w:sz w:val="17"/>
          <w:szCs w:val="17"/>
          <w:color w:val="auto"/>
        </w:rPr>
        <w:t>The following table outlines the specified terms of the relevant employment contracts for the Key Management Personnel of the Company:</w:t>
      </w:r>
    </w:p>
    <w:p>
      <w:pPr>
        <w:sectPr>
          <w:pgSz w:w="11900" w:h="16838" w:orient="portrait"/>
          <w:cols w:equalWidth="0" w:num="1">
            <w:col w:w="11200"/>
          </w:cols>
          <w:pgMar w:left="240" w:top="459" w:right="459" w:bottom="1440" w:gutter="0" w:footer="0" w:header="0"/>
        </w:sectPr>
      </w:pPr>
    </w:p>
    <w:p>
      <w:pPr>
        <w:spacing w:after="0" w:line="243" w:lineRule="exact"/>
        <w:rPr>
          <w:sz w:val="20"/>
          <w:szCs w:val="20"/>
          <w:color w:val="auto"/>
        </w:rPr>
      </w:pPr>
    </w:p>
    <w:tbl>
      <w:tblPr>
        <w:tblLayout w:type="fixed"/>
        <w:tblInd w:w="200" w:type="dxa"/>
        <w:tblCellMar>
          <w:top w:w="0" w:type="dxa"/>
          <w:left w:w="0" w:type="dxa"/>
          <w:bottom w:w="0" w:type="dxa"/>
          <w:right w:w="0" w:type="dxa"/>
        </w:tblCellMar>
      </w:tblPr>
      <w:tr>
        <w:trPr>
          <w:trHeight w:val="161"/>
        </w:trPr>
        <w:tc>
          <w:tcPr>
            <w:tcW w:w="204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Role</w:t>
            </w:r>
          </w:p>
        </w:tc>
        <w:tc>
          <w:tcPr>
            <w:tcW w:w="80" w:type="dxa"/>
            <w:vAlign w:val="bottom"/>
          </w:tcPr>
          <w:p>
            <w:pPr>
              <w:spacing w:after="0"/>
              <w:rPr>
                <w:sz w:val="14"/>
                <w:szCs w:val="14"/>
                <w:color w:val="auto"/>
              </w:rPr>
            </w:pPr>
          </w:p>
        </w:tc>
        <w:tc>
          <w:tcPr>
            <w:tcW w:w="1980" w:type="dxa"/>
            <w:vAlign w:val="bottom"/>
            <w:vMerge w:val="restart"/>
          </w:tcPr>
          <w:p>
            <w:pPr>
              <w:ind w:left="800"/>
              <w:spacing w:after="0"/>
              <w:rPr>
                <w:sz w:val="20"/>
                <w:szCs w:val="20"/>
                <w:color w:val="auto"/>
              </w:rPr>
            </w:pPr>
            <w:r>
              <w:rPr>
                <w:rFonts w:ascii="Arial" w:cs="Arial" w:eastAsia="Arial" w:hAnsi="Arial"/>
                <w:sz w:val="14"/>
                <w:szCs w:val="14"/>
                <w:b w:val="1"/>
                <w:bCs w:val="1"/>
                <w:color w:val="auto"/>
              </w:rPr>
              <w:t>Name</w:t>
            </w:r>
          </w:p>
        </w:tc>
        <w:tc>
          <w:tcPr>
            <w:tcW w:w="120" w:type="dxa"/>
            <w:vAlign w:val="bottom"/>
          </w:tcPr>
          <w:p>
            <w:pPr>
              <w:spacing w:after="0"/>
              <w:rPr>
                <w:sz w:val="14"/>
                <w:szCs w:val="14"/>
                <w:color w:val="auto"/>
              </w:rPr>
            </w:pPr>
          </w:p>
        </w:tc>
        <w:tc>
          <w:tcPr>
            <w:tcW w:w="1040" w:type="dxa"/>
            <w:vAlign w:val="bottom"/>
          </w:tcPr>
          <w:p>
            <w:pPr>
              <w:ind w:left="320"/>
              <w:spacing w:after="0"/>
              <w:rPr>
                <w:sz w:val="20"/>
                <w:szCs w:val="20"/>
                <w:color w:val="auto"/>
              </w:rPr>
            </w:pPr>
            <w:r>
              <w:rPr>
                <w:rFonts w:ascii="Arial" w:cs="Arial" w:eastAsia="Arial" w:hAnsi="Arial"/>
                <w:sz w:val="14"/>
                <w:szCs w:val="14"/>
                <w:b w:val="1"/>
                <w:bCs w:val="1"/>
                <w:color w:val="auto"/>
              </w:rPr>
              <w:t>Contract</w:t>
            </w: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520" w:type="dxa"/>
            <w:vAlign w:val="bottom"/>
            <w:vMerge w:val="restart"/>
          </w:tcPr>
          <w:p>
            <w:pPr>
              <w:ind w:left="760"/>
              <w:spacing w:after="0"/>
              <w:rPr>
                <w:sz w:val="20"/>
                <w:szCs w:val="20"/>
                <w:color w:val="auto"/>
              </w:rPr>
            </w:pPr>
            <w:r>
              <w:rPr>
                <w:rFonts w:ascii="Arial" w:cs="Arial" w:eastAsia="Arial" w:hAnsi="Arial"/>
                <w:sz w:val="14"/>
                <w:szCs w:val="14"/>
                <w:b w:val="1"/>
                <w:bCs w:val="1"/>
                <w:color w:val="auto"/>
              </w:rPr>
              <w:t>Period of notice</w:t>
            </w:r>
          </w:p>
        </w:tc>
        <w:tc>
          <w:tcPr>
            <w:tcW w:w="0" w:type="dxa"/>
            <w:vAlign w:val="bottom"/>
          </w:tcPr>
          <w:p>
            <w:pPr>
              <w:spacing w:after="0"/>
              <w:rPr>
                <w:sz w:val="1"/>
                <w:szCs w:val="1"/>
                <w:color w:val="auto"/>
              </w:rPr>
            </w:pPr>
          </w:p>
        </w:tc>
      </w:tr>
      <w:tr>
        <w:trPr>
          <w:trHeight w:val="191"/>
        </w:trPr>
        <w:tc>
          <w:tcPr>
            <w:tcW w:w="2040" w:type="dxa"/>
            <w:vAlign w:val="bottom"/>
            <w:gridSpan w:val="2"/>
            <w:vMerge w:val="continue"/>
          </w:tcPr>
          <w:p>
            <w:pPr>
              <w:spacing w:after="0"/>
              <w:rPr>
                <w:sz w:val="16"/>
                <w:szCs w:val="16"/>
                <w:color w:val="auto"/>
              </w:rPr>
            </w:pPr>
          </w:p>
        </w:tc>
        <w:tc>
          <w:tcPr>
            <w:tcW w:w="80" w:type="dxa"/>
            <w:vAlign w:val="bottom"/>
          </w:tcPr>
          <w:p>
            <w:pPr>
              <w:spacing w:after="0"/>
              <w:rPr>
                <w:sz w:val="16"/>
                <w:szCs w:val="16"/>
                <w:color w:val="auto"/>
              </w:rPr>
            </w:pPr>
          </w:p>
        </w:tc>
        <w:tc>
          <w:tcPr>
            <w:tcW w:w="198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1040" w:type="dxa"/>
            <w:vAlign w:val="bottom"/>
          </w:tcPr>
          <w:p>
            <w:pPr>
              <w:ind w:left="340"/>
              <w:spacing w:after="0"/>
              <w:rPr>
                <w:sz w:val="20"/>
                <w:szCs w:val="20"/>
                <w:color w:val="auto"/>
              </w:rPr>
            </w:pPr>
            <w:r>
              <w:rPr>
                <w:rFonts w:ascii="Arial" w:cs="Arial" w:eastAsia="Arial" w:hAnsi="Arial"/>
                <w:sz w:val="14"/>
                <w:szCs w:val="14"/>
                <w:b w:val="1"/>
                <w:bCs w:val="1"/>
                <w:color w:val="auto"/>
              </w:rPr>
              <w:t>duration</w:t>
            </w:r>
          </w:p>
        </w:tc>
        <w:tc>
          <w:tcPr>
            <w:tcW w:w="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5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75"/>
        </w:trPr>
        <w:tc>
          <w:tcPr>
            <w:tcW w:w="300" w:type="dxa"/>
            <w:vAlign w:val="bottom"/>
            <w:tcBorders>
              <w:top w:val="single" w:sz="8" w:color="auto"/>
            </w:tcBorders>
          </w:tcPr>
          <w:p>
            <w:pPr>
              <w:spacing w:after="0" w:line="176" w:lineRule="exact"/>
              <w:rPr>
                <w:sz w:val="20"/>
                <w:szCs w:val="20"/>
                <w:color w:val="auto"/>
              </w:rPr>
            </w:pPr>
            <w:r>
              <w:rPr>
                <w:rFonts w:ascii="Arial" w:cs="Arial" w:eastAsia="Arial" w:hAnsi="Arial"/>
                <w:sz w:val="18"/>
                <w:szCs w:val="18"/>
                <w:color w:val="auto"/>
                <w:w w:val="71"/>
              </w:rPr>
              <w:t>CEO</w:t>
            </w:r>
          </w:p>
        </w:tc>
        <w:tc>
          <w:tcPr>
            <w:tcW w:w="1740" w:type="dxa"/>
            <w:vAlign w:val="bottom"/>
          </w:tcPr>
          <w:p>
            <w:pPr>
              <w:ind w:left="100"/>
              <w:spacing w:after="0" w:line="176" w:lineRule="exact"/>
              <w:rPr>
                <w:sz w:val="20"/>
                <w:szCs w:val="20"/>
                <w:color w:val="auto"/>
              </w:rPr>
            </w:pPr>
            <w:r>
              <w:rPr>
                <w:rFonts w:ascii="Arial" w:cs="Arial" w:eastAsia="Arial" w:hAnsi="Arial"/>
                <w:sz w:val="18"/>
                <w:szCs w:val="18"/>
                <w:color w:val="auto"/>
              </w:rPr>
              <w:t>and Executive</w:t>
            </w:r>
          </w:p>
        </w:tc>
        <w:tc>
          <w:tcPr>
            <w:tcW w:w="80" w:type="dxa"/>
            <w:vAlign w:val="bottom"/>
          </w:tcPr>
          <w:p>
            <w:pPr>
              <w:spacing w:after="0"/>
              <w:rPr>
                <w:sz w:val="15"/>
                <w:szCs w:val="15"/>
                <w:color w:val="auto"/>
              </w:rPr>
            </w:pPr>
          </w:p>
        </w:tc>
        <w:tc>
          <w:tcPr>
            <w:tcW w:w="1980" w:type="dxa"/>
            <w:vAlign w:val="bottom"/>
            <w:tcBorders>
              <w:top w:val="single" w:sz="8" w:color="auto"/>
            </w:tcBorders>
          </w:tcPr>
          <w:p>
            <w:pPr>
              <w:spacing w:after="0" w:line="176" w:lineRule="exact"/>
              <w:rPr>
                <w:sz w:val="20"/>
                <w:szCs w:val="20"/>
                <w:color w:val="auto"/>
              </w:rPr>
            </w:pPr>
            <w:r>
              <w:rPr>
                <w:rFonts w:ascii="Arial" w:cs="Arial" w:eastAsia="Arial" w:hAnsi="Arial"/>
                <w:sz w:val="18"/>
                <w:szCs w:val="18"/>
                <w:color w:val="auto"/>
              </w:rPr>
              <w:t>Dr. Michael Perry</w:t>
            </w:r>
          </w:p>
        </w:tc>
        <w:tc>
          <w:tcPr>
            <w:tcW w:w="120" w:type="dxa"/>
            <w:vAlign w:val="bottom"/>
          </w:tcPr>
          <w:p>
            <w:pPr>
              <w:spacing w:after="0"/>
              <w:rPr>
                <w:sz w:val="15"/>
                <w:szCs w:val="15"/>
                <w:color w:val="auto"/>
              </w:rPr>
            </w:pPr>
          </w:p>
        </w:tc>
        <w:tc>
          <w:tcPr>
            <w:tcW w:w="1040" w:type="dxa"/>
            <w:vAlign w:val="bottom"/>
            <w:tcBorders>
              <w:top w:val="single" w:sz="8" w:color="auto"/>
            </w:tcBorders>
          </w:tcPr>
          <w:p>
            <w:pPr>
              <w:spacing w:after="0" w:line="176" w:lineRule="exact"/>
              <w:rPr>
                <w:sz w:val="20"/>
                <w:szCs w:val="20"/>
                <w:color w:val="auto"/>
              </w:rPr>
            </w:pPr>
            <w:r>
              <w:rPr>
                <w:rFonts w:ascii="Arial" w:cs="Arial" w:eastAsia="Arial" w:hAnsi="Arial"/>
                <w:sz w:val="18"/>
                <w:szCs w:val="18"/>
                <w:color w:val="auto"/>
              </w:rPr>
              <w:t>Open ended</w:t>
            </w:r>
          </w:p>
        </w:tc>
        <w:tc>
          <w:tcPr>
            <w:tcW w:w="160" w:type="dxa"/>
            <w:vAlign w:val="bottom"/>
            <w:tcBorders>
              <w:top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2520" w:type="dxa"/>
            <w:vAlign w:val="bottom"/>
            <w:tcBorders>
              <w:top w:val="single" w:sz="8" w:color="auto"/>
            </w:tcBorders>
          </w:tcPr>
          <w:p>
            <w:pPr>
              <w:spacing w:after="0" w:line="176" w:lineRule="exact"/>
              <w:rPr>
                <w:sz w:val="20"/>
                <w:szCs w:val="20"/>
                <w:color w:val="auto"/>
              </w:rPr>
            </w:pPr>
            <w:r>
              <w:rPr>
                <w:rFonts w:ascii="Arial" w:cs="Arial" w:eastAsia="Arial" w:hAnsi="Arial"/>
                <w:sz w:val="18"/>
                <w:szCs w:val="18"/>
                <w:color w:val="auto"/>
              </w:rPr>
              <w:t>12-month notice period</w:t>
            </w:r>
          </w:p>
        </w:tc>
        <w:tc>
          <w:tcPr>
            <w:tcW w:w="0" w:type="dxa"/>
            <w:vAlign w:val="bottom"/>
          </w:tcPr>
          <w:p>
            <w:pPr>
              <w:spacing w:after="0"/>
              <w:rPr>
                <w:sz w:val="1"/>
                <w:szCs w:val="1"/>
                <w:color w:val="auto"/>
              </w:rPr>
            </w:pPr>
          </w:p>
        </w:tc>
      </w:tr>
      <w:tr>
        <w:trPr>
          <w:trHeight w:val="230"/>
        </w:trPr>
        <w:tc>
          <w:tcPr>
            <w:tcW w:w="2040" w:type="dxa"/>
            <w:vAlign w:val="bottom"/>
            <w:gridSpan w:val="2"/>
          </w:tcPr>
          <w:p>
            <w:pPr>
              <w:spacing w:after="0"/>
              <w:rPr>
                <w:sz w:val="20"/>
                <w:szCs w:val="20"/>
                <w:color w:val="auto"/>
              </w:rPr>
            </w:pPr>
            <w:r>
              <w:rPr>
                <w:rFonts w:ascii="Arial" w:cs="Arial" w:eastAsia="Arial" w:hAnsi="Arial"/>
                <w:sz w:val="18"/>
                <w:szCs w:val="18"/>
                <w:color w:val="auto"/>
              </w:rPr>
              <w:t>Director</w:t>
            </w:r>
          </w:p>
        </w:tc>
        <w:tc>
          <w:tcPr>
            <w:tcW w:w="80" w:type="dxa"/>
            <w:vAlign w:val="bottom"/>
          </w:tcPr>
          <w:p>
            <w:pPr>
              <w:spacing w:after="0"/>
              <w:rPr>
                <w:sz w:val="19"/>
                <w:szCs w:val="19"/>
                <w:color w:val="auto"/>
              </w:rPr>
            </w:pPr>
          </w:p>
        </w:tc>
        <w:tc>
          <w:tcPr>
            <w:tcW w:w="1980" w:type="dxa"/>
            <w:vAlign w:val="bottom"/>
          </w:tcPr>
          <w:p>
            <w:pPr>
              <w:spacing w:after="0"/>
              <w:rPr>
                <w:sz w:val="19"/>
                <w:szCs w:val="19"/>
                <w:color w:val="auto"/>
              </w:rPr>
            </w:pPr>
          </w:p>
        </w:tc>
        <w:tc>
          <w:tcPr>
            <w:tcW w:w="1160" w:type="dxa"/>
            <w:vAlign w:val="bottom"/>
            <w:gridSpan w:val="2"/>
          </w:tcPr>
          <w:p>
            <w:pPr>
              <w:ind w:left="120"/>
              <w:spacing w:after="0"/>
              <w:rPr>
                <w:sz w:val="20"/>
                <w:szCs w:val="20"/>
                <w:color w:val="auto"/>
              </w:rPr>
            </w:pPr>
            <w:r>
              <w:rPr>
                <w:rFonts w:ascii="Arial" w:cs="Arial" w:eastAsia="Arial" w:hAnsi="Arial"/>
                <w:sz w:val="18"/>
                <w:szCs w:val="18"/>
                <w:color w:val="auto"/>
              </w:rPr>
              <w:t>contract</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5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40" w:type="dxa"/>
            <w:vAlign w:val="bottom"/>
            <w:gridSpan w:val="2"/>
          </w:tcPr>
          <w:p>
            <w:pPr>
              <w:spacing w:after="0"/>
              <w:rPr>
                <w:sz w:val="20"/>
                <w:szCs w:val="20"/>
                <w:color w:val="auto"/>
              </w:rPr>
            </w:pPr>
            <w:r>
              <w:rPr>
                <w:rFonts w:ascii="Arial" w:cs="Arial" w:eastAsia="Arial" w:hAnsi="Arial"/>
                <w:sz w:val="18"/>
                <w:szCs w:val="18"/>
                <w:color w:val="auto"/>
              </w:rPr>
              <w:t>CFO</w:t>
            </w:r>
          </w:p>
        </w:tc>
        <w:tc>
          <w:tcPr>
            <w:tcW w:w="2060" w:type="dxa"/>
            <w:vAlign w:val="bottom"/>
            <w:gridSpan w:val="2"/>
          </w:tcPr>
          <w:p>
            <w:pPr>
              <w:ind w:left="80"/>
              <w:spacing w:after="0"/>
              <w:rPr>
                <w:sz w:val="20"/>
                <w:szCs w:val="20"/>
                <w:color w:val="auto"/>
              </w:rPr>
            </w:pPr>
            <w:r>
              <w:rPr>
                <w:rFonts w:ascii="Arial" w:cs="Arial" w:eastAsia="Arial" w:hAnsi="Arial"/>
                <w:sz w:val="18"/>
                <w:szCs w:val="18"/>
                <w:color w:val="auto"/>
              </w:rPr>
              <w:t>Dale Sander(1)</w:t>
            </w:r>
          </w:p>
        </w:tc>
        <w:tc>
          <w:tcPr>
            <w:tcW w:w="1160" w:type="dxa"/>
            <w:vAlign w:val="bottom"/>
            <w:gridSpan w:val="2"/>
          </w:tcPr>
          <w:p>
            <w:pPr>
              <w:ind w:left="120"/>
              <w:spacing w:after="0"/>
              <w:rPr>
                <w:sz w:val="20"/>
                <w:szCs w:val="20"/>
                <w:color w:val="auto"/>
              </w:rPr>
            </w:pPr>
            <w:r>
              <w:rPr>
                <w:rFonts w:ascii="Arial" w:cs="Arial" w:eastAsia="Arial" w:hAnsi="Arial"/>
                <w:sz w:val="18"/>
                <w:szCs w:val="18"/>
                <w:color w:val="auto"/>
              </w:rPr>
              <w:t>Open ended</w:t>
            </w:r>
          </w:p>
        </w:tc>
        <w:tc>
          <w:tcPr>
            <w:tcW w:w="160" w:type="dxa"/>
            <w:vAlign w:val="bottom"/>
          </w:tcPr>
          <w:p>
            <w:pPr>
              <w:spacing w:after="0"/>
              <w:rPr>
                <w:sz w:val="18"/>
                <w:szCs w:val="18"/>
                <w:color w:val="auto"/>
              </w:rPr>
            </w:pPr>
          </w:p>
        </w:tc>
        <w:tc>
          <w:tcPr>
            <w:tcW w:w="2640" w:type="dxa"/>
            <w:vAlign w:val="bottom"/>
            <w:gridSpan w:val="2"/>
          </w:tcPr>
          <w:p>
            <w:pPr>
              <w:ind w:left="100"/>
              <w:spacing w:after="0"/>
              <w:rPr>
                <w:sz w:val="20"/>
                <w:szCs w:val="20"/>
                <w:color w:val="auto"/>
              </w:rPr>
            </w:pPr>
            <w:r>
              <w:rPr>
                <w:rFonts w:ascii="Arial" w:cs="Arial" w:eastAsia="Arial" w:hAnsi="Arial"/>
                <w:sz w:val="18"/>
                <w:szCs w:val="18"/>
                <w:color w:val="auto"/>
              </w:rPr>
              <w:t>6-month notice period</w:t>
            </w:r>
          </w:p>
        </w:tc>
        <w:tc>
          <w:tcPr>
            <w:tcW w:w="0" w:type="dxa"/>
            <w:vAlign w:val="bottom"/>
          </w:tcPr>
          <w:p>
            <w:pPr>
              <w:spacing w:after="0"/>
              <w:rPr>
                <w:sz w:val="1"/>
                <w:szCs w:val="1"/>
                <w:color w:val="auto"/>
              </w:rPr>
            </w:pPr>
          </w:p>
        </w:tc>
      </w:tr>
      <w:tr>
        <w:trPr>
          <w:trHeight w:val="216"/>
        </w:trPr>
        <w:tc>
          <w:tcPr>
            <w:tcW w:w="30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980" w:type="dxa"/>
            <w:vAlign w:val="bottom"/>
          </w:tcPr>
          <w:p>
            <w:pPr>
              <w:spacing w:after="0"/>
              <w:rPr>
                <w:sz w:val="18"/>
                <w:szCs w:val="18"/>
                <w:color w:val="auto"/>
              </w:rPr>
            </w:pPr>
          </w:p>
        </w:tc>
        <w:tc>
          <w:tcPr>
            <w:tcW w:w="1160" w:type="dxa"/>
            <w:vAlign w:val="bottom"/>
            <w:gridSpan w:val="2"/>
          </w:tcPr>
          <w:p>
            <w:pPr>
              <w:ind w:left="120"/>
              <w:spacing w:after="0"/>
              <w:rPr>
                <w:sz w:val="20"/>
                <w:szCs w:val="20"/>
                <w:color w:val="auto"/>
              </w:rPr>
            </w:pPr>
            <w:r>
              <w:rPr>
                <w:rFonts w:ascii="Arial" w:cs="Arial" w:eastAsia="Arial" w:hAnsi="Arial"/>
                <w:sz w:val="18"/>
                <w:szCs w:val="18"/>
                <w:color w:val="auto"/>
              </w:rPr>
              <w:t>contract</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5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40" w:type="dxa"/>
            <w:vAlign w:val="bottom"/>
            <w:gridSpan w:val="2"/>
          </w:tcPr>
          <w:p>
            <w:pPr>
              <w:spacing w:after="0"/>
              <w:rPr>
                <w:sz w:val="20"/>
                <w:szCs w:val="20"/>
                <w:color w:val="auto"/>
              </w:rPr>
            </w:pPr>
            <w:r>
              <w:rPr>
                <w:rFonts w:ascii="Arial" w:cs="Arial" w:eastAsia="Arial" w:hAnsi="Arial"/>
                <w:sz w:val="18"/>
                <w:szCs w:val="18"/>
                <w:color w:val="auto"/>
              </w:rPr>
              <w:t>CAO</w:t>
            </w:r>
          </w:p>
        </w:tc>
        <w:tc>
          <w:tcPr>
            <w:tcW w:w="2060" w:type="dxa"/>
            <w:vAlign w:val="bottom"/>
            <w:gridSpan w:val="2"/>
          </w:tcPr>
          <w:p>
            <w:pPr>
              <w:ind w:left="80"/>
              <w:spacing w:after="0"/>
              <w:rPr>
                <w:sz w:val="20"/>
                <w:szCs w:val="20"/>
                <w:color w:val="auto"/>
              </w:rPr>
            </w:pPr>
            <w:r>
              <w:rPr>
                <w:rFonts w:ascii="Arial" w:cs="Arial" w:eastAsia="Arial" w:hAnsi="Arial"/>
                <w:sz w:val="18"/>
                <w:szCs w:val="18"/>
                <w:color w:val="auto"/>
              </w:rPr>
              <w:t>Timothy Rooney(2)</w:t>
            </w:r>
          </w:p>
        </w:tc>
        <w:tc>
          <w:tcPr>
            <w:tcW w:w="1160" w:type="dxa"/>
            <w:vAlign w:val="bottom"/>
            <w:gridSpan w:val="2"/>
          </w:tcPr>
          <w:p>
            <w:pPr>
              <w:ind w:left="120"/>
              <w:spacing w:after="0"/>
              <w:rPr>
                <w:sz w:val="20"/>
                <w:szCs w:val="20"/>
                <w:color w:val="auto"/>
              </w:rPr>
            </w:pPr>
            <w:r>
              <w:rPr>
                <w:rFonts w:ascii="Arial" w:cs="Arial" w:eastAsia="Arial" w:hAnsi="Arial"/>
                <w:sz w:val="18"/>
                <w:szCs w:val="18"/>
                <w:color w:val="auto"/>
              </w:rPr>
              <w:t>Open ended</w:t>
            </w:r>
          </w:p>
        </w:tc>
        <w:tc>
          <w:tcPr>
            <w:tcW w:w="160" w:type="dxa"/>
            <w:vAlign w:val="bottom"/>
          </w:tcPr>
          <w:p>
            <w:pPr>
              <w:spacing w:after="0"/>
              <w:rPr>
                <w:sz w:val="18"/>
                <w:szCs w:val="18"/>
                <w:color w:val="auto"/>
              </w:rPr>
            </w:pPr>
          </w:p>
        </w:tc>
        <w:tc>
          <w:tcPr>
            <w:tcW w:w="2640" w:type="dxa"/>
            <w:vAlign w:val="bottom"/>
            <w:gridSpan w:val="2"/>
          </w:tcPr>
          <w:p>
            <w:pPr>
              <w:ind w:left="100"/>
              <w:spacing w:after="0"/>
              <w:rPr>
                <w:sz w:val="20"/>
                <w:szCs w:val="20"/>
                <w:color w:val="auto"/>
              </w:rPr>
            </w:pPr>
            <w:r>
              <w:rPr>
                <w:rFonts w:ascii="Arial" w:cs="Arial" w:eastAsia="Arial" w:hAnsi="Arial"/>
                <w:sz w:val="18"/>
                <w:szCs w:val="18"/>
                <w:color w:val="auto"/>
              </w:rPr>
              <w:t>12-month notice period</w:t>
            </w:r>
          </w:p>
        </w:tc>
        <w:tc>
          <w:tcPr>
            <w:tcW w:w="0" w:type="dxa"/>
            <w:vAlign w:val="bottom"/>
          </w:tcPr>
          <w:p>
            <w:pPr>
              <w:spacing w:after="0"/>
              <w:rPr>
                <w:sz w:val="1"/>
                <w:szCs w:val="1"/>
                <w:color w:val="auto"/>
              </w:rPr>
            </w:pPr>
          </w:p>
        </w:tc>
      </w:tr>
      <w:tr>
        <w:trPr>
          <w:trHeight w:val="216"/>
        </w:trPr>
        <w:tc>
          <w:tcPr>
            <w:tcW w:w="30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980" w:type="dxa"/>
            <w:vAlign w:val="bottom"/>
          </w:tcPr>
          <w:p>
            <w:pPr>
              <w:spacing w:after="0"/>
              <w:rPr>
                <w:sz w:val="18"/>
                <w:szCs w:val="18"/>
                <w:color w:val="auto"/>
              </w:rPr>
            </w:pPr>
          </w:p>
        </w:tc>
        <w:tc>
          <w:tcPr>
            <w:tcW w:w="1160" w:type="dxa"/>
            <w:vAlign w:val="bottom"/>
            <w:gridSpan w:val="2"/>
          </w:tcPr>
          <w:p>
            <w:pPr>
              <w:ind w:left="120"/>
              <w:spacing w:after="0"/>
              <w:rPr>
                <w:sz w:val="20"/>
                <w:szCs w:val="20"/>
                <w:color w:val="auto"/>
              </w:rPr>
            </w:pPr>
            <w:r>
              <w:rPr>
                <w:rFonts w:ascii="Arial" w:cs="Arial" w:eastAsia="Arial" w:hAnsi="Arial"/>
                <w:sz w:val="18"/>
                <w:szCs w:val="18"/>
                <w:color w:val="auto"/>
              </w:rPr>
              <w:t>contract</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5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40" w:type="dxa"/>
            <w:vAlign w:val="bottom"/>
            <w:gridSpan w:val="2"/>
          </w:tcPr>
          <w:p>
            <w:pPr>
              <w:spacing w:after="0"/>
              <w:rPr>
                <w:sz w:val="20"/>
                <w:szCs w:val="20"/>
                <w:color w:val="auto"/>
              </w:rPr>
            </w:pPr>
            <w:r>
              <w:rPr>
                <w:rFonts w:ascii="Arial" w:cs="Arial" w:eastAsia="Arial" w:hAnsi="Arial"/>
                <w:sz w:val="18"/>
                <w:szCs w:val="18"/>
                <w:color w:val="auto"/>
              </w:rPr>
              <w:t>CCO</w:t>
            </w:r>
          </w:p>
        </w:tc>
        <w:tc>
          <w:tcPr>
            <w:tcW w:w="2060" w:type="dxa"/>
            <w:vAlign w:val="bottom"/>
            <w:gridSpan w:val="2"/>
          </w:tcPr>
          <w:p>
            <w:pPr>
              <w:ind w:left="80"/>
              <w:spacing w:after="0"/>
              <w:rPr>
                <w:sz w:val="20"/>
                <w:szCs w:val="20"/>
                <w:color w:val="auto"/>
              </w:rPr>
            </w:pPr>
            <w:r>
              <w:rPr>
                <w:rFonts w:ascii="Arial" w:cs="Arial" w:eastAsia="Arial" w:hAnsi="Arial"/>
                <w:sz w:val="18"/>
                <w:szCs w:val="18"/>
                <w:color w:val="auto"/>
              </w:rPr>
              <w:t>Erin Liberto</w:t>
            </w:r>
          </w:p>
        </w:tc>
        <w:tc>
          <w:tcPr>
            <w:tcW w:w="1160" w:type="dxa"/>
            <w:vAlign w:val="bottom"/>
            <w:gridSpan w:val="2"/>
          </w:tcPr>
          <w:p>
            <w:pPr>
              <w:ind w:left="120"/>
              <w:spacing w:after="0"/>
              <w:rPr>
                <w:sz w:val="20"/>
                <w:szCs w:val="20"/>
                <w:color w:val="auto"/>
              </w:rPr>
            </w:pPr>
            <w:r>
              <w:rPr>
                <w:rFonts w:ascii="Arial" w:cs="Arial" w:eastAsia="Arial" w:hAnsi="Arial"/>
                <w:sz w:val="18"/>
                <w:szCs w:val="18"/>
                <w:color w:val="auto"/>
              </w:rPr>
              <w:t>Open ended</w:t>
            </w:r>
          </w:p>
        </w:tc>
        <w:tc>
          <w:tcPr>
            <w:tcW w:w="160" w:type="dxa"/>
            <w:vAlign w:val="bottom"/>
          </w:tcPr>
          <w:p>
            <w:pPr>
              <w:spacing w:after="0"/>
              <w:rPr>
                <w:sz w:val="18"/>
                <w:szCs w:val="18"/>
                <w:color w:val="auto"/>
              </w:rPr>
            </w:pPr>
          </w:p>
        </w:tc>
        <w:tc>
          <w:tcPr>
            <w:tcW w:w="2640" w:type="dxa"/>
            <w:vAlign w:val="bottom"/>
            <w:gridSpan w:val="2"/>
          </w:tcPr>
          <w:p>
            <w:pPr>
              <w:ind w:left="100"/>
              <w:spacing w:after="0"/>
              <w:rPr>
                <w:sz w:val="20"/>
                <w:szCs w:val="20"/>
                <w:color w:val="auto"/>
              </w:rPr>
            </w:pPr>
            <w:r>
              <w:rPr>
                <w:rFonts w:ascii="Arial" w:cs="Arial" w:eastAsia="Arial" w:hAnsi="Arial"/>
                <w:sz w:val="18"/>
                <w:szCs w:val="18"/>
                <w:color w:val="auto"/>
              </w:rPr>
              <w:t>6-month notice period</w:t>
            </w:r>
          </w:p>
        </w:tc>
        <w:tc>
          <w:tcPr>
            <w:tcW w:w="0" w:type="dxa"/>
            <w:vAlign w:val="bottom"/>
          </w:tcPr>
          <w:p>
            <w:pPr>
              <w:spacing w:after="0"/>
              <w:rPr>
                <w:sz w:val="1"/>
                <w:szCs w:val="1"/>
                <w:color w:val="auto"/>
              </w:rPr>
            </w:pPr>
          </w:p>
        </w:tc>
      </w:tr>
      <w:tr>
        <w:trPr>
          <w:trHeight w:val="216"/>
        </w:trPr>
        <w:tc>
          <w:tcPr>
            <w:tcW w:w="30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980" w:type="dxa"/>
            <w:vAlign w:val="bottom"/>
          </w:tcPr>
          <w:p>
            <w:pPr>
              <w:spacing w:after="0"/>
              <w:rPr>
                <w:sz w:val="18"/>
                <w:szCs w:val="18"/>
                <w:color w:val="auto"/>
              </w:rPr>
            </w:pPr>
          </w:p>
        </w:tc>
        <w:tc>
          <w:tcPr>
            <w:tcW w:w="1160" w:type="dxa"/>
            <w:vAlign w:val="bottom"/>
            <w:gridSpan w:val="2"/>
          </w:tcPr>
          <w:p>
            <w:pPr>
              <w:ind w:left="120"/>
              <w:spacing w:after="0"/>
              <w:rPr>
                <w:sz w:val="20"/>
                <w:szCs w:val="20"/>
                <w:color w:val="auto"/>
              </w:rPr>
            </w:pPr>
            <w:r>
              <w:rPr>
                <w:rFonts w:ascii="Arial" w:cs="Arial" w:eastAsia="Arial" w:hAnsi="Arial"/>
                <w:sz w:val="18"/>
                <w:szCs w:val="18"/>
                <w:color w:val="auto"/>
              </w:rPr>
              <w:t>contract</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5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40" w:type="dxa"/>
            <w:vAlign w:val="bottom"/>
            <w:gridSpan w:val="2"/>
          </w:tcPr>
          <w:p>
            <w:pPr>
              <w:spacing w:after="0"/>
              <w:rPr>
                <w:sz w:val="20"/>
                <w:szCs w:val="20"/>
                <w:color w:val="auto"/>
              </w:rPr>
            </w:pPr>
            <w:r>
              <w:rPr>
                <w:rFonts w:ascii="Arial" w:cs="Arial" w:eastAsia="Arial" w:hAnsi="Arial"/>
                <w:sz w:val="18"/>
                <w:szCs w:val="18"/>
                <w:color w:val="auto"/>
                <w:w w:val="93"/>
              </w:rPr>
              <w:t>SVP, Clinical Development</w:t>
            </w:r>
          </w:p>
        </w:tc>
        <w:tc>
          <w:tcPr>
            <w:tcW w:w="2060" w:type="dxa"/>
            <w:vAlign w:val="bottom"/>
            <w:gridSpan w:val="2"/>
          </w:tcPr>
          <w:p>
            <w:pPr>
              <w:ind w:left="80"/>
              <w:spacing w:after="0"/>
              <w:rPr>
                <w:sz w:val="20"/>
                <w:szCs w:val="20"/>
                <w:color w:val="auto"/>
              </w:rPr>
            </w:pPr>
            <w:r>
              <w:rPr>
                <w:rFonts w:ascii="Arial" w:cs="Arial" w:eastAsia="Arial" w:hAnsi="Arial"/>
                <w:sz w:val="18"/>
                <w:szCs w:val="18"/>
                <w:color w:val="auto"/>
              </w:rPr>
              <w:t>Andrew Quick(3)</w:t>
            </w:r>
          </w:p>
        </w:tc>
        <w:tc>
          <w:tcPr>
            <w:tcW w:w="1160" w:type="dxa"/>
            <w:vAlign w:val="bottom"/>
            <w:gridSpan w:val="2"/>
          </w:tcPr>
          <w:p>
            <w:pPr>
              <w:ind w:left="120"/>
              <w:spacing w:after="0"/>
              <w:rPr>
                <w:sz w:val="20"/>
                <w:szCs w:val="20"/>
                <w:color w:val="auto"/>
              </w:rPr>
            </w:pPr>
            <w:r>
              <w:rPr>
                <w:rFonts w:ascii="Arial" w:cs="Arial" w:eastAsia="Arial" w:hAnsi="Arial"/>
                <w:sz w:val="18"/>
                <w:szCs w:val="18"/>
                <w:color w:val="auto"/>
              </w:rPr>
              <w:t>Open ended</w:t>
            </w:r>
          </w:p>
        </w:tc>
        <w:tc>
          <w:tcPr>
            <w:tcW w:w="160" w:type="dxa"/>
            <w:vAlign w:val="bottom"/>
          </w:tcPr>
          <w:p>
            <w:pPr>
              <w:spacing w:after="0"/>
              <w:rPr>
                <w:sz w:val="18"/>
                <w:szCs w:val="18"/>
                <w:color w:val="auto"/>
              </w:rPr>
            </w:pPr>
          </w:p>
        </w:tc>
        <w:tc>
          <w:tcPr>
            <w:tcW w:w="2640" w:type="dxa"/>
            <w:vAlign w:val="bottom"/>
            <w:gridSpan w:val="2"/>
          </w:tcPr>
          <w:p>
            <w:pPr>
              <w:ind w:left="100"/>
              <w:spacing w:after="0"/>
              <w:rPr>
                <w:sz w:val="20"/>
                <w:szCs w:val="20"/>
                <w:color w:val="auto"/>
              </w:rPr>
            </w:pPr>
            <w:r>
              <w:rPr>
                <w:rFonts w:ascii="Arial" w:cs="Arial" w:eastAsia="Arial" w:hAnsi="Arial"/>
                <w:sz w:val="18"/>
                <w:szCs w:val="18"/>
                <w:color w:val="auto"/>
              </w:rPr>
              <w:t>3-month notice period</w:t>
            </w:r>
          </w:p>
        </w:tc>
        <w:tc>
          <w:tcPr>
            <w:tcW w:w="0" w:type="dxa"/>
            <w:vAlign w:val="bottom"/>
          </w:tcPr>
          <w:p>
            <w:pPr>
              <w:spacing w:after="0"/>
              <w:rPr>
                <w:sz w:val="1"/>
                <w:szCs w:val="1"/>
                <w:color w:val="auto"/>
              </w:rPr>
            </w:pPr>
          </w:p>
        </w:tc>
      </w:tr>
      <w:tr>
        <w:trPr>
          <w:trHeight w:val="216"/>
        </w:trPr>
        <w:tc>
          <w:tcPr>
            <w:tcW w:w="30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980" w:type="dxa"/>
            <w:vAlign w:val="bottom"/>
          </w:tcPr>
          <w:p>
            <w:pPr>
              <w:spacing w:after="0"/>
              <w:rPr>
                <w:sz w:val="18"/>
                <w:szCs w:val="18"/>
                <w:color w:val="auto"/>
              </w:rPr>
            </w:pPr>
          </w:p>
        </w:tc>
        <w:tc>
          <w:tcPr>
            <w:tcW w:w="1160" w:type="dxa"/>
            <w:vAlign w:val="bottom"/>
            <w:gridSpan w:val="2"/>
          </w:tcPr>
          <w:p>
            <w:pPr>
              <w:ind w:left="120"/>
              <w:spacing w:after="0"/>
              <w:rPr>
                <w:sz w:val="20"/>
                <w:szCs w:val="20"/>
                <w:color w:val="auto"/>
              </w:rPr>
            </w:pPr>
            <w:r>
              <w:rPr>
                <w:rFonts w:ascii="Arial" w:cs="Arial" w:eastAsia="Arial" w:hAnsi="Arial"/>
                <w:sz w:val="18"/>
                <w:szCs w:val="18"/>
                <w:color w:val="auto"/>
              </w:rPr>
              <w:t>contract</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5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40" w:type="dxa"/>
            <w:vAlign w:val="bottom"/>
            <w:gridSpan w:val="2"/>
          </w:tcPr>
          <w:p>
            <w:pPr>
              <w:spacing w:after="0"/>
              <w:rPr>
                <w:sz w:val="20"/>
                <w:szCs w:val="20"/>
                <w:color w:val="auto"/>
              </w:rPr>
            </w:pPr>
            <w:r>
              <w:rPr>
                <w:rFonts w:ascii="Arial" w:cs="Arial" w:eastAsia="Arial" w:hAnsi="Arial"/>
                <w:sz w:val="18"/>
                <w:szCs w:val="18"/>
                <w:color w:val="auto"/>
              </w:rPr>
              <w:t>Non-Executive Chairman</w:t>
            </w:r>
          </w:p>
        </w:tc>
        <w:tc>
          <w:tcPr>
            <w:tcW w:w="2060" w:type="dxa"/>
            <w:vAlign w:val="bottom"/>
            <w:gridSpan w:val="2"/>
          </w:tcPr>
          <w:p>
            <w:pPr>
              <w:ind w:left="80"/>
              <w:spacing w:after="0"/>
              <w:rPr>
                <w:sz w:val="20"/>
                <w:szCs w:val="20"/>
                <w:color w:val="auto"/>
              </w:rPr>
            </w:pPr>
            <w:r>
              <w:rPr>
                <w:rFonts w:ascii="Arial" w:cs="Arial" w:eastAsia="Arial" w:hAnsi="Arial"/>
                <w:sz w:val="18"/>
                <w:szCs w:val="18"/>
                <w:color w:val="auto"/>
              </w:rPr>
              <w:t>Lou Panaccio</w:t>
            </w:r>
          </w:p>
        </w:tc>
        <w:tc>
          <w:tcPr>
            <w:tcW w:w="1160" w:type="dxa"/>
            <w:vAlign w:val="bottom"/>
            <w:gridSpan w:val="2"/>
          </w:tcPr>
          <w:p>
            <w:pPr>
              <w:ind w:left="120"/>
              <w:spacing w:after="0"/>
              <w:rPr>
                <w:sz w:val="20"/>
                <w:szCs w:val="20"/>
                <w:color w:val="auto"/>
              </w:rPr>
            </w:pPr>
            <w:r>
              <w:rPr>
                <w:rFonts w:ascii="Arial" w:cs="Arial" w:eastAsia="Arial" w:hAnsi="Arial"/>
                <w:sz w:val="18"/>
                <w:szCs w:val="18"/>
                <w:color w:val="auto"/>
              </w:rPr>
              <w:t>Open ended</w:t>
            </w:r>
          </w:p>
        </w:tc>
        <w:tc>
          <w:tcPr>
            <w:tcW w:w="160" w:type="dxa"/>
            <w:vAlign w:val="bottom"/>
          </w:tcPr>
          <w:p>
            <w:pPr>
              <w:spacing w:after="0"/>
              <w:rPr>
                <w:sz w:val="18"/>
                <w:szCs w:val="18"/>
                <w:color w:val="auto"/>
              </w:rPr>
            </w:pPr>
          </w:p>
        </w:tc>
        <w:tc>
          <w:tcPr>
            <w:tcW w:w="2640" w:type="dxa"/>
            <w:vAlign w:val="bottom"/>
            <w:gridSpan w:val="2"/>
          </w:tcPr>
          <w:p>
            <w:pPr>
              <w:ind w:left="100"/>
              <w:spacing w:after="0"/>
              <w:rPr>
                <w:sz w:val="20"/>
                <w:szCs w:val="20"/>
                <w:color w:val="auto"/>
              </w:rPr>
            </w:pPr>
            <w:r>
              <w:rPr>
                <w:rFonts w:ascii="Arial" w:cs="Arial" w:eastAsia="Arial" w:hAnsi="Arial"/>
                <w:sz w:val="18"/>
                <w:szCs w:val="18"/>
                <w:color w:val="auto"/>
                <w:w w:val="97"/>
              </w:rPr>
              <w:t>No notice period-subject to Avita</w:t>
            </w:r>
          </w:p>
        </w:tc>
        <w:tc>
          <w:tcPr>
            <w:tcW w:w="0" w:type="dxa"/>
            <w:vAlign w:val="bottom"/>
          </w:tcPr>
          <w:p>
            <w:pPr>
              <w:spacing w:after="0"/>
              <w:rPr>
                <w:sz w:val="1"/>
                <w:szCs w:val="1"/>
                <w:color w:val="auto"/>
              </w:rPr>
            </w:pPr>
          </w:p>
        </w:tc>
      </w:tr>
      <w:tr>
        <w:trPr>
          <w:trHeight w:val="216"/>
        </w:trPr>
        <w:tc>
          <w:tcPr>
            <w:tcW w:w="30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980" w:type="dxa"/>
            <w:vAlign w:val="bottom"/>
          </w:tcPr>
          <w:p>
            <w:pPr>
              <w:spacing w:after="0"/>
              <w:rPr>
                <w:sz w:val="18"/>
                <w:szCs w:val="18"/>
                <w:color w:val="auto"/>
              </w:rPr>
            </w:pPr>
          </w:p>
        </w:tc>
        <w:tc>
          <w:tcPr>
            <w:tcW w:w="1160" w:type="dxa"/>
            <w:vAlign w:val="bottom"/>
            <w:gridSpan w:val="2"/>
          </w:tcPr>
          <w:p>
            <w:pPr>
              <w:ind w:left="120"/>
              <w:spacing w:after="0"/>
              <w:rPr>
                <w:sz w:val="20"/>
                <w:szCs w:val="20"/>
                <w:color w:val="auto"/>
              </w:rPr>
            </w:pPr>
            <w:r>
              <w:rPr>
                <w:rFonts w:ascii="Arial" w:cs="Arial" w:eastAsia="Arial" w:hAnsi="Arial"/>
                <w:sz w:val="18"/>
                <w:szCs w:val="18"/>
                <w:color w:val="auto"/>
              </w:rPr>
              <w:t>contract</w:t>
            </w:r>
          </w:p>
        </w:tc>
        <w:tc>
          <w:tcPr>
            <w:tcW w:w="160" w:type="dxa"/>
            <w:vAlign w:val="bottom"/>
          </w:tcPr>
          <w:p>
            <w:pPr>
              <w:spacing w:after="0"/>
              <w:rPr>
                <w:sz w:val="18"/>
                <w:szCs w:val="18"/>
                <w:color w:val="auto"/>
              </w:rPr>
            </w:pPr>
          </w:p>
        </w:tc>
        <w:tc>
          <w:tcPr>
            <w:tcW w:w="2640" w:type="dxa"/>
            <w:vAlign w:val="bottom"/>
            <w:gridSpan w:val="2"/>
          </w:tcPr>
          <w:p>
            <w:pPr>
              <w:ind w:left="100"/>
              <w:spacing w:after="0"/>
              <w:rPr>
                <w:sz w:val="20"/>
                <w:szCs w:val="20"/>
                <w:color w:val="auto"/>
              </w:rPr>
            </w:pPr>
            <w:r>
              <w:rPr>
                <w:rFonts w:ascii="Arial" w:cs="Arial" w:eastAsia="Arial" w:hAnsi="Arial"/>
                <w:sz w:val="18"/>
                <w:szCs w:val="18"/>
                <w:color w:val="auto"/>
              </w:rPr>
              <w:t>constitution</w:t>
            </w:r>
          </w:p>
        </w:tc>
        <w:tc>
          <w:tcPr>
            <w:tcW w:w="0" w:type="dxa"/>
            <w:vAlign w:val="bottom"/>
          </w:tcPr>
          <w:p>
            <w:pPr>
              <w:spacing w:after="0"/>
              <w:rPr>
                <w:sz w:val="1"/>
                <w:szCs w:val="1"/>
                <w:color w:val="auto"/>
              </w:rPr>
            </w:pPr>
          </w:p>
        </w:tc>
      </w:tr>
      <w:tr>
        <w:trPr>
          <w:trHeight w:val="216"/>
        </w:trPr>
        <w:tc>
          <w:tcPr>
            <w:tcW w:w="2040" w:type="dxa"/>
            <w:vAlign w:val="bottom"/>
            <w:gridSpan w:val="2"/>
          </w:tcPr>
          <w:p>
            <w:pPr>
              <w:spacing w:after="0"/>
              <w:rPr>
                <w:sz w:val="20"/>
                <w:szCs w:val="20"/>
                <w:color w:val="auto"/>
              </w:rPr>
            </w:pPr>
            <w:r>
              <w:rPr>
                <w:rFonts w:ascii="Arial" w:cs="Arial" w:eastAsia="Arial" w:hAnsi="Arial"/>
                <w:sz w:val="18"/>
                <w:szCs w:val="18"/>
                <w:color w:val="auto"/>
              </w:rPr>
              <w:t>All other Non-Executive</w:t>
            </w:r>
          </w:p>
        </w:tc>
        <w:tc>
          <w:tcPr>
            <w:tcW w:w="2060" w:type="dxa"/>
            <w:vAlign w:val="bottom"/>
            <w:gridSpan w:val="2"/>
          </w:tcPr>
          <w:p>
            <w:pPr>
              <w:ind w:left="80"/>
              <w:spacing w:after="0"/>
              <w:rPr>
                <w:sz w:val="20"/>
                <w:szCs w:val="20"/>
                <w:color w:val="auto"/>
              </w:rPr>
            </w:pPr>
            <w:r>
              <w:rPr>
                <w:rFonts w:ascii="Arial" w:cs="Arial" w:eastAsia="Arial" w:hAnsi="Arial"/>
                <w:sz w:val="18"/>
                <w:szCs w:val="18"/>
                <w:color w:val="auto"/>
              </w:rPr>
              <w:t>Jeremy Curnock Cook</w:t>
            </w:r>
          </w:p>
        </w:tc>
        <w:tc>
          <w:tcPr>
            <w:tcW w:w="1160" w:type="dxa"/>
            <w:vAlign w:val="bottom"/>
            <w:gridSpan w:val="2"/>
          </w:tcPr>
          <w:p>
            <w:pPr>
              <w:ind w:left="120"/>
              <w:spacing w:after="0"/>
              <w:rPr>
                <w:sz w:val="20"/>
                <w:szCs w:val="20"/>
                <w:color w:val="auto"/>
              </w:rPr>
            </w:pPr>
            <w:r>
              <w:rPr>
                <w:rFonts w:ascii="Arial" w:cs="Arial" w:eastAsia="Arial" w:hAnsi="Arial"/>
                <w:sz w:val="18"/>
                <w:szCs w:val="18"/>
                <w:color w:val="auto"/>
              </w:rPr>
              <w:t>Open ended</w:t>
            </w:r>
          </w:p>
        </w:tc>
        <w:tc>
          <w:tcPr>
            <w:tcW w:w="160" w:type="dxa"/>
            <w:vAlign w:val="bottom"/>
          </w:tcPr>
          <w:p>
            <w:pPr>
              <w:spacing w:after="0"/>
              <w:rPr>
                <w:sz w:val="18"/>
                <w:szCs w:val="18"/>
                <w:color w:val="auto"/>
              </w:rPr>
            </w:pPr>
          </w:p>
        </w:tc>
        <w:tc>
          <w:tcPr>
            <w:tcW w:w="2640" w:type="dxa"/>
            <w:vAlign w:val="bottom"/>
            <w:gridSpan w:val="2"/>
          </w:tcPr>
          <w:p>
            <w:pPr>
              <w:ind w:left="100"/>
              <w:spacing w:after="0"/>
              <w:rPr>
                <w:sz w:val="20"/>
                <w:szCs w:val="20"/>
                <w:color w:val="auto"/>
              </w:rPr>
            </w:pPr>
            <w:r>
              <w:rPr>
                <w:rFonts w:ascii="Arial" w:cs="Arial" w:eastAsia="Arial" w:hAnsi="Arial"/>
                <w:sz w:val="18"/>
                <w:szCs w:val="18"/>
                <w:color w:val="auto"/>
                <w:w w:val="97"/>
              </w:rPr>
              <w:t>No notice period-subject to Avita</w:t>
            </w:r>
          </w:p>
        </w:tc>
        <w:tc>
          <w:tcPr>
            <w:tcW w:w="0" w:type="dxa"/>
            <w:vAlign w:val="bottom"/>
          </w:tcPr>
          <w:p>
            <w:pPr>
              <w:spacing w:after="0"/>
              <w:rPr>
                <w:sz w:val="1"/>
                <w:szCs w:val="1"/>
                <w:color w:val="auto"/>
              </w:rPr>
            </w:pPr>
          </w:p>
        </w:tc>
      </w:tr>
      <w:tr>
        <w:trPr>
          <w:trHeight w:val="216"/>
        </w:trPr>
        <w:tc>
          <w:tcPr>
            <w:tcW w:w="2040" w:type="dxa"/>
            <w:vAlign w:val="bottom"/>
            <w:gridSpan w:val="2"/>
          </w:tcPr>
          <w:p>
            <w:pPr>
              <w:spacing w:after="0"/>
              <w:rPr>
                <w:sz w:val="20"/>
                <w:szCs w:val="20"/>
                <w:color w:val="auto"/>
              </w:rPr>
            </w:pPr>
            <w:r>
              <w:rPr>
                <w:rFonts w:ascii="Arial" w:cs="Arial" w:eastAsia="Arial" w:hAnsi="Arial"/>
                <w:sz w:val="18"/>
                <w:szCs w:val="18"/>
                <w:color w:val="auto"/>
              </w:rPr>
              <w:t>Directors</w:t>
            </w:r>
          </w:p>
        </w:tc>
        <w:tc>
          <w:tcPr>
            <w:tcW w:w="80" w:type="dxa"/>
            <w:vAlign w:val="bottom"/>
          </w:tcPr>
          <w:p>
            <w:pPr>
              <w:spacing w:after="0"/>
              <w:rPr>
                <w:sz w:val="18"/>
                <w:szCs w:val="18"/>
                <w:color w:val="auto"/>
              </w:rPr>
            </w:pPr>
          </w:p>
        </w:tc>
        <w:tc>
          <w:tcPr>
            <w:tcW w:w="1980" w:type="dxa"/>
            <w:vAlign w:val="bottom"/>
          </w:tcPr>
          <w:p>
            <w:pPr>
              <w:spacing w:after="0"/>
              <w:rPr>
                <w:sz w:val="18"/>
                <w:szCs w:val="18"/>
                <w:color w:val="auto"/>
              </w:rPr>
            </w:pPr>
          </w:p>
        </w:tc>
        <w:tc>
          <w:tcPr>
            <w:tcW w:w="1160" w:type="dxa"/>
            <w:vAlign w:val="bottom"/>
            <w:gridSpan w:val="2"/>
          </w:tcPr>
          <w:p>
            <w:pPr>
              <w:ind w:left="120"/>
              <w:spacing w:after="0"/>
              <w:rPr>
                <w:sz w:val="20"/>
                <w:szCs w:val="20"/>
                <w:color w:val="auto"/>
              </w:rPr>
            </w:pPr>
            <w:r>
              <w:rPr>
                <w:rFonts w:ascii="Arial" w:cs="Arial" w:eastAsia="Arial" w:hAnsi="Arial"/>
                <w:sz w:val="18"/>
                <w:szCs w:val="18"/>
                <w:color w:val="auto"/>
              </w:rPr>
              <w:t>contract</w:t>
            </w:r>
          </w:p>
        </w:tc>
        <w:tc>
          <w:tcPr>
            <w:tcW w:w="160" w:type="dxa"/>
            <w:vAlign w:val="bottom"/>
          </w:tcPr>
          <w:p>
            <w:pPr>
              <w:spacing w:after="0"/>
              <w:rPr>
                <w:sz w:val="18"/>
                <w:szCs w:val="18"/>
                <w:color w:val="auto"/>
              </w:rPr>
            </w:pPr>
          </w:p>
        </w:tc>
        <w:tc>
          <w:tcPr>
            <w:tcW w:w="2640" w:type="dxa"/>
            <w:vAlign w:val="bottom"/>
            <w:gridSpan w:val="2"/>
          </w:tcPr>
          <w:p>
            <w:pPr>
              <w:ind w:left="100"/>
              <w:spacing w:after="0"/>
              <w:rPr>
                <w:sz w:val="20"/>
                <w:szCs w:val="20"/>
                <w:color w:val="auto"/>
              </w:rPr>
            </w:pPr>
            <w:r>
              <w:rPr>
                <w:rFonts w:ascii="Arial" w:cs="Arial" w:eastAsia="Arial" w:hAnsi="Arial"/>
                <w:sz w:val="18"/>
                <w:szCs w:val="18"/>
                <w:color w:val="auto"/>
              </w:rPr>
              <w:t>constitution</w:t>
            </w:r>
          </w:p>
        </w:tc>
        <w:tc>
          <w:tcPr>
            <w:tcW w:w="0" w:type="dxa"/>
            <w:vAlign w:val="bottom"/>
          </w:tcPr>
          <w:p>
            <w:pPr>
              <w:spacing w:after="0"/>
              <w:rPr>
                <w:sz w:val="1"/>
                <w:szCs w:val="1"/>
                <w:color w:val="auto"/>
              </w:rPr>
            </w:pPr>
          </w:p>
        </w:tc>
      </w:tr>
      <w:tr>
        <w:trPr>
          <w:trHeight w:val="216"/>
        </w:trPr>
        <w:tc>
          <w:tcPr>
            <w:tcW w:w="30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2060" w:type="dxa"/>
            <w:vAlign w:val="bottom"/>
            <w:gridSpan w:val="2"/>
          </w:tcPr>
          <w:p>
            <w:pPr>
              <w:ind w:left="80"/>
              <w:spacing w:after="0"/>
              <w:rPr>
                <w:sz w:val="20"/>
                <w:szCs w:val="20"/>
                <w:color w:val="auto"/>
              </w:rPr>
            </w:pPr>
            <w:r>
              <w:rPr>
                <w:rFonts w:ascii="Arial" w:cs="Arial" w:eastAsia="Arial" w:hAnsi="Arial"/>
                <w:sz w:val="18"/>
                <w:szCs w:val="18"/>
                <w:color w:val="auto"/>
              </w:rPr>
              <w:t>Louis Drapeau</w:t>
            </w:r>
          </w:p>
        </w:tc>
        <w:tc>
          <w:tcPr>
            <w:tcW w:w="1160" w:type="dxa"/>
            <w:vAlign w:val="bottom"/>
            <w:gridSpan w:val="2"/>
          </w:tcPr>
          <w:p>
            <w:pPr>
              <w:ind w:left="120"/>
              <w:spacing w:after="0"/>
              <w:rPr>
                <w:sz w:val="20"/>
                <w:szCs w:val="20"/>
                <w:color w:val="auto"/>
              </w:rPr>
            </w:pPr>
            <w:r>
              <w:rPr>
                <w:rFonts w:ascii="Arial" w:cs="Arial" w:eastAsia="Arial" w:hAnsi="Arial"/>
                <w:sz w:val="18"/>
                <w:szCs w:val="18"/>
                <w:color w:val="auto"/>
              </w:rPr>
              <w:t>Open ended</w:t>
            </w:r>
          </w:p>
        </w:tc>
        <w:tc>
          <w:tcPr>
            <w:tcW w:w="160" w:type="dxa"/>
            <w:vAlign w:val="bottom"/>
          </w:tcPr>
          <w:p>
            <w:pPr>
              <w:spacing w:after="0"/>
              <w:rPr>
                <w:sz w:val="18"/>
                <w:szCs w:val="18"/>
                <w:color w:val="auto"/>
              </w:rPr>
            </w:pPr>
          </w:p>
        </w:tc>
        <w:tc>
          <w:tcPr>
            <w:tcW w:w="2640" w:type="dxa"/>
            <w:vAlign w:val="bottom"/>
            <w:gridSpan w:val="2"/>
          </w:tcPr>
          <w:p>
            <w:pPr>
              <w:ind w:left="100"/>
              <w:spacing w:after="0"/>
              <w:rPr>
                <w:sz w:val="20"/>
                <w:szCs w:val="20"/>
                <w:color w:val="auto"/>
              </w:rPr>
            </w:pPr>
            <w:r>
              <w:rPr>
                <w:rFonts w:ascii="Arial" w:cs="Arial" w:eastAsia="Arial" w:hAnsi="Arial"/>
                <w:sz w:val="18"/>
                <w:szCs w:val="18"/>
                <w:color w:val="auto"/>
                <w:w w:val="97"/>
              </w:rPr>
              <w:t>No notice period-subject to Avita</w:t>
            </w:r>
          </w:p>
        </w:tc>
        <w:tc>
          <w:tcPr>
            <w:tcW w:w="0" w:type="dxa"/>
            <w:vAlign w:val="bottom"/>
          </w:tcPr>
          <w:p>
            <w:pPr>
              <w:spacing w:after="0"/>
              <w:rPr>
                <w:sz w:val="1"/>
                <w:szCs w:val="1"/>
                <w:color w:val="auto"/>
              </w:rPr>
            </w:pPr>
          </w:p>
        </w:tc>
      </w:tr>
      <w:tr>
        <w:trPr>
          <w:trHeight w:val="216"/>
        </w:trPr>
        <w:tc>
          <w:tcPr>
            <w:tcW w:w="30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980" w:type="dxa"/>
            <w:vAlign w:val="bottom"/>
          </w:tcPr>
          <w:p>
            <w:pPr>
              <w:spacing w:after="0"/>
              <w:rPr>
                <w:sz w:val="18"/>
                <w:szCs w:val="18"/>
                <w:color w:val="auto"/>
              </w:rPr>
            </w:pPr>
          </w:p>
        </w:tc>
        <w:tc>
          <w:tcPr>
            <w:tcW w:w="1160" w:type="dxa"/>
            <w:vAlign w:val="bottom"/>
            <w:gridSpan w:val="2"/>
          </w:tcPr>
          <w:p>
            <w:pPr>
              <w:ind w:left="120"/>
              <w:spacing w:after="0"/>
              <w:rPr>
                <w:sz w:val="20"/>
                <w:szCs w:val="20"/>
                <w:color w:val="auto"/>
              </w:rPr>
            </w:pPr>
            <w:r>
              <w:rPr>
                <w:rFonts w:ascii="Arial" w:cs="Arial" w:eastAsia="Arial" w:hAnsi="Arial"/>
                <w:sz w:val="18"/>
                <w:szCs w:val="18"/>
                <w:color w:val="auto"/>
              </w:rPr>
              <w:t>contract</w:t>
            </w:r>
          </w:p>
        </w:tc>
        <w:tc>
          <w:tcPr>
            <w:tcW w:w="160" w:type="dxa"/>
            <w:vAlign w:val="bottom"/>
          </w:tcPr>
          <w:p>
            <w:pPr>
              <w:spacing w:after="0"/>
              <w:rPr>
                <w:sz w:val="18"/>
                <w:szCs w:val="18"/>
                <w:color w:val="auto"/>
              </w:rPr>
            </w:pPr>
          </w:p>
        </w:tc>
        <w:tc>
          <w:tcPr>
            <w:tcW w:w="2640" w:type="dxa"/>
            <w:vAlign w:val="bottom"/>
            <w:gridSpan w:val="2"/>
          </w:tcPr>
          <w:p>
            <w:pPr>
              <w:ind w:left="100"/>
              <w:spacing w:after="0"/>
              <w:rPr>
                <w:sz w:val="20"/>
                <w:szCs w:val="20"/>
                <w:color w:val="auto"/>
              </w:rPr>
            </w:pPr>
            <w:r>
              <w:rPr>
                <w:rFonts w:ascii="Arial" w:cs="Arial" w:eastAsia="Arial" w:hAnsi="Arial"/>
                <w:sz w:val="18"/>
                <w:szCs w:val="18"/>
                <w:color w:val="auto"/>
              </w:rPr>
              <w:t>constitution</w:t>
            </w:r>
          </w:p>
        </w:tc>
        <w:tc>
          <w:tcPr>
            <w:tcW w:w="0" w:type="dxa"/>
            <w:vAlign w:val="bottom"/>
          </w:tcPr>
          <w:p>
            <w:pPr>
              <w:spacing w:after="0"/>
              <w:rPr>
                <w:sz w:val="1"/>
                <w:szCs w:val="1"/>
                <w:color w:val="auto"/>
              </w:rPr>
            </w:pPr>
          </w:p>
        </w:tc>
      </w:tr>
      <w:tr>
        <w:trPr>
          <w:trHeight w:val="216"/>
        </w:trPr>
        <w:tc>
          <w:tcPr>
            <w:tcW w:w="30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2060" w:type="dxa"/>
            <w:vAlign w:val="bottom"/>
            <w:gridSpan w:val="2"/>
          </w:tcPr>
          <w:p>
            <w:pPr>
              <w:ind w:left="80"/>
              <w:spacing w:after="0"/>
              <w:rPr>
                <w:sz w:val="20"/>
                <w:szCs w:val="20"/>
                <w:color w:val="auto"/>
              </w:rPr>
            </w:pPr>
            <w:r>
              <w:rPr>
                <w:rFonts w:ascii="Arial" w:cs="Arial" w:eastAsia="Arial" w:hAnsi="Arial"/>
                <w:sz w:val="18"/>
                <w:szCs w:val="18"/>
                <w:color w:val="auto"/>
              </w:rPr>
              <w:t>Damien McDonald</w:t>
            </w:r>
          </w:p>
        </w:tc>
        <w:tc>
          <w:tcPr>
            <w:tcW w:w="1160" w:type="dxa"/>
            <w:vAlign w:val="bottom"/>
            <w:gridSpan w:val="2"/>
          </w:tcPr>
          <w:p>
            <w:pPr>
              <w:ind w:left="120"/>
              <w:spacing w:after="0"/>
              <w:rPr>
                <w:sz w:val="20"/>
                <w:szCs w:val="20"/>
                <w:color w:val="auto"/>
              </w:rPr>
            </w:pPr>
            <w:r>
              <w:rPr>
                <w:rFonts w:ascii="Arial" w:cs="Arial" w:eastAsia="Arial" w:hAnsi="Arial"/>
                <w:sz w:val="18"/>
                <w:szCs w:val="18"/>
                <w:color w:val="auto"/>
              </w:rPr>
              <w:t>Open ended</w:t>
            </w:r>
          </w:p>
        </w:tc>
        <w:tc>
          <w:tcPr>
            <w:tcW w:w="160" w:type="dxa"/>
            <w:vAlign w:val="bottom"/>
          </w:tcPr>
          <w:p>
            <w:pPr>
              <w:spacing w:after="0"/>
              <w:rPr>
                <w:sz w:val="18"/>
                <w:szCs w:val="18"/>
                <w:color w:val="auto"/>
              </w:rPr>
            </w:pPr>
          </w:p>
        </w:tc>
        <w:tc>
          <w:tcPr>
            <w:tcW w:w="2640" w:type="dxa"/>
            <w:vAlign w:val="bottom"/>
            <w:gridSpan w:val="2"/>
          </w:tcPr>
          <w:p>
            <w:pPr>
              <w:ind w:left="100"/>
              <w:spacing w:after="0"/>
              <w:rPr>
                <w:sz w:val="20"/>
                <w:szCs w:val="20"/>
                <w:color w:val="auto"/>
              </w:rPr>
            </w:pPr>
            <w:r>
              <w:rPr>
                <w:rFonts w:ascii="Arial" w:cs="Arial" w:eastAsia="Arial" w:hAnsi="Arial"/>
                <w:sz w:val="18"/>
                <w:szCs w:val="18"/>
                <w:color w:val="auto"/>
                <w:w w:val="97"/>
              </w:rPr>
              <w:t>No notice period-subject to Avita</w:t>
            </w:r>
          </w:p>
        </w:tc>
        <w:tc>
          <w:tcPr>
            <w:tcW w:w="0" w:type="dxa"/>
            <w:vAlign w:val="bottom"/>
          </w:tcPr>
          <w:p>
            <w:pPr>
              <w:spacing w:after="0"/>
              <w:rPr>
                <w:sz w:val="1"/>
                <w:szCs w:val="1"/>
                <w:color w:val="auto"/>
              </w:rPr>
            </w:pPr>
          </w:p>
        </w:tc>
      </w:tr>
      <w:tr>
        <w:trPr>
          <w:trHeight w:val="216"/>
        </w:trPr>
        <w:tc>
          <w:tcPr>
            <w:tcW w:w="30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980" w:type="dxa"/>
            <w:vAlign w:val="bottom"/>
          </w:tcPr>
          <w:p>
            <w:pPr>
              <w:spacing w:after="0"/>
              <w:rPr>
                <w:sz w:val="18"/>
                <w:szCs w:val="18"/>
                <w:color w:val="auto"/>
              </w:rPr>
            </w:pPr>
          </w:p>
        </w:tc>
        <w:tc>
          <w:tcPr>
            <w:tcW w:w="1160" w:type="dxa"/>
            <w:vAlign w:val="bottom"/>
            <w:gridSpan w:val="2"/>
          </w:tcPr>
          <w:p>
            <w:pPr>
              <w:ind w:left="120"/>
              <w:spacing w:after="0"/>
              <w:rPr>
                <w:sz w:val="20"/>
                <w:szCs w:val="20"/>
                <w:color w:val="auto"/>
              </w:rPr>
            </w:pPr>
            <w:r>
              <w:rPr>
                <w:rFonts w:ascii="Arial" w:cs="Arial" w:eastAsia="Arial" w:hAnsi="Arial"/>
                <w:sz w:val="18"/>
                <w:szCs w:val="18"/>
                <w:color w:val="auto"/>
              </w:rPr>
              <w:t>contract</w:t>
            </w:r>
          </w:p>
        </w:tc>
        <w:tc>
          <w:tcPr>
            <w:tcW w:w="160" w:type="dxa"/>
            <w:vAlign w:val="bottom"/>
          </w:tcPr>
          <w:p>
            <w:pPr>
              <w:spacing w:after="0"/>
              <w:rPr>
                <w:sz w:val="18"/>
                <w:szCs w:val="18"/>
                <w:color w:val="auto"/>
              </w:rPr>
            </w:pPr>
          </w:p>
        </w:tc>
        <w:tc>
          <w:tcPr>
            <w:tcW w:w="2640" w:type="dxa"/>
            <w:vAlign w:val="bottom"/>
            <w:gridSpan w:val="2"/>
          </w:tcPr>
          <w:p>
            <w:pPr>
              <w:ind w:left="100"/>
              <w:spacing w:after="0"/>
              <w:rPr>
                <w:sz w:val="20"/>
                <w:szCs w:val="20"/>
                <w:color w:val="auto"/>
              </w:rPr>
            </w:pPr>
            <w:r>
              <w:rPr>
                <w:rFonts w:ascii="Arial" w:cs="Arial" w:eastAsia="Arial" w:hAnsi="Arial"/>
                <w:sz w:val="18"/>
                <w:szCs w:val="18"/>
                <w:color w:val="auto"/>
              </w:rPr>
              <w:t>constitution</w:t>
            </w:r>
          </w:p>
        </w:tc>
        <w:tc>
          <w:tcPr>
            <w:tcW w:w="0" w:type="dxa"/>
            <w:vAlign w:val="bottom"/>
          </w:tcPr>
          <w:p>
            <w:pPr>
              <w:spacing w:after="0"/>
              <w:rPr>
                <w:sz w:val="1"/>
                <w:szCs w:val="1"/>
                <w:color w:val="auto"/>
              </w:rPr>
            </w:pPr>
          </w:p>
        </w:tc>
      </w:tr>
      <w:tr>
        <w:trPr>
          <w:trHeight w:val="216"/>
        </w:trPr>
        <w:tc>
          <w:tcPr>
            <w:tcW w:w="30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2060" w:type="dxa"/>
            <w:vAlign w:val="bottom"/>
            <w:gridSpan w:val="2"/>
          </w:tcPr>
          <w:p>
            <w:pPr>
              <w:ind w:left="80"/>
              <w:spacing w:after="0"/>
              <w:rPr>
                <w:sz w:val="20"/>
                <w:szCs w:val="20"/>
                <w:color w:val="auto"/>
              </w:rPr>
            </w:pPr>
            <w:r>
              <w:rPr>
                <w:rFonts w:ascii="Arial" w:cs="Arial" w:eastAsia="Arial" w:hAnsi="Arial"/>
                <w:sz w:val="18"/>
                <w:szCs w:val="18"/>
                <w:color w:val="auto"/>
                <w:w w:val="93"/>
              </w:rPr>
              <w:t>Professor Suzanne Crowe</w:t>
            </w:r>
          </w:p>
        </w:tc>
        <w:tc>
          <w:tcPr>
            <w:tcW w:w="1160" w:type="dxa"/>
            <w:vAlign w:val="bottom"/>
            <w:gridSpan w:val="2"/>
          </w:tcPr>
          <w:p>
            <w:pPr>
              <w:ind w:left="120"/>
              <w:spacing w:after="0"/>
              <w:rPr>
                <w:sz w:val="20"/>
                <w:szCs w:val="20"/>
                <w:color w:val="auto"/>
              </w:rPr>
            </w:pPr>
            <w:r>
              <w:rPr>
                <w:rFonts w:ascii="Arial" w:cs="Arial" w:eastAsia="Arial" w:hAnsi="Arial"/>
                <w:sz w:val="18"/>
                <w:szCs w:val="18"/>
                <w:color w:val="auto"/>
              </w:rPr>
              <w:t>Open ended</w:t>
            </w:r>
          </w:p>
        </w:tc>
        <w:tc>
          <w:tcPr>
            <w:tcW w:w="160" w:type="dxa"/>
            <w:vAlign w:val="bottom"/>
          </w:tcPr>
          <w:p>
            <w:pPr>
              <w:spacing w:after="0"/>
              <w:rPr>
                <w:sz w:val="18"/>
                <w:szCs w:val="18"/>
                <w:color w:val="auto"/>
              </w:rPr>
            </w:pPr>
          </w:p>
        </w:tc>
        <w:tc>
          <w:tcPr>
            <w:tcW w:w="2640" w:type="dxa"/>
            <w:vAlign w:val="bottom"/>
            <w:gridSpan w:val="2"/>
          </w:tcPr>
          <w:p>
            <w:pPr>
              <w:ind w:left="100"/>
              <w:spacing w:after="0"/>
              <w:rPr>
                <w:sz w:val="20"/>
                <w:szCs w:val="20"/>
                <w:color w:val="auto"/>
              </w:rPr>
            </w:pPr>
            <w:r>
              <w:rPr>
                <w:rFonts w:ascii="Arial" w:cs="Arial" w:eastAsia="Arial" w:hAnsi="Arial"/>
                <w:sz w:val="18"/>
                <w:szCs w:val="18"/>
                <w:color w:val="auto"/>
                <w:w w:val="97"/>
              </w:rPr>
              <w:t>No notice period-subject to Avita</w:t>
            </w:r>
          </w:p>
        </w:tc>
        <w:tc>
          <w:tcPr>
            <w:tcW w:w="0" w:type="dxa"/>
            <w:vAlign w:val="bottom"/>
          </w:tcPr>
          <w:p>
            <w:pPr>
              <w:spacing w:after="0"/>
              <w:rPr>
                <w:sz w:val="1"/>
                <w:szCs w:val="1"/>
                <w:color w:val="auto"/>
              </w:rPr>
            </w:pPr>
          </w:p>
        </w:tc>
      </w:tr>
      <w:tr>
        <w:trPr>
          <w:trHeight w:val="230"/>
        </w:trPr>
        <w:tc>
          <w:tcPr>
            <w:tcW w:w="300" w:type="dxa"/>
            <w:vAlign w:val="bottom"/>
          </w:tcPr>
          <w:p>
            <w:pPr>
              <w:spacing w:after="0"/>
              <w:rPr>
                <w:sz w:val="20"/>
                <w:szCs w:val="20"/>
                <w:color w:val="auto"/>
              </w:rPr>
            </w:pPr>
          </w:p>
        </w:tc>
        <w:tc>
          <w:tcPr>
            <w:tcW w:w="17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980" w:type="dxa"/>
            <w:vAlign w:val="bottom"/>
          </w:tcPr>
          <w:p>
            <w:pPr>
              <w:spacing w:after="0"/>
              <w:rPr>
                <w:sz w:val="20"/>
                <w:szCs w:val="20"/>
                <w:color w:val="auto"/>
              </w:rPr>
            </w:pPr>
          </w:p>
        </w:tc>
        <w:tc>
          <w:tcPr>
            <w:tcW w:w="1160" w:type="dxa"/>
            <w:vAlign w:val="bottom"/>
            <w:gridSpan w:val="2"/>
          </w:tcPr>
          <w:p>
            <w:pPr>
              <w:ind w:left="120"/>
              <w:spacing w:after="0"/>
              <w:rPr>
                <w:sz w:val="20"/>
                <w:szCs w:val="20"/>
                <w:color w:val="auto"/>
              </w:rPr>
            </w:pPr>
            <w:r>
              <w:rPr>
                <w:rFonts w:ascii="Arial" w:cs="Arial" w:eastAsia="Arial" w:hAnsi="Arial"/>
                <w:sz w:val="18"/>
                <w:szCs w:val="18"/>
                <w:color w:val="auto"/>
              </w:rPr>
              <w:t>contract</w:t>
            </w:r>
          </w:p>
        </w:tc>
        <w:tc>
          <w:tcPr>
            <w:tcW w:w="160" w:type="dxa"/>
            <w:vAlign w:val="bottom"/>
          </w:tcPr>
          <w:p>
            <w:pPr>
              <w:spacing w:after="0"/>
              <w:rPr>
                <w:sz w:val="20"/>
                <w:szCs w:val="20"/>
                <w:color w:val="auto"/>
              </w:rPr>
            </w:pPr>
          </w:p>
        </w:tc>
        <w:tc>
          <w:tcPr>
            <w:tcW w:w="2640" w:type="dxa"/>
            <w:vAlign w:val="bottom"/>
            <w:gridSpan w:val="2"/>
          </w:tcPr>
          <w:p>
            <w:pPr>
              <w:ind w:left="100"/>
              <w:spacing w:after="0"/>
              <w:rPr>
                <w:sz w:val="20"/>
                <w:szCs w:val="20"/>
                <w:color w:val="auto"/>
              </w:rPr>
            </w:pPr>
            <w:r>
              <w:rPr>
                <w:rFonts w:ascii="Arial" w:cs="Arial" w:eastAsia="Arial" w:hAnsi="Arial"/>
                <w:sz w:val="18"/>
                <w:szCs w:val="18"/>
                <w:color w:val="auto"/>
              </w:rPr>
              <w:t>constitution</w:t>
            </w:r>
          </w:p>
        </w:tc>
        <w:tc>
          <w:tcPr>
            <w:tcW w:w="0" w:type="dxa"/>
            <w:vAlign w:val="bottom"/>
          </w:tcPr>
          <w:p>
            <w:pPr>
              <w:spacing w:after="0"/>
              <w:rPr>
                <w:sz w:val="1"/>
                <w:szCs w:val="1"/>
                <w:color w:val="auto"/>
              </w:rPr>
            </w:pPr>
          </w:p>
        </w:tc>
      </w:tr>
      <w:tr>
        <w:trPr>
          <w:trHeight w:val="365"/>
        </w:trPr>
        <w:tc>
          <w:tcPr>
            <w:tcW w:w="30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9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800" w:type="dxa"/>
            <w:vAlign w:val="bottom"/>
            <w:gridSpan w:val="3"/>
          </w:tcPr>
          <w:p>
            <w:pPr>
              <w:jc w:val="right"/>
              <w:ind w:right="2379"/>
              <w:spacing w:after="0"/>
              <w:rPr>
                <w:sz w:val="20"/>
                <w:szCs w:val="20"/>
                <w:color w:val="auto"/>
              </w:rPr>
            </w:pPr>
            <w:r>
              <w:rPr>
                <w:rFonts w:ascii="Arial" w:cs="Arial" w:eastAsia="Arial" w:hAnsi="Arial"/>
                <w:sz w:val="18"/>
                <w:szCs w:val="18"/>
                <w:color w:val="auto"/>
              </w:rPr>
              <w:t>59</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235" w:lineRule="exact"/>
        <w:rPr>
          <w:sz w:val="20"/>
          <w:szCs w:val="20"/>
          <w:color w:val="auto"/>
        </w:rPr>
      </w:pPr>
    </w:p>
    <w:p>
      <w:pPr>
        <w:jc w:val="center"/>
        <w:ind w:right="-19"/>
        <w:spacing w:after="0"/>
        <w:rPr>
          <w:sz w:val="20"/>
          <w:szCs w:val="20"/>
          <w:color w:val="auto"/>
        </w:rPr>
      </w:pPr>
      <w:r>
        <w:rPr>
          <w:rFonts w:ascii="Arial" w:cs="Arial" w:eastAsia="Arial" w:hAnsi="Arial"/>
          <w:sz w:val="14"/>
          <w:szCs w:val="14"/>
          <w:b w:val="1"/>
          <w:bCs w:val="1"/>
          <w:color w:val="auto"/>
        </w:rPr>
        <w:t>Termination payments</w:t>
      </w:r>
    </w:p>
    <w:p>
      <w:pPr>
        <w:spacing w:after="0" w:line="4" w:lineRule="exact"/>
        <w:rPr>
          <w:sz w:val="20"/>
          <w:szCs w:val="20"/>
          <w:color w:val="auto"/>
        </w:rPr>
      </w:pPr>
    </w:p>
    <w:p>
      <w:pPr>
        <w:jc w:val="center"/>
        <w:ind w:right="-19"/>
        <w:spacing w:after="0"/>
        <w:rPr>
          <w:sz w:val="20"/>
          <w:szCs w:val="20"/>
          <w:color w:val="auto"/>
        </w:rPr>
      </w:pPr>
      <w:r>
        <w:rPr>
          <w:rFonts w:ascii="Arial" w:cs="Arial" w:eastAsia="Arial" w:hAnsi="Arial"/>
          <w:sz w:val="14"/>
          <w:szCs w:val="14"/>
          <w:b w:val="1"/>
          <w:bCs w:val="1"/>
          <w:color w:val="auto"/>
        </w:rPr>
        <w:t>provided for by contract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5080</wp:posOffset>
            </wp:positionV>
            <wp:extent cx="1818005" cy="889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1818005" cy="8890"/>
                    </a:xfrm>
                    <a:prstGeom prst="rect">
                      <a:avLst/>
                    </a:prstGeom>
                    <a:noFill/>
                  </pic:spPr>
                </pic:pic>
              </a:graphicData>
            </a:graphic>
          </wp:anchor>
        </w:drawing>
      </w:r>
    </w:p>
    <w:p>
      <w:pPr>
        <w:ind w:right="2080" w:firstLine="1"/>
        <w:spacing w:after="0" w:line="562" w:lineRule="auto"/>
        <w:tabs>
          <w:tab w:leader="none" w:pos="225" w:val="left"/>
        </w:tabs>
        <w:numPr>
          <w:ilvl w:val="0"/>
          <w:numId w:val="30"/>
        </w:numPr>
        <w:rPr>
          <w:rFonts w:ascii="Arial" w:cs="Arial" w:eastAsia="Arial" w:hAnsi="Arial"/>
          <w:sz w:val="16"/>
          <w:szCs w:val="16"/>
          <w:color w:val="auto"/>
        </w:rPr>
      </w:pPr>
      <w:r>
        <w:rPr>
          <w:rFonts w:ascii="Arial" w:cs="Arial" w:eastAsia="Arial" w:hAnsi="Arial"/>
          <w:sz w:val="16"/>
          <w:szCs w:val="16"/>
          <w:color w:val="auto"/>
        </w:rPr>
        <w:t>months 6 months</w:t>
      </w:r>
    </w:p>
    <w:p>
      <w:pPr>
        <w:ind w:right="2080" w:firstLine="1"/>
        <w:spacing w:after="0" w:line="563" w:lineRule="auto"/>
        <w:tabs>
          <w:tab w:leader="none" w:pos="225" w:val="left"/>
        </w:tabs>
        <w:numPr>
          <w:ilvl w:val="0"/>
          <w:numId w:val="31"/>
        </w:numPr>
        <w:rPr>
          <w:rFonts w:ascii="Arial" w:cs="Arial" w:eastAsia="Arial" w:hAnsi="Arial"/>
          <w:sz w:val="16"/>
          <w:szCs w:val="16"/>
          <w:color w:val="auto"/>
        </w:rPr>
      </w:pPr>
      <w:r>
        <w:rPr>
          <w:rFonts w:ascii="Arial" w:cs="Arial" w:eastAsia="Arial" w:hAnsi="Arial"/>
          <w:sz w:val="16"/>
          <w:szCs w:val="16"/>
          <w:color w:val="auto"/>
        </w:rPr>
        <w:t>months 6 months</w:t>
      </w:r>
    </w:p>
    <w:p>
      <w:pPr>
        <w:spacing w:after="0" w:line="1" w:lineRule="exact"/>
        <w:rPr>
          <w:sz w:val="20"/>
          <w:szCs w:val="20"/>
          <w:color w:val="auto"/>
        </w:rPr>
      </w:pPr>
    </w:p>
    <w:p>
      <w:pPr>
        <w:spacing w:after="0" w:line="258" w:lineRule="auto"/>
        <w:rPr>
          <w:sz w:val="20"/>
          <w:szCs w:val="20"/>
          <w:color w:val="auto"/>
        </w:rPr>
      </w:pPr>
      <w:r>
        <w:rPr>
          <w:rFonts w:ascii="Arial" w:cs="Arial" w:eastAsia="Arial" w:hAnsi="Arial"/>
          <w:sz w:val="18"/>
          <w:szCs w:val="18"/>
          <w:color w:val="auto"/>
        </w:rPr>
        <w:t>Payment in lieu of notice only, no other benefits specified</w:t>
      </w:r>
    </w:p>
    <w:p>
      <w:pPr>
        <w:spacing w:after="0" w:line="1" w:lineRule="exact"/>
        <w:rPr>
          <w:sz w:val="20"/>
          <w:szCs w:val="20"/>
          <w:color w:val="auto"/>
        </w:rPr>
      </w:pPr>
    </w:p>
    <w:p>
      <w:pPr>
        <w:spacing w:after="0" w:line="250" w:lineRule="auto"/>
        <w:rPr>
          <w:sz w:val="20"/>
          <w:szCs w:val="20"/>
          <w:color w:val="auto"/>
        </w:rPr>
      </w:pPr>
      <w:r>
        <w:rPr>
          <w:rFonts w:ascii="Arial" w:cs="Arial" w:eastAsia="Arial" w:hAnsi="Arial"/>
          <w:sz w:val="18"/>
          <w:szCs w:val="18"/>
          <w:color w:val="auto"/>
        </w:rPr>
        <w:t>Payment in lieu of notice only, no other benefits specified</w:t>
      </w:r>
    </w:p>
    <w:p>
      <w:pPr>
        <w:spacing w:after="0" w:line="1" w:lineRule="exact"/>
        <w:rPr>
          <w:sz w:val="20"/>
          <w:szCs w:val="20"/>
          <w:color w:val="auto"/>
        </w:rPr>
      </w:pPr>
    </w:p>
    <w:p>
      <w:pPr>
        <w:spacing w:after="0" w:line="250" w:lineRule="auto"/>
        <w:rPr>
          <w:sz w:val="20"/>
          <w:szCs w:val="20"/>
          <w:color w:val="auto"/>
        </w:rPr>
      </w:pPr>
      <w:r>
        <w:rPr>
          <w:rFonts w:ascii="Arial" w:cs="Arial" w:eastAsia="Arial" w:hAnsi="Arial"/>
          <w:sz w:val="18"/>
          <w:szCs w:val="18"/>
          <w:color w:val="auto"/>
        </w:rPr>
        <w:t>Payment in lieu of notice only, no other benefits specified</w:t>
      </w:r>
    </w:p>
    <w:p>
      <w:pPr>
        <w:spacing w:after="0" w:line="1" w:lineRule="exact"/>
        <w:rPr>
          <w:sz w:val="20"/>
          <w:szCs w:val="20"/>
          <w:color w:val="auto"/>
        </w:rPr>
      </w:pPr>
    </w:p>
    <w:p>
      <w:pPr>
        <w:spacing w:after="0" w:line="250" w:lineRule="auto"/>
        <w:rPr>
          <w:sz w:val="20"/>
          <w:szCs w:val="20"/>
          <w:color w:val="auto"/>
        </w:rPr>
      </w:pPr>
      <w:r>
        <w:rPr>
          <w:rFonts w:ascii="Arial" w:cs="Arial" w:eastAsia="Arial" w:hAnsi="Arial"/>
          <w:sz w:val="18"/>
          <w:szCs w:val="18"/>
          <w:color w:val="auto"/>
        </w:rPr>
        <w:t>Payment in lieu of notice only, no other benefits specified</w:t>
      </w:r>
    </w:p>
    <w:p>
      <w:pPr>
        <w:spacing w:after="0" w:line="1" w:lineRule="exact"/>
        <w:rPr>
          <w:sz w:val="20"/>
          <w:szCs w:val="20"/>
          <w:color w:val="auto"/>
        </w:rPr>
      </w:pPr>
    </w:p>
    <w:p>
      <w:pPr>
        <w:spacing w:after="0" w:line="250" w:lineRule="auto"/>
        <w:rPr>
          <w:sz w:val="20"/>
          <w:szCs w:val="20"/>
          <w:color w:val="auto"/>
        </w:rPr>
      </w:pPr>
      <w:r>
        <w:rPr>
          <w:rFonts w:ascii="Arial" w:cs="Arial" w:eastAsia="Arial" w:hAnsi="Arial"/>
          <w:sz w:val="18"/>
          <w:szCs w:val="18"/>
          <w:color w:val="auto"/>
        </w:rPr>
        <w:t>Payment in lieu of notice only, no other benefits specified</w:t>
      </w:r>
    </w:p>
    <w:p>
      <w:pPr>
        <w:spacing w:after="0" w:line="1" w:lineRule="exact"/>
        <w:rPr>
          <w:sz w:val="20"/>
          <w:szCs w:val="20"/>
          <w:color w:val="auto"/>
        </w:rPr>
      </w:pPr>
    </w:p>
    <w:p>
      <w:pPr>
        <w:spacing w:after="0" w:line="261" w:lineRule="auto"/>
        <w:rPr>
          <w:sz w:val="20"/>
          <w:szCs w:val="20"/>
          <w:color w:val="auto"/>
        </w:rPr>
      </w:pPr>
      <w:r>
        <w:rPr>
          <w:rFonts w:ascii="Arial" w:cs="Arial" w:eastAsia="Arial" w:hAnsi="Arial"/>
          <w:sz w:val="18"/>
          <w:szCs w:val="18"/>
          <w:color w:val="auto"/>
        </w:rPr>
        <w:t>Payment in lieu of notice only, no other benefits specified</w:t>
      </w:r>
    </w:p>
    <w:p>
      <w:pPr>
        <w:sectPr>
          <w:pgSz w:w="11900" w:h="16838" w:orient="portrait"/>
          <w:cols w:equalWidth="0" w:num="2">
            <w:col w:w="8260" w:space="100"/>
            <w:col w:w="2840"/>
          </w:cols>
          <w:pgMar w:left="240" w:top="459" w:right="459" w:bottom="1440" w:gutter="0" w:footer="0" w:header="0"/>
          <w:type w:val="continuous"/>
        </w:sectPr>
      </w:pPr>
    </w:p>
    <w:bookmarkStart w:id="61" w:name="page62"/>
    <w:bookmarkEnd w:id="6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640" w:hanging="436"/>
        <w:spacing w:after="0"/>
        <w:tabs>
          <w:tab w:leader="none" w:pos="640" w:val="left"/>
        </w:tabs>
        <w:numPr>
          <w:ilvl w:val="0"/>
          <w:numId w:val="32"/>
        </w:numPr>
        <w:rPr>
          <w:rFonts w:ascii="Arial" w:cs="Arial" w:eastAsia="Arial" w:hAnsi="Arial"/>
          <w:sz w:val="18"/>
          <w:szCs w:val="18"/>
          <w:color w:val="auto"/>
        </w:rPr>
      </w:pPr>
      <w:r>
        <w:rPr>
          <w:rFonts w:ascii="Arial" w:cs="Arial" w:eastAsia="Arial" w:hAnsi="Arial"/>
          <w:sz w:val="18"/>
          <w:szCs w:val="18"/>
          <w:color w:val="auto"/>
        </w:rPr>
        <w:t>Mr. Sander resigned as Chief Financial Officer effective May 15, 2019.</w:t>
      </w:r>
    </w:p>
    <w:p>
      <w:pPr>
        <w:spacing w:after="0" w:line="23" w:lineRule="exact"/>
        <w:rPr>
          <w:rFonts w:ascii="Arial" w:cs="Arial" w:eastAsia="Arial" w:hAnsi="Arial"/>
          <w:sz w:val="18"/>
          <w:szCs w:val="18"/>
          <w:color w:val="auto"/>
        </w:rPr>
      </w:pPr>
    </w:p>
    <w:p>
      <w:pPr>
        <w:ind w:left="640" w:hanging="436"/>
        <w:spacing w:after="0"/>
        <w:tabs>
          <w:tab w:leader="none" w:pos="640" w:val="left"/>
        </w:tabs>
        <w:numPr>
          <w:ilvl w:val="0"/>
          <w:numId w:val="32"/>
        </w:numPr>
        <w:rPr>
          <w:rFonts w:ascii="Arial" w:cs="Arial" w:eastAsia="Arial" w:hAnsi="Arial"/>
          <w:sz w:val="18"/>
          <w:szCs w:val="18"/>
          <w:color w:val="auto"/>
        </w:rPr>
      </w:pPr>
      <w:r>
        <w:rPr>
          <w:rFonts w:ascii="Arial" w:cs="Arial" w:eastAsia="Arial" w:hAnsi="Arial"/>
          <w:sz w:val="18"/>
          <w:szCs w:val="18"/>
          <w:color w:val="auto"/>
        </w:rPr>
        <w:t>Mr. Rooney was appointed interim Chief Financial Officer effective May 15, 2019.</w:t>
      </w:r>
    </w:p>
    <w:p>
      <w:pPr>
        <w:spacing w:after="0" w:line="9" w:lineRule="exact"/>
        <w:rPr>
          <w:rFonts w:ascii="Arial" w:cs="Arial" w:eastAsia="Arial" w:hAnsi="Arial"/>
          <w:sz w:val="18"/>
          <w:szCs w:val="18"/>
          <w:color w:val="auto"/>
        </w:rPr>
      </w:pPr>
    </w:p>
    <w:p>
      <w:pPr>
        <w:ind w:left="640" w:hanging="436"/>
        <w:spacing w:after="0"/>
        <w:tabs>
          <w:tab w:leader="none" w:pos="640" w:val="left"/>
        </w:tabs>
        <w:numPr>
          <w:ilvl w:val="0"/>
          <w:numId w:val="32"/>
        </w:numPr>
        <w:rPr>
          <w:rFonts w:ascii="Arial" w:cs="Arial" w:eastAsia="Arial" w:hAnsi="Arial"/>
          <w:sz w:val="18"/>
          <w:szCs w:val="18"/>
          <w:color w:val="auto"/>
        </w:rPr>
      </w:pPr>
      <w:r>
        <w:rPr>
          <w:rFonts w:ascii="Arial" w:cs="Arial" w:eastAsia="Arial" w:hAnsi="Arial"/>
          <w:sz w:val="18"/>
          <w:szCs w:val="18"/>
          <w:color w:val="auto"/>
        </w:rPr>
        <w:t>Mr. Quick was promoted to Chief Technology Officer effective April 1, 2019.</w:t>
      </w:r>
    </w:p>
    <w:p>
      <w:pPr>
        <w:spacing w:after="0" w:line="319" w:lineRule="exact"/>
        <w:rPr>
          <w:sz w:val="20"/>
          <w:szCs w:val="20"/>
          <w:color w:val="auto"/>
        </w:rPr>
      </w:pPr>
    </w:p>
    <w:p>
      <w:pPr>
        <w:ind w:left="200"/>
        <w:spacing w:after="0"/>
        <w:rPr>
          <w:sz w:val="20"/>
          <w:szCs w:val="20"/>
          <w:color w:val="auto"/>
        </w:rPr>
      </w:pPr>
      <w:r>
        <w:rPr>
          <w:rFonts w:ascii="Arial" w:cs="Arial" w:eastAsia="Arial" w:hAnsi="Arial"/>
          <w:sz w:val="18"/>
          <w:szCs w:val="18"/>
          <w:u w:val="single" w:color="auto"/>
          <w:color w:val="auto"/>
        </w:rPr>
        <w:t>Table 2: Remuneration for the year ended June 30, 2019</w:t>
      </w:r>
    </w:p>
    <w:p>
      <w:pPr>
        <w:spacing w:after="0" w:line="231" w:lineRule="exact"/>
        <w:rPr>
          <w:sz w:val="20"/>
          <w:szCs w:val="20"/>
          <w:color w:val="auto"/>
        </w:rPr>
      </w:pPr>
    </w:p>
    <w:tbl>
      <w:tblPr>
        <w:tblLayout w:type="fixed"/>
        <w:tblInd w:w="20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9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520" w:type="dxa"/>
            <w:vAlign w:val="bottom"/>
            <w:gridSpan w:val="5"/>
          </w:tcPr>
          <w:p>
            <w:pPr>
              <w:jc w:val="center"/>
              <w:ind w:right="220"/>
              <w:spacing w:after="0"/>
              <w:rPr>
                <w:sz w:val="20"/>
                <w:szCs w:val="20"/>
                <w:color w:val="auto"/>
              </w:rPr>
            </w:pPr>
            <w:r>
              <w:rPr>
                <w:rFonts w:ascii="Arial" w:cs="Arial" w:eastAsia="Arial" w:hAnsi="Arial"/>
                <w:sz w:val="14"/>
                <w:szCs w:val="14"/>
                <w:b w:val="1"/>
                <w:bCs w:val="1"/>
                <w:color w:val="auto"/>
                <w:w w:val="92"/>
              </w:rPr>
              <w:t>Proportion of</w:t>
            </w:r>
          </w:p>
        </w:tc>
        <w:tc>
          <w:tcPr>
            <w:tcW w:w="1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9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520" w:type="dxa"/>
            <w:vAlign w:val="bottom"/>
            <w:gridSpan w:val="5"/>
          </w:tcPr>
          <w:p>
            <w:pPr>
              <w:jc w:val="center"/>
              <w:ind w:right="220"/>
              <w:spacing w:after="0" w:line="149" w:lineRule="exact"/>
              <w:rPr>
                <w:sz w:val="20"/>
                <w:szCs w:val="20"/>
                <w:color w:val="auto"/>
              </w:rPr>
            </w:pPr>
            <w:r>
              <w:rPr>
                <w:rFonts w:ascii="Arial" w:cs="Arial" w:eastAsia="Arial" w:hAnsi="Arial"/>
                <w:sz w:val="14"/>
                <w:szCs w:val="14"/>
                <w:b w:val="1"/>
                <w:bCs w:val="1"/>
                <w:color w:val="auto"/>
                <w:w w:val="92"/>
              </w:rPr>
              <w:t>Element of</w:t>
            </w:r>
          </w:p>
        </w:tc>
        <w:tc>
          <w:tcPr>
            <w:tcW w:w="10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9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520" w:type="dxa"/>
            <w:vAlign w:val="bottom"/>
            <w:gridSpan w:val="5"/>
          </w:tcPr>
          <w:p>
            <w:pPr>
              <w:jc w:val="center"/>
              <w:ind w:right="220"/>
              <w:spacing w:after="0" w:line="149" w:lineRule="exact"/>
              <w:rPr>
                <w:sz w:val="20"/>
                <w:szCs w:val="20"/>
                <w:color w:val="auto"/>
              </w:rPr>
            </w:pPr>
            <w:r>
              <w:rPr>
                <w:rFonts w:ascii="Arial" w:cs="Arial" w:eastAsia="Arial" w:hAnsi="Arial"/>
                <w:sz w:val="14"/>
                <w:szCs w:val="14"/>
                <w:b w:val="1"/>
                <w:bCs w:val="1"/>
                <w:color w:val="auto"/>
                <w:w w:val="95"/>
              </w:rPr>
              <w:t>Remuneration</w:t>
            </w:r>
          </w:p>
        </w:tc>
        <w:tc>
          <w:tcPr>
            <w:tcW w:w="100" w:type="dxa"/>
            <w:vAlign w:val="bottom"/>
          </w:tcPr>
          <w:p>
            <w:pPr>
              <w:spacing w:after="0"/>
              <w:rPr>
                <w:sz w:val="12"/>
                <w:szCs w:val="12"/>
                <w:color w:val="auto"/>
              </w:rPr>
            </w:pPr>
          </w:p>
        </w:tc>
        <w:tc>
          <w:tcPr>
            <w:tcW w:w="1140" w:type="dxa"/>
            <w:vAlign w:val="bottom"/>
            <w:gridSpan w:val="2"/>
            <w:vMerge w:val="restart"/>
          </w:tcPr>
          <w:p>
            <w:pPr>
              <w:jc w:val="center"/>
              <w:ind w:right="180"/>
              <w:spacing w:after="0"/>
              <w:rPr>
                <w:sz w:val="20"/>
                <w:szCs w:val="20"/>
                <w:color w:val="auto"/>
              </w:rPr>
            </w:pPr>
            <w:r>
              <w:rPr>
                <w:rFonts w:ascii="Arial" w:cs="Arial" w:eastAsia="Arial" w:hAnsi="Arial"/>
                <w:sz w:val="14"/>
                <w:szCs w:val="14"/>
                <w:b w:val="1"/>
                <w:bCs w:val="1"/>
                <w:color w:val="auto"/>
                <w:w w:val="94"/>
              </w:rPr>
              <w:t>Proportion of</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9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520" w:type="dxa"/>
            <w:vAlign w:val="bottom"/>
            <w:gridSpan w:val="5"/>
          </w:tcPr>
          <w:p>
            <w:pPr>
              <w:jc w:val="center"/>
              <w:ind w:right="220"/>
              <w:spacing w:after="0" w:line="149" w:lineRule="exact"/>
              <w:rPr>
                <w:sz w:val="20"/>
                <w:szCs w:val="20"/>
                <w:color w:val="auto"/>
              </w:rPr>
            </w:pPr>
            <w:r>
              <w:rPr>
                <w:rFonts w:ascii="Arial" w:cs="Arial" w:eastAsia="Arial" w:hAnsi="Arial"/>
                <w:sz w:val="14"/>
                <w:szCs w:val="14"/>
                <w:b w:val="1"/>
                <w:bCs w:val="1"/>
                <w:color w:val="auto"/>
                <w:w w:val="91"/>
              </w:rPr>
              <w:t>Related to</w:t>
            </w:r>
          </w:p>
        </w:tc>
        <w:tc>
          <w:tcPr>
            <w:tcW w:w="100" w:type="dxa"/>
            <w:vAlign w:val="bottom"/>
          </w:tcPr>
          <w:p>
            <w:pPr>
              <w:spacing w:after="0"/>
              <w:rPr>
                <w:sz w:val="12"/>
                <w:szCs w:val="12"/>
                <w:color w:val="auto"/>
              </w:rPr>
            </w:pPr>
          </w:p>
        </w:tc>
        <w:tc>
          <w:tcPr>
            <w:tcW w:w="114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9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0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1"/>
              </w:rPr>
              <w:t>Post-</w:t>
            </w:r>
          </w:p>
        </w:tc>
        <w:tc>
          <w:tcPr>
            <w:tcW w:w="180" w:type="dxa"/>
            <w:vAlign w:val="bottom"/>
          </w:tcPr>
          <w:p>
            <w:pPr>
              <w:spacing w:after="0"/>
              <w:rPr>
                <w:sz w:val="12"/>
                <w:szCs w:val="12"/>
                <w:color w:val="auto"/>
              </w:rPr>
            </w:pPr>
          </w:p>
        </w:tc>
        <w:tc>
          <w:tcPr>
            <w:tcW w:w="1300" w:type="dxa"/>
            <w:vAlign w:val="bottom"/>
            <w:gridSpan w:val="3"/>
            <w:vMerge w:val="restart"/>
          </w:tcPr>
          <w:p>
            <w:pPr>
              <w:jc w:val="center"/>
              <w:spacing w:after="0"/>
              <w:rPr>
                <w:sz w:val="20"/>
                <w:szCs w:val="20"/>
                <w:color w:val="auto"/>
              </w:rPr>
            </w:pPr>
            <w:r>
              <w:rPr>
                <w:rFonts w:ascii="Arial" w:cs="Arial" w:eastAsia="Arial" w:hAnsi="Arial"/>
                <w:sz w:val="14"/>
                <w:szCs w:val="14"/>
                <w:b w:val="1"/>
                <w:bCs w:val="1"/>
                <w:color w:val="auto"/>
                <w:w w:val="92"/>
              </w:rPr>
              <w:t>Equity-settled</w:t>
            </w:r>
          </w:p>
        </w:tc>
        <w:tc>
          <w:tcPr>
            <w:tcW w:w="1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520" w:type="dxa"/>
            <w:vAlign w:val="bottom"/>
            <w:gridSpan w:val="5"/>
          </w:tcPr>
          <w:p>
            <w:pPr>
              <w:jc w:val="center"/>
              <w:ind w:right="200"/>
              <w:spacing w:after="0" w:line="149" w:lineRule="exact"/>
              <w:rPr>
                <w:sz w:val="20"/>
                <w:szCs w:val="20"/>
                <w:color w:val="auto"/>
              </w:rPr>
            </w:pPr>
            <w:r>
              <w:rPr>
                <w:rFonts w:ascii="Arial" w:cs="Arial" w:eastAsia="Arial" w:hAnsi="Arial"/>
                <w:sz w:val="14"/>
                <w:szCs w:val="14"/>
                <w:b w:val="1"/>
                <w:bCs w:val="1"/>
                <w:color w:val="auto"/>
                <w:w w:val="93"/>
              </w:rPr>
              <w:t>Performance</w:t>
            </w:r>
          </w:p>
        </w:tc>
        <w:tc>
          <w:tcPr>
            <w:tcW w:w="100" w:type="dxa"/>
            <w:vAlign w:val="bottom"/>
          </w:tcPr>
          <w:p>
            <w:pPr>
              <w:spacing w:after="0"/>
              <w:rPr>
                <w:sz w:val="12"/>
                <w:szCs w:val="12"/>
                <w:color w:val="auto"/>
              </w:rPr>
            </w:pPr>
          </w:p>
        </w:tc>
        <w:tc>
          <w:tcPr>
            <w:tcW w:w="114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90"/>
              </w:rPr>
              <w:t>Elements of</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9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00" w:type="dxa"/>
            <w:vAlign w:val="bottom"/>
            <w:vMerge w:val="continue"/>
          </w:tcPr>
          <w:p>
            <w:pPr>
              <w:spacing w:after="0"/>
              <w:rPr>
                <w:sz w:val="12"/>
                <w:szCs w:val="12"/>
                <w:color w:val="auto"/>
              </w:rPr>
            </w:pPr>
          </w:p>
        </w:tc>
        <w:tc>
          <w:tcPr>
            <w:tcW w:w="180" w:type="dxa"/>
            <w:vAlign w:val="bottom"/>
          </w:tcPr>
          <w:p>
            <w:pPr>
              <w:spacing w:after="0"/>
              <w:rPr>
                <w:sz w:val="12"/>
                <w:szCs w:val="12"/>
                <w:color w:val="auto"/>
              </w:rPr>
            </w:pPr>
          </w:p>
        </w:tc>
        <w:tc>
          <w:tcPr>
            <w:tcW w:w="1300" w:type="dxa"/>
            <w:vAlign w:val="bottom"/>
            <w:gridSpan w:val="3"/>
            <w:vMerge w:val="continue"/>
          </w:tcPr>
          <w:p>
            <w:pPr>
              <w:spacing w:after="0"/>
              <w:rPr>
                <w:sz w:val="12"/>
                <w:szCs w:val="12"/>
                <w:color w:val="auto"/>
              </w:rPr>
            </w:pPr>
          </w:p>
        </w:tc>
        <w:tc>
          <w:tcPr>
            <w:tcW w:w="1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520" w:type="dxa"/>
            <w:vAlign w:val="bottom"/>
            <w:gridSpan w:val="5"/>
          </w:tcPr>
          <w:p>
            <w:pPr>
              <w:jc w:val="center"/>
              <w:ind w:right="220"/>
              <w:spacing w:after="0" w:line="149" w:lineRule="exact"/>
              <w:rPr>
                <w:sz w:val="20"/>
                <w:szCs w:val="20"/>
                <w:color w:val="auto"/>
              </w:rPr>
            </w:pPr>
            <w:r>
              <w:rPr>
                <w:rFonts w:ascii="Arial" w:cs="Arial" w:eastAsia="Arial" w:hAnsi="Arial"/>
                <w:sz w:val="14"/>
                <w:szCs w:val="14"/>
                <w:b w:val="1"/>
                <w:bCs w:val="1"/>
                <w:color w:val="auto"/>
                <w:w w:val="98"/>
              </w:rPr>
              <w:t>(Other than</w:t>
            </w:r>
          </w:p>
        </w:tc>
        <w:tc>
          <w:tcPr>
            <w:tcW w:w="100" w:type="dxa"/>
            <w:vAlign w:val="bottom"/>
          </w:tcPr>
          <w:p>
            <w:pPr>
              <w:spacing w:after="0"/>
              <w:rPr>
                <w:sz w:val="12"/>
                <w:szCs w:val="12"/>
                <w:color w:val="auto"/>
              </w:rPr>
            </w:pPr>
          </w:p>
        </w:tc>
        <w:tc>
          <w:tcPr>
            <w:tcW w:w="114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93"/>
              </w:rPr>
              <w:t>Remuneration</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900" w:type="dxa"/>
            <w:vAlign w:val="bottom"/>
          </w:tcPr>
          <w:p>
            <w:pPr>
              <w:spacing w:after="0"/>
              <w:rPr>
                <w:sz w:val="12"/>
                <w:szCs w:val="12"/>
                <w:color w:val="auto"/>
              </w:rPr>
            </w:pPr>
          </w:p>
        </w:tc>
        <w:tc>
          <w:tcPr>
            <w:tcW w:w="2140" w:type="dxa"/>
            <w:vAlign w:val="bottom"/>
            <w:gridSpan w:val="5"/>
            <w:vMerge w:val="restart"/>
          </w:tcPr>
          <w:p>
            <w:pPr>
              <w:jc w:val="right"/>
              <w:ind w:right="388"/>
              <w:spacing w:after="0"/>
              <w:rPr>
                <w:sz w:val="20"/>
                <w:szCs w:val="20"/>
                <w:color w:val="auto"/>
              </w:rPr>
            </w:pPr>
            <w:r>
              <w:rPr>
                <w:rFonts w:ascii="Arial" w:cs="Arial" w:eastAsia="Arial" w:hAnsi="Arial"/>
                <w:sz w:val="14"/>
                <w:szCs w:val="14"/>
                <w:b w:val="1"/>
                <w:bCs w:val="1"/>
                <w:color w:val="auto"/>
              </w:rPr>
              <w:t>Short-term Benefits</w:t>
            </w:r>
          </w:p>
        </w:tc>
        <w:tc>
          <w:tcPr>
            <w:tcW w:w="1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2"/>
              </w:rPr>
              <w:t>employment</w:t>
            </w:r>
          </w:p>
        </w:tc>
        <w:tc>
          <w:tcPr>
            <w:tcW w:w="180" w:type="dxa"/>
            <w:vAlign w:val="bottom"/>
          </w:tcPr>
          <w:p>
            <w:pPr>
              <w:spacing w:after="0"/>
              <w:rPr>
                <w:sz w:val="12"/>
                <w:szCs w:val="12"/>
                <w:color w:val="auto"/>
              </w:rPr>
            </w:pPr>
          </w:p>
        </w:tc>
        <w:tc>
          <w:tcPr>
            <w:tcW w:w="1300" w:type="dxa"/>
            <w:vAlign w:val="bottom"/>
            <w:gridSpan w:val="3"/>
          </w:tcPr>
          <w:p>
            <w:pPr>
              <w:jc w:val="center"/>
              <w:spacing w:after="0" w:line="149" w:lineRule="exact"/>
              <w:rPr>
                <w:sz w:val="20"/>
                <w:szCs w:val="20"/>
                <w:color w:val="auto"/>
              </w:rPr>
            </w:pPr>
            <w:r>
              <w:rPr>
                <w:rFonts w:ascii="Arial" w:cs="Arial" w:eastAsia="Arial" w:hAnsi="Arial"/>
                <w:sz w:val="14"/>
                <w:szCs w:val="14"/>
                <w:b w:val="1"/>
                <w:bCs w:val="1"/>
                <w:color w:val="auto"/>
                <w:w w:val="90"/>
              </w:rPr>
              <w:t>Share-based</w:t>
            </w:r>
          </w:p>
        </w:tc>
        <w:tc>
          <w:tcPr>
            <w:tcW w:w="180" w:type="dxa"/>
            <w:vAlign w:val="bottom"/>
          </w:tcPr>
          <w:p>
            <w:pPr>
              <w:spacing w:after="0"/>
              <w:rPr>
                <w:sz w:val="12"/>
                <w:szCs w:val="12"/>
                <w:color w:val="auto"/>
              </w:rPr>
            </w:pPr>
          </w:p>
        </w:tc>
        <w:tc>
          <w:tcPr>
            <w:tcW w:w="620" w:type="dxa"/>
            <w:vAlign w:val="bottom"/>
            <w:vMerge w:val="restart"/>
          </w:tcPr>
          <w:p>
            <w:pPr>
              <w:jc w:val="right"/>
              <w:ind w:right="88"/>
              <w:spacing w:after="0"/>
              <w:rPr>
                <w:sz w:val="20"/>
                <w:szCs w:val="20"/>
                <w:color w:val="auto"/>
              </w:rPr>
            </w:pPr>
            <w:r>
              <w:rPr>
                <w:rFonts w:ascii="Arial" w:cs="Arial" w:eastAsia="Arial" w:hAnsi="Arial"/>
                <w:sz w:val="14"/>
                <w:szCs w:val="14"/>
                <w:b w:val="1"/>
                <w:bCs w:val="1"/>
                <w:color w:val="auto"/>
              </w:rPr>
              <w:t>Total</w:t>
            </w:r>
          </w:p>
        </w:tc>
        <w:tc>
          <w:tcPr>
            <w:tcW w:w="180" w:type="dxa"/>
            <w:vAlign w:val="bottom"/>
          </w:tcPr>
          <w:p>
            <w:pPr>
              <w:spacing w:after="0"/>
              <w:rPr>
                <w:sz w:val="12"/>
                <w:szCs w:val="12"/>
                <w:color w:val="auto"/>
              </w:rPr>
            </w:pPr>
          </w:p>
        </w:tc>
        <w:tc>
          <w:tcPr>
            <w:tcW w:w="1520" w:type="dxa"/>
            <w:vAlign w:val="bottom"/>
            <w:gridSpan w:val="5"/>
          </w:tcPr>
          <w:p>
            <w:pPr>
              <w:jc w:val="center"/>
              <w:ind w:right="220"/>
              <w:spacing w:after="0" w:line="149" w:lineRule="exact"/>
              <w:rPr>
                <w:sz w:val="20"/>
                <w:szCs w:val="20"/>
                <w:color w:val="auto"/>
              </w:rPr>
            </w:pPr>
            <w:r>
              <w:rPr>
                <w:rFonts w:ascii="Arial" w:cs="Arial" w:eastAsia="Arial" w:hAnsi="Arial"/>
                <w:sz w:val="14"/>
                <w:szCs w:val="14"/>
                <w:b w:val="1"/>
                <w:bCs w:val="1"/>
                <w:color w:val="auto"/>
                <w:w w:val="94"/>
              </w:rPr>
              <w:t>Options</w:t>
            </w:r>
          </w:p>
        </w:tc>
        <w:tc>
          <w:tcPr>
            <w:tcW w:w="100" w:type="dxa"/>
            <w:vAlign w:val="bottom"/>
          </w:tcPr>
          <w:p>
            <w:pPr>
              <w:spacing w:after="0"/>
              <w:rPr>
                <w:sz w:val="12"/>
                <w:szCs w:val="12"/>
                <w:color w:val="auto"/>
              </w:rPr>
            </w:pPr>
          </w:p>
        </w:tc>
        <w:tc>
          <w:tcPr>
            <w:tcW w:w="114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92"/>
              </w:rPr>
              <w:t>Not Related to</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1900" w:type="dxa"/>
            <w:vAlign w:val="bottom"/>
          </w:tcPr>
          <w:p>
            <w:pPr>
              <w:spacing w:after="0"/>
              <w:rPr>
                <w:sz w:val="14"/>
                <w:szCs w:val="14"/>
                <w:color w:val="auto"/>
              </w:rPr>
            </w:pPr>
          </w:p>
        </w:tc>
        <w:tc>
          <w:tcPr>
            <w:tcW w:w="2140" w:type="dxa"/>
            <w:vAlign w:val="bottom"/>
            <w:gridSpan w:val="5"/>
            <w:vMerge w:val="continue"/>
          </w:tcPr>
          <w:p>
            <w:pPr>
              <w:spacing w:after="0"/>
              <w:rPr>
                <w:sz w:val="14"/>
                <w:szCs w:val="14"/>
                <w:color w:val="auto"/>
              </w:rPr>
            </w:pPr>
          </w:p>
        </w:tc>
        <w:tc>
          <w:tcPr>
            <w:tcW w:w="1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00" w:type="dxa"/>
            <w:vAlign w:val="bottom"/>
          </w:tcPr>
          <w:p>
            <w:pPr>
              <w:jc w:val="center"/>
              <w:spacing w:after="0"/>
              <w:rPr>
                <w:sz w:val="20"/>
                <w:szCs w:val="20"/>
                <w:color w:val="auto"/>
              </w:rPr>
            </w:pPr>
            <w:r>
              <w:rPr>
                <w:rFonts w:ascii="Arial" w:cs="Arial" w:eastAsia="Arial" w:hAnsi="Arial"/>
                <w:sz w:val="14"/>
                <w:szCs w:val="14"/>
                <w:b w:val="1"/>
                <w:bCs w:val="1"/>
                <w:color w:val="auto"/>
                <w:w w:val="90"/>
              </w:rPr>
              <w:t>Benefits</w:t>
            </w:r>
          </w:p>
        </w:tc>
        <w:tc>
          <w:tcPr>
            <w:tcW w:w="180" w:type="dxa"/>
            <w:vAlign w:val="bottom"/>
          </w:tcPr>
          <w:p>
            <w:pPr>
              <w:spacing w:after="0"/>
              <w:rPr>
                <w:sz w:val="14"/>
                <w:szCs w:val="14"/>
                <w:color w:val="auto"/>
              </w:rPr>
            </w:pPr>
          </w:p>
        </w:tc>
        <w:tc>
          <w:tcPr>
            <w:tcW w:w="1300" w:type="dxa"/>
            <w:vAlign w:val="bottom"/>
            <w:gridSpan w:val="3"/>
          </w:tcPr>
          <w:p>
            <w:pPr>
              <w:jc w:val="center"/>
              <w:spacing w:after="0"/>
              <w:rPr>
                <w:sz w:val="20"/>
                <w:szCs w:val="20"/>
                <w:color w:val="auto"/>
              </w:rPr>
            </w:pPr>
            <w:r>
              <w:rPr>
                <w:rFonts w:ascii="Arial" w:cs="Arial" w:eastAsia="Arial" w:hAnsi="Arial"/>
                <w:sz w:val="14"/>
                <w:szCs w:val="14"/>
                <w:b w:val="1"/>
                <w:bCs w:val="1"/>
                <w:color w:val="auto"/>
                <w:w w:val="90"/>
              </w:rPr>
              <w:t>Payments</w:t>
            </w:r>
          </w:p>
        </w:tc>
        <w:tc>
          <w:tcPr>
            <w:tcW w:w="180" w:type="dxa"/>
            <w:vAlign w:val="bottom"/>
          </w:tcPr>
          <w:p>
            <w:pPr>
              <w:spacing w:after="0"/>
              <w:rPr>
                <w:sz w:val="14"/>
                <w:szCs w:val="14"/>
                <w:color w:val="auto"/>
              </w:rPr>
            </w:pPr>
          </w:p>
        </w:tc>
        <w:tc>
          <w:tcPr>
            <w:tcW w:w="620" w:type="dxa"/>
            <w:vAlign w:val="bottom"/>
            <w:vMerge w:val="continue"/>
          </w:tcPr>
          <w:p>
            <w:pPr>
              <w:spacing w:after="0"/>
              <w:rPr>
                <w:sz w:val="14"/>
                <w:szCs w:val="14"/>
                <w:color w:val="auto"/>
              </w:rPr>
            </w:pPr>
          </w:p>
        </w:tc>
        <w:tc>
          <w:tcPr>
            <w:tcW w:w="180" w:type="dxa"/>
            <w:vAlign w:val="bottom"/>
          </w:tcPr>
          <w:p>
            <w:pPr>
              <w:spacing w:after="0"/>
              <w:rPr>
                <w:sz w:val="14"/>
                <w:szCs w:val="14"/>
                <w:color w:val="auto"/>
              </w:rPr>
            </w:pPr>
          </w:p>
        </w:tc>
        <w:tc>
          <w:tcPr>
            <w:tcW w:w="1520" w:type="dxa"/>
            <w:vAlign w:val="bottom"/>
            <w:gridSpan w:val="5"/>
          </w:tcPr>
          <w:p>
            <w:pPr>
              <w:jc w:val="center"/>
              <w:ind w:right="220"/>
              <w:spacing w:after="0"/>
              <w:rPr>
                <w:sz w:val="20"/>
                <w:szCs w:val="20"/>
                <w:color w:val="auto"/>
              </w:rPr>
            </w:pPr>
            <w:r>
              <w:rPr>
                <w:rFonts w:ascii="Arial" w:cs="Arial" w:eastAsia="Arial" w:hAnsi="Arial"/>
                <w:sz w:val="14"/>
                <w:szCs w:val="14"/>
                <w:b w:val="1"/>
                <w:bCs w:val="1"/>
                <w:color w:val="auto"/>
                <w:w w:val="93"/>
              </w:rPr>
              <w:t>Issued)(1)</w:t>
            </w:r>
          </w:p>
        </w:tc>
        <w:tc>
          <w:tcPr>
            <w:tcW w:w="1240" w:type="dxa"/>
            <w:vAlign w:val="bottom"/>
            <w:gridSpan w:val="3"/>
          </w:tcPr>
          <w:p>
            <w:pPr>
              <w:jc w:val="right"/>
              <w:ind w:right="180"/>
              <w:spacing w:after="0"/>
              <w:rPr>
                <w:sz w:val="20"/>
                <w:szCs w:val="20"/>
                <w:color w:val="auto"/>
              </w:rPr>
            </w:pPr>
            <w:r>
              <w:rPr>
                <w:rFonts w:ascii="Arial" w:cs="Arial" w:eastAsia="Arial" w:hAnsi="Arial"/>
                <w:sz w:val="14"/>
                <w:szCs w:val="14"/>
                <w:b w:val="1"/>
                <w:bCs w:val="1"/>
                <w:color w:val="auto"/>
              </w:rPr>
              <w:t>Performance(2)</w:t>
            </w:r>
          </w:p>
        </w:tc>
        <w:tc>
          <w:tcPr>
            <w:tcW w:w="0" w:type="dxa"/>
            <w:vAlign w:val="bottom"/>
          </w:tcPr>
          <w:p>
            <w:pPr>
              <w:spacing w:after="0"/>
              <w:rPr>
                <w:sz w:val="1"/>
                <w:szCs w:val="1"/>
                <w:color w:val="auto"/>
              </w:rPr>
            </w:pPr>
          </w:p>
        </w:tc>
      </w:tr>
      <w:tr>
        <w:trPr>
          <w:trHeight w:val="123"/>
        </w:trPr>
        <w:tc>
          <w:tcPr>
            <w:tcW w:w="20" w:type="dxa"/>
            <w:vAlign w:val="bottom"/>
          </w:tcPr>
          <w:p>
            <w:pPr>
              <w:spacing w:after="0"/>
              <w:rPr>
                <w:sz w:val="10"/>
                <w:szCs w:val="10"/>
                <w:color w:val="auto"/>
              </w:rPr>
            </w:pPr>
          </w:p>
        </w:tc>
        <w:tc>
          <w:tcPr>
            <w:tcW w:w="1900" w:type="dxa"/>
            <w:vAlign w:val="bottom"/>
          </w:tcPr>
          <w:p>
            <w:pPr>
              <w:spacing w:after="0"/>
              <w:rPr>
                <w:sz w:val="10"/>
                <w:szCs w:val="10"/>
                <w:color w:val="auto"/>
              </w:rPr>
            </w:pPr>
          </w:p>
        </w:tc>
        <w:tc>
          <w:tcPr>
            <w:tcW w:w="620" w:type="dxa"/>
            <w:vAlign w:val="bottom"/>
            <w:tcBorders>
              <w:top w:val="single" w:sz="8" w:color="auto"/>
            </w:tcBorders>
          </w:tcPr>
          <w:p>
            <w:pPr>
              <w:spacing w:after="0"/>
              <w:rPr>
                <w:sz w:val="10"/>
                <w:szCs w:val="10"/>
                <w:color w:val="auto"/>
              </w:rPr>
            </w:pPr>
          </w:p>
        </w:tc>
        <w:tc>
          <w:tcPr>
            <w:tcW w:w="180" w:type="dxa"/>
            <w:vAlign w:val="bottom"/>
            <w:tcBorders>
              <w:top w:val="single" w:sz="8" w:color="auto"/>
            </w:tcBorders>
          </w:tcPr>
          <w:p>
            <w:pPr>
              <w:spacing w:after="0"/>
              <w:rPr>
                <w:sz w:val="10"/>
                <w:szCs w:val="10"/>
                <w:color w:val="auto"/>
              </w:rPr>
            </w:pPr>
          </w:p>
        </w:tc>
        <w:tc>
          <w:tcPr>
            <w:tcW w:w="620" w:type="dxa"/>
            <w:vAlign w:val="bottom"/>
            <w:tcBorders>
              <w:top w:val="single" w:sz="8" w:color="auto"/>
            </w:tcBorders>
          </w:tcPr>
          <w:p>
            <w:pPr>
              <w:spacing w:after="0"/>
              <w:rPr>
                <w:sz w:val="10"/>
                <w:szCs w:val="10"/>
                <w:color w:val="auto"/>
              </w:rPr>
            </w:pPr>
          </w:p>
        </w:tc>
        <w:tc>
          <w:tcPr>
            <w:tcW w:w="160" w:type="dxa"/>
            <w:vAlign w:val="bottom"/>
            <w:tcBorders>
              <w:top w:val="single" w:sz="8" w:color="auto"/>
            </w:tcBorders>
          </w:tcPr>
          <w:p>
            <w:pPr>
              <w:spacing w:after="0"/>
              <w:rPr>
                <w:sz w:val="10"/>
                <w:szCs w:val="10"/>
                <w:color w:val="auto"/>
              </w:rPr>
            </w:pPr>
          </w:p>
        </w:tc>
        <w:tc>
          <w:tcPr>
            <w:tcW w:w="560" w:type="dxa"/>
            <w:vAlign w:val="bottom"/>
            <w:tcBorders>
              <w:top w:val="single" w:sz="8" w:color="auto"/>
            </w:tcBorders>
          </w:tcPr>
          <w:p>
            <w:pPr>
              <w:spacing w:after="0"/>
              <w:rPr>
                <w:sz w:val="10"/>
                <w:szCs w:val="10"/>
                <w:color w:val="auto"/>
              </w:rPr>
            </w:pPr>
          </w:p>
        </w:tc>
        <w:tc>
          <w:tcPr>
            <w:tcW w:w="18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900" w:type="dxa"/>
            <w:vAlign w:val="bottom"/>
            <w:tcBorders>
              <w:top w:val="single" w:sz="8" w:color="auto"/>
            </w:tcBorders>
          </w:tcPr>
          <w:p>
            <w:pPr>
              <w:spacing w:after="0"/>
              <w:rPr>
                <w:sz w:val="10"/>
                <w:szCs w:val="10"/>
                <w:color w:val="auto"/>
              </w:rPr>
            </w:pPr>
          </w:p>
        </w:tc>
        <w:tc>
          <w:tcPr>
            <w:tcW w:w="180" w:type="dxa"/>
            <w:vAlign w:val="bottom"/>
          </w:tcPr>
          <w:p>
            <w:pPr>
              <w:spacing w:after="0"/>
              <w:rPr>
                <w:sz w:val="10"/>
                <w:szCs w:val="10"/>
                <w:color w:val="auto"/>
              </w:rPr>
            </w:pPr>
          </w:p>
        </w:tc>
        <w:tc>
          <w:tcPr>
            <w:tcW w:w="500" w:type="dxa"/>
            <w:vAlign w:val="bottom"/>
            <w:tcBorders>
              <w:top w:val="single" w:sz="8" w:color="auto"/>
            </w:tcBorders>
          </w:tcPr>
          <w:p>
            <w:pPr>
              <w:spacing w:after="0"/>
              <w:rPr>
                <w:sz w:val="10"/>
                <w:szCs w:val="10"/>
                <w:color w:val="auto"/>
              </w:rPr>
            </w:pPr>
          </w:p>
        </w:tc>
        <w:tc>
          <w:tcPr>
            <w:tcW w:w="180" w:type="dxa"/>
            <w:vAlign w:val="bottom"/>
            <w:tcBorders>
              <w:top w:val="single" w:sz="8" w:color="auto"/>
            </w:tcBorders>
          </w:tcPr>
          <w:p>
            <w:pPr>
              <w:spacing w:after="0"/>
              <w:rPr>
                <w:sz w:val="10"/>
                <w:szCs w:val="10"/>
                <w:color w:val="auto"/>
              </w:rPr>
            </w:pPr>
          </w:p>
        </w:tc>
        <w:tc>
          <w:tcPr>
            <w:tcW w:w="620" w:type="dxa"/>
            <w:vAlign w:val="bottom"/>
            <w:tcBorders>
              <w:top w:val="single" w:sz="8" w:color="auto"/>
            </w:tcBorders>
          </w:tcPr>
          <w:p>
            <w:pPr>
              <w:spacing w:after="0"/>
              <w:rPr>
                <w:sz w:val="10"/>
                <w:szCs w:val="10"/>
                <w:color w:val="auto"/>
              </w:rPr>
            </w:pPr>
          </w:p>
        </w:tc>
        <w:tc>
          <w:tcPr>
            <w:tcW w:w="180" w:type="dxa"/>
            <w:vAlign w:val="bottom"/>
          </w:tcPr>
          <w:p>
            <w:pPr>
              <w:spacing w:after="0"/>
              <w:rPr>
                <w:sz w:val="10"/>
                <w:szCs w:val="10"/>
                <w:color w:val="auto"/>
              </w:rPr>
            </w:pPr>
          </w:p>
        </w:tc>
        <w:tc>
          <w:tcPr>
            <w:tcW w:w="620" w:type="dxa"/>
            <w:vAlign w:val="bottom"/>
            <w:tcBorders>
              <w:top w:val="single" w:sz="8" w:color="auto"/>
            </w:tcBorders>
          </w:tcPr>
          <w:p>
            <w:pPr>
              <w:spacing w:after="0"/>
              <w:rPr>
                <w:sz w:val="10"/>
                <w:szCs w:val="10"/>
                <w:color w:val="auto"/>
              </w:rPr>
            </w:pPr>
          </w:p>
        </w:tc>
        <w:tc>
          <w:tcPr>
            <w:tcW w:w="180" w:type="dxa"/>
            <w:vAlign w:val="bottom"/>
          </w:tcPr>
          <w:p>
            <w:pPr>
              <w:spacing w:after="0"/>
              <w:rPr>
                <w:sz w:val="10"/>
                <w:szCs w:val="10"/>
                <w:color w:val="auto"/>
              </w:rPr>
            </w:pPr>
          </w:p>
        </w:tc>
        <w:tc>
          <w:tcPr>
            <w:tcW w:w="800" w:type="dxa"/>
            <w:vAlign w:val="bottom"/>
            <w:tcBorders>
              <w:top w:val="single" w:sz="8" w:color="auto"/>
            </w:tcBorders>
            <w:gridSpan w:val="2"/>
          </w:tcPr>
          <w:p>
            <w:pPr>
              <w:jc w:val="center"/>
              <w:ind w:right="220"/>
              <w:spacing w:after="0" w:line="123" w:lineRule="exact"/>
              <w:rPr>
                <w:sz w:val="20"/>
                <w:szCs w:val="20"/>
                <w:color w:val="auto"/>
              </w:rPr>
            </w:pPr>
            <w:r>
              <w:rPr>
                <w:rFonts w:ascii="Arial" w:cs="Arial" w:eastAsia="Arial" w:hAnsi="Arial"/>
                <w:sz w:val="14"/>
                <w:szCs w:val="14"/>
                <w:color w:val="auto"/>
                <w:w w:val="98"/>
              </w:rPr>
              <w:t>Non-</w:t>
            </w:r>
          </w:p>
        </w:tc>
        <w:tc>
          <w:tcPr>
            <w:tcW w:w="80" w:type="dxa"/>
            <w:vAlign w:val="bottom"/>
            <w:tcBorders>
              <w:top w:val="single" w:sz="8" w:color="auto"/>
            </w:tcBorders>
          </w:tcPr>
          <w:p>
            <w:pPr>
              <w:spacing w:after="0"/>
              <w:rPr>
                <w:sz w:val="10"/>
                <w:szCs w:val="10"/>
                <w:color w:val="auto"/>
              </w:rPr>
            </w:pPr>
          </w:p>
        </w:tc>
        <w:tc>
          <w:tcPr>
            <w:tcW w:w="440" w:type="dxa"/>
            <w:vAlign w:val="bottom"/>
            <w:tcBorders>
              <w:top w:val="single" w:sz="8" w:color="auto"/>
            </w:tcBorders>
          </w:tcPr>
          <w:p>
            <w:pPr>
              <w:spacing w:after="0"/>
              <w:rPr>
                <w:sz w:val="10"/>
                <w:szCs w:val="10"/>
                <w:color w:val="auto"/>
              </w:rPr>
            </w:pPr>
          </w:p>
        </w:tc>
        <w:tc>
          <w:tcPr>
            <w:tcW w:w="2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60" w:type="dxa"/>
            <w:vAlign w:val="bottom"/>
            <w:tcBorders>
              <w:top w:val="single" w:sz="8" w:color="auto"/>
            </w:tcBorders>
          </w:tcPr>
          <w:p>
            <w:pPr>
              <w:spacing w:after="0"/>
              <w:rPr>
                <w:sz w:val="10"/>
                <w:szCs w:val="10"/>
                <w:color w:val="auto"/>
              </w:rPr>
            </w:pPr>
          </w:p>
        </w:tc>
        <w:tc>
          <w:tcPr>
            <w:tcW w:w="1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9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0" w:type="dxa"/>
            <w:vAlign w:val="bottom"/>
            <w:gridSpan w:val="2"/>
          </w:tcPr>
          <w:p>
            <w:pPr>
              <w:jc w:val="center"/>
              <w:ind w:right="220"/>
              <w:spacing w:after="0" w:line="149" w:lineRule="exact"/>
              <w:rPr>
                <w:sz w:val="20"/>
                <w:szCs w:val="20"/>
                <w:color w:val="auto"/>
              </w:rPr>
            </w:pPr>
            <w:r>
              <w:rPr>
                <w:rFonts w:ascii="Arial" w:cs="Arial" w:eastAsia="Arial" w:hAnsi="Arial"/>
                <w:sz w:val="14"/>
                <w:szCs w:val="14"/>
                <w:color w:val="auto"/>
                <w:w w:val="90"/>
              </w:rPr>
              <w:t>salary</w:t>
            </w:r>
          </w:p>
        </w:tc>
        <w:tc>
          <w:tcPr>
            <w:tcW w:w="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900" w:type="dxa"/>
            <w:vAlign w:val="bottom"/>
          </w:tcPr>
          <w:p>
            <w:pPr>
              <w:spacing w:after="0"/>
              <w:rPr>
                <w:sz w:val="12"/>
                <w:szCs w:val="12"/>
                <w:color w:val="auto"/>
              </w:rPr>
            </w:pPr>
          </w:p>
        </w:tc>
        <w:tc>
          <w:tcPr>
            <w:tcW w:w="620" w:type="dxa"/>
            <w:vAlign w:val="bottom"/>
          </w:tcPr>
          <w:p>
            <w:pPr>
              <w:jc w:val="center"/>
              <w:spacing w:after="0" w:line="149" w:lineRule="exact"/>
              <w:rPr>
                <w:sz w:val="20"/>
                <w:szCs w:val="20"/>
                <w:color w:val="auto"/>
              </w:rPr>
            </w:pPr>
            <w:r>
              <w:rPr>
                <w:rFonts w:ascii="Arial" w:cs="Arial" w:eastAsia="Arial" w:hAnsi="Arial"/>
                <w:sz w:val="14"/>
                <w:szCs w:val="14"/>
                <w:color w:val="auto"/>
                <w:w w:val="91"/>
              </w:rPr>
              <w:t>Salary,</w:t>
            </w:r>
          </w:p>
        </w:tc>
        <w:tc>
          <w:tcPr>
            <w:tcW w:w="180" w:type="dxa"/>
            <w:vAlign w:val="bottom"/>
          </w:tcPr>
          <w:p>
            <w:pPr>
              <w:spacing w:after="0"/>
              <w:rPr>
                <w:sz w:val="12"/>
                <w:szCs w:val="12"/>
                <w:color w:val="auto"/>
              </w:rPr>
            </w:pPr>
          </w:p>
        </w:tc>
        <w:tc>
          <w:tcPr>
            <w:tcW w:w="620" w:type="dxa"/>
            <w:vAlign w:val="bottom"/>
          </w:tcPr>
          <w:p>
            <w:pPr>
              <w:jc w:val="center"/>
              <w:spacing w:after="0" w:line="149" w:lineRule="exact"/>
              <w:rPr>
                <w:sz w:val="20"/>
                <w:szCs w:val="20"/>
                <w:color w:val="auto"/>
              </w:rPr>
            </w:pPr>
            <w:r>
              <w:rPr>
                <w:rFonts w:ascii="Arial" w:cs="Arial" w:eastAsia="Arial" w:hAnsi="Arial"/>
                <w:sz w:val="14"/>
                <w:szCs w:val="14"/>
                <w:color w:val="auto"/>
                <w:w w:val="97"/>
              </w:rPr>
              <w:t>Profit</w:t>
            </w:r>
          </w:p>
        </w:tc>
        <w:tc>
          <w:tcPr>
            <w:tcW w:w="160" w:type="dxa"/>
            <w:vAlign w:val="bottom"/>
          </w:tcPr>
          <w:p>
            <w:pPr>
              <w:spacing w:after="0"/>
              <w:rPr>
                <w:sz w:val="12"/>
                <w:szCs w:val="12"/>
                <w:color w:val="auto"/>
              </w:rPr>
            </w:pPr>
          </w:p>
        </w:tc>
        <w:tc>
          <w:tcPr>
            <w:tcW w:w="560" w:type="dxa"/>
            <w:vAlign w:val="bottom"/>
          </w:tcPr>
          <w:p>
            <w:pPr>
              <w:jc w:val="center"/>
              <w:spacing w:after="0" w:line="149" w:lineRule="exact"/>
              <w:rPr>
                <w:sz w:val="20"/>
                <w:szCs w:val="20"/>
                <w:color w:val="auto"/>
              </w:rPr>
            </w:pPr>
            <w:r>
              <w:rPr>
                <w:rFonts w:ascii="Arial" w:cs="Arial" w:eastAsia="Arial" w:hAnsi="Arial"/>
                <w:sz w:val="14"/>
                <w:szCs w:val="14"/>
                <w:color w:val="auto"/>
                <w:w w:val="92"/>
              </w:rPr>
              <w:t>Non-</w:t>
            </w:r>
          </w:p>
        </w:tc>
        <w:tc>
          <w:tcPr>
            <w:tcW w:w="1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0" w:type="dxa"/>
            <w:vAlign w:val="bottom"/>
            <w:gridSpan w:val="2"/>
          </w:tcPr>
          <w:p>
            <w:pPr>
              <w:jc w:val="center"/>
              <w:ind w:right="220"/>
              <w:spacing w:after="0" w:line="149" w:lineRule="exact"/>
              <w:rPr>
                <w:sz w:val="20"/>
                <w:szCs w:val="20"/>
                <w:color w:val="auto"/>
              </w:rPr>
            </w:pPr>
            <w:r>
              <w:rPr>
                <w:rFonts w:ascii="Arial" w:cs="Arial" w:eastAsia="Arial" w:hAnsi="Arial"/>
                <w:sz w:val="14"/>
                <w:szCs w:val="14"/>
                <w:color w:val="auto"/>
                <w:w w:val="90"/>
              </w:rPr>
              <w:t>Cash-</w:t>
            </w:r>
          </w:p>
        </w:tc>
        <w:tc>
          <w:tcPr>
            <w:tcW w:w="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900" w:type="dxa"/>
            <w:vAlign w:val="bottom"/>
          </w:tcPr>
          <w:p>
            <w:pPr>
              <w:spacing w:after="0"/>
              <w:rPr>
                <w:sz w:val="12"/>
                <w:szCs w:val="12"/>
                <w:color w:val="auto"/>
              </w:rPr>
            </w:pPr>
          </w:p>
        </w:tc>
        <w:tc>
          <w:tcPr>
            <w:tcW w:w="620" w:type="dxa"/>
            <w:vAlign w:val="bottom"/>
          </w:tcPr>
          <w:p>
            <w:pPr>
              <w:jc w:val="center"/>
              <w:spacing w:after="0" w:line="149" w:lineRule="exact"/>
              <w:rPr>
                <w:sz w:val="20"/>
                <w:szCs w:val="20"/>
                <w:color w:val="auto"/>
              </w:rPr>
            </w:pPr>
            <w:r>
              <w:rPr>
                <w:rFonts w:ascii="Arial" w:cs="Arial" w:eastAsia="Arial" w:hAnsi="Arial"/>
                <w:sz w:val="14"/>
                <w:szCs w:val="14"/>
                <w:color w:val="auto"/>
                <w:w w:val="89"/>
              </w:rPr>
              <w:t>fees and</w:t>
            </w:r>
          </w:p>
        </w:tc>
        <w:tc>
          <w:tcPr>
            <w:tcW w:w="180" w:type="dxa"/>
            <w:vAlign w:val="bottom"/>
          </w:tcPr>
          <w:p>
            <w:pPr>
              <w:spacing w:after="0"/>
              <w:rPr>
                <w:sz w:val="12"/>
                <w:szCs w:val="12"/>
                <w:color w:val="auto"/>
              </w:rPr>
            </w:pPr>
          </w:p>
        </w:tc>
        <w:tc>
          <w:tcPr>
            <w:tcW w:w="620" w:type="dxa"/>
            <w:vAlign w:val="bottom"/>
          </w:tcPr>
          <w:p>
            <w:pPr>
              <w:jc w:val="center"/>
              <w:spacing w:after="0" w:line="149" w:lineRule="exact"/>
              <w:rPr>
                <w:sz w:val="20"/>
                <w:szCs w:val="20"/>
                <w:color w:val="auto"/>
              </w:rPr>
            </w:pPr>
            <w:r>
              <w:rPr>
                <w:rFonts w:ascii="Arial" w:cs="Arial" w:eastAsia="Arial" w:hAnsi="Arial"/>
                <w:sz w:val="14"/>
                <w:szCs w:val="14"/>
                <w:color w:val="auto"/>
                <w:w w:val="86"/>
              </w:rPr>
              <w:t>share and</w:t>
            </w:r>
          </w:p>
        </w:tc>
        <w:tc>
          <w:tcPr>
            <w:tcW w:w="720" w:type="dxa"/>
            <w:vAlign w:val="bottom"/>
            <w:gridSpan w:val="2"/>
          </w:tcPr>
          <w:p>
            <w:pPr>
              <w:jc w:val="center"/>
              <w:ind w:left="88"/>
              <w:spacing w:after="0" w:line="149" w:lineRule="exact"/>
              <w:rPr>
                <w:sz w:val="20"/>
                <w:szCs w:val="20"/>
                <w:color w:val="auto"/>
              </w:rPr>
            </w:pPr>
            <w:r>
              <w:rPr>
                <w:rFonts w:ascii="Arial" w:cs="Arial" w:eastAsia="Arial" w:hAnsi="Arial"/>
                <w:sz w:val="14"/>
                <w:szCs w:val="14"/>
                <w:color w:val="auto"/>
                <w:w w:val="95"/>
              </w:rPr>
              <w:t>monetary</w:t>
            </w:r>
          </w:p>
        </w:tc>
        <w:tc>
          <w:tcPr>
            <w:tcW w:w="180" w:type="dxa"/>
            <w:vAlign w:val="bottom"/>
          </w:tcPr>
          <w:p>
            <w:pPr>
              <w:spacing w:after="0"/>
              <w:rPr>
                <w:sz w:val="12"/>
                <w:szCs w:val="12"/>
                <w:color w:val="auto"/>
              </w:rPr>
            </w:pPr>
          </w:p>
        </w:tc>
        <w:tc>
          <w:tcPr>
            <w:tcW w:w="520" w:type="dxa"/>
            <w:vAlign w:val="bottom"/>
          </w:tcPr>
          <w:p>
            <w:pPr>
              <w:ind w:left="80"/>
              <w:spacing w:after="0" w:line="149" w:lineRule="exact"/>
              <w:rPr>
                <w:sz w:val="20"/>
                <w:szCs w:val="20"/>
                <w:color w:val="auto"/>
              </w:rPr>
            </w:pPr>
            <w:r>
              <w:rPr>
                <w:rFonts w:ascii="Arial" w:cs="Arial" w:eastAsia="Arial" w:hAnsi="Arial"/>
                <w:sz w:val="14"/>
                <w:szCs w:val="14"/>
                <w:color w:val="auto"/>
              </w:rPr>
              <w:t>Other</w:t>
            </w:r>
          </w:p>
        </w:tc>
        <w:tc>
          <w:tcPr>
            <w:tcW w:w="160" w:type="dxa"/>
            <w:vAlign w:val="bottom"/>
          </w:tcPr>
          <w:p>
            <w:pPr>
              <w:spacing w:after="0"/>
              <w:rPr>
                <w:sz w:val="12"/>
                <w:szCs w:val="12"/>
                <w:color w:val="auto"/>
              </w:rPr>
            </w:pPr>
          </w:p>
        </w:tc>
        <w:tc>
          <w:tcPr>
            <w:tcW w:w="900" w:type="dxa"/>
            <w:vAlign w:val="bottom"/>
          </w:tcPr>
          <w:p>
            <w:pPr>
              <w:jc w:val="center"/>
              <w:spacing w:after="0" w:line="149" w:lineRule="exact"/>
              <w:rPr>
                <w:sz w:val="20"/>
                <w:szCs w:val="20"/>
                <w:color w:val="auto"/>
              </w:rPr>
            </w:pPr>
            <w:r>
              <w:rPr>
                <w:rFonts w:ascii="Arial" w:cs="Arial" w:eastAsia="Arial" w:hAnsi="Arial"/>
                <w:sz w:val="14"/>
                <w:szCs w:val="14"/>
                <w:color w:val="auto"/>
                <w:w w:val="89"/>
              </w:rPr>
              <w:t>Pension and</w:t>
            </w:r>
          </w:p>
        </w:tc>
        <w:tc>
          <w:tcPr>
            <w:tcW w:w="180" w:type="dxa"/>
            <w:vAlign w:val="bottom"/>
          </w:tcPr>
          <w:p>
            <w:pPr>
              <w:spacing w:after="0"/>
              <w:rPr>
                <w:sz w:val="12"/>
                <w:szCs w:val="12"/>
                <w:color w:val="auto"/>
              </w:rPr>
            </w:pPr>
          </w:p>
        </w:tc>
        <w:tc>
          <w:tcPr>
            <w:tcW w:w="500" w:type="dxa"/>
            <w:vAlign w:val="bottom"/>
          </w:tcPr>
          <w:p>
            <w:pPr>
              <w:jc w:val="center"/>
              <w:spacing w:after="0" w:line="149" w:lineRule="exact"/>
              <w:rPr>
                <w:sz w:val="20"/>
                <w:szCs w:val="20"/>
                <w:color w:val="auto"/>
              </w:rPr>
            </w:pPr>
            <w:r>
              <w:rPr>
                <w:rFonts w:ascii="Arial" w:cs="Arial" w:eastAsia="Arial" w:hAnsi="Arial"/>
                <w:sz w:val="14"/>
                <w:szCs w:val="14"/>
                <w:color w:val="auto"/>
                <w:w w:val="86"/>
              </w:rPr>
              <w:t>Shares/</w:t>
            </w:r>
          </w:p>
        </w:tc>
        <w:tc>
          <w:tcPr>
            <w:tcW w:w="180" w:type="dxa"/>
            <w:vAlign w:val="bottom"/>
          </w:tcPr>
          <w:p>
            <w:pPr>
              <w:spacing w:after="0"/>
              <w:rPr>
                <w:sz w:val="12"/>
                <w:szCs w:val="12"/>
                <w:color w:val="auto"/>
              </w:rPr>
            </w:pPr>
          </w:p>
        </w:tc>
        <w:tc>
          <w:tcPr>
            <w:tcW w:w="620" w:type="dxa"/>
            <w:vAlign w:val="bottom"/>
          </w:tcPr>
          <w:p>
            <w:pPr>
              <w:jc w:val="center"/>
              <w:spacing w:after="0" w:line="149" w:lineRule="exact"/>
              <w:rPr>
                <w:sz w:val="20"/>
                <w:szCs w:val="20"/>
                <w:color w:val="auto"/>
              </w:rPr>
            </w:pPr>
            <w:r>
              <w:rPr>
                <w:rFonts w:ascii="Arial" w:cs="Arial" w:eastAsia="Arial" w:hAnsi="Arial"/>
                <w:sz w:val="14"/>
                <w:szCs w:val="14"/>
                <w:color w:val="auto"/>
                <w:w w:val="95"/>
              </w:rPr>
              <w:t>Options/</w:t>
            </w:r>
          </w:p>
        </w:tc>
        <w:tc>
          <w:tcPr>
            <w:tcW w:w="1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0" w:type="dxa"/>
            <w:vAlign w:val="bottom"/>
            <w:gridSpan w:val="2"/>
          </w:tcPr>
          <w:p>
            <w:pPr>
              <w:jc w:val="center"/>
              <w:ind w:right="220"/>
              <w:spacing w:after="0" w:line="149" w:lineRule="exact"/>
              <w:rPr>
                <w:sz w:val="20"/>
                <w:szCs w:val="20"/>
                <w:color w:val="auto"/>
              </w:rPr>
            </w:pPr>
            <w:r>
              <w:rPr>
                <w:rFonts w:ascii="Arial" w:cs="Arial" w:eastAsia="Arial" w:hAnsi="Arial"/>
                <w:sz w:val="14"/>
                <w:szCs w:val="14"/>
                <w:color w:val="auto"/>
                <w:w w:val="89"/>
              </w:rPr>
              <w:t>based</w:t>
            </w:r>
          </w:p>
        </w:tc>
        <w:tc>
          <w:tcPr>
            <w:tcW w:w="720" w:type="dxa"/>
            <w:vAlign w:val="bottom"/>
            <w:gridSpan w:val="3"/>
          </w:tcPr>
          <w:p>
            <w:pPr>
              <w:jc w:val="center"/>
              <w:ind w:right="140"/>
              <w:spacing w:after="0" w:line="149" w:lineRule="exact"/>
              <w:rPr>
                <w:sz w:val="20"/>
                <w:szCs w:val="20"/>
                <w:color w:val="auto"/>
              </w:rPr>
            </w:pPr>
            <w:r>
              <w:rPr>
                <w:rFonts w:ascii="Arial" w:cs="Arial" w:eastAsia="Arial" w:hAnsi="Arial"/>
                <w:sz w:val="14"/>
                <w:szCs w:val="14"/>
                <w:color w:val="auto"/>
                <w:w w:val="86"/>
              </w:rPr>
              <w:t>Shares/</w:t>
            </w:r>
          </w:p>
        </w:tc>
        <w:tc>
          <w:tcPr>
            <w:tcW w:w="10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900" w:type="dxa"/>
            <w:vAlign w:val="bottom"/>
          </w:tcPr>
          <w:p>
            <w:pPr>
              <w:spacing w:after="0"/>
              <w:rPr>
                <w:sz w:val="12"/>
                <w:szCs w:val="12"/>
                <w:color w:val="auto"/>
              </w:rPr>
            </w:pPr>
          </w:p>
        </w:tc>
        <w:tc>
          <w:tcPr>
            <w:tcW w:w="620" w:type="dxa"/>
            <w:vAlign w:val="bottom"/>
          </w:tcPr>
          <w:p>
            <w:pPr>
              <w:jc w:val="center"/>
              <w:spacing w:after="0" w:line="149" w:lineRule="exact"/>
              <w:rPr>
                <w:sz w:val="20"/>
                <w:szCs w:val="20"/>
                <w:color w:val="auto"/>
              </w:rPr>
            </w:pPr>
            <w:r>
              <w:rPr>
                <w:rFonts w:ascii="Arial" w:cs="Arial" w:eastAsia="Arial" w:hAnsi="Arial"/>
                <w:sz w:val="14"/>
                <w:szCs w:val="14"/>
                <w:color w:val="auto"/>
                <w:w w:val="95"/>
              </w:rPr>
              <w:t>leave</w:t>
            </w:r>
          </w:p>
        </w:tc>
        <w:tc>
          <w:tcPr>
            <w:tcW w:w="180" w:type="dxa"/>
            <w:vAlign w:val="bottom"/>
          </w:tcPr>
          <w:p>
            <w:pPr>
              <w:spacing w:after="0"/>
              <w:rPr>
                <w:sz w:val="12"/>
                <w:szCs w:val="12"/>
                <w:color w:val="auto"/>
              </w:rPr>
            </w:pPr>
          </w:p>
        </w:tc>
        <w:tc>
          <w:tcPr>
            <w:tcW w:w="620" w:type="dxa"/>
            <w:vAlign w:val="bottom"/>
          </w:tcPr>
          <w:p>
            <w:pPr>
              <w:jc w:val="right"/>
              <w:ind w:right="28"/>
              <w:spacing w:after="0" w:line="149" w:lineRule="exact"/>
              <w:rPr>
                <w:sz w:val="20"/>
                <w:szCs w:val="20"/>
                <w:color w:val="auto"/>
              </w:rPr>
            </w:pPr>
            <w:r>
              <w:rPr>
                <w:rFonts w:ascii="Arial" w:cs="Arial" w:eastAsia="Arial" w:hAnsi="Arial"/>
                <w:sz w:val="14"/>
                <w:szCs w:val="14"/>
                <w:color w:val="auto"/>
                <w:w w:val="94"/>
              </w:rPr>
              <w:t>bonuses</w:t>
            </w:r>
          </w:p>
        </w:tc>
        <w:tc>
          <w:tcPr>
            <w:tcW w:w="160" w:type="dxa"/>
            <w:vAlign w:val="bottom"/>
          </w:tcPr>
          <w:p>
            <w:pPr>
              <w:spacing w:after="0"/>
              <w:rPr>
                <w:sz w:val="12"/>
                <w:szCs w:val="12"/>
                <w:color w:val="auto"/>
              </w:rPr>
            </w:pPr>
          </w:p>
        </w:tc>
        <w:tc>
          <w:tcPr>
            <w:tcW w:w="560" w:type="dxa"/>
            <w:vAlign w:val="bottom"/>
          </w:tcPr>
          <w:p>
            <w:pPr>
              <w:jc w:val="center"/>
              <w:spacing w:after="0" w:line="149" w:lineRule="exact"/>
              <w:rPr>
                <w:sz w:val="20"/>
                <w:szCs w:val="20"/>
                <w:color w:val="auto"/>
              </w:rPr>
            </w:pPr>
            <w:r>
              <w:rPr>
                <w:rFonts w:ascii="Arial" w:cs="Arial" w:eastAsia="Arial" w:hAnsi="Arial"/>
                <w:sz w:val="14"/>
                <w:szCs w:val="14"/>
                <w:color w:val="auto"/>
                <w:w w:val="89"/>
              </w:rPr>
              <w:t>benefits</w:t>
            </w:r>
          </w:p>
        </w:tc>
        <w:tc>
          <w:tcPr>
            <w:tcW w:w="180" w:type="dxa"/>
            <w:vAlign w:val="bottom"/>
          </w:tcPr>
          <w:p>
            <w:pPr>
              <w:spacing w:after="0"/>
              <w:rPr>
                <w:sz w:val="12"/>
                <w:szCs w:val="12"/>
                <w:color w:val="auto"/>
              </w:rPr>
            </w:pPr>
          </w:p>
        </w:tc>
        <w:tc>
          <w:tcPr>
            <w:tcW w:w="520" w:type="dxa"/>
            <w:vAlign w:val="bottom"/>
          </w:tcPr>
          <w:p>
            <w:pPr>
              <w:ind w:left="20"/>
              <w:spacing w:after="0" w:line="149" w:lineRule="exact"/>
              <w:rPr>
                <w:sz w:val="20"/>
                <w:szCs w:val="20"/>
                <w:color w:val="auto"/>
              </w:rPr>
            </w:pPr>
            <w:r>
              <w:rPr>
                <w:rFonts w:ascii="Arial" w:cs="Arial" w:eastAsia="Arial" w:hAnsi="Arial"/>
                <w:sz w:val="14"/>
                <w:szCs w:val="14"/>
                <w:color w:val="auto"/>
                <w:w w:val="97"/>
              </w:rPr>
              <w:t>benefits</w:t>
            </w:r>
          </w:p>
        </w:tc>
        <w:tc>
          <w:tcPr>
            <w:tcW w:w="1060" w:type="dxa"/>
            <w:vAlign w:val="bottom"/>
            <w:gridSpan w:val="2"/>
          </w:tcPr>
          <w:p>
            <w:pPr>
              <w:jc w:val="center"/>
              <w:ind w:left="68"/>
              <w:spacing w:after="0" w:line="149" w:lineRule="exact"/>
              <w:rPr>
                <w:sz w:val="20"/>
                <w:szCs w:val="20"/>
                <w:color w:val="auto"/>
              </w:rPr>
            </w:pPr>
            <w:r>
              <w:rPr>
                <w:rFonts w:ascii="Arial" w:cs="Arial" w:eastAsia="Arial" w:hAnsi="Arial"/>
                <w:sz w:val="14"/>
                <w:szCs w:val="14"/>
                <w:color w:val="auto"/>
                <w:w w:val="91"/>
              </w:rPr>
              <w:t>superannuation</w:t>
            </w:r>
          </w:p>
        </w:tc>
        <w:tc>
          <w:tcPr>
            <w:tcW w:w="180" w:type="dxa"/>
            <w:vAlign w:val="bottom"/>
          </w:tcPr>
          <w:p>
            <w:pPr>
              <w:spacing w:after="0"/>
              <w:rPr>
                <w:sz w:val="12"/>
                <w:szCs w:val="12"/>
                <w:color w:val="auto"/>
              </w:rPr>
            </w:pPr>
          </w:p>
        </w:tc>
        <w:tc>
          <w:tcPr>
            <w:tcW w:w="500" w:type="dxa"/>
            <w:vAlign w:val="bottom"/>
          </w:tcPr>
          <w:p>
            <w:pPr>
              <w:jc w:val="center"/>
              <w:spacing w:after="0" w:line="149" w:lineRule="exact"/>
              <w:rPr>
                <w:sz w:val="20"/>
                <w:szCs w:val="20"/>
                <w:color w:val="auto"/>
              </w:rPr>
            </w:pPr>
            <w:r>
              <w:rPr>
                <w:rFonts w:ascii="Arial" w:cs="Arial" w:eastAsia="Arial" w:hAnsi="Arial"/>
                <w:sz w:val="14"/>
                <w:szCs w:val="14"/>
                <w:color w:val="auto"/>
              </w:rPr>
              <w:t>Units</w:t>
            </w:r>
          </w:p>
        </w:tc>
        <w:tc>
          <w:tcPr>
            <w:tcW w:w="180" w:type="dxa"/>
            <w:vAlign w:val="bottom"/>
          </w:tcPr>
          <w:p>
            <w:pPr>
              <w:spacing w:after="0"/>
              <w:rPr>
                <w:sz w:val="12"/>
                <w:szCs w:val="12"/>
                <w:color w:val="auto"/>
              </w:rPr>
            </w:pPr>
          </w:p>
        </w:tc>
        <w:tc>
          <w:tcPr>
            <w:tcW w:w="620" w:type="dxa"/>
            <w:vAlign w:val="bottom"/>
          </w:tcPr>
          <w:p>
            <w:pPr>
              <w:jc w:val="center"/>
              <w:spacing w:after="0" w:line="149" w:lineRule="exact"/>
              <w:rPr>
                <w:sz w:val="20"/>
                <w:szCs w:val="20"/>
                <w:color w:val="auto"/>
              </w:rPr>
            </w:pPr>
            <w:r>
              <w:rPr>
                <w:rFonts w:ascii="Arial" w:cs="Arial" w:eastAsia="Arial" w:hAnsi="Arial"/>
                <w:sz w:val="14"/>
                <w:szCs w:val="14"/>
                <w:color w:val="auto"/>
                <w:w w:val="95"/>
              </w:rPr>
              <w:t>Rights</w:t>
            </w:r>
          </w:p>
        </w:tc>
        <w:tc>
          <w:tcPr>
            <w:tcW w:w="1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980" w:type="dxa"/>
            <w:vAlign w:val="bottom"/>
            <w:gridSpan w:val="3"/>
          </w:tcPr>
          <w:p>
            <w:pPr>
              <w:jc w:val="center"/>
              <w:ind w:right="40"/>
              <w:spacing w:after="0" w:line="149" w:lineRule="exact"/>
              <w:rPr>
                <w:sz w:val="20"/>
                <w:szCs w:val="20"/>
                <w:color w:val="auto"/>
              </w:rPr>
            </w:pPr>
            <w:r>
              <w:rPr>
                <w:rFonts w:ascii="Arial" w:cs="Arial" w:eastAsia="Arial" w:hAnsi="Arial"/>
                <w:sz w:val="14"/>
                <w:szCs w:val="14"/>
                <w:color w:val="auto"/>
                <w:w w:val="91"/>
              </w:rPr>
              <w:t>Incentives</w:t>
            </w:r>
          </w:p>
        </w:tc>
        <w:tc>
          <w:tcPr>
            <w:tcW w:w="80" w:type="dxa"/>
            <w:vAlign w:val="bottom"/>
          </w:tcPr>
          <w:p>
            <w:pPr>
              <w:spacing w:after="0"/>
              <w:rPr>
                <w:sz w:val="12"/>
                <w:szCs w:val="12"/>
                <w:color w:val="auto"/>
              </w:rPr>
            </w:pPr>
          </w:p>
        </w:tc>
        <w:tc>
          <w:tcPr>
            <w:tcW w:w="640" w:type="dxa"/>
            <w:vAlign w:val="bottom"/>
            <w:gridSpan w:val="2"/>
          </w:tcPr>
          <w:p>
            <w:pPr>
              <w:jc w:val="center"/>
              <w:ind w:right="200"/>
              <w:spacing w:after="0" w:line="149" w:lineRule="exact"/>
              <w:rPr>
                <w:sz w:val="20"/>
                <w:szCs w:val="20"/>
                <w:color w:val="auto"/>
              </w:rPr>
            </w:pPr>
            <w:r>
              <w:rPr>
                <w:rFonts w:ascii="Arial" w:cs="Arial" w:eastAsia="Arial" w:hAnsi="Arial"/>
                <w:sz w:val="14"/>
                <w:szCs w:val="14"/>
                <w:color w:val="auto"/>
              </w:rPr>
              <w:t>Units</w:t>
            </w:r>
          </w:p>
        </w:tc>
        <w:tc>
          <w:tcPr>
            <w:tcW w:w="10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1900" w:type="dxa"/>
            <w:vAlign w:val="bottom"/>
          </w:tcPr>
          <w:p>
            <w:pPr>
              <w:spacing w:after="0"/>
              <w:rPr>
                <w:sz w:val="14"/>
                <w:szCs w:val="14"/>
                <w:color w:val="auto"/>
              </w:rPr>
            </w:pPr>
          </w:p>
        </w:tc>
        <w:tc>
          <w:tcPr>
            <w:tcW w:w="620" w:type="dxa"/>
            <w:vAlign w:val="bottom"/>
          </w:tcPr>
          <w:p>
            <w:pPr>
              <w:jc w:val="center"/>
              <w:spacing w:after="0"/>
              <w:rPr>
                <w:sz w:val="20"/>
                <w:szCs w:val="20"/>
                <w:color w:val="auto"/>
              </w:rPr>
            </w:pPr>
            <w:r>
              <w:rPr>
                <w:rFonts w:ascii="Arial" w:cs="Arial" w:eastAsia="Arial" w:hAnsi="Arial"/>
                <w:sz w:val="14"/>
                <w:szCs w:val="14"/>
                <w:color w:val="auto"/>
                <w:w w:val="93"/>
              </w:rPr>
              <w:t>A$</w:t>
            </w:r>
          </w:p>
        </w:tc>
        <w:tc>
          <w:tcPr>
            <w:tcW w:w="180" w:type="dxa"/>
            <w:vAlign w:val="bottom"/>
          </w:tcPr>
          <w:p>
            <w:pPr>
              <w:spacing w:after="0"/>
              <w:rPr>
                <w:sz w:val="14"/>
                <w:szCs w:val="14"/>
                <w:color w:val="auto"/>
              </w:rPr>
            </w:pPr>
          </w:p>
        </w:tc>
        <w:tc>
          <w:tcPr>
            <w:tcW w:w="620" w:type="dxa"/>
            <w:vAlign w:val="bottom"/>
          </w:tcPr>
          <w:p>
            <w:pPr>
              <w:jc w:val="center"/>
              <w:spacing w:after="0"/>
              <w:rPr>
                <w:sz w:val="20"/>
                <w:szCs w:val="20"/>
                <w:color w:val="auto"/>
              </w:rPr>
            </w:pPr>
            <w:r>
              <w:rPr>
                <w:rFonts w:ascii="Arial" w:cs="Arial" w:eastAsia="Arial" w:hAnsi="Arial"/>
                <w:sz w:val="14"/>
                <w:szCs w:val="14"/>
                <w:color w:val="auto"/>
              </w:rPr>
              <w:t>A$</w:t>
            </w:r>
          </w:p>
        </w:tc>
        <w:tc>
          <w:tcPr>
            <w:tcW w:w="160" w:type="dxa"/>
            <w:vAlign w:val="bottom"/>
          </w:tcPr>
          <w:p>
            <w:pPr>
              <w:spacing w:after="0"/>
              <w:rPr>
                <w:sz w:val="14"/>
                <w:szCs w:val="14"/>
                <w:color w:val="auto"/>
              </w:rPr>
            </w:pPr>
          </w:p>
        </w:tc>
        <w:tc>
          <w:tcPr>
            <w:tcW w:w="560" w:type="dxa"/>
            <w:vAlign w:val="bottom"/>
          </w:tcPr>
          <w:p>
            <w:pPr>
              <w:jc w:val="center"/>
              <w:spacing w:after="0"/>
              <w:rPr>
                <w:sz w:val="20"/>
                <w:szCs w:val="20"/>
                <w:color w:val="auto"/>
              </w:rPr>
            </w:pPr>
            <w:r>
              <w:rPr>
                <w:rFonts w:ascii="Arial" w:cs="Arial" w:eastAsia="Arial" w:hAnsi="Arial"/>
                <w:sz w:val="14"/>
                <w:szCs w:val="14"/>
                <w:color w:val="auto"/>
                <w:w w:val="93"/>
              </w:rPr>
              <w:t>A$</w:t>
            </w:r>
          </w:p>
        </w:tc>
        <w:tc>
          <w:tcPr>
            <w:tcW w:w="180" w:type="dxa"/>
            <w:vAlign w:val="bottom"/>
          </w:tcPr>
          <w:p>
            <w:pPr>
              <w:spacing w:after="0"/>
              <w:rPr>
                <w:sz w:val="14"/>
                <w:szCs w:val="14"/>
                <w:color w:val="auto"/>
              </w:rPr>
            </w:pPr>
          </w:p>
        </w:tc>
        <w:tc>
          <w:tcPr>
            <w:tcW w:w="520" w:type="dxa"/>
            <w:vAlign w:val="bottom"/>
          </w:tcPr>
          <w:p>
            <w:pPr>
              <w:ind w:left="160"/>
              <w:spacing w:after="0"/>
              <w:rPr>
                <w:sz w:val="20"/>
                <w:szCs w:val="20"/>
                <w:color w:val="auto"/>
              </w:rPr>
            </w:pPr>
            <w:r>
              <w:rPr>
                <w:rFonts w:ascii="Arial" w:cs="Arial" w:eastAsia="Arial" w:hAnsi="Arial"/>
                <w:sz w:val="14"/>
                <w:szCs w:val="14"/>
                <w:color w:val="auto"/>
              </w:rPr>
              <w:t>A$</w:t>
            </w:r>
          </w:p>
        </w:tc>
        <w:tc>
          <w:tcPr>
            <w:tcW w:w="160" w:type="dxa"/>
            <w:vAlign w:val="bottom"/>
          </w:tcPr>
          <w:p>
            <w:pPr>
              <w:spacing w:after="0"/>
              <w:rPr>
                <w:sz w:val="14"/>
                <w:szCs w:val="14"/>
                <w:color w:val="auto"/>
              </w:rPr>
            </w:pPr>
          </w:p>
        </w:tc>
        <w:tc>
          <w:tcPr>
            <w:tcW w:w="900" w:type="dxa"/>
            <w:vAlign w:val="bottom"/>
          </w:tcPr>
          <w:p>
            <w:pPr>
              <w:jc w:val="center"/>
              <w:spacing w:after="0"/>
              <w:rPr>
                <w:sz w:val="20"/>
                <w:szCs w:val="20"/>
                <w:color w:val="auto"/>
              </w:rPr>
            </w:pPr>
            <w:r>
              <w:rPr>
                <w:rFonts w:ascii="Arial" w:cs="Arial" w:eastAsia="Arial" w:hAnsi="Arial"/>
                <w:sz w:val="14"/>
                <w:szCs w:val="14"/>
                <w:color w:val="auto"/>
              </w:rPr>
              <w:t>A$</w:t>
            </w:r>
          </w:p>
        </w:tc>
        <w:tc>
          <w:tcPr>
            <w:tcW w:w="180" w:type="dxa"/>
            <w:vAlign w:val="bottom"/>
          </w:tcPr>
          <w:p>
            <w:pPr>
              <w:spacing w:after="0"/>
              <w:rPr>
                <w:sz w:val="14"/>
                <w:szCs w:val="14"/>
                <w:color w:val="auto"/>
              </w:rPr>
            </w:pPr>
          </w:p>
        </w:tc>
        <w:tc>
          <w:tcPr>
            <w:tcW w:w="500" w:type="dxa"/>
            <w:vAlign w:val="bottom"/>
          </w:tcPr>
          <w:p>
            <w:pPr>
              <w:jc w:val="center"/>
              <w:spacing w:after="0"/>
              <w:rPr>
                <w:sz w:val="20"/>
                <w:szCs w:val="20"/>
                <w:color w:val="auto"/>
              </w:rPr>
            </w:pPr>
            <w:r>
              <w:rPr>
                <w:rFonts w:ascii="Arial" w:cs="Arial" w:eastAsia="Arial" w:hAnsi="Arial"/>
                <w:sz w:val="14"/>
                <w:szCs w:val="14"/>
                <w:color w:val="auto"/>
              </w:rPr>
              <w:t>A$</w:t>
            </w:r>
          </w:p>
        </w:tc>
        <w:tc>
          <w:tcPr>
            <w:tcW w:w="180" w:type="dxa"/>
            <w:vAlign w:val="bottom"/>
          </w:tcPr>
          <w:p>
            <w:pPr>
              <w:spacing w:after="0"/>
              <w:rPr>
                <w:sz w:val="14"/>
                <w:szCs w:val="14"/>
                <w:color w:val="auto"/>
              </w:rPr>
            </w:pPr>
          </w:p>
        </w:tc>
        <w:tc>
          <w:tcPr>
            <w:tcW w:w="620" w:type="dxa"/>
            <w:vAlign w:val="bottom"/>
          </w:tcPr>
          <w:p>
            <w:pPr>
              <w:jc w:val="center"/>
              <w:spacing w:after="0"/>
              <w:rPr>
                <w:sz w:val="20"/>
                <w:szCs w:val="20"/>
                <w:color w:val="auto"/>
              </w:rPr>
            </w:pPr>
            <w:r>
              <w:rPr>
                <w:rFonts w:ascii="Arial" w:cs="Arial" w:eastAsia="Arial" w:hAnsi="Arial"/>
                <w:sz w:val="14"/>
                <w:szCs w:val="14"/>
                <w:color w:val="auto"/>
              </w:rPr>
              <w:t>A$</w:t>
            </w:r>
          </w:p>
        </w:tc>
        <w:tc>
          <w:tcPr>
            <w:tcW w:w="180" w:type="dxa"/>
            <w:vAlign w:val="bottom"/>
          </w:tcPr>
          <w:p>
            <w:pPr>
              <w:spacing w:after="0"/>
              <w:rPr>
                <w:sz w:val="14"/>
                <w:szCs w:val="14"/>
                <w:color w:val="auto"/>
              </w:rPr>
            </w:pPr>
          </w:p>
        </w:tc>
        <w:tc>
          <w:tcPr>
            <w:tcW w:w="620" w:type="dxa"/>
            <w:vAlign w:val="bottom"/>
          </w:tcPr>
          <w:p>
            <w:pPr>
              <w:jc w:val="right"/>
              <w:ind w:right="148"/>
              <w:spacing w:after="0"/>
              <w:rPr>
                <w:sz w:val="20"/>
                <w:szCs w:val="20"/>
                <w:color w:val="auto"/>
              </w:rPr>
            </w:pPr>
            <w:r>
              <w:rPr>
                <w:rFonts w:ascii="Arial" w:cs="Arial" w:eastAsia="Arial" w:hAnsi="Arial"/>
                <w:sz w:val="14"/>
                <w:szCs w:val="14"/>
                <w:color w:val="auto"/>
              </w:rPr>
              <w:t>A$</w:t>
            </w:r>
          </w:p>
        </w:tc>
        <w:tc>
          <w:tcPr>
            <w:tcW w:w="780" w:type="dxa"/>
            <w:vAlign w:val="bottom"/>
            <w:gridSpan w:val="2"/>
          </w:tcPr>
          <w:p>
            <w:pPr>
              <w:jc w:val="center"/>
              <w:ind w:left="68"/>
              <w:spacing w:after="0"/>
              <w:rPr>
                <w:sz w:val="20"/>
                <w:szCs w:val="20"/>
                <w:color w:val="auto"/>
              </w:rPr>
            </w:pPr>
            <w:r>
              <w:rPr>
                <w:rFonts w:ascii="Arial" w:cs="Arial" w:eastAsia="Arial" w:hAnsi="Arial"/>
                <w:sz w:val="14"/>
                <w:szCs w:val="14"/>
                <w:color w:val="auto"/>
                <w:w w:val="96"/>
              </w:rPr>
              <w:t>%</w:t>
            </w:r>
          </w:p>
        </w:tc>
        <w:tc>
          <w:tcPr>
            <w:tcW w:w="200" w:type="dxa"/>
            <w:vAlign w:val="bottom"/>
          </w:tcPr>
          <w:p>
            <w:pPr>
              <w:spacing w:after="0"/>
              <w:rPr>
                <w:sz w:val="14"/>
                <w:szCs w:val="14"/>
                <w:color w:val="auto"/>
              </w:rPr>
            </w:pPr>
          </w:p>
        </w:tc>
        <w:tc>
          <w:tcPr>
            <w:tcW w:w="520" w:type="dxa"/>
            <w:vAlign w:val="bottom"/>
            <w:gridSpan w:val="2"/>
          </w:tcPr>
          <w:p>
            <w:pPr>
              <w:jc w:val="center"/>
              <w:ind w:left="8"/>
              <w:spacing w:after="0"/>
              <w:rPr>
                <w:sz w:val="20"/>
                <w:szCs w:val="20"/>
                <w:color w:val="auto"/>
              </w:rPr>
            </w:pPr>
            <w:r>
              <w:rPr>
                <w:rFonts w:ascii="Arial" w:cs="Arial" w:eastAsia="Arial" w:hAnsi="Arial"/>
                <w:sz w:val="14"/>
                <w:szCs w:val="14"/>
                <w:color w:val="auto"/>
                <w:w w:val="96"/>
              </w:rPr>
              <w:t>%</w:t>
            </w:r>
          </w:p>
        </w:tc>
        <w:tc>
          <w:tcPr>
            <w:tcW w:w="200" w:type="dxa"/>
            <w:vAlign w:val="bottom"/>
          </w:tcPr>
          <w:p>
            <w:pPr>
              <w:spacing w:after="0"/>
              <w:rPr>
                <w:sz w:val="14"/>
                <w:szCs w:val="14"/>
                <w:color w:val="auto"/>
              </w:rPr>
            </w:pPr>
          </w:p>
        </w:tc>
        <w:tc>
          <w:tcPr>
            <w:tcW w:w="1060" w:type="dxa"/>
            <w:vAlign w:val="bottom"/>
            <w:gridSpan w:val="2"/>
          </w:tcPr>
          <w:p>
            <w:pPr>
              <w:jc w:val="center"/>
              <w:ind w:left="28"/>
              <w:spacing w:after="0"/>
              <w:rPr>
                <w:sz w:val="20"/>
                <w:szCs w:val="20"/>
                <w:color w:val="auto"/>
              </w:rPr>
            </w:pPr>
            <w:r>
              <w:rPr>
                <w:rFonts w:ascii="Arial" w:cs="Arial" w:eastAsia="Arial" w:hAnsi="Arial"/>
                <w:sz w:val="14"/>
                <w:szCs w:val="14"/>
                <w:color w:val="auto"/>
                <w:w w:val="96"/>
              </w:rPr>
              <w:t>%</w:t>
            </w:r>
          </w:p>
        </w:tc>
        <w:tc>
          <w:tcPr>
            <w:tcW w:w="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1900" w:type="dxa"/>
            <w:vAlign w:val="bottom"/>
            <w:tcBorders>
              <w:top w:val="single" w:sz="8" w:color="CCEEFF"/>
            </w:tcBorders>
            <w:shd w:val="clear" w:color="auto" w:fill="CCEEFF"/>
          </w:tcPr>
          <w:p>
            <w:pPr>
              <w:spacing w:after="0" w:line="129" w:lineRule="exact"/>
              <w:rPr>
                <w:sz w:val="20"/>
                <w:szCs w:val="20"/>
                <w:color w:val="auto"/>
              </w:rPr>
            </w:pPr>
            <w:r>
              <w:rPr>
                <w:rFonts w:ascii="Arial" w:cs="Arial" w:eastAsia="Arial" w:hAnsi="Arial"/>
                <w:sz w:val="14"/>
                <w:szCs w:val="14"/>
                <w:b w:val="1"/>
                <w:bCs w:val="1"/>
                <w:color w:val="auto"/>
              </w:rPr>
              <w:t>Non-Executive Directors</w:t>
            </w:r>
          </w:p>
        </w:tc>
        <w:tc>
          <w:tcPr>
            <w:tcW w:w="620" w:type="dxa"/>
            <w:vAlign w:val="bottom"/>
            <w:tcBorders>
              <w:top w:val="single" w:sz="8" w:color="auto"/>
            </w:tcBorders>
            <w:shd w:val="clear" w:color="auto" w:fill="CCEEFF"/>
          </w:tcPr>
          <w:p>
            <w:pPr>
              <w:spacing w:after="0"/>
              <w:rPr>
                <w:sz w:val="11"/>
                <w:szCs w:val="11"/>
                <w:color w:val="auto"/>
              </w:rPr>
            </w:pPr>
          </w:p>
        </w:tc>
        <w:tc>
          <w:tcPr>
            <w:tcW w:w="180" w:type="dxa"/>
            <w:vAlign w:val="bottom"/>
            <w:tcBorders>
              <w:top w:val="single" w:sz="8" w:color="CCEEFF"/>
            </w:tcBorders>
            <w:shd w:val="clear" w:color="auto" w:fill="CCEEFF"/>
          </w:tcPr>
          <w:p>
            <w:pPr>
              <w:spacing w:after="0"/>
              <w:rPr>
                <w:sz w:val="11"/>
                <w:szCs w:val="11"/>
                <w:color w:val="auto"/>
              </w:rPr>
            </w:pPr>
          </w:p>
        </w:tc>
        <w:tc>
          <w:tcPr>
            <w:tcW w:w="620" w:type="dxa"/>
            <w:vAlign w:val="bottom"/>
            <w:tcBorders>
              <w:top w:val="single" w:sz="8" w:color="auto"/>
            </w:tcBorders>
            <w:shd w:val="clear" w:color="auto" w:fill="CCEEFF"/>
          </w:tcPr>
          <w:p>
            <w:pPr>
              <w:spacing w:after="0"/>
              <w:rPr>
                <w:sz w:val="11"/>
                <w:szCs w:val="11"/>
                <w:color w:val="auto"/>
              </w:rPr>
            </w:pPr>
          </w:p>
        </w:tc>
        <w:tc>
          <w:tcPr>
            <w:tcW w:w="160" w:type="dxa"/>
            <w:vAlign w:val="bottom"/>
            <w:tcBorders>
              <w:top w:val="single" w:sz="8" w:color="CCEEFF"/>
            </w:tcBorders>
            <w:shd w:val="clear" w:color="auto" w:fill="CCEEFF"/>
          </w:tcPr>
          <w:p>
            <w:pPr>
              <w:spacing w:after="0"/>
              <w:rPr>
                <w:sz w:val="11"/>
                <w:szCs w:val="11"/>
                <w:color w:val="auto"/>
              </w:rPr>
            </w:pPr>
          </w:p>
        </w:tc>
        <w:tc>
          <w:tcPr>
            <w:tcW w:w="560" w:type="dxa"/>
            <w:vAlign w:val="bottom"/>
            <w:tcBorders>
              <w:top w:val="single" w:sz="8" w:color="auto"/>
            </w:tcBorders>
            <w:shd w:val="clear" w:color="auto" w:fill="CCEEFF"/>
          </w:tcPr>
          <w:p>
            <w:pPr>
              <w:spacing w:after="0"/>
              <w:rPr>
                <w:sz w:val="11"/>
                <w:szCs w:val="11"/>
                <w:color w:val="auto"/>
              </w:rPr>
            </w:pPr>
          </w:p>
        </w:tc>
        <w:tc>
          <w:tcPr>
            <w:tcW w:w="180" w:type="dxa"/>
            <w:vAlign w:val="bottom"/>
            <w:tcBorders>
              <w:top w:val="single" w:sz="8" w:color="CCEEFF"/>
            </w:tcBorders>
            <w:shd w:val="clear" w:color="auto" w:fill="CCEEFF"/>
          </w:tcPr>
          <w:p>
            <w:pPr>
              <w:spacing w:after="0"/>
              <w:rPr>
                <w:sz w:val="11"/>
                <w:szCs w:val="11"/>
                <w:color w:val="auto"/>
              </w:rPr>
            </w:pPr>
          </w:p>
        </w:tc>
        <w:tc>
          <w:tcPr>
            <w:tcW w:w="520" w:type="dxa"/>
            <w:vAlign w:val="bottom"/>
            <w:tcBorders>
              <w:top w:val="single" w:sz="8" w:color="auto"/>
            </w:tcBorders>
            <w:shd w:val="clear" w:color="auto" w:fill="CCEEFF"/>
          </w:tcPr>
          <w:p>
            <w:pPr>
              <w:spacing w:after="0"/>
              <w:rPr>
                <w:sz w:val="11"/>
                <w:szCs w:val="11"/>
                <w:color w:val="auto"/>
              </w:rPr>
            </w:pPr>
          </w:p>
        </w:tc>
        <w:tc>
          <w:tcPr>
            <w:tcW w:w="160" w:type="dxa"/>
            <w:vAlign w:val="bottom"/>
            <w:tcBorders>
              <w:top w:val="single" w:sz="8" w:color="CCEEFF"/>
            </w:tcBorders>
            <w:shd w:val="clear" w:color="auto" w:fill="CCEEFF"/>
          </w:tcPr>
          <w:p>
            <w:pPr>
              <w:spacing w:after="0"/>
              <w:rPr>
                <w:sz w:val="11"/>
                <w:szCs w:val="11"/>
                <w:color w:val="auto"/>
              </w:rPr>
            </w:pPr>
          </w:p>
        </w:tc>
        <w:tc>
          <w:tcPr>
            <w:tcW w:w="900" w:type="dxa"/>
            <w:vAlign w:val="bottom"/>
            <w:tcBorders>
              <w:top w:val="single" w:sz="8" w:color="auto"/>
            </w:tcBorders>
            <w:shd w:val="clear" w:color="auto" w:fill="CCEEFF"/>
          </w:tcPr>
          <w:p>
            <w:pPr>
              <w:spacing w:after="0"/>
              <w:rPr>
                <w:sz w:val="11"/>
                <w:szCs w:val="11"/>
                <w:color w:val="auto"/>
              </w:rPr>
            </w:pPr>
          </w:p>
        </w:tc>
        <w:tc>
          <w:tcPr>
            <w:tcW w:w="180" w:type="dxa"/>
            <w:vAlign w:val="bottom"/>
            <w:tcBorders>
              <w:top w:val="single" w:sz="8" w:color="CCEEFF"/>
            </w:tcBorders>
            <w:shd w:val="clear" w:color="auto" w:fill="CCEEFF"/>
          </w:tcPr>
          <w:p>
            <w:pPr>
              <w:spacing w:after="0"/>
              <w:rPr>
                <w:sz w:val="11"/>
                <w:szCs w:val="11"/>
                <w:color w:val="auto"/>
              </w:rPr>
            </w:pPr>
          </w:p>
        </w:tc>
        <w:tc>
          <w:tcPr>
            <w:tcW w:w="500" w:type="dxa"/>
            <w:vAlign w:val="bottom"/>
            <w:tcBorders>
              <w:top w:val="single" w:sz="8" w:color="auto"/>
            </w:tcBorders>
            <w:shd w:val="clear" w:color="auto" w:fill="CCEEFF"/>
          </w:tcPr>
          <w:p>
            <w:pPr>
              <w:spacing w:after="0"/>
              <w:rPr>
                <w:sz w:val="11"/>
                <w:szCs w:val="11"/>
                <w:color w:val="auto"/>
              </w:rPr>
            </w:pPr>
          </w:p>
        </w:tc>
        <w:tc>
          <w:tcPr>
            <w:tcW w:w="180" w:type="dxa"/>
            <w:vAlign w:val="bottom"/>
            <w:tcBorders>
              <w:top w:val="single" w:sz="8" w:color="CCEEFF"/>
            </w:tcBorders>
            <w:shd w:val="clear" w:color="auto" w:fill="CCEEFF"/>
          </w:tcPr>
          <w:p>
            <w:pPr>
              <w:spacing w:after="0"/>
              <w:rPr>
                <w:sz w:val="11"/>
                <w:szCs w:val="11"/>
                <w:color w:val="auto"/>
              </w:rPr>
            </w:pPr>
          </w:p>
        </w:tc>
        <w:tc>
          <w:tcPr>
            <w:tcW w:w="620" w:type="dxa"/>
            <w:vAlign w:val="bottom"/>
            <w:tcBorders>
              <w:top w:val="single" w:sz="8" w:color="auto"/>
            </w:tcBorders>
            <w:shd w:val="clear" w:color="auto" w:fill="CCEEFF"/>
          </w:tcPr>
          <w:p>
            <w:pPr>
              <w:spacing w:after="0"/>
              <w:rPr>
                <w:sz w:val="11"/>
                <w:szCs w:val="11"/>
                <w:color w:val="auto"/>
              </w:rPr>
            </w:pPr>
          </w:p>
        </w:tc>
        <w:tc>
          <w:tcPr>
            <w:tcW w:w="180" w:type="dxa"/>
            <w:vAlign w:val="bottom"/>
            <w:tcBorders>
              <w:top w:val="single" w:sz="8" w:color="CCEEFF"/>
            </w:tcBorders>
            <w:shd w:val="clear" w:color="auto" w:fill="CCEEFF"/>
          </w:tcPr>
          <w:p>
            <w:pPr>
              <w:spacing w:after="0"/>
              <w:rPr>
                <w:sz w:val="11"/>
                <w:szCs w:val="11"/>
                <w:color w:val="auto"/>
              </w:rPr>
            </w:pPr>
          </w:p>
        </w:tc>
        <w:tc>
          <w:tcPr>
            <w:tcW w:w="620" w:type="dxa"/>
            <w:vAlign w:val="bottom"/>
            <w:tcBorders>
              <w:top w:val="single" w:sz="8" w:color="auto"/>
            </w:tcBorders>
            <w:shd w:val="clear" w:color="auto" w:fill="CCEEFF"/>
          </w:tcPr>
          <w:p>
            <w:pPr>
              <w:spacing w:after="0"/>
              <w:rPr>
                <w:sz w:val="11"/>
                <w:szCs w:val="11"/>
                <w:color w:val="auto"/>
              </w:rPr>
            </w:pPr>
          </w:p>
        </w:tc>
        <w:tc>
          <w:tcPr>
            <w:tcW w:w="180" w:type="dxa"/>
            <w:vAlign w:val="bottom"/>
            <w:tcBorders>
              <w:top w:val="single" w:sz="8" w:color="CCEEFF"/>
            </w:tcBorders>
            <w:shd w:val="clear" w:color="auto" w:fill="CCEEFF"/>
          </w:tcPr>
          <w:p>
            <w:pPr>
              <w:spacing w:after="0"/>
              <w:rPr>
                <w:sz w:val="11"/>
                <w:szCs w:val="11"/>
                <w:color w:val="auto"/>
              </w:rPr>
            </w:pPr>
          </w:p>
        </w:tc>
        <w:tc>
          <w:tcPr>
            <w:tcW w:w="600" w:type="dxa"/>
            <w:vAlign w:val="bottom"/>
            <w:tcBorders>
              <w:top w:val="single" w:sz="8" w:color="auto"/>
            </w:tcBorders>
            <w:shd w:val="clear" w:color="auto" w:fill="CCEEFF"/>
          </w:tcPr>
          <w:p>
            <w:pPr>
              <w:spacing w:after="0"/>
              <w:rPr>
                <w:sz w:val="11"/>
                <w:szCs w:val="11"/>
                <w:color w:val="auto"/>
              </w:rPr>
            </w:pPr>
          </w:p>
        </w:tc>
        <w:tc>
          <w:tcPr>
            <w:tcW w:w="20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CCEEFF"/>
            </w:tcBorders>
            <w:shd w:val="clear" w:color="auto" w:fill="CCEEFF"/>
          </w:tcPr>
          <w:p>
            <w:pPr>
              <w:spacing w:after="0"/>
              <w:rPr>
                <w:sz w:val="11"/>
                <w:szCs w:val="11"/>
                <w:color w:val="auto"/>
              </w:rPr>
            </w:pPr>
          </w:p>
        </w:tc>
        <w:tc>
          <w:tcPr>
            <w:tcW w:w="440" w:type="dxa"/>
            <w:vAlign w:val="bottom"/>
            <w:tcBorders>
              <w:top w:val="single" w:sz="8" w:color="auto"/>
            </w:tcBorders>
            <w:shd w:val="clear" w:color="auto" w:fill="CCEEFF"/>
          </w:tcPr>
          <w:p>
            <w:pPr>
              <w:spacing w:after="0"/>
              <w:rPr>
                <w:sz w:val="11"/>
                <w:szCs w:val="11"/>
                <w:color w:val="auto"/>
              </w:rPr>
            </w:pPr>
          </w:p>
        </w:tc>
        <w:tc>
          <w:tcPr>
            <w:tcW w:w="200" w:type="dxa"/>
            <w:vAlign w:val="bottom"/>
            <w:tcBorders>
              <w:top w:val="single" w:sz="8" w:color="CCEEFF"/>
            </w:tcBorders>
            <w:shd w:val="clear" w:color="auto" w:fill="CCEEFF"/>
          </w:tcPr>
          <w:p>
            <w:pPr>
              <w:spacing w:after="0"/>
              <w:rPr>
                <w:sz w:val="11"/>
                <w:szCs w:val="11"/>
                <w:color w:val="auto"/>
              </w:rPr>
            </w:pPr>
          </w:p>
        </w:tc>
        <w:tc>
          <w:tcPr>
            <w:tcW w:w="100" w:type="dxa"/>
            <w:vAlign w:val="bottom"/>
            <w:tcBorders>
              <w:top w:val="single" w:sz="8" w:color="CCEEFF"/>
            </w:tcBorders>
            <w:shd w:val="clear" w:color="auto" w:fill="CCEEFF"/>
          </w:tcPr>
          <w:p>
            <w:pPr>
              <w:spacing w:after="0"/>
              <w:rPr>
                <w:sz w:val="11"/>
                <w:szCs w:val="11"/>
                <w:color w:val="auto"/>
              </w:rPr>
            </w:pPr>
          </w:p>
        </w:tc>
        <w:tc>
          <w:tcPr>
            <w:tcW w:w="960" w:type="dxa"/>
            <w:vAlign w:val="bottom"/>
            <w:tcBorders>
              <w:top w:val="single" w:sz="8" w:color="auto"/>
            </w:tcBorders>
            <w:shd w:val="clear" w:color="auto" w:fill="CCEEFF"/>
          </w:tcPr>
          <w:p>
            <w:pPr>
              <w:spacing w:after="0"/>
              <w:rPr>
                <w:sz w:val="11"/>
                <w:szCs w:val="11"/>
                <w:color w:val="auto"/>
              </w:rPr>
            </w:pPr>
          </w:p>
        </w:tc>
        <w:tc>
          <w:tcPr>
            <w:tcW w:w="180" w:type="dxa"/>
            <w:vAlign w:val="bottom"/>
            <w:tcBorders>
              <w:top w:val="single" w:sz="8" w:color="CCEEFF"/>
            </w:tcBorders>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1900" w:type="dxa"/>
            <w:vAlign w:val="bottom"/>
          </w:tcPr>
          <w:p>
            <w:pPr>
              <w:spacing w:after="0" w:line="130" w:lineRule="exact"/>
              <w:rPr>
                <w:sz w:val="20"/>
                <w:szCs w:val="20"/>
                <w:color w:val="auto"/>
              </w:rPr>
            </w:pPr>
            <w:r>
              <w:rPr>
                <w:rFonts w:ascii="Arial" w:cs="Arial" w:eastAsia="Arial" w:hAnsi="Arial"/>
                <w:sz w:val="14"/>
                <w:szCs w:val="14"/>
                <w:color w:val="auto"/>
              </w:rPr>
              <w:t>Lou Panaccio</w:t>
            </w:r>
          </w:p>
        </w:tc>
        <w:tc>
          <w:tcPr>
            <w:tcW w:w="6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1900" w:type="dxa"/>
            <w:vAlign w:val="bottom"/>
          </w:tcPr>
          <w:p>
            <w:pPr>
              <w:ind w:left="120"/>
              <w:spacing w:after="0"/>
              <w:rPr>
                <w:sz w:val="20"/>
                <w:szCs w:val="20"/>
                <w:color w:val="auto"/>
              </w:rPr>
            </w:pPr>
            <w:r>
              <w:rPr>
                <w:rFonts w:ascii="Arial" w:cs="Arial" w:eastAsia="Arial" w:hAnsi="Arial"/>
                <w:sz w:val="14"/>
                <w:szCs w:val="14"/>
                <w:color w:val="auto"/>
              </w:rPr>
              <w:t>Non-Executive Chairman</w:t>
            </w:r>
          </w:p>
        </w:tc>
        <w:tc>
          <w:tcPr>
            <w:tcW w:w="620" w:type="dxa"/>
            <w:vAlign w:val="bottom"/>
          </w:tcPr>
          <w:p>
            <w:pPr>
              <w:jc w:val="right"/>
              <w:spacing w:after="0"/>
              <w:rPr>
                <w:sz w:val="20"/>
                <w:szCs w:val="20"/>
                <w:color w:val="auto"/>
              </w:rPr>
            </w:pPr>
            <w:r>
              <w:rPr>
                <w:rFonts w:ascii="Arial" w:cs="Arial" w:eastAsia="Arial" w:hAnsi="Arial"/>
                <w:sz w:val="14"/>
                <w:szCs w:val="14"/>
                <w:color w:val="auto"/>
              </w:rPr>
              <w:t>58,758</w:t>
            </w:r>
          </w:p>
        </w:tc>
        <w:tc>
          <w:tcPr>
            <w:tcW w:w="180" w:type="dxa"/>
            <w:vAlign w:val="bottom"/>
          </w:tcPr>
          <w:p>
            <w:pPr>
              <w:spacing w:after="0"/>
              <w:rPr>
                <w:sz w:val="14"/>
                <w:szCs w:val="14"/>
                <w:color w:val="auto"/>
              </w:rPr>
            </w:pPr>
          </w:p>
        </w:tc>
        <w:tc>
          <w:tcPr>
            <w:tcW w:w="62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4"/>
                <w:szCs w:val="14"/>
                <w:color w:val="auto"/>
              </w:rPr>
            </w:pPr>
          </w:p>
        </w:tc>
        <w:tc>
          <w:tcPr>
            <w:tcW w:w="56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4"/>
                <w:szCs w:val="14"/>
                <w:color w:val="auto"/>
              </w:rPr>
            </w:pPr>
          </w:p>
        </w:tc>
        <w:tc>
          <w:tcPr>
            <w:tcW w:w="520" w:type="dxa"/>
            <w:vAlign w:val="bottom"/>
          </w:tcPr>
          <w:p>
            <w:pPr>
              <w:ind w:left="280"/>
              <w:spacing w:after="0"/>
              <w:rPr>
                <w:sz w:val="20"/>
                <w:szCs w:val="20"/>
                <w:color w:val="auto"/>
              </w:rPr>
            </w:pPr>
            <w:r>
              <w:rPr>
                <w:rFonts w:ascii="Arial" w:cs="Arial" w:eastAsia="Arial" w:hAnsi="Arial"/>
                <w:sz w:val="14"/>
                <w:szCs w:val="14"/>
                <w:color w:val="auto"/>
              </w:rPr>
              <w:t>—</w:t>
            </w:r>
          </w:p>
        </w:tc>
        <w:tc>
          <w:tcPr>
            <w:tcW w:w="1060" w:type="dxa"/>
            <w:vAlign w:val="bottom"/>
            <w:gridSpan w:val="2"/>
          </w:tcPr>
          <w:p>
            <w:pPr>
              <w:jc w:val="right"/>
              <w:spacing w:after="0"/>
              <w:rPr>
                <w:sz w:val="20"/>
                <w:szCs w:val="20"/>
                <w:color w:val="auto"/>
              </w:rPr>
            </w:pPr>
            <w:r>
              <w:rPr>
                <w:rFonts w:ascii="Arial" w:cs="Arial" w:eastAsia="Arial" w:hAnsi="Arial"/>
                <w:sz w:val="14"/>
                <w:szCs w:val="14"/>
                <w:color w:val="auto"/>
              </w:rPr>
              <w:t>7,481</w:t>
            </w:r>
          </w:p>
        </w:tc>
        <w:tc>
          <w:tcPr>
            <w:tcW w:w="680" w:type="dxa"/>
            <w:vAlign w:val="bottom"/>
            <w:gridSpan w:val="2"/>
          </w:tcPr>
          <w:p>
            <w:pPr>
              <w:jc w:val="right"/>
              <w:spacing w:after="0"/>
              <w:rPr>
                <w:sz w:val="20"/>
                <w:szCs w:val="20"/>
                <w:color w:val="auto"/>
              </w:rPr>
            </w:pPr>
            <w:r>
              <w:rPr>
                <w:rFonts w:ascii="Arial" w:cs="Arial" w:eastAsia="Arial" w:hAnsi="Arial"/>
                <w:sz w:val="14"/>
                <w:szCs w:val="14"/>
                <w:color w:val="auto"/>
              </w:rPr>
              <w:t>19,992</w:t>
            </w:r>
          </w:p>
        </w:tc>
        <w:tc>
          <w:tcPr>
            <w:tcW w:w="180" w:type="dxa"/>
            <w:vAlign w:val="bottom"/>
          </w:tcPr>
          <w:p>
            <w:pPr>
              <w:spacing w:after="0"/>
              <w:rPr>
                <w:sz w:val="14"/>
                <w:szCs w:val="14"/>
                <w:color w:val="auto"/>
              </w:rPr>
            </w:pPr>
          </w:p>
        </w:tc>
        <w:tc>
          <w:tcPr>
            <w:tcW w:w="62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800" w:type="dxa"/>
            <w:vAlign w:val="bottom"/>
            <w:gridSpan w:val="2"/>
          </w:tcPr>
          <w:p>
            <w:pPr>
              <w:jc w:val="right"/>
              <w:spacing w:after="0"/>
              <w:rPr>
                <w:sz w:val="20"/>
                <w:szCs w:val="20"/>
                <w:color w:val="auto"/>
              </w:rPr>
            </w:pPr>
            <w:r>
              <w:rPr>
                <w:rFonts w:ascii="Arial" w:cs="Arial" w:eastAsia="Arial" w:hAnsi="Arial"/>
                <w:sz w:val="14"/>
                <w:szCs w:val="14"/>
                <w:color w:val="auto"/>
              </w:rPr>
              <w:t>86,231</w:t>
            </w:r>
          </w:p>
        </w:tc>
        <w:tc>
          <w:tcPr>
            <w:tcW w:w="980" w:type="dxa"/>
            <w:vAlign w:val="bottom"/>
            <w:gridSpan w:val="3"/>
          </w:tcPr>
          <w:p>
            <w:pPr>
              <w:jc w:val="right"/>
              <w:ind w:right="100"/>
              <w:spacing w:after="0"/>
              <w:rPr>
                <w:sz w:val="20"/>
                <w:szCs w:val="20"/>
                <w:color w:val="auto"/>
              </w:rPr>
            </w:pPr>
            <w:r>
              <w:rPr>
                <w:rFonts w:ascii="Arial" w:cs="Arial" w:eastAsia="Arial" w:hAnsi="Arial"/>
                <w:sz w:val="14"/>
                <w:szCs w:val="14"/>
                <w:color w:val="auto"/>
              </w:rPr>
              <w:t>0%</w:t>
            </w:r>
          </w:p>
        </w:tc>
        <w:tc>
          <w:tcPr>
            <w:tcW w:w="720" w:type="dxa"/>
            <w:vAlign w:val="bottom"/>
            <w:gridSpan w:val="3"/>
          </w:tcPr>
          <w:p>
            <w:pPr>
              <w:jc w:val="right"/>
              <w:ind w:right="80"/>
              <w:spacing w:after="0"/>
              <w:rPr>
                <w:sz w:val="20"/>
                <w:szCs w:val="20"/>
                <w:color w:val="auto"/>
              </w:rPr>
            </w:pPr>
            <w:r>
              <w:rPr>
                <w:rFonts w:ascii="Arial" w:cs="Arial" w:eastAsia="Arial" w:hAnsi="Arial"/>
                <w:sz w:val="14"/>
                <w:szCs w:val="14"/>
                <w:color w:val="auto"/>
              </w:rPr>
              <w:t>0%</w:t>
            </w:r>
          </w:p>
        </w:tc>
        <w:tc>
          <w:tcPr>
            <w:tcW w:w="1240" w:type="dxa"/>
            <w:vAlign w:val="bottom"/>
            <w:gridSpan w:val="3"/>
          </w:tcPr>
          <w:p>
            <w:pPr>
              <w:jc w:val="right"/>
              <w:ind w:right="60"/>
              <w:spacing w:after="0"/>
              <w:rPr>
                <w:sz w:val="20"/>
                <w:szCs w:val="20"/>
                <w:color w:val="auto"/>
              </w:rPr>
            </w:pPr>
            <w:r>
              <w:rPr>
                <w:rFonts w:ascii="Arial" w:cs="Arial" w:eastAsia="Arial" w:hAnsi="Arial"/>
                <w:sz w:val="14"/>
                <w:szCs w:val="14"/>
                <w:color w:val="auto"/>
              </w:rPr>
              <w:t>91%</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9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Jeremy Curnock Cook</w:t>
            </w:r>
          </w:p>
        </w:tc>
        <w:tc>
          <w:tcPr>
            <w:tcW w:w="6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61,040</w:t>
            </w:r>
          </w:p>
        </w:tc>
        <w:tc>
          <w:tcPr>
            <w:tcW w:w="180" w:type="dxa"/>
            <w:vAlign w:val="bottom"/>
            <w:shd w:val="clear" w:color="auto" w:fill="CCEEFF"/>
          </w:tcPr>
          <w:p>
            <w:pPr>
              <w:spacing w:after="0"/>
              <w:rPr>
                <w:sz w:val="12"/>
                <w:szCs w:val="12"/>
                <w:color w:val="auto"/>
              </w:rPr>
            </w:pPr>
          </w:p>
        </w:tc>
        <w:tc>
          <w:tcPr>
            <w:tcW w:w="620" w:type="dxa"/>
            <w:vAlign w:val="bottom"/>
            <w:shd w:val="clear" w:color="auto" w:fill="CCEEFF"/>
          </w:tcPr>
          <w:p>
            <w:pPr>
              <w:jc w:val="right"/>
              <w:ind w:right="8"/>
              <w:spacing w:after="0" w:line="149" w:lineRule="exact"/>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2"/>
                <w:szCs w:val="12"/>
                <w:color w:val="auto"/>
              </w:rPr>
            </w:pPr>
          </w:p>
        </w:tc>
        <w:tc>
          <w:tcPr>
            <w:tcW w:w="560" w:type="dxa"/>
            <w:vAlign w:val="bottom"/>
            <w:shd w:val="clear" w:color="auto" w:fill="CCEEFF"/>
          </w:tcPr>
          <w:p>
            <w:pPr>
              <w:jc w:val="right"/>
              <w:ind w:right="8"/>
              <w:spacing w:after="0" w:line="149" w:lineRule="exact"/>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2"/>
                <w:szCs w:val="12"/>
                <w:color w:val="auto"/>
              </w:rPr>
            </w:pPr>
          </w:p>
        </w:tc>
        <w:tc>
          <w:tcPr>
            <w:tcW w:w="520" w:type="dxa"/>
            <w:vAlign w:val="bottom"/>
            <w:shd w:val="clear" w:color="auto" w:fill="CCEEFF"/>
          </w:tcPr>
          <w:p>
            <w:pPr>
              <w:ind w:left="280"/>
              <w:spacing w:after="0" w:line="149" w:lineRule="exact"/>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2"/>
                <w:szCs w:val="12"/>
                <w:color w:val="auto"/>
              </w:rPr>
            </w:pPr>
          </w:p>
        </w:tc>
        <w:tc>
          <w:tcPr>
            <w:tcW w:w="900" w:type="dxa"/>
            <w:vAlign w:val="bottom"/>
            <w:shd w:val="clear" w:color="auto" w:fill="CCEEFF"/>
          </w:tcPr>
          <w:p>
            <w:pPr>
              <w:jc w:val="right"/>
              <w:ind w:right="8"/>
              <w:spacing w:after="0" w:line="149" w:lineRule="exact"/>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2"/>
                <w:szCs w:val="12"/>
                <w:color w:val="auto"/>
              </w:rPr>
            </w:pPr>
          </w:p>
        </w:tc>
        <w:tc>
          <w:tcPr>
            <w:tcW w:w="500" w:type="dxa"/>
            <w:vAlign w:val="bottom"/>
            <w:shd w:val="clear" w:color="auto" w:fill="CCEEFF"/>
          </w:tcPr>
          <w:p>
            <w:pPr>
              <w:jc w:val="right"/>
              <w:ind w:right="8"/>
              <w:spacing w:after="0" w:line="149" w:lineRule="exact"/>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2"/>
                <w:szCs w:val="12"/>
                <w:color w:val="auto"/>
              </w:rPr>
            </w:pPr>
          </w:p>
        </w:tc>
        <w:tc>
          <w:tcPr>
            <w:tcW w:w="620" w:type="dxa"/>
            <w:vAlign w:val="bottom"/>
            <w:shd w:val="clear" w:color="auto" w:fill="CCEEFF"/>
          </w:tcPr>
          <w:p>
            <w:pPr>
              <w:jc w:val="right"/>
              <w:ind w:right="8"/>
              <w:spacing w:after="0" w:line="149" w:lineRule="exact"/>
              <w:rPr>
                <w:sz w:val="20"/>
                <w:szCs w:val="20"/>
                <w:color w:val="auto"/>
              </w:rPr>
            </w:pPr>
            <w:r>
              <w:rPr>
                <w:rFonts w:ascii="Arial" w:cs="Arial" w:eastAsia="Arial" w:hAnsi="Arial"/>
                <w:sz w:val="14"/>
                <w:szCs w:val="14"/>
                <w:color w:val="auto"/>
              </w:rPr>
              <w:t>—</w:t>
            </w:r>
          </w:p>
        </w:tc>
        <w:tc>
          <w:tcPr>
            <w:tcW w:w="8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61,040</w:t>
            </w:r>
          </w:p>
        </w:tc>
        <w:tc>
          <w:tcPr>
            <w:tcW w:w="980" w:type="dxa"/>
            <w:vAlign w:val="bottom"/>
            <w:gridSpan w:val="3"/>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0%</w:t>
            </w:r>
          </w:p>
        </w:tc>
        <w:tc>
          <w:tcPr>
            <w:tcW w:w="720" w:type="dxa"/>
            <w:vAlign w:val="bottom"/>
            <w:gridSpan w:val="3"/>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0%</w:t>
            </w:r>
          </w:p>
        </w:tc>
        <w:tc>
          <w:tcPr>
            <w:tcW w:w="1240" w:type="dxa"/>
            <w:vAlign w:val="bottom"/>
            <w:gridSpan w:val="3"/>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100%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900" w:type="dxa"/>
            <w:vAlign w:val="bottom"/>
          </w:tcPr>
          <w:p>
            <w:pPr>
              <w:spacing w:after="0" w:line="149" w:lineRule="exact"/>
              <w:rPr>
                <w:sz w:val="20"/>
                <w:szCs w:val="20"/>
                <w:color w:val="auto"/>
              </w:rPr>
            </w:pPr>
            <w:r>
              <w:rPr>
                <w:rFonts w:ascii="Arial" w:cs="Arial" w:eastAsia="Arial" w:hAnsi="Arial"/>
                <w:sz w:val="14"/>
                <w:szCs w:val="14"/>
                <w:color w:val="auto"/>
              </w:rPr>
              <w:t>Louis Drapeau</w:t>
            </w:r>
          </w:p>
        </w:tc>
        <w:tc>
          <w:tcPr>
            <w:tcW w:w="620" w:type="dxa"/>
            <w:vAlign w:val="bottom"/>
          </w:tcPr>
          <w:p>
            <w:pPr>
              <w:jc w:val="right"/>
              <w:spacing w:after="0" w:line="149" w:lineRule="exact"/>
              <w:rPr>
                <w:sz w:val="20"/>
                <w:szCs w:val="20"/>
                <w:color w:val="auto"/>
              </w:rPr>
            </w:pPr>
            <w:r>
              <w:rPr>
                <w:rFonts w:ascii="Arial" w:cs="Arial" w:eastAsia="Arial" w:hAnsi="Arial"/>
                <w:sz w:val="14"/>
                <w:szCs w:val="14"/>
                <w:color w:val="auto"/>
              </w:rPr>
              <w:t>60,811</w:t>
            </w:r>
          </w:p>
        </w:tc>
        <w:tc>
          <w:tcPr>
            <w:tcW w:w="180" w:type="dxa"/>
            <w:vAlign w:val="bottom"/>
          </w:tcPr>
          <w:p>
            <w:pPr>
              <w:spacing w:after="0"/>
              <w:rPr>
                <w:sz w:val="12"/>
                <w:szCs w:val="12"/>
                <w:color w:val="auto"/>
              </w:rPr>
            </w:pPr>
          </w:p>
        </w:tc>
        <w:tc>
          <w:tcPr>
            <w:tcW w:w="620" w:type="dxa"/>
            <w:vAlign w:val="bottom"/>
          </w:tcPr>
          <w:p>
            <w:pPr>
              <w:jc w:val="right"/>
              <w:ind w:right="8"/>
              <w:spacing w:after="0" w:line="149" w:lineRule="exact"/>
              <w:rPr>
                <w:sz w:val="20"/>
                <w:szCs w:val="20"/>
                <w:color w:val="auto"/>
              </w:rPr>
            </w:pPr>
            <w:r>
              <w:rPr>
                <w:rFonts w:ascii="Arial" w:cs="Arial" w:eastAsia="Arial" w:hAnsi="Arial"/>
                <w:sz w:val="14"/>
                <w:szCs w:val="14"/>
                <w:color w:val="auto"/>
              </w:rPr>
              <w:t>—</w:t>
            </w:r>
          </w:p>
        </w:tc>
        <w:tc>
          <w:tcPr>
            <w:tcW w:w="160" w:type="dxa"/>
            <w:vAlign w:val="bottom"/>
          </w:tcPr>
          <w:p>
            <w:pPr>
              <w:spacing w:after="0"/>
              <w:rPr>
                <w:sz w:val="12"/>
                <w:szCs w:val="12"/>
                <w:color w:val="auto"/>
              </w:rPr>
            </w:pPr>
          </w:p>
        </w:tc>
        <w:tc>
          <w:tcPr>
            <w:tcW w:w="560" w:type="dxa"/>
            <w:vAlign w:val="bottom"/>
          </w:tcPr>
          <w:p>
            <w:pPr>
              <w:jc w:val="right"/>
              <w:ind w:right="8"/>
              <w:spacing w:after="0" w:line="149" w:lineRule="exact"/>
              <w:rPr>
                <w:sz w:val="20"/>
                <w:szCs w:val="20"/>
                <w:color w:val="auto"/>
              </w:rPr>
            </w:pPr>
            <w:r>
              <w:rPr>
                <w:rFonts w:ascii="Arial" w:cs="Arial" w:eastAsia="Arial" w:hAnsi="Arial"/>
                <w:sz w:val="14"/>
                <w:szCs w:val="14"/>
                <w:color w:val="auto"/>
              </w:rPr>
              <w:t>—</w:t>
            </w:r>
          </w:p>
        </w:tc>
        <w:tc>
          <w:tcPr>
            <w:tcW w:w="180" w:type="dxa"/>
            <w:vAlign w:val="bottom"/>
          </w:tcPr>
          <w:p>
            <w:pPr>
              <w:spacing w:after="0"/>
              <w:rPr>
                <w:sz w:val="12"/>
                <w:szCs w:val="12"/>
                <w:color w:val="auto"/>
              </w:rPr>
            </w:pPr>
          </w:p>
        </w:tc>
        <w:tc>
          <w:tcPr>
            <w:tcW w:w="520" w:type="dxa"/>
            <w:vAlign w:val="bottom"/>
          </w:tcPr>
          <w:p>
            <w:pPr>
              <w:ind w:left="280"/>
              <w:spacing w:after="0" w:line="149" w:lineRule="exact"/>
              <w:rPr>
                <w:sz w:val="20"/>
                <w:szCs w:val="20"/>
                <w:color w:val="auto"/>
              </w:rPr>
            </w:pPr>
            <w:r>
              <w:rPr>
                <w:rFonts w:ascii="Arial" w:cs="Arial" w:eastAsia="Arial" w:hAnsi="Arial"/>
                <w:sz w:val="14"/>
                <w:szCs w:val="14"/>
                <w:color w:val="auto"/>
              </w:rPr>
              <w:t>—</w:t>
            </w:r>
          </w:p>
        </w:tc>
        <w:tc>
          <w:tcPr>
            <w:tcW w:w="160" w:type="dxa"/>
            <w:vAlign w:val="bottom"/>
          </w:tcPr>
          <w:p>
            <w:pPr>
              <w:spacing w:after="0"/>
              <w:rPr>
                <w:sz w:val="12"/>
                <w:szCs w:val="12"/>
                <w:color w:val="auto"/>
              </w:rPr>
            </w:pPr>
          </w:p>
        </w:tc>
        <w:tc>
          <w:tcPr>
            <w:tcW w:w="900" w:type="dxa"/>
            <w:vAlign w:val="bottom"/>
          </w:tcPr>
          <w:p>
            <w:pPr>
              <w:jc w:val="right"/>
              <w:ind w:right="8"/>
              <w:spacing w:after="0" w:line="149" w:lineRule="exact"/>
              <w:rPr>
                <w:sz w:val="20"/>
                <w:szCs w:val="20"/>
                <w:color w:val="auto"/>
              </w:rPr>
            </w:pPr>
            <w:r>
              <w:rPr>
                <w:rFonts w:ascii="Arial" w:cs="Arial" w:eastAsia="Arial" w:hAnsi="Arial"/>
                <w:sz w:val="14"/>
                <w:szCs w:val="14"/>
                <w:color w:val="auto"/>
              </w:rPr>
              <w:t>—</w:t>
            </w:r>
          </w:p>
        </w:tc>
        <w:tc>
          <w:tcPr>
            <w:tcW w:w="180" w:type="dxa"/>
            <w:vAlign w:val="bottom"/>
          </w:tcPr>
          <w:p>
            <w:pPr>
              <w:spacing w:after="0"/>
              <w:rPr>
                <w:sz w:val="12"/>
                <w:szCs w:val="12"/>
                <w:color w:val="auto"/>
              </w:rPr>
            </w:pPr>
          </w:p>
        </w:tc>
        <w:tc>
          <w:tcPr>
            <w:tcW w:w="500" w:type="dxa"/>
            <w:vAlign w:val="bottom"/>
          </w:tcPr>
          <w:p>
            <w:pPr>
              <w:jc w:val="right"/>
              <w:ind w:right="8"/>
              <w:spacing w:after="0" w:line="149" w:lineRule="exact"/>
              <w:rPr>
                <w:sz w:val="20"/>
                <w:szCs w:val="20"/>
                <w:color w:val="auto"/>
              </w:rPr>
            </w:pPr>
            <w:r>
              <w:rPr>
                <w:rFonts w:ascii="Arial" w:cs="Arial" w:eastAsia="Arial" w:hAnsi="Arial"/>
                <w:sz w:val="14"/>
                <w:szCs w:val="14"/>
                <w:color w:val="auto"/>
              </w:rPr>
              <w:t>—</w:t>
            </w:r>
          </w:p>
        </w:tc>
        <w:tc>
          <w:tcPr>
            <w:tcW w:w="180" w:type="dxa"/>
            <w:vAlign w:val="bottom"/>
          </w:tcPr>
          <w:p>
            <w:pPr>
              <w:spacing w:after="0"/>
              <w:rPr>
                <w:sz w:val="12"/>
                <w:szCs w:val="12"/>
                <w:color w:val="auto"/>
              </w:rPr>
            </w:pPr>
          </w:p>
        </w:tc>
        <w:tc>
          <w:tcPr>
            <w:tcW w:w="620" w:type="dxa"/>
            <w:vAlign w:val="bottom"/>
          </w:tcPr>
          <w:p>
            <w:pPr>
              <w:jc w:val="right"/>
              <w:ind w:right="8"/>
              <w:spacing w:after="0" w:line="149" w:lineRule="exact"/>
              <w:rPr>
                <w:sz w:val="20"/>
                <w:szCs w:val="20"/>
                <w:color w:val="auto"/>
              </w:rPr>
            </w:pPr>
            <w:r>
              <w:rPr>
                <w:rFonts w:ascii="Arial" w:cs="Arial" w:eastAsia="Arial" w:hAnsi="Arial"/>
                <w:sz w:val="14"/>
                <w:szCs w:val="14"/>
                <w:color w:val="auto"/>
              </w:rPr>
              <w:t>—</w:t>
            </w:r>
          </w:p>
        </w:tc>
        <w:tc>
          <w:tcPr>
            <w:tcW w:w="8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60,811</w:t>
            </w:r>
          </w:p>
        </w:tc>
        <w:tc>
          <w:tcPr>
            <w:tcW w:w="980" w:type="dxa"/>
            <w:vAlign w:val="bottom"/>
            <w:gridSpan w:val="3"/>
          </w:tcPr>
          <w:p>
            <w:pPr>
              <w:jc w:val="right"/>
              <w:ind w:right="100"/>
              <w:spacing w:after="0" w:line="149" w:lineRule="exact"/>
              <w:rPr>
                <w:sz w:val="20"/>
                <w:szCs w:val="20"/>
                <w:color w:val="auto"/>
              </w:rPr>
            </w:pPr>
            <w:r>
              <w:rPr>
                <w:rFonts w:ascii="Arial" w:cs="Arial" w:eastAsia="Arial" w:hAnsi="Arial"/>
                <w:sz w:val="14"/>
                <w:szCs w:val="14"/>
                <w:color w:val="auto"/>
              </w:rPr>
              <w:t>0%</w:t>
            </w:r>
          </w:p>
        </w:tc>
        <w:tc>
          <w:tcPr>
            <w:tcW w:w="720" w:type="dxa"/>
            <w:vAlign w:val="bottom"/>
            <w:gridSpan w:val="3"/>
          </w:tcPr>
          <w:p>
            <w:pPr>
              <w:jc w:val="right"/>
              <w:ind w:right="80"/>
              <w:spacing w:after="0" w:line="149" w:lineRule="exact"/>
              <w:rPr>
                <w:sz w:val="20"/>
                <w:szCs w:val="20"/>
                <w:color w:val="auto"/>
              </w:rPr>
            </w:pPr>
            <w:r>
              <w:rPr>
                <w:rFonts w:ascii="Arial" w:cs="Arial" w:eastAsia="Arial" w:hAnsi="Arial"/>
                <w:sz w:val="14"/>
                <w:szCs w:val="14"/>
                <w:color w:val="auto"/>
              </w:rPr>
              <w:t>0%</w:t>
            </w:r>
          </w:p>
        </w:tc>
        <w:tc>
          <w:tcPr>
            <w:tcW w:w="1240" w:type="dxa"/>
            <w:vAlign w:val="bottom"/>
            <w:gridSpan w:val="3"/>
          </w:tcPr>
          <w:p>
            <w:pPr>
              <w:jc w:val="right"/>
              <w:ind w:right="60"/>
              <w:spacing w:after="0" w:line="149" w:lineRule="exact"/>
              <w:rPr>
                <w:sz w:val="20"/>
                <w:szCs w:val="20"/>
                <w:color w:val="auto"/>
              </w:rPr>
            </w:pPr>
            <w:r>
              <w:rPr>
                <w:rFonts w:ascii="Arial" w:cs="Arial" w:eastAsia="Arial" w:hAnsi="Arial"/>
                <w:sz w:val="14"/>
                <w:szCs w:val="14"/>
                <w:color w:val="auto"/>
              </w:rPr>
              <w:t>100%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9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Damien McDonald</w:t>
            </w:r>
          </w:p>
        </w:tc>
        <w:tc>
          <w:tcPr>
            <w:tcW w:w="620" w:type="dxa"/>
            <w:vAlign w:val="bottom"/>
            <w:shd w:val="clear" w:color="auto" w:fill="CCEEFF"/>
          </w:tcPr>
          <w:p>
            <w:pPr>
              <w:jc w:val="right"/>
              <w:ind w:right="8"/>
              <w:spacing w:after="0" w:line="149" w:lineRule="exact"/>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2"/>
                <w:szCs w:val="12"/>
                <w:color w:val="auto"/>
              </w:rPr>
            </w:pPr>
          </w:p>
        </w:tc>
        <w:tc>
          <w:tcPr>
            <w:tcW w:w="620" w:type="dxa"/>
            <w:vAlign w:val="bottom"/>
            <w:shd w:val="clear" w:color="auto" w:fill="CCEEFF"/>
          </w:tcPr>
          <w:p>
            <w:pPr>
              <w:jc w:val="right"/>
              <w:ind w:right="8"/>
              <w:spacing w:after="0" w:line="149" w:lineRule="exact"/>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2"/>
                <w:szCs w:val="12"/>
                <w:color w:val="auto"/>
              </w:rPr>
            </w:pPr>
          </w:p>
        </w:tc>
        <w:tc>
          <w:tcPr>
            <w:tcW w:w="560" w:type="dxa"/>
            <w:vAlign w:val="bottom"/>
            <w:shd w:val="clear" w:color="auto" w:fill="CCEEFF"/>
          </w:tcPr>
          <w:p>
            <w:pPr>
              <w:jc w:val="right"/>
              <w:ind w:right="8"/>
              <w:spacing w:after="0" w:line="149" w:lineRule="exact"/>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2"/>
                <w:szCs w:val="12"/>
                <w:color w:val="auto"/>
              </w:rPr>
            </w:pPr>
          </w:p>
        </w:tc>
        <w:tc>
          <w:tcPr>
            <w:tcW w:w="520" w:type="dxa"/>
            <w:vAlign w:val="bottom"/>
            <w:shd w:val="clear" w:color="auto" w:fill="CCEEFF"/>
          </w:tcPr>
          <w:p>
            <w:pPr>
              <w:ind w:left="280"/>
              <w:spacing w:after="0" w:line="149" w:lineRule="exact"/>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2"/>
                <w:szCs w:val="12"/>
                <w:color w:val="auto"/>
              </w:rPr>
            </w:pPr>
          </w:p>
        </w:tc>
        <w:tc>
          <w:tcPr>
            <w:tcW w:w="900" w:type="dxa"/>
            <w:vAlign w:val="bottom"/>
            <w:shd w:val="clear" w:color="auto" w:fill="CCEEFF"/>
          </w:tcPr>
          <w:p>
            <w:pPr>
              <w:jc w:val="right"/>
              <w:ind w:right="8"/>
              <w:spacing w:after="0" w:line="149" w:lineRule="exact"/>
              <w:rPr>
                <w:sz w:val="20"/>
                <w:szCs w:val="20"/>
                <w:color w:val="auto"/>
              </w:rPr>
            </w:pPr>
            <w:r>
              <w:rPr>
                <w:rFonts w:ascii="Arial" w:cs="Arial" w:eastAsia="Arial" w:hAnsi="Arial"/>
                <w:sz w:val="14"/>
                <w:szCs w:val="14"/>
                <w:color w:val="auto"/>
              </w:rPr>
              <w:t>—</w:t>
            </w:r>
          </w:p>
        </w:tc>
        <w:tc>
          <w:tcPr>
            <w:tcW w:w="6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61,128</w:t>
            </w:r>
          </w:p>
        </w:tc>
        <w:tc>
          <w:tcPr>
            <w:tcW w:w="180" w:type="dxa"/>
            <w:vAlign w:val="bottom"/>
            <w:shd w:val="clear" w:color="auto" w:fill="CCEEFF"/>
          </w:tcPr>
          <w:p>
            <w:pPr>
              <w:spacing w:after="0"/>
              <w:rPr>
                <w:sz w:val="12"/>
                <w:szCs w:val="12"/>
                <w:color w:val="auto"/>
              </w:rPr>
            </w:pPr>
          </w:p>
        </w:tc>
        <w:tc>
          <w:tcPr>
            <w:tcW w:w="620" w:type="dxa"/>
            <w:vAlign w:val="bottom"/>
            <w:shd w:val="clear" w:color="auto" w:fill="CCEEFF"/>
          </w:tcPr>
          <w:p>
            <w:pPr>
              <w:jc w:val="right"/>
              <w:ind w:right="8"/>
              <w:spacing w:after="0" w:line="149" w:lineRule="exact"/>
              <w:rPr>
                <w:sz w:val="20"/>
                <w:szCs w:val="20"/>
                <w:color w:val="auto"/>
              </w:rPr>
            </w:pPr>
            <w:r>
              <w:rPr>
                <w:rFonts w:ascii="Arial" w:cs="Arial" w:eastAsia="Arial" w:hAnsi="Arial"/>
                <w:sz w:val="14"/>
                <w:szCs w:val="14"/>
                <w:color w:val="auto"/>
              </w:rPr>
              <w:t>—</w:t>
            </w:r>
          </w:p>
        </w:tc>
        <w:tc>
          <w:tcPr>
            <w:tcW w:w="8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61,128</w:t>
            </w:r>
          </w:p>
        </w:tc>
        <w:tc>
          <w:tcPr>
            <w:tcW w:w="980" w:type="dxa"/>
            <w:vAlign w:val="bottom"/>
            <w:gridSpan w:val="3"/>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0%</w:t>
            </w:r>
          </w:p>
        </w:tc>
        <w:tc>
          <w:tcPr>
            <w:tcW w:w="720" w:type="dxa"/>
            <w:vAlign w:val="bottom"/>
            <w:gridSpan w:val="3"/>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0%</w:t>
            </w:r>
          </w:p>
        </w:tc>
        <w:tc>
          <w:tcPr>
            <w:tcW w:w="1240" w:type="dxa"/>
            <w:vAlign w:val="bottom"/>
            <w:gridSpan w:val="3"/>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100%</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1900" w:type="dxa"/>
            <w:vAlign w:val="bottom"/>
          </w:tcPr>
          <w:p>
            <w:pPr>
              <w:spacing w:after="0" w:line="149" w:lineRule="exact"/>
              <w:rPr>
                <w:sz w:val="20"/>
                <w:szCs w:val="20"/>
                <w:color w:val="auto"/>
              </w:rPr>
            </w:pPr>
            <w:r>
              <w:rPr>
                <w:rFonts w:ascii="Arial" w:cs="Arial" w:eastAsia="Arial" w:hAnsi="Arial"/>
                <w:sz w:val="14"/>
                <w:szCs w:val="14"/>
                <w:color w:val="auto"/>
              </w:rPr>
              <w:t>Suzanne Crowe</w:t>
            </w:r>
          </w:p>
        </w:tc>
        <w:tc>
          <w:tcPr>
            <w:tcW w:w="62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45,989</w:t>
            </w:r>
          </w:p>
        </w:tc>
        <w:tc>
          <w:tcPr>
            <w:tcW w:w="180" w:type="dxa"/>
            <w:vAlign w:val="bottom"/>
          </w:tcPr>
          <w:p>
            <w:pPr>
              <w:spacing w:after="0"/>
              <w:rPr>
                <w:sz w:val="13"/>
                <w:szCs w:val="13"/>
                <w:color w:val="auto"/>
              </w:rPr>
            </w:pPr>
          </w:p>
        </w:tc>
        <w:tc>
          <w:tcPr>
            <w:tcW w:w="620" w:type="dxa"/>
            <w:vAlign w:val="bottom"/>
            <w:tcBorders>
              <w:bottom w:val="single" w:sz="8" w:color="auto"/>
            </w:tcBorders>
          </w:tcPr>
          <w:p>
            <w:pPr>
              <w:jc w:val="right"/>
              <w:ind w:right="8"/>
              <w:spacing w:after="0" w:line="149" w:lineRule="exact"/>
              <w:rPr>
                <w:sz w:val="20"/>
                <w:szCs w:val="20"/>
                <w:color w:val="auto"/>
              </w:rPr>
            </w:pPr>
            <w:r>
              <w:rPr>
                <w:rFonts w:ascii="Arial" w:cs="Arial" w:eastAsia="Arial" w:hAnsi="Arial"/>
                <w:sz w:val="14"/>
                <w:szCs w:val="14"/>
                <w:color w:val="auto"/>
              </w:rPr>
              <w:t>—</w:t>
            </w:r>
          </w:p>
        </w:tc>
        <w:tc>
          <w:tcPr>
            <w:tcW w:w="160" w:type="dxa"/>
            <w:vAlign w:val="bottom"/>
          </w:tcPr>
          <w:p>
            <w:pPr>
              <w:spacing w:after="0"/>
              <w:rPr>
                <w:sz w:val="13"/>
                <w:szCs w:val="13"/>
                <w:color w:val="auto"/>
              </w:rPr>
            </w:pPr>
          </w:p>
        </w:tc>
        <w:tc>
          <w:tcPr>
            <w:tcW w:w="560" w:type="dxa"/>
            <w:vAlign w:val="bottom"/>
            <w:tcBorders>
              <w:bottom w:val="single" w:sz="8" w:color="auto"/>
            </w:tcBorders>
          </w:tcPr>
          <w:p>
            <w:pPr>
              <w:jc w:val="right"/>
              <w:ind w:right="8"/>
              <w:spacing w:after="0" w:line="149" w:lineRule="exact"/>
              <w:rPr>
                <w:sz w:val="20"/>
                <w:szCs w:val="20"/>
                <w:color w:val="auto"/>
              </w:rPr>
            </w:pPr>
            <w:r>
              <w:rPr>
                <w:rFonts w:ascii="Arial" w:cs="Arial" w:eastAsia="Arial" w:hAnsi="Arial"/>
                <w:sz w:val="14"/>
                <w:szCs w:val="14"/>
                <w:color w:val="auto"/>
              </w:rPr>
              <w:t>—</w:t>
            </w:r>
          </w:p>
        </w:tc>
        <w:tc>
          <w:tcPr>
            <w:tcW w:w="180" w:type="dxa"/>
            <w:vAlign w:val="bottom"/>
          </w:tcPr>
          <w:p>
            <w:pPr>
              <w:spacing w:after="0"/>
              <w:rPr>
                <w:sz w:val="13"/>
                <w:szCs w:val="13"/>
                <w:color w:val="auto"/>
              </w:rPr>
            </w:pPr>
          </w:p>
        </w:tc>
        <w:tc>
          <w:tcPr>
            <w:tcW w:w="520" w:type="dxa"/>
            <w:vAlign w:val="bottom"/>
            <w:tcBorders>
              <w:bottom w:val="single" w:sz="8" w:color="auto"/>
            </w:tcBorders>
          </w:tcPr>
          <w:p>
            <w:pPr>
              <w:ind w:left="280"/>
              <w:spacing w:after="0" w:line="149" w:lineRule="exact"/>
              <w:rPr>
                <w:sz w:val="20"/>
                <w:szCs w:val="20"/>
                <w:color w:val="auto"/>
              </w:rPr>
            </w:pPr>
            <w:r>
              <w:rPr>
                <w:rFonts w:ascii="Arial" w:cs="Arial" w:eastAsia="Arial" w:hAnsi="Arial"/>
                <w:sz w:val="14"/>
                <w:szCs w:val="14"/>
                <w:color w:val="auto"/>
              </w:rPr>
              <w:t>—</w:t>
            </w:r>
          </w:p>
        </w:tc>
        <w:tc>
          <w:tcPr>
            <w:tcW w:w="160" w:type="dxa"/>
            <w:vAlign w:val="bottom"/>
          </w:tcPr>
          <w:p>
            <w:pPr>
              <w:spacing w:after="0"/>
              <w:rPr>
                <w:sz w:val="13"/>
                <w:szCs w:val="13"/>
                <w:color w:val="auto"/>
              </w:rPr>
            </w:pPr>
          </w:p>
        </w:tc>
        <w:tc>
          <w:tcPr>
            <w:tcW w:w="90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5,296</w:t>
            </w:r>
          </w:p>
        </w:tc>
        <w:tc>
          <w:tcPr>
            <w:tcW w:w="180" w:type="dxa"/>
            <w:vAlign w:val="bottom"/>
          </w:tcPr>
          <w:p>
            <w:pPr>
              <w:spacing w:after="0"/>
              <w:rPr>
                <w:sz w:val="13"/>
                <w:szCs w:val="13"/>
                <w:color w:val="auto"/>
              </w:rPr>
            </w:pPr>
          </w:p>
        </w:tc>
        <w:tc>
          <w:tcPr>
            <w:tcW w:w="50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9,755</w:t>
            </w:r>
          </w:p>
        </w:tc>
        <w:tc>
          <w:tcPr>
            <w:tcW w:w="180" w:type="dxa"/>
            <w:vAlign w:val="bottom"/>
          </w:tcPr>
          <w:p>
            <w:pPr>
              <w:spacing w:after="0"/>
              <w:rPr>
                <w:sz w:val="13"/>
                <w:szCs w:val="13"/>
                <w:color w:val="auto"/>
              </w:rPr>
            </w:pPr>
          </w:p>
        </w:tc>
        <w:tc>
          <w:tcPr>
            <w:tcW w:w="620" w:type="dxa"/>
            <w:vAlign w:val="bottom"/>
            <w:tcBorders>
              <w:bottom w:val="single" w:sz="8" w:color="auto"/>
            </w:tcBorders>
          </w:tcPr>
          <w:p>
            <w:pPr>
              <w:jc w:val="right"/>
              <w:ind w:right="8"/>
              <w:spacing w:after="0" w:line="149" w:lineRule="exact"/>
              <w:rPr>
                <w:sz w:val="20"/>
                <w:szCs w:val="20"/>
                <w:color w:val="auto"/>
              </w:rPr>
            </w:pPr>
            <w:r>
              <w:rPr>
                <w:rFonts w:ascii="Arial" w:cs="Arial" w:eastAsia="Arial" w:hAnsi="Arial"/>
                <w:sz w:val="14"/>
                <w:szCs w:val="14"/>
                <w:color w:val="auto"/>
              </w:rPr>
              <w:t>—</w:t>
            </w:r>
          </w:p>
        </w:tc>
        <w:tc>
          <w:tcPr>
            <w:tcW w:w="180" w:type="dxa"/>
            <w:vAlign w:val="bottom"/>
          </w:tcPr>
          <w:p>
            <w:pPr>
              <w:spacing w:after="0"/>
              <w:rPr>
                <w:sz w:val="13"/>
                <w:szCs w:val="13"/>
                <w:color w:val="auto"/>
              </w:rPr>
            </w:pPr>
          </w:p>
        </w:tc>
        <w:tc>
          <w:tcPr>
            <w:tcW w:w="62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61,040</w:t>
            </w:r>
          </w:p>
        </w:tc>
        <w:tc>
          <w:tcPr>
            <w:tcW w:w="980" w:type="dxa"/>
            <w:vAlign w:val="bottom"/>
            <w:gridSpan w:val="3"/>
          </w:tcPr>
          <w:p>
            <w:pPr>
              <w:jc w:val="right"/>
              <w:ind w:right="100"/>
              <w:spacing w:after="0" w:line="149" w:lineRule="exact"/>
              <w:rPr>
                <w:sz w:val="20"/>
                <w:szCs w:val="20"/>
                <w:color w:val="auto"/>
              </w:rPr>
            </w:pPr>
            <w:r>
              <w:rPr>
                <w:rFonts w:ascii="Arial" w:cs="Arial" w:eastAsia="Arial" w:hAnsi="Arial"/>
                <w:sz w:val="14"/>
                <w:szCs w:val="14"/>
                <w:color w:val="auto"/>
              </w:rPr>
              <w:t>0%</w:t>
            </w:r>
          </w:p>
        </w:tc>
        <w:tc>
          <w:tcPr>
            <w:tcW w:w="720" w:type="dxa"/>
            <w:vAlign w:val="bottom"/>
            <w:gridSpan w:val="3"/>
          </w:tcPr>
          <w:p>
            <w:pPr>
              <w:jc w:val="right"/>
              <w:ind w:right="80"/>
              <w:spacing w:after="0" w:line="149" w:lineRule="exact"/>
              <w:rPr>
                <w:sz w:val="20"/>
                <w:szCs w:val="20"/>
                <w:color w:val="auto"/>
              </w:rPr>
            </w:pPr>
            <w:r>
              <w:rPr>
                <w:rFonts w:ascii="Arial" w:cs="Arial" w:eastAsia="Arial" w:hAnsi="Arial"/>
                <w:sz w:val="14"/>
                <w:szCs w:val="14"/>
                <w:color w:val="auto"/>
              </w:rPr>
              <w:t>0%</w:t>
            </w:r>
          </w:p>
        </w:tc>
        <w:tc>
          <w:tcPr>
            <w:tcW w:w="1240" w:type="dxa"/>
            <w:vAlign w:val="bottom"/>
            <w:gridSpan w:val="3"/>
          </w:tcPr>
          <w:p>
            <w:pPr>
              <w:jc w:val="right"/>
              <w:ind w:right="60"/>
              <w:spacing w:after="0" w:line="149" w:lineRule="exact"/>
              <w:rPr>
                <w:sz w:val="20"/>
                <w:szCs w:val="20"/>
                <w:color w:val="auto"/>
              </w:rPr>
            </w:pPr>
            <w:r>
              <w:rPr>
                <w:rFonts w:ascii="Arial" w:cs="Arial" w:eastAsia="Arial" w:hAnsi="Arial"/>
                <w:sz w:val="14"/>
                <w:szCs w:val="14"/>
                <w:color w:val="auto"/>
              </w:rPr>
              <w:t>91%</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900" w:type="dxa"/>
            <w:vAlign w:val="bottom"/>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Sub-total</w:t>
            </w:r>
          </w:p>
        </w:tc>
        <w:tc>
          <w:tcPr>
            <w:tcW w:w="6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226,598</w:t>
            </w:r>
          </w:p>
        </w:tc>
        <w:tc>
          <w:tcPr>
            <w:tcW w:w="180" w:type="dxa"/>
            <w:vAlign w:val="bottom"/>
            <w:shd w:val="clear" w:color="auto" w:fill="CCEEFF"/>
          </w:tcPr>
          <w:p>
            <w:pPr>
              <w:spacing w:after="0"/>
              <w:rPr>
                <w:sz w:val="12"/>
                <w:szCs w:val="12"/>
                <w:color w:val="auto"/>
              </w:rPr>
            </w:pPr>
          </w:p>
        </w:tc>
        <w:tc>
          <w:tcPr>
            <w:tcW w:w="620" w:type="dxa"/>
            <w:vAlign w:val="bottom"/>
            <w:shd w:val="clear" w:color="auto" w:fill="CCEEFF"/>
          </w:tcPr>
          <w:p>
            <w:pPr>
              <w:jc w:val="right"/>
              <w:ind w:right="8"/>
              <w:spacing w:after="0" w:line="149" w:lineRule="exact"/>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2"/>
                <w:szCs w:val="12"/>
                <w:color w:val="auto"/>
              </w:rPr>
            </w:pPr>
          </w:p>
        </w:tc>
        <w:tc>
          <w:tcPr>
            <w:tcW w:w="560" w:type="dxa"/>
            <w:vAlign w:val="bottom"/>
            <w:shd w:val="clear" w:color="auto" w:fill="CCEEFF"/>
          </w:tcPr>
          <w:p>
            <w:pPr>
              <w:jc w:val="right"/>
              <w:ind w:right="8"/>
              <w:spacing w:after="0" w:line="149" w:lineRule="exact"/>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2"/>
                <w:szCs w:val="12"/>
                <w:color w:val="auto"/>
              </w:rPr>
            </w:pPr>
          </w:p>
        </w:tc>
        <w:tc>
          <w:tcPr>
            <w:tcW w:w="520" w:type="dxa"/>
            <w:vAlign w:val="bottom"/>
            <w:shd w:val="clear" w:color="auto" w:fill="CCEEFF"/>
          </w:tcPr>
          <w:p>
            <w:pPr>
              <w:ind w:left="280"/>
              <w:spacing w:after="0" w:line="149" w:lineRule="exact"/>
              <w:rPr>
                <w:sz w:val="20"/>
                <w:szCs w:val="20"/>
                <w:color w:val="auto"/>
              </w:rPr>
            </w:pPr>
            <w:r>
              <w:rPr>
                <w:rFonts w:ascii="Arial" w:cs="Arial" w:eastAsia="Arial" w:hAnsi="Arial"/>
                <w:sz w:val="14"/>
                <w:szCs w:val="14"/>
                <w:color w:val="auto"/>
              </w:rPr>
              <w:t>—</w:t>
            </w:r>
          </w:p>
        </w:tc>
        <w:tc>
          <w:tcPr>
            <w:tcW w:w="106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12,777</w:t>
            </w:r>
          </w:p>
        </w:tc>
        <w:tc>
          <w:tcPr>
            <w:tcW w:w="6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90,875</w:t>
            </w:r>
          </w:p>
        </w:tc>
        <w:tc>
          <w:tcPr>
            <w:tcW w:w="180" w:type="dxa"/>
            <w:vAlign w:val="bottom"/>
            <w:shd w:val="clear" w:color="auto" w:fill="CCEEFF"/>
          </w:tcPr>
          <w:p>
            <w:pPr>
              <w:spacing w:after="0"/>
              <w:rPr>
                <w:sz w:val="12"/>
                <w:szCs w:val="12"/>
                <w:color w:val="auto"/>
              </w:rPr>
            </w:pPr>
          </w:p>
        </w:tc>
        <w:tc>
          <w:tcPr>
            <w:tcW w:w="620" w:type="dxa"/>
            <w:vAlign w:val="bottom"/>
            <w:shd w:val="clear" w:color="auto" w:fill="CCEEFF"/>
          </w:tcPr>
          <w:p>
            <w:pPr>
              <w:jc w:val="right"/>
              <w:ind w:right="8"/>
              <w:spacing w:after="0" w:line="149" w:lineRule="exact"/>
              <w:rPr>
                <w:sz w:val="20"/>
                <w:szCs w:val="20"/>
                <w:color w:val="auto"/>
              </w:rPr>
            </w:pPr>
            <w:r>
              <w:rPr>
                <w:rFonts w:ascii="Arial" w:cs="Arial" w:eastAsia="Arial" w:hAnsi="Arial"/>
                <w:sz w:val="14"/>
                <w:szCs w:val="14"/>
                <w:color w:val="auto"/>
              </w:rPr>
              <w:t>—</w:t>
            </w:r>
          </w:p>
        </w:tc>
        <w:tc>
          <w:tcPr>
            <w:tcW w:w="8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330,250</w:t>
            </w:r>
          </w:p>
        </w:tc>
        <w:tc>
          <w:tcPr>
            <w:tcW w:w="18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1920" w:type="dxa"/>
            <w:vAlign w:val="bottom"/>
            <w:gridSpan w:val="2"/>
            <w:vMerge w:val="restart"/>
          </w:tcPr>
          <w:p>
            <w:pPr>
              <w:spacing w:after="0" w:line="160" w:lineRule="exact"/>
              <w:rPr>
                <w:sz w:val="20"/>
                <w:szCs w:val="20"/>
                <w:color w:val="auto"/>
              </w:rPr>
            </w:pPr>
            <w:r>
              <w:rPr>
                <w:rFonts w:ascii="Arial" w:cs="Arial" w:eastAsia="Arial" w:hAnsi="Arial"/>
                <w:sz w:val="14"/>
                <w:szCs w:val="14"/>
                <w:b w:val="1"/>
                <w:bCs w:val="1"/>
                <w:color w:val="auto"/>
              </w:rPr>
              <w:t>Other Key Management</w:t>
            </w:r>
          </w:p>
        </w:tc>
        <w:tc>
          <w:tcPr>
            <w:tcW w:w="6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0"/>
        </w:trPr>
        <w:tc>
          <w:tcPr>
            <w:tcW w:w="1920" w:type="dxa"/>
            <w:vAlign w:val="bottom"/>
            <w:gridSpan w:val="2"/>
            <w:vMerge w:val="continue"/>
          </w:tcPr>
          <w:p>
            <w:pPr>
              <w:spacing w:after="0"/>
              <w:rPr>
                <w:sz w:val="10"/>
                <w:szCs w:val="10"/>
                <w:color w:val="auto"/>
              </w:rPr>
            </w:pPr>
          </w:p>
        </w:tc>
        <w:tc>
          <w:tcPr>
            <w:tcW w:w="6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1900" w:type="dxa"/>
            <w:vAlign w:val="bottom"/>
          </w:tcPr>
          <w:p>
            <w:pPr>
              <w:ind w:left="120"/>
              <w:spacing w:after="0"/>
              <w:rPr>
                <w:sz w:val="20"/>
                <w:szCs w:val="20"/>
                <w:color w:val="auto"/>
              </w:rPr>
            </w:pPr>
            <w:r>
              <w:rPr>
                <w:rFonts w:ascii="Arial" w:cs="Arial" w:eastAsia="Arial" w:hAnsi="Arial"/>
                <w:sz w:val="14"/>
                <w:szCs w:val="14"/>
                <w:b w:val="1"/>
                <w:bCs w:val="1"/>
                <w:color w:val="auto"/>
              </w:rPr>
              <w:t>Personnel &amp; Executives</w:t>
            </w:r>
          </w:p>
        </w:tc>
        <w:tc>
          <w:tcPr>
            <w:tcW w:w="6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190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rPr>
              <w:t>Michael Perry</w:t>
            </w:r>
          </w:p>
        </w:tc>
        <w:tc>
          <w:tcPr>
            <w:tcW w:w="62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9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96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1900" w:type="dxa"/>
            <w:vAlign w:val="bottom"/>
            <w:shd w:val="clear" w:color="auto" w:fill="CCEEFF"/>
          </w:tcPr>
          <w:p>
            <w:pPr>
              <w:ind w:left="120"/>
              <w:spacing w:after="0"/>
              <w:rPr>
                <w:sz w:val="20"/>
                <w:szCs w:val="20"/>
                <w:color w:val="auto"/>
              </w:rPr>
            </w:pPr>
            <w:r>
              <w:rPr>
                <w:rFonts w:ascii="Arial" w:cs="Arial" w:eastAsia="Arial" w:hAnsi="Arial"/>
                <w:sz w:val="14"/>
                <w:szCs w:val="14"/>
                <w:color w:val="auto"/>
              </w:rPr>
              <w:t>CEO(3)</w:t>
            </w:r>
          </w:p>
        </w:tc>
        <w:tc>
          <w:tcPr>
            <w:tcW w:w="6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663,926</w:t>
            </w: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515,159</w:t>
            </w: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27,608</w:t>
            </w:r>
          </w:p>
        </w:tc>
        <w:tc>
          <w:tcPr>
            <w:tcW w:w="180" w:type="dxa"/>
            <w:vAlign w:val="bottom"/>
            <w:shd w:val="clear" w:color="auto" w:fill="CCEEFF"/>
          </w:tcPr>
          <w:p>
            <w:pPr>
              <w:spacing w:after="0"/>
              <w:rPr>
                <w:sz w:val="14"/>
                <w:szCs w:val="14"/>
                <w:color w:val="auto"/>
              </w:rPr>
            </w:pPr>
          </w:p>
        </w:tc>
        <w:tc>
          <w:tcPr>
            <w:tcW w:w="520" w:type="dxa"/>
            <w:vAlign w:val="bottom"/>
            <w:shd w:val="clear" w:color="auto" w:fill="CCEEFF"/>
          </w:tcPr>
          <w:p>
            <w:pPr>
              <w:ind w:left="280"/>
              <w:spacing w:after="0"/>
              <w:rPr>
                <w:sz w:val="20"/>
                <w:szCs w:val="20"/>
                <w:color w:val="auto"/>
              </w:rPr>
            </w:pPr>
            <w:r>
              <w:rPr>
                <w:rFonts w:ascii="Arial" w:cs="Arial" w:eastAsia="Arial" w:hAnsi="Arial"/>
                <w:sz w:val="14"/>
                <w:szCs w:val="14"/>
                <w:color w:val="auto"/>
              </w:rPr>
              <w:t>—</w:t>
            </w:r>
          </w:p>
        </w:tc>
        <w:tc>
          <w:tcPr>
            <w:tcW w:w="106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43,148</w:t>
            </w: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536,679</w:t>
            </w: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401,752</w:t>
            </w: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2,188,272</w:t>
            </w:r>
          </w:p>
        </w:tc>
        <w:tc>
          <w:tcPr>
            <w:tcW w:w="980" w:type="dxa"/>
            <w:vAlign w:val="bottom"/>
            <w:gridSpan w:val="3"/>
            <w:shd w:val="clear" w:color="auto" w:fill="CCEEFF"/>
          </w:tcPr>
          <w:p>
            <w:pPr>
              <w:jc w:val="right"/>
              <w:ind w:right="100"/>
              <w:spacing w:after="0"/>
              <w:rPr>
                <w:sz w:val="20"/>
                <w:szCs w:val="20"/>
                <w:color w:val="auto"/>
              </w:rPr>
            </w:pPr>
            <w:r>
              <w:rPr>
                <w:rFonts w:ascii="Arial" w:cs="Arial" w:eastAsia="Arial" w:hAnsi="Arial"/>
                <w:sz w:val="14"/>
                <w:szCs w:val="14"/>
                <w:color w:val="auto"/>
              </w:rPr>
              <w:t>24%</w:t>
            </w:r>
          </w:p>
        </w:tc>
        <w:tc>
          <w:tcPr>
            <w:tcW w:w="720" w:type="dxa"/>
            <w:vAlign w:val="bottom"/>
            <w:gridSpan w:val="3"/>
            <w:shd w:val="clear" w:color="auto" w:fill="CCEEFF"/>
          </w:tcPr>
          <w:p>
            <w:pPr>
              <w:jc w:val="right"/>
              <w:ind w:right="80"/>
              <w:spacing w:after="0"/>
              <w:rPr>
                <w:sz w:val="20"/>
                <w:szCs w:val="20"/>
                <w:color w:val="auto"/>
              </w:rPr>
            </w:pPr>
            <w:r>
              <w:rPr>
                <w:rFonts w:ascii="Arial" w:cs="Arial" w:eastAsia="Arial" w:hAnsi="Arial"/>
                <w:sz w:val="14"/>
                <w:szCs w:val="14"/>
                <w:color w:val="auto"/>
              </w:rPr>
              <w:t>25%</w:t>
            </w:r>
          </w:p>
        </w:tc>
        <w:tc>
          <w:tcPr>
            <w:tcW w:w="1240" w:type="dxa"/>
            <w:vAlign w:val="bottom"/>
            <w:gridSpan w:val="3"/>
            <w:shd w:val="clear" w:color="auto" w:fill="CCEEFF"/>
          </w:tcPr>
          <w:p>
            <w:pPr>
              <w:jc w:val="right"/>
              <w:ind w:right="60"/>
              <w:spacing w:after="0"/>
              <w:rPr>
                <w:sz w:val="20"/>
                <w:szCs w:val="20"/>
                <w:color w:val="auto"/>
              </w:rPr>
            </w:pPr>
            <w:r>
              <w:rPr>
                <w:rFonts w:ascii="Arial" w:cs="Arial" w:eastAsia="Arial" w:hAnsi="Arial"/>
                <w:sz w:val="14"/>
                <w:szCs w:val="14"/>
                <w:color w:val="auto"/>
              </w:rPr>
              <w:t>34%</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1900" w:type="dxa"/>
            <w:vAlign w:val="bottom"/>
          </w:tcPr>
          <w:p>
            <w:pPr>
              <w:spacing w:after="0" w:line="130" w:lineRule="exact"/>
              <w:rPr>
                <w:sz w:val="20"/>
                <w:szCs w:val="20"/>
                <w:color w:val="auto"/>
              </w:rPr>
            </w:pPr>
            <w:r>
              <w:rPr>
                <w:rFonts w:ascii="Arial" w:cs="Arial" w:eastAsia="Arial" w:hAnsi="Arial"/>
                <w:sz w:val="14"/>
                <w:szCs w:val="14"/>
                <w:color w:val="auto"/>
              </w:rPr>
              <w:t>Timothy Rooney</w:t>
            </w:r>
          </w:p>
        </w:tc>
        <w:tc>
          <w:tcPr>
            <w:tcW w:w="6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1900" w:type="dxa"/>
            <w:vAlign w:val="bottom"/>
          </w:tcPr>
          <w:p>
            <w:pPr>
              <w:ind w:left="120"/>
              <w:spacing w:after="0"/>
              <w:rPr>
                <w:sz w:val="20"/>
                <w:szCs w:val="20"/>
                <w:color w:val="auto"/>
              </w:rPr>
            </w:pPr>
            <w:r>
              <w:rPr>
                <w:rFonts w:ascii="Arial" w:cs="Arial" w:eastAsia="Arial" w:hAnsi="Arial"/>
                <w:sz w:val="14"/>
                <w:szCs w:val="14"/>
                <w:color w:val="auto"/>
              </w:rPr>
              <w:t>CAO and Interim CFO</w:t>
            </w:r>
          </w:p>
        </w:tc>
        <w:tc>
          <w:tcPr>
            <w:tcW w:w="620" w:type="dxa"/>
            <w:vAlign w:val="bottom"/>
          </w:tcPr>
          <w:p>
            <w:pPr>
              <w:jc w:val="right"/>
              <w:spacing w:after="0"/>
              <w:rPr>
                <w:sz w:val="20"/>
                <w:szCs w:val="20"/>
                <w:color w:val="auto"/>
              </w:rPr>
            </w:pPr>
            <w:r>
              <w:rPr>
                <w:rFonts w:ascii="Arial" w:cs="Arial" w:eastAsia="Arial" w:hAnsi="Arial"/>
                <w:sz w:val="14"/>
                <w:szCs w:val="14"/>
                <w:color w:val="auto"/>
              </w:rPr>
              <w:t>441,683</w:t>
            </w:r>
          </w:p>
        </w:tc>
        <w:tc>
          <w:tcPr>
            <w:tcW w:w="800" w:type="dxa"/>
            <w:vAlign w:val="bottom"/>
            <w:gridSpan w:val="2"/>
          </w:tcPr>
          <w:p>
            <w:pPr>
              <w:jc w:val="right"/>
              <w:spacing w:after="0"/>
              <w:rPr>
                <w:sz w:val="20"/>
                <w:szCs w:val="20"/>
                <w:color w:val="auto"/>
              </w:rPr>
            </w:pPr>
            <w:r>
              <w:rPr>
                <w:rFonts w:ascii="Arial" w:cs="Arial" w:eastAsia="Arial" w:hAnsi="Arial"/>
                <w:sz w:val="14"/>
                <w:szCs w:val="14"/>
                <w:color w:val="auto"/>
              </w:rPr>
              <w:t>147,893</w:t>
            </w:r>
          </w:p>
        </w:tc>
        <w:tc>
          <w:tcPr>
            <w:tcW w:w="720" w:type="dxa"/>
            <w:vAlign w:val="bottom"/>
            <w:gridSpan w:val="2"/>
          </w:tcPr>
          <w:p>
            <w:pPr>
              <w:jc w:val="right"/>
              <w:spacing w:after="0"/>
              <w:rPr>
                <w:sz w:val="20"/>
                <w:szCs w:val="20"/>
                <w:color w:val="auto"/>
              </w:rPr>
            </w:pPr>
            <w:r>
              <w:rPr>
                <w:rFonts w:ascii="Arial" w:cs="Arial" w:eastAsia="Arial" w:hAnsi="Arial"/>
                <w:sz w:val="14"/>
                <w:szCs w:val="14"/>
                <w:color w:val="auto"/>
              </w:rPr>
              <w:t>16,550</w:t>
            </w:r>
          </w:p>
        </w:tc>
        <w:tc>
          <w:tcPr>
            <w:tcW w:w="180" w:type="dxa"/>
            <w:vAlign w:val="bottom"/>
          </w:tcPr>
          <w:p>
            <w:pPr>
              <w:spacing w:after="0"/>
              <w:rPr>
                <w:sz w:val="14"/>
                <w:szCs w:val="14"/>
                <w:color w:val="auto"/>
              </w:rPr>
            </w:pPr>
          </w:p>
        </w:tc>
        <w:tc>
          <w:tcPr>
            <w:tcW w:w="520" w:type="dxa"/>
            <w:vAlign w:val="bottom"/>
          </w:tcPr>
          <w:p>
            <w:pPr>
              <w:ind w:left="280"/>
              <w:spacing w:after="0"/>
              <w:rPr>
                <w:sz w:val="20"/>
                <w:szCs w:val="20"/>
                <w:color w:val="auto"/>
              </w:rPr>
            </w:pPr>
            <w:r>
              <w:rPr>
                <w:rFonts w:ascii="Arial" w:cs="Arial" w:eastAsia="Arial" w:hAnsi="Arial"/>
                <w:sz w:val="14"/>
                <w:szCs w:val="14"/>
                <w:color w:val="auto"/>
              </w:rPr>
              <w:t>—</w:t>
            </w:r>
          </w:p>
        </w:tc>
        <w:tc>
          <w:tcPr>
            <w:tcW w:w="1060" w:type="dxa"/>
            <w:vAlign w:val="bottom"/>
            <w:gridSpan w:val="2"/>
          </w:tcPr>
          <w:p>
            <w:pPr>
              <w:jc w:val="right"/>
              <w:spacing w:after="0"/>
              <w:rPr>
                <w:sz w:val="20"/>
                <w:szCs w:val="20"/>
                <w:color w:val="auto"/>
              </w:rPr>
            </w:pPr>
            <w:r>
              <w:rPr>
                <w:rFonts w:ascii="Arial" w:cs="Arial" w:eastAsia="Arial" w:hAnsi="Arial"/>
                <w:sz w:val="14"/>
                <w:szCs w:val="14"/>
                <w:color w:val="auto"/>
              </w:rPr>
              <w:t>23,106</w:t>
            </w:r>
          </w:p>
        </w:tc>
        <w:tc>
          <w:tcPr>
            <w:tcW w:w="180" w:type="dxa"/>
            <w:vAlign w:val="bottom"/>
          </w:tcPr>
          <w:p>
            <w:pPr>
              <w:spacing w:after="0"/>
              <w:rPr>
                <w:sz w:val="14"/>
                <w:szCs w:val="14"/>
                <w:color w:val="auto"/>
              </w:rPr>
            </w:pPr>
          </w:p>
        </w:tc>
        <w:tc>
          <w:tcPr>
            <w:tcW w:w="50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800" w:type="dxa"/>
            <w:vAlign w:val="bottom"/>
            <w:gridSpan w:val="2"/>
          </w:tcPr>
          <w:p>
            <w:pPr>
              <w:jc w:val="right"/>
              <w:spacing w:after="0"/>
              <w:rPr>
                <w:sz w:val="20"/>
                <w:szCs w:val="20"/>
                <w:color w:val="auto"/>
              </w:rPr>
            </w:pPr>
            <w:r>
              <w:rPr>
                <w:rFonts w:ascii="Arial" w:cs="Arial" w:eastAsia="Arial" w:hAnsi="Arial"/>
                <w:sz w:val="14"/>
                <w:szCs w:val="14"/>
                <w:color w:val="auto"/>
              </w:rPr>
              <w:t>136,647</w:t>
            </w:r>
          </w:p>
        </w:tc>
        <w:tc>
          <w:tcPr>
            <w:tcW w:w="800" w:type="dxa"/>
            <w:vAlign w:val="bottom"/>
            <w:gridSpan w:val="2"/>
          </w:tcPr>
          <w:p>
            <w:pPr>
              <w:jc w:val="right"/>
              <w:spacing w:after="0"/>
              <w:rPr>
                <w:sz w:val="20"/>
                <w:szCs w:val="20"/>
                <w:color w:val="auto"/>
              </w:rPr>
            </w:pPr>
            <w:r>
              <w:rPr>
                <w:rFonts w:ascii="Arial" w:cs="Arial" w:eastAsia="Arial" w:hAnsi="Arial"/>
                <w:sz w:val="14"/>
                <w:szCs w:val="14"/>
                <w:color w:val="auto"/>
              </w:rPr>
              <w:t>765,879</w:t>
            </w:r>
          </w:p>
        </w:tc>
        <w:tc>
          <w:tcPr>
            <w:tcW w:w="980" w:type="dxa"/>
            <w:vAlign w:val="bottom"/>
            <w:gridSpan w:val="3"/>
          </w:tcPr>
          <w:p>
            <w:pPr>
              <w:jc w:val="right"/>
              <w:ind w:right="100"/>
              <w:spacing w:after="0"/>
              <w:rPr>
                <w:sz w:val="20"/>
                <w:szCs w:val="20"/>
                <w:color w:val="auto"/>
              </w:rPr>
            </w:pPr>
            <w:r>
              <w:rPr>
                <w:rFonts w:ascii="Arial" w:cs="Arial" w:eastAsia="Arial" w:hAnsi="Arial"/>
                <w:sz w:val="14"/>
                <w:szCs w:val="14"/>
                <w:color w:val="auto"/>
              </w:rPr>
              <w:t>19%</w:t>
            </w:r>
          </w:p>
        </w:tc>
        <w:tc>
          <w:tcPr>
            <w:tcW w:w="720" w:type="dxa"/>
            <w:vAlign w:val="bottom"/>
            <w:gridSpan w:val="3"/>
          </w:tcPr>
          <w:p>
            <w:pPr>
              <w:jc w:val="right"/>
              <w:ind w:right="80"/>
              <w:spacing w:after="0"/>
              <w:rPr>
                <w:sz w:val="20"/>
                <w:szCs w:val="20"/>
                <w:color w:val="auto"/>
              </w:rPr>
            </w:pPr>
            <w:r>
              <w:rPr>
                <w:rFonts w:ascii="Arial" w:cs="Arial" w:eastAsia="Arial" w:hAnsi="Arial"/>
                <w:sz w:val="14"/>
                <w:szCs w:val="14"/>
                <w:color w:val="auto"/>
              </w:rPr>
              <w:t>0%</w:t>
            </w:r>
          </w:p>
        </w:tc>
        <w:tc>
          <w:tcPr>
            <w:tcW w:w="1240" w:type="dxa"/>
            <w:vAlign w:val="bottom"/>
            <w:gridSpan w:val="3"/>
          </w:tcPr>
          <w:p>
            <w:pPr>
              <w:jc w:val="right"/>
              <w:ind w:right="60"/>
              <w:spacing w:after="0"/>
              <w:rPr>
                <w:sz w:val="20"/>
                <w:szCs w:val="20"/>
                <w:color w:val="auto"/>
              </w:rPr>
            </w:pPr>
            <w:r>
              <w:rPr>
                <w:rFonts w:ascii="Arial" w:cs="Arial" w:eastAsia="Arial" w:hAnsi="Arial"/>
                <w:sz w:val="14"/>
                <w:szCs w:val="14"/>
                <w:color w:val="auto"/>
              </w:rPr>
              <w:t>63%</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190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rPr>
              <w:t>Dale Sander</w:t>
            </w:r>
          </w:p>
        </w:tc>
        <w:tc>
          <w:tcPr>
            <w:tcW w:w="62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9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96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1900" w:type="dxa"/>
            <w:vAlign w:val="bottom"/>
            <w:shd w:val="clear" w:color="auto" w:fill="CCEEFF"/>
          </w:tcPr>
          <w:p>
            <w:pPr>
              <w:ind w:left="120"/>
              <w:spacing w:after="0"/>
              <w:rPr>
                <w:sz w:val="20"/>
                <w:szCs w:val="20"/>
                <w:color w:val="auto"/>
              </w:rPr>
            </w:pPr>
            <w:r>
              <w:rPr>
                <w:rFonts w:ascii="Arial" w:cs="Arial" w:eastAsia="Arial" w:hAnsi="Arial"/>
                <w:sz w:val="14"/>
                <w:szCs w:val="14"/>
                <w:color w:val="auto"/>
              </w:rPr>
              <w:t>CFO(4)</w:t>
            </w:r>
          </w:p>
        </w:tc>
        <w:tc>
          <w:tcPr>
            <w:tcW w:w="6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379,908</w:t>
            </w: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246,299</w:t>
            </w: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31,660</w:t>
            </w:r>
          </w:p>
        </w:tc>
        <w:tc>
          <w:tcPr>
            <w:tcW w:w="700" w:type="dxa"/>
            <w:vAlign w:val="bottom"/>
            <w:gridSpan w:val="2"/>
            <w:shd w:val="clear" w:color="auto" w:fill="CCEEFF"/>
          </w:tcPr>
          <w:p>
            <w:pPr>
              <w:ind w:left="220"/>
              <w:spacing w:after="0"/>
              <w:rPr>
                <w:sz w:val="20"/>
                <w:szCs w:val="20"/>
                <w:color w:val="auto"/>
              </w:rPr>
            </w:pPr>
            <w:r>
              <w:rPr>
                <w:rFonts w:ascii="Arial" w:cs="Arial" w:eastAsia="Arial" w:hAnsi="Arial"/>
                <w:sz w:val="14"/>
                <w:szCs w:val="14"/>
                <w:color w:val="auto"/>
                <w:w w:val="90"/>
              </w:rPr>
              <w:t>270,450</w:t>
            </w:r>
          </w:p>
        </w:tc>
        <w:tc>
          <w:tcPr>
            <w:tcW w:w="106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23,193</w:t>
            </w:r>
          </w:p>
        </w:tc>
        <w:tc>
          <w:tcPr>
            <w:tcW w:w="180" w:type="dxa"/>
            <w:vAlign w:val="bottom"/>
            <w:shd w:val="clear" w:color="auto" w:fill="CCEEFF"/>
          </w:tcPr>
          <w:p>
            <w:pPr>
              <w:spacing w:after="0"/>
              <w:rPr>
                <w:sz w:val="14"/>
                <w:szCs w:val="14"/>
                <w:color w:val="auto"/>
              </w:rPr>
            </w:pPr>
          </w:p>
        </w:tc>
        <w:tc>
          <w:tcPr>
            <w:tcW w:w="50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80,727</w:t>
            </w: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1,032,237</w:t>
            </w:r>
          </w:p>
        </w:tc>
        <w:tc>
          <w:tcPr>
            <w:tcW w:w="980" w:type="dxa"/>
            <w:vAlign w:val="bottom"/>
            <w:gridSpan w:val="3"/>
            <w:shd w:val="clear" w:color="auto" w:fill="CCEEFF"/>
          </w:tcPr>
          <w:p>
            <w:pPr>
              <w:jc w:val="right"/>
              <w:ind w:right="100"/>
              <w:spacing w:after="0"/>
              <w:rPr>
                <w:sz w:val="20"/>
                <w:szCs w:val="20"/>
                <w:color w:val="auto"/>
              </w:rPr>
            </w:pPr>
            <w:r>
              <w:rPr>
                <w:rFonts w:ascii="Arial" w:cs="Arial" w:eastAsia="Arial" w:hAnsi="Arial"/>
                <w:sz w:val="14"/>
                <w:szCs w:val="14"/>
                <w:color w:val="auto"/>
              </w:rPr>
              <w:t>24%</w:t>
            </w:r>
          </w:p>
        </w:tc>
        <w:tc>
          <w:tcPr>
            <w:tcW w:w="720" w:type="dxa"/>
            <w:vAlign w:val="bottom"/>
            <w:gridSpan w:val="3"/>
            <w:shd w:val="clear" w:color="auto" w:fill="CCEEFF"/>
          </w:tcPr>
          <w:p>
            <w:pPr>
              <w:jc w:val="right"/>
              <w:ind w:right="80"/>
              <w:spacing w:after="0"/>
              <w:rPr>
                <w:sz w:val="20"/>
                <w:szCs w:val="20"/>
                <w:color w:val="auto"/>
              </w:rPr>
            </w:pPr>
            <w:r>
              <w:rPr>
                <w:rFonts w:ascii="Arial" w:cs="Arial" w:eastAsia="Arial" w:hAnsi="Arial"/>
                <w:sz w:val="14"/>
                <w:szCs w:val="14"/>
                <w:color w:val="auto"/>
              </w:rPr>
              <w:t>0%</w:t>
            </w:r>
          </w:p>
        </w:tc>
        <w:tc>
          <w:tcPr>
            <w:tcW w:w="1240" w:type="dxa"/>
            <w:vAlign w:val="bottom"/>
            <w:gridSpan w:val="3"/>
            <w:shd w:val="clear" w:color="auto" w:fill="CCEEFF"/>
          </w:tcPr>
          <w:p>
            <w:pPr>
              <w:jc w:val="right"/>
              <w:ind w:right="60"/>
              <w:spacing w:after="0"/>
              <w:rPr>
                <w:sz w:val="20"/>
                <w:szCs w:val="20"/>
                <w:color w:val="auto"/>
              </w:rPr>
            </w:pPr>
            <w:r>
              <w:rPr>
                <w:rFonts w:ascii="Arial" w:cs="Arial" w:eastAsia="Arial" w:hAnsi="Arial"/>
                <w:sz w:val="14"/>
                <w:szCs w:val="14"/>
                <w:color w:val="auto"/>
              </w:rPr>
              <w:t>68%</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1900" w:type="dxa"/>
            <w:vAlign w:val="bottom"/>
          </w:tcPr>
          <w:p>
            <w:pPr>
              <w:spacing w:after="0" w:line="130" w:lineRule="exact"/>
              <w:rPr>
                <w:sz w:val="20"/>
                <w:szCs w:val="20"/>
                <w:color w:val="auto"/>
              </w:rPr>
            </w:pPr>
            <w:r>
              <w:rPr>
                <w:rFonts w:ascii="Arial" w:cs="Arial" w:eastAsia="Arial" w:hAnsi="Arial"/>
                <w:sz w:val="14"/>
                <w:szCs w:val="14"/>
                <w:color w:val="auto"/>
              </w:rPr>
              <w:t>Erin Liberto</w:t>
            </w:r>
          </w:p>
        </w:tc>
        <w:tc>
          <w:tcPr>
            <w:tcW w:w="6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1900" w:type="dxa"/>
            <w:vAlign w:val="bottom"/>
          </w:tcPr>
          <w:p>
            <w:pPr>
              <w:ind w:left="120"/>
              <w:spacing w:after="0"/>
              <w:rPr>
                <w:sz w:val="20"/>
                <w:szCs w:val="20"/>
                <w:color w:val="auto"/>
              </w:rPr>
            </w:pPr>
            <w:r>
              <w:rPr>
                <w:rFonts w:ascii="Arial" w:cs="Arial" w:eastAsia="Arial" w:hAnsi="Arial"/>
                <w:sz w:val="14"/>
                <w:szCs w:val="14"/>
                <w:color w:val="auto"/>
              </w:rPr>
              <w:t>CCO</w:t>
            </w:r>
          </w:p>
        </w:tc>
        <w:tc>
          <w:tcPr>
            <w:tcW w:w="620" w:type="dxa"/>
            <w:vAlign w:val="bottom"/>
          </w:tcPr>
          <w:p>
            <w:pPr>
              <w:jc w:val="right"/>
              <w:spacing w:after="0"/>
              <w:rPr>
                <w:sz w:val="20"/>
                <w:szCs w:val="20"/>
                <w:color w:val="auto"/>
              </w:rPr>
            </w:pPr>
            <w:r>
              <w:rPr>
                <w:rFonts w:ascii="Arial" w:cs="Arial" w:eastAsia="Arial" w:hAnsi="Arial"/>
                <w:sz w:val="14"/>
                <w:szCs w:val="14"/>
                <w:color w:val="auto"/>
              </w:rPr>
              <w:t>398,353</w:t>
            </w:r>
          </w:p>
        </w:tc>
        <w:tc>
          <w:tcPr>
            <w:tcW w:w="800" w:type="dxa"/>
            <w:vAlign w:val="bottom"/>
            <w:gridSpan w:val="2"/>
          </w:tcPr>
          <w:p>
            <w:pPr>
              <w:jc w:val="right"/>
              <w:spacing w:after="0"/>
              <w:rPr>
                <w:sz w:val="20"/>
                <w:szCs w:val="20"/>
                <w:color w:val="auto"/>
              </w:rPr>
            </w:pPr>
            <w:r>
              <w:rPr>
                <w:rFonts w:ascii="Arial" w:cs="Arial" w:eastAsia="Arial" w:hAnsi="Arial"/>
                <w:sz w:val="14"/>
                <w:szCs w:val="14"/>
                <w:color w:val="auto"/>
              </w:rPr>
              <w:t>147,893</w:t>
            </w:r>
          </w:p>
        </w:tc>
        <w:tc>
          <w:tcPr>
            <w:tcW w:w="720" w:type="dxa"/>
            <w:vAlign w:val="bottom"/>
            <w:gridSpan w:val="2"/>
          </w:tcPr>
          <w:p>
            <w:pPr>
              <w:jc w:val="right"/>
              <w:spacing w:after="0"/>
              <w:rPr>
                <w:sz w:val="20"/>
                <w:szCs w:val="20"/>
                <w:color w:val="auto"/>
              </w:rPr>
            </w:pPr>
            <w:r>
              <w:rPr>
                <w:rFonts w:ascii="Arial" w:cs="Arial" w:eastAsia="Arial" w:hAnsi="Arial"/>
                <w:sz w:val="14"/>
                <w:szCs w:val="14"/>
                <w:color w:val="auto"/>
              </w:rPr>
              <w:t>41,897</w:t>
            </w:r>
          </w:p>
        </w:tc>
        <w:tc>
          <w:tcPr>
            <w:tcW w:w="180" w:type="dxa"/>
            <w:vAlign w:val="bottom"/>
          </w:tcPr>
          <w:p>
            <w:pPr>
              <w:spacing w:after="0"/>
              <w:rPr>
                <w:sz w:val="14"/>
                <w:szCs w:val="14"/>
                <w:color w:val="auto"/>
              </w:rPr>
            </w:pPr>
          </w:p>
        </w:tc>
        <w:tc>
          <w:tcPr>
            <w:tcW w:w="520" w:type="dxa"/>
            <w:vAlign w:val="bottom"/>
          </w:tcPr>
          <w:p>
            <w:pPr>
              <w:ind w:left="280"/>
              <w:spacing w:after="0"/>
              <w:rPr>
                <w:sz w:val="20"/>
                <w:szCs w:val="20"/>
                <w:color w:val="auto"/>
              </w:rPr>
            </w:pPr>
            <w:r>
              <w:rPr>
                <w:rFonts w:ascii="Arial" w:cs="Arial" w:eastAsia="Arial" w:hAnsi="Arial"/>
                <w:sz w:val="14"/>
                <w:szCs w:val="14"/>
                <w:color w:val="auto"/>
              </w:rPr>
              <w:t>—</w:t>
            </w:r>
          </w:p>
        </w:tc>
        <w:tc>
          <w:tcPr>
            <w:tcW w:w="1060" w:type="dxa"/>
            <w:vAlign w:val="bottom"/>
            <w:gridSpan w:val="2"/>
          </w:tcPr>
          <w:p>
            <w:pPr>
              <w:jc w:val="right"/>
              <w:spacing w:after="0"/>
              <w:rPr>
                <w:sz w:val="20"/>
                <w:szCs w:val="20"/>
                <w:color w:val="auto"/>
              </w:rPr>
            </w:pPr>
            <w:r>
              <w:rPr>
                <w:rFonts w:ascii="Arial" w:cs="Arial" w:eastAsia="Arial" w:hAnsi="Arial"/>
                <w:sz w:val="14"/>
                <w:szCs w:val="14"/>
                <w:color w:val="auto"/>
              </w:rPr>
              <w:t>22,530</w:t>
            </w:r>
          </w:p>
        </w:tc>
        <w:tc>
          <w:tcPr>
            <w:tcW w:w="180" w:type="dxa"/>
            <w:vAlign w:val="bottom"/>
          </w:tcPr>
          <w:p>
            <w:pPr>
              <w:spacing w:after="0"/>
              <w:rPr>
                <w:sz w:val="14"/>
                <w:szCs w:val="14"/>
                <w:color w:val="auto"/>
              </w:rPr>
            </w:pPr>
          </w:p>
        </w:tc>
        <w:tc>
          <w:tcPr>
            <w:tcW w:w="50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800" w:type="dxa"/>
            <w:vAlign w:val="bottom"/>
            <w:gridSpan w:val="2"/>
          </w:tcPr>
          <w:p>
            <w:pPr>
              <w:jc w:val="right"/>
              <w:spacing w:after="0"/>
              <w:rPr>
                <w:sz w:val="20"/>
                <w:szCs w:val="20"/>
                <w:color w:val="auto"/>
              </w:rPr>
            </w:pPr>
            <w:r>
              <w:rPr>
                <w:rFonts w:ascii="Arial" w:cs="Arial" w:eastAsia="Arial" w:hAnsi="Arial"/>
                <w:sz w:val="14"/>
                <w:szCs w:val="14"/>
                <w:color w:val="auto"/>
              </w:rPr>
              <w:t>207,097</w:t>
            </w:r>
          </w:p>
        </w:tc>
        <w:tc>
          <w:tcPr>
            <w:tcW w:w="800" w:type="dxa"/>
            <w:vAlign w:val="bottom"/>
            <w:gridSpan w:val="2"/>
          </w:tcPr>
          <w:p>
            <w:pPr>
              <w:jc w:val="right"/>
              <w:spacing w:after="0"/>
              <w:rPr>
                <w:sz w:val="20"/>
                <w:szCs w:val="20"/>
                <w:color w:val="auto"/>
              </w:rPr>
            </w:pPr>
            <w:r>
              <w:rPr>
                <w:rFonts w:ascii="Arial" w:cs="Arial" w:eastAsia="Arial" w:hAnsi="Arial"/>
                <w:sz w:val="14"/>
                <w:szCs w:val="14"/>
                <w:color w:val="auto"/>
              </w:rPr>
              <w:t>817,770</w:t>
            </w:r>
          </w:p>
        </w:tc>
        <w:tc>
          <w:tcPr>
            <w:tcW w:w="980" w:type="dxa"/>
            <w:vAlign w:val="bottom"/>
            <w:gridSpan w:val="3"/>
          </w:tcPr>
          <w:p>
            <w:pPr>
              <w:jc w:val="right"/>
              <w:ind w:right="100"/>
              <w:spacing w:after="0"/>
              <w:rPr>
                <w:sz w:val="20"/>
                <w:szCs w:val="20"/>
                <w:color w:val="auto"/>
              </w:rPr>
            </w:pPr>
            <w:r>
              <w:rPr>
                <w:rFonts w:ascii="Arial" w:cs="Arial" w:eastAsia="Arial" w:hAnsi="Arial"/>
                <w:sz w:val="14"/>
                <w:szCs w:val="14"/>
                <w:color w:val="auto"/>
              </w:rPr>
              <w:t>18%</w:t>
            </w:r>
          </w:p>
        </w:tc>
        <w:tc>
          <w:tcPr>
            <w:tcW w:w="720" w:type="dxa"/>
            <w:vAlign w:val="bottom"/>
            <w:gridSpan w:val="3"/>
          </w:tcPr>
          <w:p>
            <w:pPr>
              <w:jc w:val="right"/>
              <w:ind w:right="80"/>
              <w:spacing w:after="0"/>
              <w:rPr>
                <w:sz w:val="20"/>
                <w:szCs w:val="20"/>
                <w:color w:val="auto"/>
              </w:rPr>
            </w:pPr>
            <w:r>
              <w:rPr>
                <w:rFonts w:ascii="Arial" w:cs="Arial" w:eastAsia="Arial" w:hAnsi="Arial"/>
                <w:sz w:val="14"/>
                <w:szCs w:val="14"/>
                <w:color w:val="auto"/>
              </w:rPr>
              <w:t>0%</w:t>
            </w:r>
          </w:p>
        </w:tc>
        <w:tc>
          <w:tcPr>
            <w:tcW w:w="1240" w:type="dxa"/>
            <w:vAlign w:val="bottom"/>
            <w:gridSpan w:val="3"/>
          </w:tcPr>
          <w:p>
            <w:pPr>
              <w:jc w:val="right"/>
              <w:ind w:right="60"/>
              <w:spacing w:after="0"/>
              <w:rPr>
                <w:sz w:val="20"/>
                <w:szCs w:val="20"/>
                <w:color w:val="auto"/>
              </w:rPr>
            </w:pPr>
            <w:r>
              <w:rPr>
                <w:rFonts w:ascii="Arial" w:cs="Arial" w:eastAsia="Arial" w:hAnsi="Arial"/>
                <w:sz w:val="14"/>
                <w:szCs w:val="14"/>
                <w:color w:val="auto"/>
              </w:rPr>
              <w:t>57%</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190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rPr>
              <w:t>Andrew Quick</w:t>
            </w:r>
          </w:p>
        </w:tc>
        <w:tc>
          <w:tcPr>
            <w:tcW w:w="62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9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96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1900" w:type="dxa"/>
            <w:vAlign w:val="bottom"/>
            <w:shd w:val="clear" w:color="auto" w:fill="CCEEFF"/>
          </w:tcPr>
          <w:p>
            <w:pPr>
              <w:ind w:left="120"/>
              <w:spacing w:after="0"/>
              <w:rPr>
                <w:sz w:val="20"/>
                <w:szCs w:val="20"/>
                <w:color w:val="auto"/>
              </w:rPr>
            </w:pPr>
            <w:r>
              <w:rPr>
                <w:rFonts w:ascii="Arial" w:cs="Arial" w:eastAsia="Arial" w:hAnsi="Arial"/>
                <w:sz w:val="14"/>
                <w:szCs w:val="14"/>
                <w:color w:val="auto"/>
              </w:rPr>
              <w:t>CTO</w:t>
            </w:r>
          </w:p>
        </w:tc>
        <w:tc>
          <w:tcPr>
            <w:tcW w:w="6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403,853</w:t>
            </w: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119,723</w:t>
            </w: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36,807</w:t>
            </w:r>
          </w:p>
        </w:tc>
        <w:tc>
          <w:tcPr>
            <w:tcW w:w="180" w:type="dxa"/>
            <w:vAlign w:val="bottom"/>
            <w:shd w:val="clear" w:color="auto" w:fill="CCEEFF"/>
          </w:tcPr>
          <w:p>
            <w:pPr>
              <w:spacing w:after="0"/>
              <w:rPr>
                <w:sz w:val="14"/>
                <w:szCs w:val="14"/>
                <w:color w:val="auto"/>
              </w:rPr>
            </w:pPr>
          </w:p>
        </w:tc>
        <w:tc>
          <w:tcPr>
            <w:tcW w:w="520" w:type="dxa"/>
            <w:vAlign w:val="bottom"/>
            <w:shd w:val="clear" w:color="auto" w:fill="CCEEFF"/>
          </w:tcPr>
          <w:p>
            <w:pPr>
              <w:ind w:left="280"/>
              <w:spacing w:after="0"/>
              <w:rPr>
                <w:sz w:val="20"/>
                <w:szCs w:val="20"/>
                <w:color w:val="auto"/>
              </w:rPr>
            </w:pPr>
            <w:r>
              <w:rPr>
                <w:rFonts w:ascii="Arial" w:cs="Arial" w:eastAsia="Arial" w:hAnsi="Arial"/>
                <w:sz w:val="14"/>
                <w:szCs w:val="14"/>
                <w:color w:val="auto"/>
              </w:rPr>
              <w:t>—</w:t>
            </w:r>
          </w:p>
        </w:tc>
        <w:tc>
          <w:tcPr>
            <w:tcW w:w="106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23,592</w:t>
            </w:r>
          </w:p>
        </w:tc>
        <w:tc>
          <w:tcPr>
            <w:tcW w:w="180" w:type="dxa"/>
            <w:vAlign w:val="bottom"/>
            <w:shd w:val="clear" w:color="auto" w:fill="CCEEFF"/>
          </w:tcPr>
          <w:p>
            <w:pPr>
              <w:spacing w:after="0"/>
              <w:rPr>
                <w:sz w:val="14"/>
                <w:szCs w:val="14"/>
                <w:color w:val="auto"/>
              </w:rPr>
            </w:pPr>
          </w:p>
        </w:tc>
        <w:tc>
          <w:tcPr>
            <w:tcW w:w="50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181,914</w:t>
            </w: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765,889</w:t>
            </w:r>
          </w:p>
        </w:tc>
        <w:tc>
          <w:tcPr>
            <w:tcW w:w="980" w:type="dxa"/>
            <w:vAlign w:val="bottom"/>
            <w:gridSpan w:val="3"/>
            <w:shd w:val="clear" w:color="auto" w:fill="CCEEFF"/>
          </w:tcPr>
          <w:p>
            <w:pPr>
              <w:jc w:val="right"/>
              <w:ind w:right="100"/>
              <w:spacing w:after="0"/>
              <w:rPr>
                <w:sz w:val="20"/>
                <w:szCs w:val="20"/>
                <w:color w:val="auto"/>
              </w:rPr>
            </w:pPr>
            <w:r>
              <w:rPr>
                <w:rFonts w:ascii="Arial" w:cs="Arial" w:eastAsia="Arial" w:hAnsi="Arial"/>
                <w:sz w:val="14"/>
                <w:szCs w:val="14"/>
                <w:color w:val="auto"/>
              </w:rPr>
              <w:t>16%</w:t>
            </w:r>
          </w:p>
        </w:tc>
        <w:tc>
          <w:tcPr>
            <w:tcW w:w="720" w:type="dxa"/>
            <w:vAlign w:val="bottom"/>
            <w:gridSpan w:val="3"/>
            <w:shd w:val="clear" w:color="auto" w:fill="CCEEFF"/>
          </w:tcPr>
          <w:p>
            <w:pPr>
              <w:jc w:val="right"/>
              <w:ind w:right="80"/>
              <w:spacing w:after="0"/>
              <w:rPr>
                <w:sz w:val="20"/>
                <w:szCs w:val="20"/>
                <w:color w:val="auto"/>
              </w:rPr>
            </w:pPr>
            <w:r>
              <w:rPr>
                <w:rFonts w:ascii="Arial" w:cs="Arial" w:eastAsia="Arial" w:hAnsi="Arial"/>
                <w:sz w:val="14"/>
                <w:szCs w:val="14"/>
                <w:color w:val="auto"/>
              </w:rPr>
              <w:t>0%</w:t>
            </w:r>
          </w:p>
        </w:tc>
        <w:tc>
          <w:tcPr>
            <w:tcW w:w="1240" w:type="dxa"/>
            <w:vAlign w:val="bottom"/>
            <w:gridSpan w:val="3"/>
            <w:shd w:val="clear" w:color="auto" w:fill="CCEEFF"/>
          </w:tcPr>
          <w:p>
            <w:pPr>
              <w:jc w:val="right"/>
              <w:ind w:right="60"/>
              <w:spacing w:after="0"/>
              <w:rPr>
                <w:sz w:val="20"/>
                <w:szCs w:val="20"/>
                <w:color w:val="auto"/>
              </w:rPr>
            </w:pPr>
            <w:r>
              <w:rPr>
                <w:rFonts w:ascii="Arial" w:cs="Arial" w:eastAsia="Arial" w:hAnsi="Arial"/>
                <w:sz w:val="14"/>
                <w:szCs w:val="14"/>
                <w:color w:val="auto"/>
              </w:rPr>
              <w:t>61%</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1900" w:type="dxa"/>
            <w:vAlign w:val="bottom"/>
          </w:tcPr>
          <w:p>
            <w:pPr>
              <w:spacing w:after="0" w:line="130" w:lineRule="exact"/>
              <w:rPr>
                <w:sz w:val="20"/>
                <w:szCs w:val="20"/>
                <w:color w:val="auto"/>
              </w:rPr>
            </w:pPr>
            <w:r>
              <w:rPr>
                <w:rFonts w:ascii="Arial" w:cs="Arial" w:eastAsia="Arial" w:hAnsi="Arial"/>
                <w:sz w:val="14"/>
                <w:szCs w:val="14"/>
                <w:color w:val="auto"/>
              </w:rPr>
              <w:t>Donna Shiroma</w:t>
            </w:r>
          </w:p>
        </w:tc>
        <w:tc>
          <w:tcPr>
            <w:tcW w:w="6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1900" w:type="dxa"/>
            <w:vAlign w:val="bottom"/>
          </w:tcPr>
          <w:p>
            <w:pPr>
              <w:ind w:left="120"/>
              <w:spacing w:after="0"/>
              <w:rPr>
                <w:sz w:val="20"/>
                <w:szCs w:val="20"/>
                <w:color w:val="auto"/>
              </w:rPr>
            </w:pPr>
            <w:r>
              <w:rPr>
                <w:rFonts w:ascii="Arial" w:cs="Arial" w:eastAsia="Arial" w:hAnsi="Arial"/>
                <w:sz w:val="14"/>
                <w:szCs w:val="14"/>
                <w:color w:val="auto"/>
              </w:rPr>
              <w:t>GC</w:t>
            </w: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419,319</w:t>
            </w:r>
          </w:p>
        </w:tc>
        <w:tc>
          <w:tcPr>
            <w:tcW w:w="180" w:type="dxa"/>
            <w:vAlign w:val="bottom"/>
          </w:tcPr>
          <w:p>
            <w:pPr>
              <w:spacing w:after="0"/>
              <w:rPr>
                <w:sz w:val="15"/>
                <w:szCs w:val="15"/>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117,519</w:t>
            </w:r>
          </w:p>
        </w:tc>
        <w:tc>
          <w:tcPr>
            <w:tcW w:w="160" w:type="dxa"/>
            <w:vAlign w:val="bottom"/>
          </w:tcPr>
          <w:p>
            <w:pPr>
              <w:spacing w:after="0"/>
              <w:rPr>
                <w:sz w:val="15"/>
                <w:szCs w:val="15"/>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13,632</w:t>
            </w:r>
          </w:p>
        </w:tc>
        <w:tc>
          <w:tcPr>
            <w:tcW w:w="180" w:type="dxa"/>
            <w:vAlign w:val="bottom"/>
          </w:tcPr>
          <w:p>
            <w:pPr>
              <w:spacing w:after="0"/>
              <w:rPr>
                <w:sz w:val="15"/>
                <w:szCs w:val="15"/>
                <w:color w:val="auto"/>
              </w:rPr>
            </w:pPr>
          </w:p>
        </w:tc>
        <w:tc>
          <w:tcPr>
            <w:tcW w:w="520" w:type="dxa"/>
            <w:vAlign w:val="bottom"/>
            <w:tcBorders>
              <w:bottom w:val="single" w:sz="8" w:color="auto"/>
            </w:tcBorders>
          </w:tcPr>
          <w:p>
            <w:pPr>
              <w:ind w:left="28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5"/>
                <w:szCs w:val="15"/>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27,075</w:t>
            </w:r>
          </w:p>
        </w:tc>
        <w:tc>
          <w:tcPr>
            <w:tcW w:w="180" w:type="dxa"/>
            <w:vAlign w:val="bottom"/>
          </w:tcPr>
          <w:p>
            <w:pPr>
              <w:spacing w:after="0"/>
              <w:rPr>
                <w:sz w:val="15"/>
                <w:szCs w:val="15"/>
                <w:color w:val="auto"/>
              </w:rPr>
            </w:pPr>
          </w:p>
        </w:tc>
        <w:tc>
          <w:tcPr>
            <w:tcW w:w="50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5"/>
                <w:szCs w:val="15"/>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302,915</w:t>
            </w:r>
          </w:p>
        </w:tc>
        <w:tc>
          <w:tcPr>
            <w:tcW w:w="180" w:type="dxa"/>
            <w:vAlign w:val="bottom"/>
          </w:tcPr>
          <w:p>
            <w:pPr>
              <w:spacing w:after="0"/>
              <w:rPr>
                <w:sz w:val="15"/>
                <w:szCs w:val="15"/>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880,460</w:t>
            </w:r>
          </w:p>
        </w:tc>
        <w:tc>
          <w:tcPr>
            <w:tcW w:w="980" w:type="dxa"/>
            <w:vAlign w:val="bottom"/>
            <w:gridSpan w:val="3"/>
          </w:tcPr>
          <w:p>
            <w:pPr>
              <w:jc w:val="right"/>
              <w:ind w:right="100"/>
              <w:spacing w:after="0"/>
              <w:rPr>
                <w:sz w:val="20"/>
                <w:szCs w:val="20"/>
                <w:color w:val="auto"/>
              </w:rPr>
            </w:pPr>
            <w:r>
              <w:rPr>
                <w:rFonts w:ascii="Arial" w:cs="Arial" w:eastAsia="Arial" w:hAnsi="Arial"/>
                <w:sz w:val="14"/>
                <w:szCs w:val="14"/>
                <w:color w:val="auto"/>
              </w:rPr>
              <w:t>13%</w:t>
            </w:r>
          </w:p>
        </w:tc>
        <w:tc>
          <w:tcPr>
            <w:tcW w:w="720" w:type="dxa"/>
            <w:vAlign w:val="bottom"/>
            <w:gridSpan w:val="3"/>
          </w:tcPr>
          <w:p>
            <w:pPr>
              <w:jc w:val="right"/>
              <w:ind w:right="80"/>
              <w:spacing w:after="0"/>
              <w:rPr>
                <w:sz w:val="20"/>
                <w:szCs w:val="20"/>
                <w:color w:val="auto"/>
              </w:rPr>
            </w:pPr>
            <w:r>
              <w:rPr>
                <w:rFonts w:ascii="Arial" w:cs="Arial" w:eastAsia="Arial" w:hAnsi="Arial"/>
                <w:sz w:val="14"/>
                <w:szCs w:val="14"/>
                <w:color w:val="auto"/>
              </w:rPr>
              <w:t>0%</w:t>
            </w:r>
          </w:p>
        </w:tc>
        <w:tc>
          <w:tcPr>
            <w:tcW w:w="1240" w:type="dxa"/>
            <w:vAlign w:val="bottom"/>
            <w:gridSpan w:val="3"/>
          </w:tcPr>
          <w:p>
            <w:pPr>
              <w:jc w:val="right"/>
              <w:ind w:right="60"/>
              <w:spacing w:after="0"/>
              <w:rPr>
                <w:sz w:val="20"/>
                <w:szCs w:val="20"/>
                <w:color w:val="auto"/>
              </w:rPr>
            </w:pPr>
            <w:r>
              <w:rPr>
                <w:rFonts w:ascii="Arial" w:cs="Arial" w:eastAsia="Arial" w:hAnsi="Arial"/>
                <w:sz w:val="14"/>
                <w:szCs w:val="14"/>
                <w:color w:val="auto"/>
              </w:rPr>
              <w:t>52%</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900" w:type="dxa"/>
            <w:vAlign w:val="bottom"/>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Sub-total</w:t>
            </w:r>
          </w:p>
        </w:tc>
        <w:tc>
          <w:tcPr>
            <w:tcW w:w="6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w w:val="93"/>
              </w:rPr>
              <w:t>2,707,042</w:t>
            </w:r>
          </w:p>
        </w:tc>
        <w:tc>
          <w:tcPr>
            <w:tcW w:w="8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1,294,486</w:t>
            </w:r>
          </w:p>
        </w:tc>
        <w:tc>
          <w:tcPr>
            <w:tcW w:w="7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168,154</w:t>
            </w:r>
          </w:p>
        </w:tc>
        <w:tc>
          <w:tcPr>
            <w:tcW w:w="700" w:type="dxa"/>
            <w:vAlign w:val="bottom"/>
            <w:gridSpan w:val="2"/>
            <w:shd w:val="clear" w:color="auto" w:fill="CCEEFF"/>
          </w:tcPr>
          <w:p>
            <w:pPr>
              <w:ind w:left="220"/>
              <w:spacing w:after="0" w:line="149" w:lineRule="exact"/>
              <w:rPr>
                <w:sz w:val="20"/>
                <w:szCs w:val="20"/>
                <w:color w:val="auto"/>
              </w:rPr>
            </w:pPr>
            <w:r>
              <w:rPr>
                <w:rFonts w:ascii="Arial" w:cs="Arial" w:eastAsia="Arial" w:hAnsi="Arial"/>
                <w:sz w:val="14"/>
                <w:szCs w:val="14"/>
                <w:b w:val="1"/>
                <w:bCs w:val="1"/>
                <w:color w:val="auto"/>
                <w:w w:val="90"/>
              </w:rPr>
              <w:t>270,450</w:t>
            </w:r>
          </w:p>
        </w:tc>
        <w:tc>
          <w:tcPr>
            <w:tcW w:w="106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162,644</w:t>
            </w:r>
          </w:p>
        </w:tc>
        <w:tc>
          <w:tcPr>
            <w:tcW w:w="6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536,679</w:t>
            </w:r>
          </w:p>
        </w:tc>
        <w:tc>
          <w:tcPr>
            <w:tcW w:w="8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1,311,052</w:t>
            </w:r>
          </w:p>
        </w:tc>
        <w:tc>
          <w:tcPr>
            <w:tcW w:w="8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6,450,507</w:t>
            </w:r>
          </w:p>
        </w:tc>
        <w:tc>
          <w:tcPr>
            <w:tcW w:w="18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6"/>
        </w:trPr>
        <w:tc>
          <w:tcPr>
            <w:tcW w:w="1920" w:type="dxa"/>
            <w:vAlign w:val="bottom"/>
            <w:gridSpan w:val="2"/>
          </w:tcPr>
          <w:p>
            <w:pPr>
              <w:spacing w:after="0" w:line="155" w:lineRule="exact"/>
              <w:rPr>
                <w:sz w:val="20"/>
                <w:szCs w:val="20"/>
                <w:color w:val="auto"/>
              </w:rPr>
            </w:pPr>
            <w:r>
              <w:rPr>
                <w:rFonts w:ascii="Arial" w:cs="Arial" w:eastAsia="Arial" w:hAnsi="Arial"/>
                <w:sz w:val="14"/>
                <w:szCs w:val="14"/>
                <w:b w:val="1"/>
                <w:bCs w:val="1"/>
                <w:color w:val="auto"/>
              </w:rPr>
              <w:t>Totals</w:t>
            </w:r>
          </w:p>
        </w:tc>
        <w:tc>
          <w:tcPr>
            <w:tcW w:w="62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w w:val="93"/>
              </w:rPr>
              <w:t>2,933,640</w:t>
            </w:r>
          </w:p>
        </w:tc>
        <w:tc>
          <w:tcPr>
            <w:tcW w:w="180" w:type="dxa"/>
            <w:vAlign w:val="bottom"/>
          </w:tcPr>
          <w:p>
            <w:pPr>
              <w:spacing w:after="0"/>
              <w:rPr>
                <w:sz w:val="13"/>
                <w:szCs w:val="13"/>
                <w:color w:val="auto"/>
              </w:rPr>
            </w:pPr>
          </w:p>
        </w:tc>
        <w:tc>
          <w:tcPr>
            <w:tcW w:w="62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w w:val="93"/>
              </w:rPr>
              <w:t>1,294,486</w:t>
            </w:r>
          </w:p>
        </w:tc>
        <w:tc>
          <w:tcPr>
            <w:tcW w:w="160" w:type="dxa"/>
            <w:vAlign w:val="bottom"/>
          </w:tcPr>
          <w:p>
            <w:pPr>
              <w:spacing w:after="0"/>
              <w:rPr>
                <w:sz w:val="13"/>
                <w:szCs w:val="13"/>
                <w:color w:val="auto"/>
              </w:rPr>
            </w:pPr>
          </w:p>
        </w:tc>
        <w:tc>
          <w:tcPr>
            <w:tcW w:w="56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168,154</w:t>
            </w:r>
          </w:p>
        </w:tc>
        <w:tc>
          <w:tcPr>
            <w:tcW w:w="180" w:type="dxa"/>
            <w:vAlign w:val="bottom"/>
          </w:tcPr>
          <w:p>
            <w:pPr>
              <w:spacing w:after="0"/>
              <w:rPr>
                <w:sz w:val="13"/>
                <w:szCs w:val="13"/>
                <w:color w:val="auto"/>
              </w:rPr>
            </w:pPr>
          </w:p>
        </w:tc>
        <w:tc>
          <w:tcPr>
            <w:tcW w:w="520" w:type="dxa"/>
            <w:vAlign w:val="bottom"/>
            <w:tcBorders>
              <w:top w:val="single" w:sz="8" w:color="auto"/>
              <w:bottom w:val="single" w:sz="8" w:color="auto"/>
            </w:tcBorders>
          </w:tcPr>
          <w:p>
            <w:pPr>
              <w:ind w:left="40"/>
              <w:spacing w:after="0" w:line="155" w:lineRule="exact"/>
              <w:rPr>
                <w:sz w:val="20"/>
                <w:szCs w:val="20"/>
                <w:color w:val="auto"/>
              </w:rPr>
            </w:pPr>
            <w:r>
              <w:rPr>
                <w:rFonts w:ascii="Arial" w:cs="Arial" w:eastAsia="Arial" w:hAnsi="Arial"/>
                <w:sz w:val="14"/>
                <w:szCs w:val="14"/>
                <w:b w:val="1"/>
                <w:bCs w:val="1"/>
                <w:color w:val="auto"/>
                <w:w w:val="90"/>
              </w:rPr>
              <w:t>270,450</w:t>
            </w:r>
          </w:p>
        </w:tc>
        <w:tc>
          <w:tcPr>
            <w:tcW w:w="160" w:type="dxa"/>
            <w:vAlign w:val="bottom"/>
          </w:tcPr>
          <w:p>
            <w:pPr>
              <w:spacing w:after="0"/>
              <w:rPr>
                <w:sz w:val="13"/>
                <w:szCs w:val="13"/>
                <w:color w:val="auto"/>
              </w:rPr>
            </w:pPr>
          </w:p>
        </w:tc>
        <w:tc>
          <w:tcPr>
            <w:tcW w:w="90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175,421</w:t>
            </w:r>
          </w:p>
        </w:tc>
        <w:tc>
          <w:tcPr>
            <w:tcW w:w="180" w:type="dxa"/>
            <w:vAlign w:val="bottom"/>
          </w:tcPr>
          <w:p>
            <w:pPr>
              <w:spacing w:after="0"/>
              <w:rPr>
                <w:sz w:val="13"/>
                <w:szCs w:val="13"/>
                <w:color w:val="auto"/>
              </w:rPr>
            </w:pPr>
          </w:p>
        </w:tc>
        <w:tc>
          <w:tcPr>
            <w:tcW w:w="50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w w:val="94"/>
              </w:rPr>
              <w:t>627,554</w:t>
            </w:r>
          </w:p>
        </w:tc>
        <w:tc>
          <w:tcPr>
            <w:tcW w:w="180" w:type="dxa"/>
            <w:vAlign w:val="bottom"/>
          </w:tcPr>
          <w:p>
            <w:pPr>
              <w:spacing w:after="0"/>
              <w:rPr>
                <w:sz w:val="13"/>
                <w:szCs w:val="13"/>
                <w:color w:val="auto"/>
              </w:rPr>
            </w:pPr>
          </w:p>
        </w:tc>
        <w:tc>
          <w:tcPr>
            <w:tcW w:w="62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w w:val="96"/>
              </w:rPr>
              <w:t>1,311,052</w:t>
            </w:r>
          </w:p>
        </w:tc>
        <w:tc>
          <w:tcPr>
            <w:tcW w:w="180" w:type="dxa"/>
            <w:vAlign w:val="bottom"/>
          </w:tcPr>
          <w:p>
            <w:pPr>
              <w:spacing w:after="0"/>
              <w:rPr>
                <w:sz w:val="13"/>
                <w:szCs w:val="13"/>
                <w:color w:val="auto"/>
              </w:rPr>
            </w:pPr>
          </w:p>
        </w:tc>
        <w:tc>
          <w:tcPr>
            <w:tcW w:w="62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w w:val="96"/>
              </w:rPr>
              <w:t>6,780,757</w:t>
            </w:r>
          </w:p>
        </w:tc>
        <w:tc>
          <w:tcPr>
            <w:tcW w:w="1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38" w:lineRule="exact"/>
        <w:rPr>
          <w:sz w:val="20"/>
          <w:szCs w:val="20"/>
          <w:color w:val="auto"/>
        </w:rPr>
      </w:pPr>
    </w:p>
    <w:p>
      <w:pPr>
        <w:ind w:left="640" w:hanging="436"/>
        <w:spacing w:after="0"/>
        <w:tabs>
          <w:tab w:leader="none" w:pos="640" w:val="left"/>
        </w:tabs>
        <w:numPr>
          <w:ilvl w:val="0"/>
          <w:numId w:val="33"/>
        </w:numPr>
        <w:rPr>
          <w:rFonts w:ascii="Arial" w:cs="Arial" w:eastAsia="Arial" w:hAnsi="Arial"/>
          <w:sz w:val="13"/>
          <w:szCs w:val="13"/>
          <w:color w:val="auto"/>
        </w:rPr>
      </w:pPr>
      <w:r>
        <w:rPr>
          <w:rFonts w:ascii="Arial" w:cs="Arial" w:eastAsia="Arial" w:hAnsi="Arial"/>
          <w:sz w:val="13"/>
          <w:szCs w:val="13"/>
          <w:color w:val="auto"/>
        </w:rPr>
        <w:t>Non-salary cash-based incentives % is equal to profit share and bonuses divided by total compensation. Shares or units % is equal to shares or units divided by total compensation.</w:t>
      </w:r>
    </w:p>
    <w:p>
      <w:pPr>
        <w:spacing w:after="0" w:line="120" w:lineRule="exact"/>
        <w:rPr>
          <w:rFonts w:ascii="Arial" w:cs="Arial" w:eastAsia="Arial" w:hAnsi="Arial"/>
          <w:sz w:val="13"/>
          <w:szCs w:val="13"/>
          <w:color w:val="auto"/>
        </w:rPr>
      </w:pPr>
    </w:p>
    <w:p>
      <w:pPr>
        <w:ind w:left="640" w:right="80" w:hanging="436"/>
        <w:spacing w:after="0" w:line="231" w:lineRule="auto"/>
        <w:tabs>
          <w:tab w:leader="none" w:pos="640" w:val="left"/>
        </w:tabs>
        <w:numPr>
          <w:ilvl w:val="0"/>
          <w:numId w:val="33"/>
        </w:numPr>
        <w:rPr>
          <w:rFonts w:ascii="Arial" w:cs="Arial" w:eastAsia="Arial" w:hAnsi="Arial"/>
          <w:sz w:val="14"/>
          <w:szCs w:val="14"/>
          <w:color w:val="auto"/>
        </w:rPr>
      </w:pPr>
      <w:r>
        <w:rPr>
          <w:rFonts w:ascii="Arial" w:cs="Arial" w:eastAsia="Arial" w:hAnsi="Arial"/>
          <w:sz w:val="14"/>
          <w:szCs w:val="14"/>
          <w:color w:val="auto"/>
        </w:rPr>
        <w:t>The percentage disclosed does not include the value of options expensed during the year or pension and superannuation benefits paid per the requirements of corporations act (Australia) 2001. Thus, the sum of the percentages for compensation related to performance and compensation not related to performance disclosed for certain individuals may be less than 100%. Proportion of elements of remuneration not related to performance is equal to the sum of salary, fees and leave, non-monetary benefits, pension and superannuation and other compensation, divided by total compensation. As an example, for Dr. Michael Perry, this calculation would be as follows: (A$663,926+A$27,608+A$43,148) / A$2,188,272 = 34%</w:t>
      </w:r>
    </w:p>
    <w:p>
      <w:pPr>
        <w:spacing w:after="0" w:line="121"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60</w:t>
      </w:r>
    </w:p>
    <w:p>
      <w:pPr>
        <w:sectPr>
          <w:pgSz w:w="11900" w:h="16838" w:orient="portrait"/>
          <w:cols w:equalWidth="0" w:num="1">
            <w:col w:w="11240"/>
          </w:cols>
          <w:pgMar w:left="240" w:top="459" w:right="419" w:bottom="1440" w:gutter="0" w:footer="0" w:header="0"/>
        </w:sectPr>
      </w:pPr>
    </w:p>
    <w:bookmarkStart w:id="62" w:name="page63"/>
    <w:bookmarkEnd w:id="6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640" w:hanging="436"/>
        <w:spacing w:after="0" w:line="253" w:lineRule="auto"/>
        <w:tabs>
          <w:tab w:leader="none" w:pos="640" w:val="left"/>
        </w:tabs>
        <w:numPr>
          <w:ilvl w:val="0"/>
          <w:numId w:val="34"/>
        </w:numPr>
        <w:rPr>
          <w:rFonts w:ascii="Arial" w:cs="Arial" w:eastAsia="Arial" w:hAnsi="Arial"/>
          <w:sz w:val="14"/>
          <w:szCs w:val="14"/>
          <w:color w:val="auto"/>
        </w:rPr>
      </w:pPr>
      <w:r>
        <w:rPr>
          <w:rFonts w:ascii="Arial" w:cs="Arial" w:eastAsia="Arial" w:hAnsi="Arial"/>
          <w:sz w:val="14"/>
          <w:szCs w:val="14"/>
          <w:color w:val="auto"/>
        </w:rPr>
        <w:t>On November 30, 2017, 50,000,000 Restrictive Stock Units, issued as part of a long term incentive, or “LTI,” each equal to one ordinary share, were issued to Dr. Michael Perry based on the following milestones:</w:t>
      </w:r>
    </w:p>
    <w:p>
      <w:pPr>
        <w:spacing w:after="0" w:line="79" w:lineRule="exact"/>
        <w:rPr>
          <w:rFonts w:ascii="Arial" w:cs="Arial" w:eastAsia="Arial" w:hAnsi="Arial"/>
          <w:sz w:val="14"/>
          <w:szCs w:val="14"/>
          <w:color w:val="auto"/>
        </w:rPr>
      </w:pPr>
    </w:p>
    <w:p>
      <w:pPr>
        <w:ind w:left="960" w:hanging="324"/>
        <w:spacing w:after="0"/>
        <w:tabs>
          <w:tab w:leader="none" w:pos="960" w:val="left"/>
        </w:tabs>
        <w:numPr>
          <w:ilvl w:val="1"/>
          <w:numId w:val="34"/>
        </w:numPr>
        <w:rPr>
          <w:rFonts w:ascii="Arial" w:cs="Arial" w:eastAsia="Arial" w:hAnsi="Arial"/>
          <w:sz w:val="14"/>
          <w:szCs w:val="14"/>
          <w:color w:val="auto"/>
        </w:rPr>
      </w:pPr>
      <w:r>
        <w:rPr>
          <w:rFonts w:ascii="Arial" w:cs="Arial" w:eastAsia="Arial" w:hAnsi="Arial"/>
          <w:sz w:val="14"/>
          <w:szCs w:val="14"/>
          <w:color w:val="auto"/>
        </w:rPr>
        <w:t>Tenure – a total of 16,666,666 LTIs issued but to vest over the three-year period commencing July 1, 2017;</w:t>
      </w:r>
    </w:p>
    <w:p>
      <w:pPr>
        <w:spacing w:after="0" w:line="109" w:lineRule="exact"/>
        <w:rPr>
          <w:rFonts w:ascii="Arial" w:cs="Arial" w:eastAsia="Arial" w:hAnsi="Arial"/>
          <w:sz w:val="14"/>
          <w:szCs w:val="14"/>
          <w:color w:val="auto"/>
        </w:rPr>
      </w:pPr>
    </w:p>
    <w:p>
      <w:pPr>
        <w:ind w:left="960" w:right="80" w:hanging="324"/>
        <w:spacing w:after="0" w:line="291" w:lineRule="auto"/>
        <w:tabs>
          <w:tab w:leader="none" w:pos="960" w:val="left"/>
        </w:tabs>
        <w:numPr>
          <w:ilvl w:val="1"/>
          <w:numId w:val="34"/>
        </w:numPr>
        <w:rPr>
          <w:rFonts w:ascii="Arial" w:cs="Arial" w:eastAsia="Arial" w:hAnsi="Arial"/>
          <w:sz w:val="13"/>
          <w:szCs w:val="13"/>
          <w:color w:val="auto"/>
        </w:rPr>
      </w:pPr>
      <w:r>
        <w:rPr>
          <w:rFonts w:ascii="Arial" w:cs="Arial" w:eastAsia="Arial" w:hAnsi="Arial"/>
          <w:sz w:val="13"/>
          <w:szCs w:val="13"/>
          <w:color w:val="auto"/>
        </w:rPr>
        <w:t>Company Share Price – a total of 16,666,666 LTIs issued but to vest in three equal tranches subject to the Volume Weighted Average Price (VWAP) of Company share price (as at close of trade on the ASX on relevant date) achieving multiples of 2x, 3x and 4x the Company’s share price at the time of shareholder approval; and</w:t>
      </w:r>
    </w:p>
    <w:p>
      <w:pPr>
        <w:spacing w:after="0" w:line="56" w:lineRule="exact"/>
        <w:rPr>
          <w:rFonts w:ascii="Arial" w:cs="Arial" w:eastAsia="Arial" w:hAnsi="Arial"/>
          <w:sz w:val="13"/>
          <w:szCs w:val="13"/>
          <w:color w:val="auto"/>
        </w:rPr>
      </w:pPr>
    </w:p>
    <w:p>
      <w:pPr>
        <w:ind w:left="960" w:right="20" w:hanging="324"/>
        <w:spacing w:after="0" w:line="253" w:lineRule="auto"/>
        <w:tabs>
          <w:tab w:leader="none" w:pos="960" w:val="left"/>
        </w:tabs>
        <w:numPr>
          <w:ilvl w:val="1"/>
          <w:numId w:val="34"/>
        </w:numPr>
        <w:rPr>
          <w:rFonts w:ascii="Arial" w:cs="Arial" w:eastAsia="Arial" w:hAnsi="Arial"/>
          <w:sz w:val="14"/>
          <w:szCs w:val="14"/>
          <w:color w:val="auto"/>
        </w:rPr>
      </w:pPr>
      <w:r>
        <w:rPr>
          <w:rFonts w:ascii="Arial" w:cs="Arial" w:eastAsia="Arial" w:hAnsi="Arial"/>
          <w:sz w:val="14"/>
          <w:szCs w:val="14"/>
          <w:color w:val="auto"/>
        </w:rPr>
        <w:t>Milestone performance – a total of 16,666,668 LTIs issued, but to vest in two equal tranches with one tranche to vest upon the achievement of the following milestones: (1) FDA PMA approval of RECELL for burns, and (2) Initial BARDA procurement under CLIN2 of the BARDA Contract</w:t>
      </w:r>
    </w:p>
    <w:p>
      <w:pPr>
        <w:spacing w:after="0" w:line="79" w:lineRule="exact"/>
        <w:rPr>
          <w:rFonts w:ascii="Arial" w:cs="Arial" w:eastAsia="Arial" w:hAnsi="Arial"/>
          <w:sz w:val="14"/>
          <w:szCs w:val="14"/>
          <w:color w:val="auto"/>
        </w:rPr>
      </w:pPr>
    </w:p>
    <w:p>
      <w:pPr>
        <w:ind w:left="640" w:hanging="436"/>
        <w:spacing w:after="0"/>
        <w:tabs>
          <w:tab w:leader="none" w:pos="640" w:val="left"/>
        </w:tabs>
        <w:numPr>
          <w:ilvl w:val="0"/>
          <w:numId w:val="34"/>
        </w:numPr>
        <w:rPr>
          <w:rFonts w:ascii="Arial" w:cs="Arial" w:eastAsia="Arial" w:hAnsi="Arial"/>
          <w:sz w:val="14"/>
          <w:szCs w:val="14"/>
          <w:color w:val="auto"/>
        </w:rPr>
      </w:pPr>
      <w:r>
        <w:rPr>
          <w:rFonts w:ascii="Arial" w:cs="Arial" w:eastAsia="Arial" w:hAnsi="Arial"/>
          <w:sz w:val="14"/>
          <w:szCs w:val="14"/>
          <w:color w:val="auto"/>
        </w:rPr>
        <w:t>Mr. Sander resigned and Chief Financial Officer effective May 15, 2019.</w:t>
      </w:r>
    </w:p>
    <w:p>
      <w:pPr>
        <w:spacing w:after="0" w:line="316" w:lineRule="exact"/>
        <w:rPr>
          <w:sz w:val="20"/>
          <w:szCs w:val="20"/>
          <w:color w:val="auto"/>
        </w:rPr>
      </w:pPr>
    </w:p>
    <w:p>
      <w:pPr>
        <w:ind w:left="200"/>
        <w:spacing w:after="0"/>
        <w:rPr>
          <w:sz w:val="20"/>
          <w:szCs w:val="20"/>
          <w:color w:val="auto"/>
        </w:rPr>
      </w:pPr>
      <w:r>
        <w:rPr>
          <w:rFonts w:ascii="Arial" w:cs="Arial" w:eastAsia="Arial" w:hAnsi="Arial"/>
          <w:sz w:val="18"/>
          <w:szCs w:val="18"/>
          <w:u w:val="single" w:color="auto"/>
          <w:color w:val="auto"/>
        </w:rPr>
        <w:t>Table 3: Compensation of Key Management Personnel</w:t>
      </w:r>
    </w:p>
    <w:p>
      <w:pPr>
        <w:spacing w:after="0" w:line="231" w:lineRule="exact"/>
        <w:rPr>
          <w:sz w:val="20"/>
          <w:szCs w:val="20"/>
          <w:color w:val="auto"/>
        </w:rPr>
      </w:pPr>
    </w:p>
    <w:tbl>
      <w:tblPr>
        <w:tblLayout w:type="fixed"/>
        <w:tblInd w:w="152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840" w:type="dxa"/>
            <w:vAlign w:val="bottom"/>
          </w:tcPr>
          <w:p>
            <w:pPr>
              <w:spacing w:after="0"/>
              <w:rPr>
                <w:sz w:val="14"/>
                <w:szCs w:val="14"/>
                <w:color w:val="auto"/>
              </w:rPr>
            </w:pPr>
          </w:p>
        </w:tc>
        <w:tc>
          <w:tcPr>
            <w:tcW w:w="940" w:type="dxa"/>
            <w:vAlign w:val="bottom"/>
          </w:tcPr>
          <w:p>
            <w:pPr>
              <w:jc w:val="right"/>
              <w:ind w:right="256"/>
              <w:spacing w:after="0"/>
              <w:rPr>
                <w:sz w:val="20"/>
                <w:szCs w:val="20"/>
                <w:color w:val="auto"/>
              </w:rPr>
            </w:pPr>
            <w:r>
              <w:rPr>
                <w:rFonts w:ascii="Arial" w:cs="Arial" w:eastAsia="Arial" w:hAnsi="Arial"/>
                <w:sz w:val="14"/>
                <w:szCs w:val="14"/>
                <w:b w:val="1"/>
                <w:bCs w:val="1"/>
                <w:color w:val="auto"/>
              </w:rPr>
              <w:t>2019</w:t>
            </w:r>
          </w:p>
        </w:tc>
        <w:tc>
          <w:tcPr>
            <w:tcW w:w="1240" w:type="dxa"/>
            <w:vAlign w:val="bottom"/>
            <w:gridSpan w:val="2"/>
          </w:tcPr>
          <w:p>
            <w:pPr>
              <w:jc w:val="right"/>
              <w:ind w:right="256"/>
              <w:spacing w:after="0"/>
              <w:rPr>
                <w:sz w:val="20"/>
                <w:szCs w:val="20"/>
                <w:color w:val="auto"/>
              </w:rPr>
            </w:pPr>
            <w:r>
              <w:rPr>
                <w:rFonts w:ascii="Arial" w:cs="Arial" w:eastAsia="Arial" w:hAnsi="Arial"/>
                <w:sz w:val="14"/>
                <w:szCs w:val="14"/>
                <w:b w:val="1"/>
                <w:bCs w:val="1"/>
                <w:color w:val="auto"/>
              </w:rPr>
              <w:t>2018</w:t>
            </w:r>
          </w:p>
        </w:tc>
        <w:tc>
          <w:tcPr>
            <w:tcW w:w="1260" w:type="dxa"/>
            <w:vAlign w:val="bottom"/>
            <w:gridSpan w:val="2"/>
          </w:tcPr>
          <w:p>
            <w:pPr>
              <w:jc w:val="right"/>
              <w:ind w:right="256"/>
              <w:spacing w:after="0"/>
              <w:rPr>
                <w:sz w:val="20"/>
                <w:szCs w:val="20"/>
                <w:color w:val="auto"/>
              </w:rPr>
            </w:pPr>
            <w:r>
              <w:rPr>
                <w:rFonts w:ascii="Arial" w:cs="Arial" w:eastAsia="Arial" w:hAnsi="Arial"/>
                <w:sz w:val="14"/>
                <w:szCs w:val="14"/>
                <w:b w:val="1"/>
                <w:bCs w:val="1"/>
                <w:color w:val="auto"/>
              </w:rPr>
              <w:t>2017</w:t>
            </w:r>
          </w:p>
        </w:tc>
        <w:tc>
          <w:tcPr>
            <w:tcW w:w="80" w:type="dxa"/>
            <w:vAlign w:val="bottom"/>
          </w:tcPr>
          <w:p>
            <w:pPr>
              <w:spacing w:after="0"/>
              <w:rPr>
                <w:sz w:val="14"/>
                <w:szCs w:val="14"/>
                <w:color w:val="auto"/>
              </w:rPr>
            </w:pPr>
          </w:p>
        </w:tc>
      </w:tr>
      <w:tr>
        <w:trPr>
          <w:trHeight w:val="171"/>
        </w:trPr>
        <w:tc>
          <w:tcPr>
            <w:tcW w:w="20" w:type="dxa"/>
            <w:vAlign w:val="bottom"/>
          </w:tcPr>
          <w:p>
            <w:pPr>
              <w:spacing w:after="0"/>
              <w:rPr>
                <w:sz w:val="14"/>
                <w:szCs w:val="14"/>
                <w:color w:val="auto"/>
              </w:rPr>
            </w:pPr>
          </w:p>
        </w:tc>
        <w:tc>
          <w:tcPr>
            <w:tcW w:w="4840" w:type="dxa"/>
            <w:vAlign w:val="bottom"/>
          </w:tcPr>
          <w:p>
            <w:pPr>
              <w:spacing w:after="0"/>
              <w:rPr>
                <w:sz w:val="14"/>
                <w:szCs w:val="14"/>
                <w:color w:val="auto"/>
              </w:rPr>
            </w:pPr>
          </w:p>
        </w:tc>
        <w:tc>
          <w:tcPr>
            <w:tcW w:w="940" w:type="dxa"/>
            <w:vAlign w:val="bottom"/>
          </w:tcPr>
          <w:p>
            <w:pPr>
              <w:jc w:val="right"/>
              <w:ind w:right="316"/>
              <w:spacing w:after="0"/>
              <w:rPr>
                <w:sz w:val="20"/>
                <w:szCs w:val="20"/>
                <w:color w:val="auto"/>
              </w:rPr>
            </w:pPr>
            <w:r>
              <w:rPr>
                <w:rFonts w:ascii="Arial" w:cs="Arial" w:eastAsia="Arial" w:hAnsi="Arial"/>
                <w:sz w:val="14"/>
                <w:szCs w:val="14"/>
                <w:b w:val="1"/>
                <w:bCs w:val="1"/>
                <w:color w:val="auto"/>
              </w:rPr>
              <w:t>A$</w:t>
            </w:r>
          </w:p>
        </w:tc>
        <w:tc>
          <w:tcPr>
            <w:tcW w:w="300" w:type="dxa"/>
            <w:vAlign w:val="bottom"/>
          </w:tcPr>
          <w:p>
            <w:pPr>
              <w:spacing w:after="0"/>
              <w:rPr>
                <w:sz w:val="14"/>
                <w:szCs w:val="14"/>
                <w:color w:val="auto"/>
              </w:rPr>
            </w:pPr>
          </w:p>
        </w:tc>
        <w:tc>
          <w:tcPr>
            <w:tcW w:w="940" w:type="dxa"/>
            <w:vAlign w:val="bottom"/>
          </w:tcPr>
          <w:p>
            <w:pPr>
              <w:jc w:val="right"/>
              <w:ind w:right="316"/>
              <w:spacing w:after="0"/>
              <w:rPr>
                <w:sz w:val="20"/>
                <w:szCs w:val="20"/>
                <w:color w:val="auto"/>
              </w:rPr>
            </w:pPr>
            <w:r>
              <w:rPr>
                <w:rFonts w:ascii="Arial" w:cs="Arial" w:eastAsia="Arial" w:hAnsi="Arial"/>
                <w:sz w:val="14"/>
                <w:szCs w:val="14"/>
                <w:b w:val="1"/>
                <w:bCs w:val="1"/>
                <w:color w:val="auto"/>
              </w:rPr>
              <w:t>A$</w:t>
            </w:r>
          </w:p>
        </w:tc>
        <w:tc>
          <w:tcPr>
            <w:tcW w:w="300" w:type="dxa"/>
            <w:vAlign w:val="bottom"/>
          </w:tcPr>
          <w:p>
            <w:pPr>
              <w:spacing w:after="0"/>
              <w:rPr>
                <w:sz w:val="14"/>
                <w:szCs w:val="14"/>
                <w:color w:val="auto"/>
              </w:rPr>
            </w:pPr>
          </w:p>
        </w:tc>
        <w:tc>
          <w:tcPr>
            <w:tcW w:w="1040" w:type="dxa"/>
            <w:vAlign w:val="bottom"/>
            <w:gridSpan w:val="2"/>
          </w:tcPr>
          <w:p>
            <w:pPr>
              <w:ind w:left="380"/>
              <w:spacing w:after="0"/>
              <w:rPr>
                <w:sz w:val="20"/>
                <w:szCs w:val="20"/>
                <w:color w:val="auto"/>
              </w:rPr>
            </w:pPr>
            <w:r>
              <w:rPr>
                <w:rFonts w:ascii="Arial" w:cs="Arial" w:eastAsia="Arial" w:hAnsi="Arial"/>
                <w:sz w:val="14"/>
                <w:szCs w:val="14"/>
                <w:b w:val="1"/>
                <w:bCs w:val="1"/>
                <w:color w:val="auto"/>
              </w:rPr>
              <w:t>A$</w:t>
            </w:r>
          </w:p>
        </w:tc>
      </w:tr>
      <w:tr>
        <w:trPr>
          <w:trHeight w:val="210"/>
        </w:trPr>
        <w:tc>
          <w:tcPr>
            <w:tcW w:w="20" w:type="dxa"/>
            <w:vAlign w:val="bottom"/>
          </w:tcPr>
          <w:p>
            <w:pPr>
              <w:spacing w:after="0"/>
              <w:rPr>
                <w:sz w:val="18"/>
                <w:szCs w:val="18"/>
                <w:color w:val="auto"/>
              </w:rPr>
            </w:pPr>
          </w:p>
        </w:tc>
        <w:tc>
          <w:tcPr>
            <w:tcW w:w="48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Short-term employee benefits</w:t>
            </w: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4,396,280</w:t>
            </w:r>
          </w:p>
        </w:tc>
        <w:tc>
          <w:tcPr>
            <w:tcW w:w="300" w:type="dxa"/>
            <w:vAlign w:val="bottom"/>
            <w:tcBorders>
              <w:top w:val="single" w:sz="8" w:color="CCEEFF"/>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3,770,141</w:t>
            </w:r>
          </w:p>
        </w:tc>
        <w:tc>
          <w:tcPr>
            <w:tcW w:w="300" w:type="dxa"/>
            <w:vAlign w:val="bottom"/>
            <w:tcBorders>
              <w:top w:val="single" w:sz="8" w:color="CCEEFF"/>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2,933,510</w:t>
            </w:r>
          </w:p>
        </w:tc>
        <w:tc>
          <w:tcPr>
            <w:tcW w:w="80" w:type="dxa"/>
            <w:vAlign w:val="bottom"/>
            <w:tcBorders>
              <w:top w:val="single" w:sz="8" w:color="CCEEFF"/>
            </w:tcBorders>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840" w:type="dxa"/>
            <w:vAlign w:val="bottom"/>
          </w:tcPr>
          <w:p>
            <w:pPr>
              <w:spacing w:after="0"/>
              <w:rPr>
                <w:sz w:val="20"/>
                <w:szCs w:val="20"/>
                <w:color w:val="auto"/>
              </w:rPr>
            </w:pPr>
            <w:r>
              <w:rPr>
                <w:rFonts w:ascii="Arial" w:cs="Arial" w:eastAsia="Arial" w:hAnsi="Arial"/>
                <w:sz w:val="18"/>
                <w:szCs w:val="18"/>
                <w:color w:val="auto"/>
              </w:rPr>
              <w:t>Post-employment employee benefits</w:t>
            </w:r>
          </w:p>
        </w:tc>
        <w:tc>
          <w:tcPr>
            <w:tcW w:w="940" w:type="dxa"/>
            <w:vAlign w:val="bottom"/>
          </w:tcPr>
          <w:p>
            <w:pPr>
              <w:jc w:val="right"/>
              <w:spacing w:after="0"/>
              <w:rPr>
                <w:sz w:val="20"/>
                <w:szCs w:val="20"/>
                <w:color w:val="auto"/>
              </w:rPr>
            </w:pPr>
            <w:r>
              <w:rPr>
                <w:rFonts w:ascii="Arial" w:cs="Arial" w:eastAsia="Arial" w:hAnsi="Arial"/>
                <w:sz w:val="18"/>
                <w:szCs w:val="18"/>
                <w:color w:val="auto"/>
              </w:rPr>
              <w:t>445,871</w:t>
            </w:r>
          </w:p>
        </w:tc>
        <w:tc>
          <w:tcPr>
            <w:tcW w:w="1240" w:type="dxa"/>
            <w:vAlign w:val="bottom"/>
            <w:gridSpan w:val="2"/>
          </w:tcPr>
          <w:p>
            <w:pPr>
              <w:jc w:val="right"/>
              <w:spacing w:after="0"/>
              <w:rPr>
                <w:sz w:val="20"/>
                <w:szCs w:val="20"/>
                <w:color w:val="auto"/>
              </w:rPr>
            </w:pPr>
            <w:r>
              <w:rPr>
                <w:rFonts w:ascii="Arial" w:cs="Arial" w:eastAsia="Arial" w:hAnsi="Arial"/>
                <w:sz w:val="18"/>
                <w:szCs w:val="18"/>
                <w:color w:val="auto"/>
              </w:rPr>
              <w:t>90,512</w:t>
            </w:r>
          </w:p>
        </w:tc>
        <w:tc>
          <w:tcPr>
            <w:tcW w:w="1260" w:type="dxa"/>
            <w:vAlign w:val="bottom"/>
            <w:gridSpan w:val="2"/>
          </w:tcPr>
          <w:p>
            <w:pPr>
              <w:jc w:val="right"/>
              <w:spacing w:after="0"/>
              <w:rPr>
                <w:sz w:val="20"/>
                <w:szCs w:val="20"/>
                <w:color w:val="auto"/>
              </w:rPr>
            </w:pPr>
            <w:r>
              <w:rPr>
                <w:rFonts w:ascii="Arial" w:cs="Arial" w:eastAsia="Arial" w:hAnsi="Arial"/>
                <w:sz w:val="18"/>
                <w:szCs w:val="18"/>
                <w:color w:val="auto"/>
              </w:rPr>
              <w:t>112,034</w:t>
            </w:r>
          </w:p>
        </w:tc>
        <w:tc>
          <w:tcPr>
            <w:tcW w:w="8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840" w:type="dxa"/>
            <w:vAlign w:val="bottom"/>
            <w:shd w:val="clear" w:color="auto" w:fill="CCEEFF"/>
          </w:tcPr>
          <w:p>
            <w:pPr>
              <w:spacing w:after="0"/>
              <w:rPr>
                <w:sz w:val="20"/>
                <w:szCs w:val="20"/>
                <w:color w:val="auto"/>
              </w:rPr>
            </w:pPr>
            <w:r>
              <w:rPr>
                <w:rFonts w:ascii="Arial" w:cs="Arial" w:eastAsia="Arial" w:hAnsi="Arial"/>
                <w:sz w:val="18"/>
                <w:szCs w:val="18"/>
                <w:color w:val="auto"/>
              </w:rPr>
              <w:t>Share-based payment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1,938,606</w:t>
            </w:r>
          </w:p>
        </w:tc>
        <w:tc>
          <w:tcPr>
            <w:tcW w:w="1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1,596,368</w:t>
            </w:r>
          </w:p>
        </w:tc>
        <w:tc>
          <w:tcPr>
            <w:tcW w:w="1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1,215,809</w:t>
            </w:r>
          </w:p>
        </w:tc>
        <w:tc>
          <w:tcPr>
            <w:tcW w:w="80" w:type="dxa"/>
            <w:vAlign w:val="bottom"/>
            <w:shd w:val="clear" w:color="auto" w:fill="CCEEFF"/>
          </w:tcPr>
          <w:p>
            <w:pPr>
              <w:spacing w:after="0"/>
              <w:rPr>
                <w:sz w:val="18"/>
                <w:szCs w:val="18"/>
                <w:color w:val="auto"/>
              </w:rPr>
            </w:pPr>
          </w:p>
        </w:tc>
      </w:tr>
      <w:tr>
        <w:trPr>
          <w:trHeight w:val="223"/>
        </w:trPr>
        <w:tc>
          <w:tcPr>
            <w:tcW w:w="4860" w:type="dxa"/>
            <w:vAlign w:val="bottom"/>
            <w:gridSpan w:val="2"/>
          </w:tcPr>
          <w:p>
            <w:pPr>
              <w:spacing w:after="0"/>
              <w:rPr>
                <w:sz w:val="20"/>
                <w:szCs w:val="20"/>
                <w:color w:val="auto"/>
              </w:rPr>
            </w:pPr>
            <w:r>
              <w:rPr>
                <w:rFonts w:ascii="Arial" w:cs="Arial" w:eastAsia="Arial" w:hAnsi="Arial"/>
                <w:sz w:val="18"/>
                <w:szCs w:val="18"/>
                <w:b w:val="1"/>
                <w:bCs w:val="1"/>
                <w:color w:val="auto"/>
              </w:rPr>
              <w:t>Total compensation</w:t>
            </w: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6,780,757</w:t>
            </w:r>
          </w:p>
        </w:tc>
        <w:tc>
          <w:tcPr>
            <w:tcW w:w="300" w:type="dxa"/>
            <w:vAlign w:val="bottom"/>
          </w:tcPr>
          <w:p>
            <w:pPr>
              <w:spacing w:after="0"/>
              <w:rPr>
                <w:sz w:val="19"/>
                <w:szCs w:val="19"/>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5,457,021</w:t>
            </w:r>
          </w:p>
        </w:tc>
        <w:tc>
          <w:tcPr>
            <w:tcW w:w="300" w:type="dxa"/>
            <w:vAlign w:val="bottom"/>
          </w:tcPr>
          <w:p>
            <w:pPr>
              <w:spacing w:after="0"/>
              <w:rPr>
                <w:sz w:val="19"/>
                <w:szCs w:val="19"/>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4,261,353</w:t>
            </w:r>
          </w:p>
        </w:tc>
        <w:tc>
          <w:tcPr>
            <w:tcW w:w="80" w:type="dxa"/>
            <w:vAlign w:val="bottom"/>
          </w:tcPr>
          <w:p>
            <w:pPr>
              <w:spacing w:after="0"/>
              <w:rPr>
                <w:sz w:val="19"/>
                <w:szCs w:val="19"/>
                <w:color w:val="auto"/>
              </w:rPr>
            </w:pPr>
          </w:p>
        </w:tc>
      </w:tr>
      <w:tr>
        <w:trPr>
          <w:trHeight w:val="20"/>
        </w:trPr>
        <w:tc>
          <w:tcPr>
            <w:tcW w:w="20" w:type="dxa"/>
            <w:vAlign w:val="bottom"/>
          </w:tcPr>
          <w:p>
            <w:pPr>
              <w:spacing w:after="0" w:line="20" w:lineRule="exact"/>
              <w:rPr>
                <w:sz w:val="1"/>
                <w:szCs w:val="1"/>
                <w:color w:val="auto"/>
              </w:rPr>
            </w:pPr>
          </w:p>
        </w:tc>
        <w:tc>
          <w:tcPr>
            <w:tcW w:w="484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323" w:lineRule="exact"/>
        <w:rPr>
          <w:sz w:val="20"/>
          <w:szCs w:val="20"/>
          <w:color w:val="auto"/>
        </w:rPr>
      </w:pPr>
    </w:p>
    <w:p>
      <w:pPr>
        <w:ind w:left="200"/>
        <w:spacing w:after="0"/>
        <w:rPr>
          <w:sz w:val="20"/>
          <w:szCs w:val="20"/>
          <w:color w:val="auto"/>
        </w:rPr>
      </w:pPr>
      <w:r>
        <w:rPr>
          <w:rFonts w:ascii="Arial" w:cs="Arial" w:eastAsia="Arial" w:hAnsi="Arial"/>
          <w:sz w:val="18"/>
          <w:szCs w:val="18"/>
          <w:u w:val="single" w:color="auto"/>
          <w:color w:val="auto"/>
        </w:rPr>
        <w:t>Table 4: Option Holdings of Key Management Personnel</w:t>
      </w:r>
    </w:p>
    <w:p>
      <w:pPr>
        <w:spacing w:after="0" w:line="117" w:lineRule="exact"/>
        <w:rPr>
          <w:sz w:val="20"/>
          <w:szCs w:val="20"/>
          <w:color w:val="auto"/>
        </w:rPr>
      </w:pPr>
    </w:p>
    <w:p>
      <w:pPr>
        <w:jc w:val="both"/>
        <w:ind w:left="200" w:right="20" w:firstLine="441"/>
        <w:spacing w:after="0" w:line="286" w:lineRule="auto"/>
        <w:rPr>
          <w:sz w:val="20"/>
          <w:szCs w:val="20"/>
          <w:color w:val="auto"/>
        </w:rPr>
      </w:pPr>
      <w:r>
        <w:rPr>
          <w:rFonts w:ascii="Arial" w:cs="Arial" w:eastAsia="Arial" w:hAnsi="Arial"/>
          <w:sz w:val="17"/>
          <w:szCs w:val="17"/>
          <w:color w:val="auto"/>
        </w:rPr>
        <w:t>The fair value of options granted as remuneration and as shown in the above table has been determined in accordance with Australian Accounting Standards and will be recognized as an expense over the relevant vesting period to the extent that conditions necessary for vesting are satisfied. Options issued to key management personnel have vesting criteria corresponding to the following conditions:</w:t>
      </w:r>
    </w:p>
    <w:p>
      <w:pPr>
        <w:spacing w:after="0" w:line="71" w:lineRule="exact"/>
        <w:rPr>
          <w:sz w:val="20"/>
          <w:szCs w:val="20"/>
          <w:color w:val="auto"/>
        </w:rPr>
      </w:pPr>
    </w:p>
    <w:p>
      <w:pPr>
        <w:ind w:left="1180" w:hanging="436"/>
        <w:spacing w:after="0"/>
        <w:tabs>
          <w:tab w:leader="none" w:pos="1180" w:val="left"/>
        </w:tabs>
        <w:numPr>
          <w:ilvl w:val="0"/>
          <w:numId w:val="35"/>
        </w:numPr>
        <w:rPr>
          <w:rFonts w:ascii="Arial" w:cs="Arial" w:eastAsia="Arial" w:hAnsi="Arial"/>
          <w:sz w:val="18"/>
          <w:szCs w:val="18"/>
          <w:color w:val="auto"/>
        </w:rPr>
      </w:pPr>
      <w:r>
        <w:rPr>
          <w:rFonts w:ascii="Arial" w:cs="Arial" w:eastAsia="Arial" w:hAnsi="Arial"/>
          <w:sz w:val="18"/>
          <w:szCs w:val="18"/>
          <w:color w:val="auto"/>
        </w:rPr>
        <w:t>Tenure with the Company</w:t>
      </w:r>
    </w:p>
    <w:p>
      <w:pPr>
        <w:spacing w:after="0" w:line="130" w:lineRule="exact"/>
        <w:rPr>
          <w:rFonts w:ascii="Arial" w:cs="Arial" w:eastAsia="Arial" w:hAnsi="Arial"/>
          <w:sz w:val="18"/>
          <w:szCs w:val="18"/>
          <w:color w:val="auto"/>
        </w:rPr>
      </w:pPr>
    </w:p>
    <w:p>
      <w:pPr>
        <w:ind w:left="1180" w:hanging="436"/>
        <w:spacing w:after="0"/>
        <w:tabs>
          <w:tab w:leader="none" w:pos="1180" w:val="left"/>
        </w:tabs>
        <w:numPr>
          <w:ilvl w:val="0"/>
          <w:numId w:val="35"/>
        </w:numPr>
        <w:rPr>
          <w:rFonts w:ascii="Arial" w:cs="Arial" w:eastAsia="Arial" w:hAnsi="Arial"/>
          <w:sz w:val="18"/>
          <w:szCs w:val="18"/>
          <w:color w:val="auto"/>
        </w:rPr>
      </w:pPr>
      <w:r>
        <w:rPr>
          <w:rFonts w:ascii="Arial" w:cs="Arial" w:eastAsia="Arial" w:hAnsi="Arial"/>
          <w:sz w:val="18"/>
          <w:szCs w:val="18"/>
          <w:color w:val="auto"/>
        </w:rPr>
        <w:t>Revenue target</w:t>
      </w:r>
    </w:p>
    <w:p>
      <w:pPr>
        <w:spacing w:after="0" w:line="130" w:lineRule="exact"/>
        <w:rPr>
          <w:rFonts w:ascii="Arial" w:cs="Arial" w:eastAsia="Arial" w:hAnsi="Arial"/>
          <w:sz w:val="18"/>
          <w:szCs w:val="18"/>
          <w:color w:val="auto"/>
        </w:rPr>
      </w:pPr>
    </w:p>
    <w:p>
      <w:pPr>
        <w:ind w:left="1180" w:hanging="436"/>
        <w:spacing w:after="0"/>
        <w:tabs>
          <w:tab w:leader="none" w:pos="1180" w:val="left"/>
        </w:tabs>
        <w:numPr>
          <w:ilvl w:val="0"/>
          <w:numId w:val="35"/>
        </w:numPr>
        <w:rPr>
          <w:rFonts w:ascii="Arial" w:cs="Arial" w:eastAsia="Arial" w:hAnsi="Arial"/>
          <w:sz w:val="18"/>
          <w:szCs w:val="18"/>
          <w:color w:val="auto"/>
        </w:rPr>
      </w:pPr>
      <w:r>
        <w:rPr>
          <w:rFonts w:ascii="Arial" w:cs="Arial" w:eastAsia="Arial" w:hAnsi="Arial"/>
          <w:sz w:val="18"/>
          <w:szCs w:val="18"/>
          <w:color w:val="auto"/>
        </w:rPr>
        <w:t>FDA PMA approval of RECELL for burns</w:t>
      </w:r>
    </w:p>
    <w:p>
      <w:pPr>
        <w:spacing w:after="0" w:line="158" w:lineRule="exact"/>
        <w:rPr>
          <w:sz w:val="20"/>
          <w:szCs w:val="20"/>
          <w:color w:val="auto"/>
        </w:rPr>
      </w:pPr>
    </w:p>
    <w:p>
      <w:pPr>
        <w:jc w:val="center"/>
        <w:ind w:right="-259"/>
        <w:spacing w:after="0"/>
        <w:rPr>
          <w:sz w:val="20"/>
          <w:szCs w:val="20"/>
          <w:color w:val="auto"/>
        </w:rPr>
      </w:pPr>
      <w:r>
        <w:rPr>
          <w:rFonts w:ascii="Arial" w:cs="Arial" w:eastAsia="Arial" w:hAnsi="Arial"/>
          <w:sz w:val="18"/>
          <w:szCs w:val="18"/>
          <w:color w:val="auto"/>
        </w:rPr>
        <w:t>61</w:t>
      </w:r>
    </w:p>
    <w:p>
      <w:pPr>
        <w:sectPr>
          <w:pgSz w:w="11900" w:h="16838" w:orient="portrait"/>
          <w:cols w:equalWidth="0" w:num="1">
            <w:col w:w="11180"/>
          </w:cols>
          <w:pgMar w:left="240" w:top="459" w:right="479" w:bottom="1440" w:gutter="0" w:footer="0" w:header="0"/>
        </w:sectPr>
      </w:pPr>
    </w:p>
    <w:bookmarkStart w:id="63" w:name="page64"/>
    <w:bookmarkEnd w:id="6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1180" w:hanging="436"/>
        <w:spacing w:after="0"/>
        <w:tabs>
          <w:tab w:leader="none" w:pos="1180" w:val="left"/>
        </w:tabs>
        <w:numPr>
          <w:ilvl w:val="0"/>
          <w:numId w:val="36"/>
        </w:numPr>
        <w:rPr>
          <w:rFonts w:ascii="Arial" w:cs="Arial" w:eastAsia="Arial" w:hAnsi="Arial"/>
          <w:sz w:val="18"/>
          <w:szCs w:val="18"/>
          <w:color w:val="auto"/>
        </w:rPr>
      </w:pPr>
      <w:r>
        <w:rPr>
          <w:rFonts w:ascii="Arial" w:cs="Arial" w:eastAsia="Arial" w:hAnsi="Arial"/>
          <w:sz w:val="18"/>
          <w:szCs w:val="18"/>
          <w:color w:val="auto"/>
        </w:rPr>
        <w:t>Initial BARDA procurement under CLIN2 of the BARDA Contract</w:t>
      </w:r>
    </w:p>
    <w:p>
      <w:pPr>
        <w:spacing w:after="0" w:line="130" w:lineRule="exact"/>
        <w:rPr>
          <w:rFonts w:ascii="Arial" w:cs="Arial" w:eastAsia="Arial" w:hAnsi="Arial"/>
          <w:sz w:val="18"/>
          <w:szCs w:val="18"/>
          <w:color w:val="auto"/>
        </w:rPr>
      </w:pPr>
    </w:p>
    <w:p>
      <w:pPr>
        <w:ind w:left="1180" w:hanging="436"/>
        <w:spacing w:after="0"/>
        <w:tabs>
          <w:tab w:leader="none" w:pos="1180" w:val="left"/>
        </w:tabs>
        <w:numPr>
          <w:ilvl w:val="0"/>
          <w:numId w:val="36"/>
        </w:numPr>
        <w:rPr>
          <w:rFonts w:ascii="Arial" w:cs="Arial" w:eastAsia="Arial" w:hAnsi="Arial"/>
          <w:sz w:val="18"/>
          <w:szCs w:val="18"/>
          <w:color w:val="auto"/>
        </w:rPr>
      </w:pPr>
      <w:r>
        <w:rPr>
          <w:rFonts w:ascii="Arial" w:cs="Arial" w:eastAsia="Arial" w:hAnsi="Arial"/>
          <w:sz w:val="18"/>
          <w:szCs w:val="18"/>
          <w:color w:val="auto"/>
        </w:rPr>
        <w:t>US Quotation</w:t>
      </w:r>
    </w:p>
    <w:p>
      <w:pPr>
        <w:spacing w:after="0" w:line="248" w:lineRule="exact"/>
        <w:rPr>
          <w:sz w:val="20"/>
          <w:szCs w:val="20"/>
          <w:color w:val="auto"/>
        </w:rPr>
      </w:pPr>
    </w:p>
    <w:tbl>
      <w:tblPr>
        <w:tblLayout w:type="fixed"/>
        <w:tblInd w:w="200" w:type="dxa"/>
        <w:tblCellMar>
          <w:top w:w="0" w:type="dxa"/>
          <w:left w:w="0" w:type="dxa"/>
          <w:bottom w:w="0" w:type="dxa"/>
          <w:right w:w="0" w:type="dxa"/>
        </w:tblCellMar>
      </w:tblPr>
      <w:tr>
        <w:trPr>
          <w:trHeight w:val="153"/>
        </w:trPr>
        <w:tc>
          <w:tcPr>
            <w:tcW w:w="20" w:type="dxa"/>
            <w:vAlign w:val="bottom"/>
          </w:tcPr>
          <w:p>
            <w:pPr>
              <w:spacing w:after="0"/>
              <w:rPr>
                <w:sz w:val="13"/>
                <w:szCs w:val="13"/>
                <w:color w:val="auto"/>
              </w:rPr>
            </w:pPr>
          </w:p>
        </w:tc>
        <w:tc>
          <w:tcPr>
            <w:tcW w:w="14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20" w:type="dxa"/>
            <w:vAlign w:val="bottom"/>
          </w:tcPr>
          <w:p>
            <w:pPr>
              <w:jc w:val="center"/>
              <w:spacing w:after="0"/>
              <w:rPr>
                <w:sz w:val="20"/>
                <w:szCs w:val="20"/>
                <w:color w:val="auto"/>
              </w:rPr>
            </w:pPr>
            <w:r>
              <w:rPr>
                <w:rFonts w:ascii="Arial" w:cs="Arial" w:eastAsia="Arial" w:hAnsi="Arial"/>
                <w:sz w:val="13"/>
                <w:szCs w:val="13"/>
                <w:b w:val="1"/>
                <w:bCs w:val="1"/>
                <w:color w:val="auto"/>
                <w:w w:val="86"/>
              </w:rPr>
              <w:t>Balance at</w:t>
            </w:r>
          </w:p>
        </w:tc>
        <w:tc>
          <w:tcPr>
            <w:tcW w:w="1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780" w:type="dxa"/>
            <w:vAlign w:val="bottom"/>
            <w:gridSpan w:val="3"/>
          </w:tcPr>
          <w:p>
            <w:pPr>
              <w:jc w:val="right"/>
              <w:spacing w:after="0"/>
              <w:rPr>
                <w:sz w:val="20"/>
                <w:szCs w:val="20"/>
                <w:color w:val="auto"/>
              </w:rPr>
            </w:pPr>
            <w:r>
              <w:rPr>
                <w:rFonts w:ascii="Arial" w:cs="Arial" w:eastAsia="Arial" w:hAnsi="Arial"/>
                <w:sz w:val="13"/>
                <w:szCs w:val="13"/>
                <w:b w:val="1"/>
                <w:bCs w:val="1"/>
                <w:color w:val="auto"/>
                <w:w w:val="88"/>
              </w:rPr>
              <w:t>Grant Details</w:t>
            </w:r>
          </w:p>
        </w:tc>
        <w:tc>
          <w:tcPr>
            <w:tcW w:w="14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40" w:type="dxa"/>
            <w:vAlign w:val="bottom"/>
            <w:gridSpan w:val="3"/>
          </w:tcPr>
          <w:p>
            <w:pPr>
              <w:jc w:val="right"/>
              <w:ind w:right="297"/>
              <w:spacing w:after="0"/>
              <w:rPr>
                <w:sz w:val="20"/>
                <w:szCs w:val="20"/>
                <w:color w:val="auto"/>
              </w:rPr>
            </w:pPr>
            <w:r>
              <w:rPr>
                <w:rFonts w:ascii="Arial" w:cs="Arial" w:eastAsia="Arial" w:hAnsi="Arial"/>
                <w:sz w:val="13"/>
                <w:szCs w:val="13"/>
                <w:b w:val="1"/>
                <w:bCs w:val="1"/>
                <w:color w:val="auto"/>
              </w:rPr>
              <w:t>Exercised</w:t>
            </w:r>
          </w:p>
        </w:tc>
        <w:tc>
          <w:tcPr>
            <w:tcW w:w="140" w:type="dxa"/>
            <w:vAlign w:val="bottom"/>
          </w:tcPr>
          <w:p>
            <w:pPr>
              <w:spacing w:after="0"/>
              <w:rPr>
                <w:sz w:val="13"/>
                <w:szCs w:val="13"/>
                <w:color w:val="auto"/>
              </w:rPr>
            </w:pPr>
          </w:p>
        </w:tc>
        <w:tc>
          <w:tcPr>
            <w:tcW w:w="640" w:type="dxa"/>
            <w:vAlign w:val="bottom"/>
          </w:tcPr>
          <w:p>
            <w:pPr>
              <w:jc w:val="center"/>
              <w:spacing w:after="0"/>
              <w:rPr>
                <w:sz w:val="20"/>
                <w:szCs w:val="20"/>
                <w:color w:val="auto"/>
              </w:rPr>
            </w:pPr>
            <w:r>
              <w:rPr>
                <w:rFonts w:ascii="Arial" w:cs="Arial" w:eastAsia="Arial" w:hAnsi="Arial"/>
                <w:sz w:val="13"/>
                <w:szCs w:val="13"/>
                <w:b w:val="1"/>
                <w:bCs w:val="1"/>
                <w:color w:val="auto"/>
                <w:w w:val="86"/>
              </w:rPr>
              <w:t>Balance at</w:t>
            </w:r>
          </w:p>
        </w:tc>
        <w:tc>
          <w:tcPr>
            <w:tcW w:w="1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20" w:type="dxa"/>
            <w:vAlign w:val="bottom"/>
          </w:tcPr>
          <w:p>
            <w:pPr>
              <w:ind w:left="240"/>
              <w:spacing w:after="0"/>
              <w:rPr>
                <w:sz w:val="20"/>
                <w:szCs w:val="20"/>
                <w:color w:val="auto"/>
              </w:rPr>
            </w:pPr>
            <w:r>
              <w:rPr>
                <w:rFonts w:ascii="Arial" w:cs="Arial" w:eastAsia="Arial" w:hAnsi="Arial"/>
                <w:sz w:val="13"/>
                <w:szCs w:val="13"/>
                <w:b w:val="1"/>
                <w:bCs w:val="1"/>
                <w:color w:val="auto"/>
              </w:rPr>
              <w:t>Vested</w:t>
            </w:r>
          </w:p>
        </w:tc>
        <w:tc>
          <w:tcPr>
            <w:tcW w:w="1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60" w:type="dxa"/>
            <w:vAlign w:val="bottom"/>
          </w:tcPr>
          <w:p>
            <w:pPr>
              <w:jc w:val="center"/>
              <w:spacing w:after="0"/>
              <w:rPr>
                <w:sz w:val="20"/>
                <w:szCs w:val="20"/>
                <w:color w:val="auto"/>
              </w:rPr>
            </w:pPr>
            <w:r>
              <w:rPr>
                <w:rFonts w:ascii="Arial" w:cs="Arial" w:eastAsia="Arial" w:hAnsi="Arial"/>
                <w:sz w:val="13"/>
                <w:szCs w:val="13"/>
                <w:b w:val="1"/>
                <w:bCs w:val="1"/>
                <w:color w:val="auto"/>
                <w:w w:val="85"/>
              </w:rPr>
              <w:t>Unvested</w:t>
            </w:r>
          </w:p>
        </w:tc>
        <w:tc>
          <w:tcPr>
            <w:tcW w:w="140" w:type="dxa"/>
            <w:vAlign w:val="bottom"/>
          </w:tcPr>
          <w:p>
            <w:pPr>
              <w:spacing w:after="0"/>
              <w:rPr>
                <w:sz w:val="13"/>
                <w:szCs w:val="13"/>
                <w:color w:val="auto"/>
              </w:rPr>
            </w:pPr>
          </w:p>
        </w:tc>
        <w:tc>
          <w:tcPr>
            <w:tcW w:w="760" w:type="dxa"/>
            <w:vAlign w:val="bottom"/>
            <w:gridSpan w:val="2"/>
          </w:tcPr>
          <w:p>
            <w:pPr>
              <w:jc w:val="center"/>
              <w:ind w:right="60"/>
              <w:spacing w:after="0"/>
              <w:rPr>
                <w:sz w:val="20"/>
                <w:szCs w:val="20"/>
                <w:color w:val="auto"/>
              </w:rPr>
            </w:pPr>
            <w:r>
              <w:rPr>
                <w:rFonts w:ascii="Arial" w:cs="Arial" w:eastAsia="Arial" w:hAnsi="Arial"/>
                <w:sz w:val="13"/>
                <w:szCs w:val="13"/>
                <w:b w:val="1"/>
                <w:bCs w:val="1"/>
                <w:color w:val="auto"/>
                <w:w w:val="85"/>
              </w:rPr>
              <w:t>Unvested</w:t>
            </w:r>
          </w:p>
        </w:tc>
      </w:tr>
      <w:tr>
        <w:trPr>
          <w:trHeight w:val="110"/>
        </w:trPr>
        <w:tc>
          <w:tcPr>
            <w:tcW w:w="20" w:type="dxa"/>
            <w:vAlign w:val="bottom"/>
          </w:tcPr>
          <w:p>
            <w:pPr>
              <w:spacing w:after="0"/>
              <w:rPr>
                <w:sz w:val="9"/>
                <w:szCs w:val="9"/>
                <w:color w:val="auto"/>
              </w:rPr>
            </w:pPr>
          </w:p>
        </w:tc>
        <w:tc>
          <w:tcPr>
            <w:tcW w:w="1420" w:type="dxa"/>
            <w:vAlign w:val="bottom"/>
          </w:tcPr>
          <w:p>
            <w:pPr>
              <w:spacing w:after="0"/>
              <w:rPr>
                <w:sz w:val="9"/>
                <w:szCs w:val="9"/>
                <w:color w:val="auto"/>
              </w:rPr>
            </w:pPr>
          </w:p>
        </w:tc>
        <w:tc>
          <w:tcPr>
            <w:tcW w:w="120" w:type="dxa"/>
            <w:vAlign w:val="bottom"/>
          </w:tcPr>
          <w:p>
            <w:pPr>
              <w:spacing w:after="0"/>
              <w:rPr>
                <w:sz w:val="9"/>
                <w:szCs w:val="9"/>
                <w:color w:val="auto"/>
              </w:rPr>
            </w:pPr>
          </w:p>
        </w:tc>
        <w:tc>
          <w:tcPr>
            <w:tcW w:w="620" w:type="dxa"/>
            <w:vAlign w:val="bottom"/>
            <w:tcBorders>
              <w:top w:val="single" w:sz="8" w:color="auto"/>
            </w:tcBorders>
          </w:tcPr>
          <w:p>
            <w:pPr>
              <w:jc w:val="center"/>
              <w:spacing w:after="0" w:line="110" w:lineRule="exact"/>
              <w:rPr>
                <w:sz w:val="20"/>
                <w:szCs w:val="20"/>
                <w:color w:val="auto"/>
              </w:rPr>
            </w:pPr>
            <w:r>
              <w:rPr>
                <w:rFonts w:ascii="Arial" w:cs="Arial" w:eastAsia="Arial" w:hAnsi="Arial"/>
                <w:sz w:val="12"/>
                <w:szCs w:val="12"/>
                <w:b w:val="1"/>
                <w:bCs w:val="1"/>
                <w:color w:val="auto"/>
                <w:w w:val="96"/>
              </w:rPr>
              <w:t>July 1,</w:t>
            </w:r>
          </w:p>
        </w:tc>
        <w:tc>
          <w:tcPr>
            <w:tcW w:w="160" w:type="dxa"/>
            <w:vAlign w:val="bottom"/>
          </w:tcPr>
          <w:p>
            <w:pPr>
              <w:spacing w:after="0"/>
              <w:rPr>
                <w:sz w:val="9"/>
                <w:szCs w:val="9"/>
                <w:color w:val="auto"/>
              </w:rPr>
            </w:pPr>
          </w:p>
        </w:tc>
        <w:tc>
          <w:tcPr>
            <w:tcW w:w="740" w:type="dxa"/>
            <w:vAlign w:val="bottom"/>
            <w:tcBorders>
              <w:top w:val="single" w:sz="8" w:color="auto"/>
            </w:tcBorders>
          </w:tcPr>
          <w:p>
            <w:pPr>
              <w:spacing w:after="0"/>
              <w:rPr>
                <w:sz w:val="9"/>
                <w:szCs w:val="9"/>
                <w:color w:val="auto"/>
              </w:rPr>
            </w:pPr>
          </w:p>
        </w:tc>
        <w:tc>
          <w:tcPr>
            <w:tcW w:w="20" w:type="dxa"/>
            <w:vAlign w:val="bottom"/>
            <w:tcBorders>
              <w:top w:val="single" w:sz="8" w:color="auto"/>
            </w:tcBorders>
          </w:tcPr>
          <w:p>
            <w:pPr>
              <w:spacing w:after="0"/>
              <w:rPr>
                <w:sz w:val="9"/>
                <w:szCs w:val="9"/>
                <w:color w:val="auto"/>
              </w:rPr>
            </w:pPr>
          </w:p>
        </w:tc>
        <w:tc>
          <w:tcPr>
            <w:tcW w:w="120" w:type="dxa"/>
            <w:vAlign w:val="bottom"/>
            <w:tcBorders>
              <w:top w:val="single" w:sz="8" w:color="auto"/>
            </w:tcBorders>
          </w:tcPr>
          <w:p>
            <w:pPr>
              <w:spacing w:after="0"/>
              <w:rPr>
                <w:sz w:val="9"/>
                <w:szCs w:val="9"/>
                <w:color w:val="auto"/>
              </w:rPr>
            </w:pPr>
          </w:p>
        </w:tc>
        <w:tc>
          <w:tcPr>
            <w:tcW w:w="640" w:type="dxa"/>
            <w:vAlign w:val="bottom"/>
            <w:tcBorders>
              <w:top w:val="single" w:sz="8" w:color="auto"/>
            </w:tcBorders>
          </w:tcPr>
          <w:p>
            <w:pPr>
              <w:spacing w:after="0"/>
              <w:rPr>
                <w:sz w:val="9"/>
                <w:szCs w:val="9"/>
                <w:color w:val="auto"/>
              </w:rPr>
            </w:pPr>
          </w:p>
        </w:tc>
        <w:tc>
          <w:tcPr>
            <w:tcW w:w="140" w:type="dxa"/>
            <w:vAlign w:val="bottom"/>
            <w:tcBorders>
              <w:top w:val="single" w:sz="8" w:color="auto"/>
            </w:tcBorders>
          </w:tcPr>
          <w:p>
            <w:pPr>
              <w:spacing w:after="0"/>
              <w:rPr>
                <w:sz w:val="9"/>
                <w:szCs w:val="9"/>
                <w:color w:val="auto"/>
              </w:rPr>
            </w:pPr>
          </w:p>
        </w:tc>
        <w:tc>
          <w:tcPr>
            <w:tcW w:w="580" w:type="dxa"/>
            <w:vAlign w:val="bottom"/>
            <w:tcBorders>
              <w:top w:val="single" w:sz="8" w:color="auto"/>
            </w:tcBorders>
          </w:tcPr>
          <w:p>
            <w:pPr>
              <w:spacing w:after="0"/>
              <w:rPr>
                <w:sz w:val="9"/>
                <w:szCs w:val="9"/>
                <w:color w:val="auto"/>
              </w:rPr>
            </w:pPr>
          </w:p>
        </w:tc>
        <w:tc>
          <w:tcPr>
            <w:tcW w:w="140" w:type="dxa"/>
            <w:vAlign w:val="bottom"/>
          </w:tcPr>
          <w:p>
            <w:pPr>
              <w:spacing w:after="0"/>
              <w:rPr>
                <w:sz w:val="9"/>
                <w:szCs w:val="9"/>
                <w:color w:val="auto"/>
              </w:rPr>
            </w:pPr>
          </w:p>
        </w:tc>
        <w:tc>
          <w:tcPr>
            <w:tcW w:w="600" w:type="dxa"/>
            <w:vAlign w:val="bottom"/>
            <w:tcBorders>
              <w:top w:val="single" w:sz="8" w:color="auto"/>
            </w:tcBorders>
          </w:tcPr>
          <w:p>
            <w:pPr>
              <w:spacing w:after="0"/>
              <w:rPr>
                <w:sz w:val="9"/>
                <w:szCs w:val="9"/>
                <w:color w:val="auto"/>
              </w:rPr>
            </w:pPr>
          </w:p>
        </w:tc>
        <w:tc>
          <w:tcPr>
            <w:tcW w:w="140" w:type="dxa"/>
            <w:vAlign w:val="bottom"/>
            <w:tcBorders>
              <w:top w:val="single" w:sz="8" w:color="auto"/>
            </w:tcBorders>
          </w:tcPr>
          <w:p>
            <w:pPr>
              <w:spacing w:after="0"/>
              <w:rPr>
                <w:sz w:val="9"/>
                <w:szCs w:val="9"/>
                <w:color w:val="auto"/>
              </w:rPr>
            </w:pPr>
          </w:p>
        </w:tc>
        <w:tc>
          <w:tcPr>
            <w:tcW w:w="500" w:type="dxa"/>
            <w:vAlign w:val="bottom"/>
            <w:tcBorders>
              <w:top w:val="single" w:sz="8" w:color="auto"/>
            </w:tcBorders>
          </w:tcPr>
          <w:p>
            <w:pPr>
              <w:spacing w:after="0"/>
              <w:rPr>
                <w:sz w:val="9"/>
                <w:szCs w:val="9"/>
                <w:color w:val="auto"/>
              </w:rPr>
            </w:pPr>
          </w:p>
        </w:tc>
        <w:tc>
          <w:tcPr>
            <w:tcW w:w="140" w:type="dxa"/>
            <w:vAlign w:val="bottom"/>
          </w:tcPr>
          <w:p>
            <w:pPr>
              <w:spacing w:after="0"/>
              <w:rPr>
                <w:sz w:val="9"/>
                <w:szCs w:val="9"/>
                <w:color w:val="auto"/>
              </w:rPr>
            </w:pPr>
          </w:p>
        </w:tc>
        <w:tc>
          <w:tcPr>
            <w:tcW w:w="640" w:type="dxa"/>
            <w:vAlign w:val="bottom"/>
            <w:tcBorders>
              <w:top w:val="single" w:sz="8" w:color="auto"/>
            </w:tcBorders>
          </w:tcPr>
          <w:p>
            <w:pPr>
              <w:spacing w:after="0"/>
              <w:rPr>
                <w:sz w:val="9"/>
                <w:szCs w:val="9"/>
                <w:color w:val="auto"/>
              </w:rPr>
            </w:pPr>
          </w:p>
        </w:tc>
        <w:tc>
          <w:tcPr>
            <w:tcW w:w="160" w:type="dxa"/>
            <w:vAlign w:val="bottom"/>
          </w:tcPr>
          <w:p>
            <w:pPr>
              <w:spacing w:after="0"/>
              <w:rPr>
                <w:sz w:val="9"/>
                <w:szCs w:val="9"/>
                <w:color w:val="auto"/>
              </w:rPr>
            </w:pPr>
          </w:p>
        </w:tc>
        <w:tc>
          <w:tcPr>
            <w:tcW w:w="660" w:type="dxa"/>
            <w:vAlign w:val="bottom"/>
            <w:tcBorders>
              <w:top w:val="single" w:sz="8" w:color="auto"/>
            </w:tcBorders>
          </w:tcPr>
          <w:p>
            <w:pPr>
              <w:spacing w:after="0"/>
              <w:rPr>
                <w:sz w:val="9"/>
                <w:szCs w:val="9"/>
                <w:color w:val="auto"/>
              </w:rPr>
            </w:pPr>
          </w:p>
        </w:tc>
        <w:tc>
          <w:tcPr>
            <w:tcW w:w="140" w:type="dxa"/>
            <w:vAlign w:val="bottom"/>
            <w:tcBorders>
              <w:top w:val="single" w:sz="8" w:color="auto"/>
            </w:tcBorders>
          </w:tcPr>
          <w:p>
            <w:pPr>
              <w:spacing w:after="0"/>
              <w:rPr>
                <w:sz w:val="9"/>
                <w:szCs w:val="9"/>
                <w:color w:val="auto"/>
              </w:rPr>
            </w:pPr>
          </w:p>
        </w:tc>
        <w:tc>
          <w:tcPr>
            <w:tcW w:w="820" w:type="dxa"/>
            <w:vAlign w:val="bottom"/>
            <w:tcBorders>
              <w:top w:val="single" w:sz="8" w:color="auto"/>
            </w:tcBorders>
          </w:tcPr>
          <w:p>
            <w:pPr>
              <w:spacing w:after="0"/>
              <w:rPr>
                <w:sz w:val="9"/>
                <w:szCs w:val="9"/>
                <w:color w:val="auto"/>
              </w:rPr>
            </w:pPr>
          </w:p>
        </w:tc>
        <w:tc>
          <w:tcPr>
            <w:tcW w:w="140" w:type="dxa"/>
            <w:vAlign w:val="bottom"/>
            <w:tcBorders>
              <w:top w:val="single" w:sz="8" w:color="auto"/>
            </w:tcBorders>
          </w:tcPr>
          <w:p>
            <w:pPr>
              <w:spacing w:after="0"/>
              <w:rPr>
                <w:sz w:val="9"/>
                <w:szCs w:val="9"/>
                <w:color w:val="auto"/>
              </w:rPr>
            </w:pPr>
          </w:p>
        </w:tc>
        <w:tc>
          <w:tcPr>
            <w:tcW w:w="660" w:type="dxa"/>
            <w:vAlign w:val="bottom"/>
            <w:tcBorders>
              <w:top w:val="single" w:sz="8" w:color="auto"/>
            </w:tcBorders>
          </w:tcPr>
          <w:p>
            <w:pPr>
              <w:jc w:val="center"/>
              <w:spacing w:after="0" w:line="110" w:lineRule="exact"/>
              <w:rPr>
                <w:sz w:val="20"/>
                <w:szCs w:val="20"/>
                <w:color w:val="auto"/>
              </w:rPr>
            </w:pPr>
            <w:r>
              <w:rPr>
                <w:rFonts w:ascii="Arial" w:cs="Arial" w:eastAsia="Arial" w:hAnsi="Arial"/>
                <w:sz w:val="12"/>
                <w:szCs w:val="12"/>
                <w:b w:val="1"/>
                <w:bCs w:val="1"/>
                <w:color w:val="auto"/>
                <w:w w:val="98"/>
              </w:rPr>
              <w:t>Total at</w:t>
            </w:r>
          </w:p>
        </w:tc>
        <w:tc>
          <w:tcPr>
            <w:tcW w:w="160" w:type="dxa"/>
            <w:vAlign w:val="bottom"/>
          </w:tcPr>
          <w:p>
            <w:pPr>
              <w:spacing w:after="0"/>
              <w:rPr>
                <w:sz w:val="9"/>
                <w:szCs w:val="9"/>
                <w:color w:val="auto"/>
              </w:rPr>
            </w:pPr>
          </w:p>
        </w:tc>
        <w:tc>
          <w:tcPr>
            <w:tcW w:w="660" w:type="dxa"/>
            <w:vAlign w:val="bottom"/>
            <w:tcBorders>
              <w:top w:val="single" w:sz="8" w:color="auto"/>
            </w:tcBorders>
          </w:tcPr>
          <w:p>
            <w:pPr>
              <w:jc w:val="center"/>
              <w:spacing w:after="0" w:line="110" w:lineRule="exact"/>
              <w:rPr>
                <w:sz w:val="20"/>
                <w:szCs w:val="20"/>
                <w:color w:val="auto"/>
              </w:rPr>
            </w:pPr>
            <w:r>
              <w:rPr>
                <w:rFonts w:ascii="Arial" w:cs="Arial" w:eastAsia="Arial" w:hAnsi="Arial"/>
                <w:sz w:val="12"/>
                <w:szCs w:val="12"/>
                <w:b w:val="1"/>
                <w:bCs w:val="1"/>
                <w:color w:val="auto"/>
                <w:w w:val="93"/>
              </w:rPr>
              <w:t>Balance at</w:t>
            </w:r>
          </w:p>
        </w:tc>
        <w:tc>
          <w:tcPr>
            <w:tcW w:w="140" w:type="dxa"/>
            <w:vAlign w:val="bottom"/>
          </w:tcPr>
          <w:p>
            <w:pPr>
              <w:spacing w:after="0"/>
              <w:rPr>
                <w:sz w:val="9"/>
                <w:szCs w:val="9"/>
                <w:color w:val="auto"/>
              </w:rPr>
            </w:pPr>
          </w:p>
        </w:tc>
        <w:tc>
          <w:tcPr>
            <w:tcW w:w="700" w:type="dxa"/>
            <w:vAlign w:val="bottom"/>
            <w:tcBorders>
              <w:top w:val="single" w:sz="8" w:color="auto"/>
            </w:tcBorders>
          </w:tcPr>
          <w:p>
            <w:pPr>
              <w:jc w:val="center"/>
              <w:spacing w:after="0" w:line="110" w:lineRule="exact"/>
              <w:rPr>
                <w:sz w:val="20"/>
                <w:szCs w:val="20"/>
                <w:color w:val="auto"/>
              </w:rPr>
            </w:pPr>
            <w:r>
              <w:rPr>
                <w:rFonts w:ascii="Arial" w:cs="Arial" w:eastAsia="Arial" w:hAnsi="Arial"/>
                <w:sz w:val="12"/>
                <w:szCs w:val="12"/>
                <w:b w:val="1"/>
                <w:bCs w:val="1"/>
                <w:color w:val="auto"/>
                <w:w w:val="98"/>
              </w:rPr>
              <w:t>Total at</w:t>
            </w:r>
          </w:p>
        </w:tc>
        <w:tc>
          <w:tcPr>
            <w:tcW w:w="60" w:type="dxa"/>
            <w:vAlign w:val="bottom"/>
          </w:tcPr>
          <w:p>
            <w:pPr>
              <w:spacing w:after="0"/>
              <w:rPr>
                <w:sz w:val="9"/>
                <w:szCs w:val="9"/>
                <w:color w:val="auto"/>
              </w:rPr>
            </w:pPr>
          </w:p>
        </w:tc>
      </w:tr>
      <w:tr>
        <w:trPr>
          <w:trHeight w:val="135"/>
        </w:trPr>
        <w:tc>
          <w:tcPr>
            <w:tcW w:w="20" w:type="dxa"/>
            <w:vAlign w:val="bottom"/>
          </w:tcPr>
          <w:p>
            <w:pPr>
              <w:spacing w:after="0"/>
              <w:rPr>
                <w:sz w:val="11"/>
                <w:szCs w:val="11"/>
                <w:color w:val="auto"/>
              </w:rPr>
            </w:pPr>
          </w:p>
        </w:tc>
        <w:tc>
          <w:tcPr>
            <w:tcW w:w="1420" w:type="dxa"/>
            <w:vAlign w:val="bottom"/>
          </w:tcPr>
          <w:p>
            <w:pPr>
              <w:spacing w:after="0"/>
              <w:rPr>
                <w:sz w:val="11"/>
                <w:szCs w:val="11"/>
                <w:color w:val="auto"/>
              </w:rPr>
            </w:pPr>
          </w:p>
        </w:tc>
        <w:tc>
          <w:tcPr>
            <w:tcW w:w="740" w:type="dxa"/>
            <w:vAlign w:val="bottom"/>
            <w:gridSpan w:val="2"/>
          </w:tcPr>
          <w:p>
            <w:pPr>
              <w:jc w:val="center"/>
              <w:ind w:left="37"/>
              <w:spacing w:after="0" w:line="135" w:lineRule="exact"/>
              <w:rPr>
                <w:sz w:val="20"/>
                <w:szCs w:val="20"/>
                <w:color w:val="auto"/>
              </w:rPr>
            </w:pPr>
            <w:r>
              <w:rPr>
                <w:rFonts w:ascii="Arial" w:cs="Arial" w:eastAsia="Arial" w:hAnsi="Arial"/>
                <w:sz w:val="13"/>
                <w:szCs w:val="13"/>
                <w:b w:val="1"/>
                <w:bCs w:val="1"/>
                <w:color w:val="auto"/>
                <w:w w:val="82"/>
              </w:rPr>
              <w:t>2018</w:t>
            </w:r>
          </w:p>
        </w:tc>
        <w:tc>
          <w:tcPr>
            <w:tcW w:w="160" w:type="dxa"/>
            <w:vAlign w:val="bottom"/>
          </w:tcPr>
          <w:p>
            <w:pPr>
              <w:spacing w:after="0"/>
              <w:rPr>
                <w:sz w:val="11"/>
                <w:szCs w:val="11"/>
                <w:color w:val="auto"/>
              </w:rPr>
            </w:pPr>
          </w:p>
        </w:tc>
        <w:tc>
          <w:tcPr>
            <w:tcW w:w="74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82"/>
              </w:rPr>
              <w:t>Issued</w:t>
            </w: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80" w:type="dxa"/>
            <w:vAlign w:val="bottom"/>
          </w:tcPr>
          <w:p>
            <w:pPr>
              <w:jc w:val="right"/>
              <w:ind w:right="77"/>
              <w:spacing w:after="0" w:line="135" w:lineRule="exact"/>
              <w:rPr>
                <w:sz w:val="20"/>
                <w:szCs w:val="20"/>
                <w:color w:val="auto"/>
              </w:rPr>
            </w:pPr>
            <w:r>
              <w:rPr>
                <w:rFonts w:ascii="Arial" w:cs="Arial" w:eastAsia="Arial" w:hAnsi="Arial"/>
                <w:sz w:val="13"/>
                <w:szCs w:val="13"/>
                <w:b w:val="1"/>
                <w:bCs w:val="1"/>
                <w:color w:val="auto"/>
              </w:rPr>
              <w:t>Value</w:t>
            </w: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00" w:type="dxa"/>
            <w:vAlign w:val="bottom"/>
          </w:tcPr>
          <w:p>
            <w:pPr>
              <w:jc w:val="right"/>
              <w:ind w:right="37"/>
              <w:spacing w:after="0" w:line="135" w:lineRule="exact"/>
              <w:rPr>
                <w:sz w:val="20"/>
                <w:szCs w:val="20"/>
                <w:color w:val="auto"/>
              </w:rPr>
            </w:pPr>
            <w:r>
              <w:rPr>
                <w:rFonts w:ascii="Arial" w:cs="Arial" w:eastAsia="Arial" w:hAnsi="Arial"/>
                <w:sz w:val="13"/>
                <w:szCs w:val="13"/>
                <w:b w:val="1"/>
                <w:bCs w:val="1"/>
                <w:color w:val="auto"/>
              </w:rPr>
              <w:t>Value</w:t>
            </w:r>
          </w:p>
        </w:tc>
        <w:tc>
          <w:tcPr>
            <w:tcW w:w="140" w:type="dxa"/>
            <w:vAlign w:val="bottom"/>
          </w:tcPr>
          <w:p>
            <w:pPr>
              <w:spacing w:after="0"/>
              <w:rPr>
                <w:sz w:val="11"/>
                <w:szCs w:val="11"/>
                <w:color w:val="auto"/>
              </w:rPr>
            </w:pPr>
          </w:p>
        </w:tc>
        <w:tc>
          <w:tcPr>
            <w:tcW w:w="64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84"/>
              </w:rPr>
              <w:t>June 30,</w:t>
            </w:r>
          </w:p>
        </w:tc>
        <w:tc>
          <w:tcPr>
            <w:tcW w:w="1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88"/>
              </w:rPr>
              <w:t>June 30,</w:t>
            </w:r>
          </w:p>
        </w:tc>
        <w:tc>
          <w:tcPr>
            <w:tcW w:w="160" w:type="dxa"/>
            <w:vAlign w:val="bottom"/>
          </w:tcPr>
          <w:p>
            <w:pPr>
              <w:spacing w:after="0"/>
              <w:rPr>
                <w:sz w:val="11"/>
                <w:szCs w:val="11"/>
                <w:color w:val="auto"/>
              </w:rPr>
            </w:pPr>
          </w:p>
        </w:tc>
        <w:tc>
          <w:tcPr>
            <w:tcW w:w="66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84"/>
              </w:rPr>
              <w:t>June 30,</w:t>
            </w:r>
          </w:p>
        </w:tc>
        <w:tc>
          <w:tcPr>
            <w:tcW w:w="140" w:type="dxa"/>
            <w:vAlign w:val="bottom"/>
          </w:tcPr>
          <w:p>
            <w:pPr>
              <w:spacing w:after="0"/>
              <w:rPr>
                <w:sz w:val="11"/>
                <w:szCs w:val="11"/>
                <w:color w:val="auto"/>
              </w:rPr>
            </w:pPr>
          </w:p>
        </w:tc>
        <w:tc>
          <w:tcPr>
            <w:tcW w:w="760" w:type="dxa"/>
            <w:vAlign w:val="bottom"/>
            <w:gridSpan w:val="2"/>
          </w:tcPr>
          <w:p>
            <w:pPr>
              <w:jc w:val="center"/>
              <w:ind w:right="80"/>
              <w:spacing w:after="0" w:line="135" w:lineRule="exact"/>
              <w:rPr>
                <w:sz w:val="20"/>
                <w:szCs w:val="20"/>
                <w:color w:val="auto"/>
              </w:rPr>
            </w:pPr>
            <w:r>
              <w:rPr>
                <w:rFonts w:ascii="Arial" w:cs="Arial" w:eastAsia="Arial" w:hAnsi="Arial"/>
                <w:sz w:val="13"/>
                <w:szCs w:val="13"/>
                <w:b w:val="1"/>
                <w:bCs w:val="1"/>
                <w:color w:val="auto"/>
                <w:w w:val="84"/>
              </w:rPr>
              <w:t>June 30,</w:t>
            </w:r>
          </w:p>
        </w:tc>
      </w:tr>
      <w:tr>
        <w:trPr>
          <w:trHeight w:val="153"/>
        </w:trPr>
        <w:tc>
          <w:tcPr>
            <w:tcW w:w="20" w:type="dxa"/>
            <w:vAlign w:val="bottom"/>
          </w:tcPr>
          <w:p>
            <w:pPr>
              <w:spacing w:after="0"/>
              <w:rPr>
                <w:sz w:val="13"/>
                <w:szCs w:val="13"/>
                <w:color w:val="auto"/>
              </w:rPr>
            </w:pPr>
          </w:p>
        </w:tc>
        <w:tc>
          <w:tcPr>
            <w:tcW w:w="14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20" w:type="dxa"/>
            <w:vAlign w:val="bottom"/>
          </w:tcPr>
          <w:p>
            <w:pPr>
              <w:jc w:val="center"/>
              <w:spacing w:after="0"/>
              <w:rPr>
                <w:sz w:val="20"/>
                <w:szCs w:val="20"/>
                <w:color w:val="auto"/>
              </w:rPr>
            </w:pPr>
            <w:r>
              <w:rPr>
                <w:rFonts w:ascii="Arial" w:cs="Arial" w:eastAsia="Arial" w:hAnsi="Arial"/>
                <w:sz w:val="13"/>
                <w:szCs w:val="13"/>
                <w:b w:val="1"/>
                <w:bCs w:val="1"/>
                <w:color w:val="auto"/>
                <w:w w:val="95"/>
              </w:rPr>
              <w:t>No.</w:t>
            </w:r>
          </w:p>
        </w:tc>
        <w:tc>
          <w:tcPr>
            <w:tcW w:w="160" w:type="dxa"/>
            <w:vAlign w:val="bottom"/>
          </w:tcPr>
          <w:p>
            <w:pPr>
              <w:spacing w:after="0"/>
              <w:rPr>
                <w:sz w:val="13"/>
                <w:szCs w:val="13"/>
                <w:color w:val="auto"/>
              </w:rPr>
            </w:pPr>
          </w:p>
        </w:tc>
        <w:tc>
          <w:tcPr>
            <w:tcW w:w="740" w:type="dxa"/>
            <w:vAlign w:val="bottom"/>
          </w:tcPr>
          <w:p>
            <w:pPr>
              <w:jc w:val="center"/>
              <w:spacing w:after="0"/>
              <w:rPr>
                <w:sz w:val="20"/>
                <w:szCs w:val="20"/>
                <w:color w:val="auto"/>
              </w:rPr>
            </w:pPr>
            <w:r>
              <w:rPr>
                <w:rFonts w:ascii="Arial" w:cs="Arial" w:eastAsia="Arial" w:hAnsi="Arial"/>
                <w:sz w:val="13"/>
                <w:szCs w:val="13"/>
                <w:b w:val="1"/>
                <w:bCs w:val="1"/>
                <w:color w:val="auto"/>
                <w:w w:val="92"/>
              </w:rPr>
              <w:t>Date</w:t>
            </w: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40" w:type="dxa"/>
            <w:vAlign w:val="bottom"/>
          </w:tcPr>
          <w:p>
            <w:pPr>
              <w:jc w:val="right"/>
              <w:ind w:right="177"/>
              <w:spacing w:after="0"/>
              <w:rPr>
                <w:sz w:val="20"/>
                <w:szCs w:val="20"/>
                <w:color w:val="auto"/>
              </w:rPr>
            </w:pPr>
            <w:r>
              <w:rPr>
                <w:rFonts w:ascii="Arial" w:cs="Arial" w:eastAsia="Arial" w:hAnsi="Arial"/>
                <w:sz w:val="13"/>
                <w:szCs w:val="13"/>
                <w:b w:val="1"/>
                <w:bCs w:val="1"/>
                <w:color w:val="auto"/>
              </w:rPr>
              <w:t>No.</w:t>
            </w:r>
          </w:p>
        </w:tc>
        <w:tc>
          <w:tcPr>
            <w:tcW w:w="140" w:type="dxa"/>
            <w:vAlign w:val="bottom"/>
          </w:tcPr>
          <w:p>
            <w:pPr>
              <w:spacing w:after="0"/>
              <w:rPr>
                <w:sz w:val="13"/>
                <w:szCs w:val="13"/>
                <w:color w:val="auto"/>
              </w:rPr>
            </w:pPr>
          </w:p>
        </w:tc>
        <w:tc>
          <w:tcPr>
            <w:tcW w:w="580" w:type="dxa"/>
            <w:vAlign w:val="bottom"/>
          </w:tcPr>
          <w:p>
            <w:pPr>
              <w:jc w:val="right"/>
              <w:ind w:right="157"/>
              <w:spacing w:after="0"/>
              <w:rPr>
                <w:sz w:val="20"/>
                <w:szCs w:val="20"/>
                <w:color w:val="auto"/>
              </w:rPr>
            </w:pPr>
            <w:r>
              <w:rPr>
                <w:rFonts w:ascii="Arial" w:cs="Arial" w:eastAsia="Arial" w:hAnsi="Arial"/>
                <w:sz w:val="13"/>
                <w:szCs w:val="13"/>
                <w:b w:val="1"/>
                <w:bCs w:val="1"/>
                <w:color w:val="auto"/>
              </w:rPr>
              <w:t>A$</w:t>
            </w:r>
          </w:p>
        </w:tc>
        <w:tc>
          <w:tcPr>
            <w:tcW w:w="140" w:type="dxa"/>
            <w:vAlign w:val="bottom"/>
          </w:tcPr>
          <w:p>
            <w:pPr>
              <w:spacing w:after="0"/>
              <w:rPr>
                <w:sz w:val="13"/>
                <w:szCs w:val="13"/>
                <w:color w:val="auto"/>
              </w:rPr>
            </w:pPr>
          </w:p>
        </w:tc>
        <w:tc>
          <w:tcPr>
            <w:tcW w:w="600" w:type="dxa"/>
            <w:vAlign w:val="bottom"/>
          </w:tcPr>
          <w:p>
            <w:pPr>
              <w:ind w:left="200"/>
              <w:spacing w:after="0"/>
              <w:rPr>
                <w:sz w:val="20"/>
                <w:szCs w:val="20"/>
                <w:color w:val="auto"/>
              </w:rPr>
            </w:pPr>
            <w:r>
              <w:rPr>
                <w:rFonts w:ascii="Arial" w:cs="Arial" w:eastAsia="Arial" w:hAnsi="Arial"/>
                <w:sz w:val="13"/>
                <w:szCs w:val="13"/>
                <w:b w:val="1"/>
                <w:bCs w:val="1"/>
                <w:color w:val="auto"/>
              </w:rPr>
              <w:t>No.</w:t>
            </w:r>
          </w:p>
        </w:tc>
        <w:tc>
          <w:tcPr>
            <w:tcW w:w="140" w:type="dxa"/>
            <w:vAlign w:val="bottom"/>
          </w:tcPr>
          <w:p>
            <w:pPr>
              <w:spacing w:after="0"/>
              <w:rPr>
                <w:sz w:val="13"/>
                <w:szCs w:val="13"/>
                <w:color w:val="auto"/>
              </w:rPr>
            </w:pPr>
          </w:p>
        </w:tc>
        <w:tc>
          <w:tcPr>
            <w:tcW w:w="500" w:type="dxa"/>
            <w:vAlign w:val="bottom"/>
          </w:tcPr>
          <w:p>
            <w:pPr>
              <w:jc w:val="right"/>
              <w:ind w:right="117"/>
              <w:spacing w:after="0"/>
              <w:rPr>
                <w:sz w:val="20"/>
                <w:szCs w:val="20"/>
                <w:color w:val="auto"/>
              </w:rPr>
            </w:pPr>
            <w:r>
              <w:rPr>
                <w:rFonts w:ascii="Arial" w:cs="Arial" w:eastAsia="Arial" w:hAnsi="Arial"/>
                <w:sz w:val="13"/>
                <w:szCs w:val="13"/>
                <w:b w:val="1"/>
                <w:bCs w:val="1"/>
                <w:color w:val="auto"/>
              </w:rPr>
              <w:t>A$</w:t>
            </w:r>
          </w:p>
        </w:tc>
        <w:tc>
          <w:tcPr>
            <w:tcW w:w="780" w:type="dxa"/>
            <w:vAlign w:val="bottom"/>
            <w:gridSpan w:val="2"/>
          </w:tcPr>
          <w:p>
            <w:pPr>
              <w:jc w:val="center"/>
              <w:ind w:left="77"/>
              <w:spacing w:after="0"/>
              <w:rPr>
                <w:sz w:val="20"/>
                <w:szCs w:val="20"/>
                <w:color w:val="auto"/>
              </w:rPr>
            </w:pPr>
            <w:r>
              <w:rPr>
                <w:rFonts w:ascii="Arial" w:cs="Arial" w:eastAsia="Arial" w:hAnsi="Arial"/>
                <w:sz w:val="13"/>
                <w:szCs w:val="13"/>
                <w:b w:val="1"/>
                <w:bCs w:val="1"/>
                <w:color w:val="auto"/>
                <w:w w:val="82"/>
              </w:rPr>
              <w:t>2019</w:t>
            </w:r>
          </w:p>
        </w:tc>
        <w:tc>
          <w:tcPr>
            <w:tcW w:w="160" w:type="dxa"/>
            <w:vAlign w:val="bottom"/>
          </w:tcPr>
          <w:p>
            <w:pPr>
              <w:spacing w:after="0"/>
              <w:rPr>
                <w:sz w:val="13"/>
                <w:szCs w:val="13"/>
                <w:color w:val="auto"/>
              </w:rPr>
            </w:pPr>
          </w:p>
        </w:tc>
        <w:tc>
          <w:tcPr>
            <w:tcW w:w="660" w:type="dxa"/>
            <w:vAlign w:val="bottom"/>
          </w:tcPr>
          <w:p>
            <w:pPr>
              <w:jc w:val="right"/>
              <w:spacing w:after="0"/>
              <w:rPr>
                <w:sz w:val="20"/>
                <w:szCs w:val="20"/>
                <w:color w:val="auto"/>
              </w:rPr>
            </w:pPr>
            <w:r>
              <w:rPr>
                <w:rFonts w:ascii="Arial" w:cs="Arial" w:eastAsia="Arial" w:hAnsi="Arial"/>
                <w:sz w:val="13"/>
                <w:szCs w:val="13"/>
                <w:b w:val="1"/>
                <w:bCs w:val="1"/>
                <w:color w:val="auto"/>
                <w:w w:val="85"/>
              </w:rPr>
              <w:t>Exercisable</w:t>
            </w:r>
          </w:p>
        </w:tc>
        <w:tc>
          <w:tcPr>
            <w:tcW w:w="140" w:type="dxa"/>
            <w:vAlign w:val="bottom"/>
          </w:tcPr>
          <w:p>
            <w:pPr>
              <w:spacing w:after="0"/>
              <w:rPr>
                <w:sz w:val="13"/>
                <w:szCs w:val="13"/>
                <w:color w:val="auto"/>
              </w:rPr>
            </w:pPr>
          </w:p>
        </w:tc>
        <w:tc>
          <w:tcPr>
            <w:tcW w:w="820" w:type="dxa"/>
            <w:vAlign w:val="bottom"/>
          </w:tcPr>
          <w:p>
            <w:pPr>
              <w:ind w:left="40"/>
              <w:spacing w:after="0"/>
              <w:rPr>
                <w:sz w:val="20"/>
                <w:szCs w:val="20"/>
                <w:color w:val="auto"/>
              </w:rPr>
            </w:pPr>
            <w:r>
              <w:rPr>
                <w:rFonts w:ascii="Arial" w:cs="Arial" w:eastAsia="Arial" w:hAnsi="Arial"/>
                <w:sz w:val="13"/>
                <w:szCs w:val="13"/>
                <w:b w:val="1"/>
                <w:bCs w:val="1"/>
                <w:color w:val="auto"/>
                <w:w w:val="86"/>
              </w:rPr>
              <w:t>Unexercisable</w:t>
            </w:r>
          </w:p>
        </w:tc>
        <w:tc>
          <w:tcPr>
            <w:tcW w:w="800" w:type="dxa"/>
            <w:vAlign w:val="bottom"/>
            <w:gridSpan w:val="2"/>
          </w:tcPr>
          <w:p>
            <w:pPr>
              <w:jc w:val="center"/>
              <w:ind w:left="77"/>
              <w:spacing w:after="0"/>
              <w:rPr>
                <w:sz w:val="20"/>
                <w:szCs w:val="20"/>
                <w:color w:val="auto"/>
              </w:rPr>
            </w:pPr>
            <w:r>
              <w:rPr>
                <w:rFonts w:ascii="Arial" w:cs="Arial" w:eastAsia="Arial" w:hAnsi="Arial"/>
                <w:sz w:val="13"/>
                <w:szCs w:val="13"/>
                <w:b w:val="1"/>
                <w:bCs w:val="1"/>
                <w:color w:val="auto"/>
                <w:w w:val="89"/>
              </w:rPr>
              <w:t>2019</w:t>
            </w:r>
          </w:p>
        </w:tc>
        <w:tc>
          <w:tcPr>
            <w:tcW w:w="820" w:type="dxa"/>
            <w:vAlign w:val="bottom"/>
            <w:gridSpan w:val="2"/>
          </w:tcPr>
          <w:p>
            <w:pPr>
              <w:jc w:val="center"/>
              <w:ind w:left="77"/>
              <w:spacing w:after="0"/>
              <w:rPr>
                <w:sz w:val="20"/>
                <w:szCs w:val="20"/>
                <w:color w:val="auto"/>
              </w:rPr>
            </w:pPr>
            <w:r>
              <w:rPr>
                <w:rFonts w:ascii="Arial" w:cs="Arial" w:eastAsia="Arial" w:hAnsi="Arial"/>
                <w:sz w:val="13"/>
                <w:szCs w:val="13"/>
                <w:b w:val="1"/>
                <w:bCs w:val="1"/>
                <w:color w:val="auto"/>
                <w:w w:val="82"/>
              </w:rPr>
              <w:t>2019</w:t>
            </w:r>
          </w:p>
        </w:tc>
        <w:tc>
          <w:tcPr>
            <w:tcW w:w="840" w:type="dxa"/>
            <w:vAlign w:val="bottom"/>
            <w:gridSpan w:val="2"/>
          </w:tcPr>
          <w:p>
            <w:pPr>
              <w:jc w:val="center"/>
              <w:ind w:left="77"/>
              <w:spacing w:after="0"/>
              <w:rPr>
                <w:sz w:val="20"/>
                <w:szCs w:val="20"/>
                <w:color w:val="auto"/>
              </w:rPr>
            </w:pPr>
            <w:r>
              <w:rPr>
                <w:rFonts w:ascii="Arial" w:cs="Arial" w:eastAsia="Arial" w:hAnsi="Arial"/>
                <w:sz w:val="13"/>
                <w:szCs w:val="13"/>
                <w:b w:val="1"/>
                <w:bCs w:val="1"/>
                <w:color w:val="auto"/>
                <w:w w:val="89"/>
              </w:rPr>
              <w:t>2019</w:t>
            </w:r>
          </w:p>
        </w:tc>
        <w:tc>
          <w:tcPr>
            <w:tcW w:w="60" w:type="dxa"/>
            <w:vAlign w:val="bottom"/>
          </w:tcPr>
          <w:p>
            <w:pPr>
              <w:spacing w:after="0"/>
              <w:rPr>
                <w:sz w:val="13"/>
                <w:szCs w:val="13"/>
                <w:color w:val="auto"/>
              </w:rPr>
            </w:pPr>
          </w:p>
        </w:tc>
      </w:tr>
      <w:tr>
        <w:trPr>
          <w:trHeight w:val="114"/>
        </w:trPr>
        <w:tc>
          <w:tcPr>
            <w:tcW w:w="20" w:type="dxa"/>
            <w:vAlign w:val="bottom"/>
          </w:tcPr>
          <w:p>
            <w:pPr>
              <w:spacing w:after="0"/>
              <w:rPr>
                <w:sz w:val="9"/>
                <w:szCs w:val="9"/>
                <w:color w:val="auto"/>
              </w:rPr>
            </w:pPr>
          </w:p>
        </w:tc>
        <w:tc>
          <w:tcPr>
            <w:tcW w:w="1420" w:type="dxa"/>
            <w:vAlign w:val="bottom"/>
            <w:tcBorders>
              <w:top w:val="single" w:sz="8" w:color="CCEEFF"/>
            </w:tcBorders>
            <w:shd w:val="clear" w:color="auto" w:fill="CCEEFF"/>
          </w:tcPr>
          <w:p>
            <w:pPr>
              <w:spacing w:after="0" w:line="114" w:lineRule="exact"/>
              <w:rPr>
                <w:sz w:val="20"/>
                <w:szCs w:val="20"/>
                <w:color w:val="auto"/>
              </w:rPr>
            </w:pPr>
            <w:r>
              <w:rPr>
                <w:rFonts w:ascii="Arial" w:cs="Arial" w:eastAsia="Arial" w:hAnsi="Arial"/>
                <w:sz w:val="13"/>
                <w:szCs w:val="13"/>
                <w:color w:val="auto"/>
              </w:rPr>
              <w:t>Michael Perry</w:t>
            </w:r>
          </w:p>
        </w:tc>
        <w:tc>
          <w:tcPr>
            <w:tcW w:w="120" w:type="dxa"/>
            <w:vAlign w:val="bottom"/>
            <w:tcBorders>
              <w:top w:val="single" w:sz="8" w:color="CCEEFF"/>
            </w:tcBorders>
            <w:shd w:val="clear" w:color="auto" w:fill="CCEEFF"/>
          </w:tcPr>
          <w:p>
            <w:pPr>
              <w:spacing w:after="0"/>
              <w:rPr>
                <w:sz w:val="9"/>
                <w:szCs w:val="9"/>
                <w:color w:val="auto"/>
              </w:rPr>
            </w:pPr>
          </w:p>
        </w:tc>
        <w:tc>
          <w:tcPr>
            <w:tcW w:w="620" w:type="dxa"/>
            <w:vAlign w:val="bottom"/>
            <w:tcBorders>
              <w:top w:val="single" w:sz="8" w:color="auto"/>
            </w:tcBorders>
            <w:shd w:val="clear" w:color="auto" w:fill="CCEEFF"/>
          </w:tcPr>
          <w:p>
            <w:pPr>
              <w:spacing w:after="0"/>
              <w:rPr>
                <w:sz w:val="9"/>
                <w:szCs w:val="9"/>
                <w:color w:val="auto"/>
              </w:rPr>
            </w:pPr>
          </w:p>
        </w:tc>
        <w:tc>
          <w:tcPr>
            <w:tcW w:w="160" w:type="dxa"/>
            <w:vAlign w:val="bottom"/>
            <w:tcBorders>
              <w:top w:val="single" w:sz="8" w:color="CCEEFF"/>
            </w:tcBorders>
            <w:shd w:val="clear" w:color="auto" w:fill="CCEEFF"/>
          </w:tcPr>
          <w:p>
            <w:pPr>
              <w:spacing w:after="0"/>
              <w:rPr>
                <w:sz w:val="9"/>
                <w:szCs w:val="9"/>
                <w:color w:val="auto"/>
              </w:rPr>
            </w:pPr>
          </w:p>
        </w:tc>
        <w:tc>
          <w:tcPr>
            <w:tcW w:w="740" w:type="dxa"/>
            <w:vAlign w:val="bottom"/>
            <w:tcBorders>
              <w:top w:val="single" w:sz="8" w:color="auto"/>
            </w:tcBorders>
            <w:shd w:val="clear" w:color="auto" w:fill="CCEEFF"/>
          </w:tcPr>
          <w:p>
            <w:pPr>
              <w:jc w:val="center"/>
              <w:spacing w:after="0" w:line="114" w:lineRule="exact"/>
              <w:rPr>
                <w:sz w:val="20"/>
                <w:szCs w:val="20"/>
                <w:color w:val="auto"/>
              </w:rPr>
            </w:pPr>
            <w:r>
              <w:rPr>
                <w:rFonts w:ascii="Arial" w:cs="Arial" w:eastAsia="Arial" w:hAnsi="Arial"/>
                <w:sz w:val="13"/>
                <w:szCs w:val="13"/>
                <w:color w:val="auto"/>
                <w:w w:val="88"/>
              </w:rPr>
              <w:t>November 30,</w:t>
            </w:r>
          </w:p>
        </w:tc>
        <w:tc>
          <w:tcPr>
            <w:tcW w:w="20" w:type="dxa"/>
            <w:vAlign w:val="bottom"/>
            <w:tcBorders>
              <w:top w:val="single" w:sz="8" w:color="auto"/>
            </w:tcBorders>
            <w:shd w:val="clear" w:color="auto" w:fill="CCEEFF"/>
          </w:tcPr>
          <w:p>
            <w:pPr>
              <w:spacing w:after="0"/>
              <w:rPr>
                <w:sz w:val="9"/>
                <w:szCs w:val="9"/>
                <w:color w:val="auto"/>
              </w:rPr>
            </w:pPr>
          </w:p>
        </w:tc>
        <w:tc>
          <w:tcPr>
            <w:tcW w:w="120" w:type="dxa"/>
            <w:vAlign w:val="bottom"/>
            <w:tcBorders>
              <w:top w:val="single" w:sz="8" w:color="CCEEFF"/>
            </w:tcBorders>
            <w:shd w:val="clear" w:color="auto" w:fill="CCEEFF"/>
          </w:tcPr>
          <w:p>
            <w:pPr>
              <w:spacing w:after="0"/>
              <w:rPr>
                <w:sz w:val="9"/>
                <w:szCs w:val="9"/>
                <w:color w:val="auto"/>
              </w:rPr>
            </w:pPr>
          </w:p>
        </w:tc>
        <w:tc>
          <w:tcPr>
            <w:tcW w:w="640" w:type="dxa"/>
            <w:vAlign w:val="bottom"/>
            <w:tcBorders>
              <w:top w:val="single" w:sz="8" w:color="auto"/>
            </w:tcBorders>
            <w:shd w:val="clear" w:color="auto" w:fill="CCEEFF"/>
          </w:tcPr>
          <w:p>
            <w:pPr>
              <w:spacing w:after="0"/>
              <w:rPr>
                <w:sz w:val="9"/>
                <w:szCs w:val="9"/>
                <w:color w:val="auto"/>
              </w:rPr>
            </w:pPr>
          </w:p>
        </w:tc>
        <w:tc>
          <w:tcPr>
            <w:tcW w:w="140" w:type="dxa"/>
            <w:vAlign w:val="bottom"/>
            <w:tcBorders>
              <w:top w:val="single" w:sz="8" w:color="CCEEFF"/>
            </w:tcBorders>
            <w:shd w:val="clear" w:color="auto" w:fill="CCEEFF"/>
          </w:tcPr>
          <w:p>
            <w:pPr>
              <w:spacing w:after="0"/>
              <w:rPr>
                <w:sz w:val="9"/>
                <w:szCs w:val="9"/>
                <w:color w:val="auto"/>
              </w:rPr>
            </w:pPr>
          </w:p>
        </w:tc>
        <w:tc>
          <w:tcPr>
            <w:tcW w:w="580" w:type="dxa"/>
            <w:vAlign w:val="bottom"/>
            <w:tcBorders>
              <w:top w:val="single" w:sz="8" w:color="auto"/>
            </w:tcBorders>
            <w:shd w:val="clear" w:color="auto" w:fill="CCEEFF"/>
          </w:tcPr>
          <w:p>
            <w:pPr>
              <w:spacing w:after="0"/>
              <w:rPr>
                <w:sz w:val="9"/>
                <w:szCs w:val="9"/>
                <w:color w:val="auto"/>
              </w:rPr>
            </w:pPr>
          </w:p>
        </w:tc>
        <w:tc>
          <w:tcPr>
            <w:tcW w:w="140" w:type="dxa"/>
            <w:vAlign w:val="bottom"/>
            <w:tcBorders>
              <w:top w:val="single" w:sz="8" w:color="CCEEFF"/>
            </w:tcBorders>
            <w:shd w:val="clear" w:color="auto" w:fill="CCEEFF"/>
          </w:tcPr>
          <w:p>
            <w:pPr>
              <w:spacing w:after="0"/>
              <w:rPr>
                <w:sz w:val="9"/>
                <w:szCs w:val="9"/>
                <w:color w:val="auto"/>
              </w:rPr>
            </w:pPr>
          </w:p>
        </w:tc>
        <w:tc>
          <w:tcPr>
            <w:tcW w:w="600" w:type="dxa"/>
            <w:vAlign w:val="bottom"/>
            <w:tcBorders>
              <w:top w:val="single" w:sz="8" w:color="auto"/>
            </w:tcBorders>
            <w:shd w:val="clear" w:color="auto" w:fill="CCEEFF"/>
          </w:tcPr>
          <w:p>
            <w:pPr>
              <w:spacing w:after="0"/>
              <w:rPr>
                <w:sz w:val="9"/>
                <w:szCs w:val="9"/>
                <w:color w:val="auto"/>
              </w:rPr>
            </w:pPr>
          </w:p>
        </w:tc>
        <w:tc>
          <w:tcPr>
            <w:tcW w:w="140" w:type="dxa"/>
            <w:vAlign w:val="bottom"/>
            <w:tcBorders>
              <w:top w:val="single" w:sz="8" w:color="CCEEFF"/>
            </w:tcBorders>
            <w:shd w:val="clear" w:color="auto" w:fill="CCEEFF"/>
          </w:tcPr>
          <w:p>
            <w:pPr>
              <w:spacing w:after="0"/>
              <w:rPr>
                <w:sz w:val="9"/>
                <w:szCs w:val="9"/>
                <w:color w:val="auto"/>
              </w:rPr>
            </w:pPr>
          </w:p>
        </w:tc>
        <w:tc>
          <w:tcPr>
            <w:tcW w:w="500" w:type="dxa"/>
            <w:vAlign w:val="bottom"/>
            <w:tcBorders>
              <w:top w:val="single" w:sz="8" w:color="auto"/>
            </w:tcBorders>
            <w:shd w:val="clear" w:color="auto" w:fill="CCEEFF"/>
          </w:tcPr>
          <w:p>
            <w:pPr>
              <w:spacing w:after="0"/>
              <w:rPr>
                <w:sz w:val="9"/>
                <w:szCs w:val="9"/>
                <w:color w:val="auto"/>
              </w:rPr>
            </w:pPr>
          </w:p>
        </w:tc>
        <w:tc>
          <w:tcPr>
            <w:tcW w:w="140" w:type="dxa"/>
            <w:vAlign w:val="bottom"/>
            <w:tcBorders>
              <w:top w:val="single" w:sz="8" w:color="CCEEFF"/>
            </w:tcBorders>
            <w:shd w:val="clear" w:color="auto" w:fill="CCEEFF"/>
          </w:tcPr>
          <w:p>
            <w:pPr>
              <w:spacing w:after="0"/>
              <w:rPr>
                <w:sz w:val="9"/>
                <w:szCs w:val="9"/>
                <w:color w:val="auto"/>
              </w:rPr>
            </w:pPr>
          </w:p>
        </w:tc>
        <w:tc>
          <w:tcPr>
            <w:tcW w:w="640" w:type="dxa"/>
            <w:vAlign w:val="bottom"/>
            <w:tcBorders>
              <w:top w:val="single" w:sz="8" w:color="auto"/>
            </w:tcBorders>
            <w:shd w:val="clear" w:color="auto" w:fill="CCEEFF"/>
          </w:tcPr>
          <w:p>
            <w:pPr>
              <w:spacing w:after="0"/>
              <w:rPr>
                <w:sz w:val="9"/>
                <w:szCs w:val="9"/>
                <w:color w:val="auto"/>
              </w:rPr>
            </w:pPr>
          </w:p>
        </w:tc>
        <w:tc>
          <w:tcPr>
            <w:tcW w:w="160" w:type="dxa"/>
            <w:vAlign w:val="bottom"/>
            <w:tcBorders>
              <w:top w:val="single" w:sz="8" w:color="CCEEFF"/>
            </w:tcBorders>
            <w:shd w:val="clear" w:color="auto" w:fill="CCEEFF"/>
          </w:tcPr>
          <w:p>
            <w:pPr>
              <w:spacing w:after="0"/>
              <w:rPr>
                <w:sz w:val="9"/>
                <w:szCs w:val="9"/>
                <w:color w:val="auto"/>
              </w:rPr>
            </w:pPr>
          </w:p>
        </w:tc>
        <w:tc>
          <w:tcPr>
            <w:tcW w:w="660" w:type="dxa"/>
            <w:vAlign w:val="bottom"/>
            <w:tcBorders>
              <w:top w:val="single" w:sz="8" w:color="auto"/>
            </w:tcBorders>
            <w:shd w:val="clear" w:color="auto" w:fill="CCEEFF"/>
          </w:tcPr>
          <w:p>
            <w:pPr>
              <w:spacing w:after="0"/>
              <w:rPr>
                <w:sz w:val="9"/>
                <w:szCs w:val="9"/>
                <w:color w:val="auto"/>
              </w:rPr>
            </w:pPr>
          </w:p>
        </w:tc>
        <w:tc>
          <w:tcPr>
            <w:tcW w:w="140" w:type="dxa"/>
            <w:vAlign w:val="bottom"/>
            <w:tcBorders>
              <w:top w:val="single" w:sz="8" w:color="CCEEFF"/>
            </w:tcBorders>
            <w:shd w:val="clear" w:color="auto" w:fill="CCEEFF"/>
          </w:tcPr>
          <w:p>
            <w:pPr>
              <w:spacing w:after="0"/>
              <w:rPr>
                <w:sz w:val="9"/>
                <w:szCs w:val="9"/>
                <w:color w:val="auto"/>
              </w:rPr>
            </w:pPr>
          </w:p>
        </w:tc>
        <w:tc>
          <w:tcPr>
            <w:tcW w:w="820" w:type="dxa"/>
            <w:vAlign w:val="bottom"/>
            <w:tcBorders>
              <w:top w:val="single" w:sz="8" w:color="auto"/>
            </w:tcBorders>
            <w:shd w:val="clear" w:color="auto" w:fill="CCEEFF"/>
          </w:tcPr>
          <w:p>
            <w:pPr>
              <w:spacing w:after="0"/>
              <w:rPr>
                <w:sz w:val="9"/>
                <w:szCs w:val="9"/>
                <w:color w:val="auto"/>
              </w:rPr>
            </w:pPr>
          </w:p>
        </w:tc>
        <w:tc>
          <w:tcPr>
            <w:tcW w:w="140" w:type="dxa"/>
            <w:vAlign w:val="bottom"/>
            <w:tcBorders>
              <w:top w:val="single" w:sz="8" w:color="CCEEFF"/>
            </w:tcBorders>
            <w:shd w:val="clear" w:color="auto" w:fill="CCEEFF"/>
          </w:tcPr>
          <w:p>
            <w:pPr>
              <w:spacing w:after="0"/>
              <w:rPr>
                <w:sz w:val="9"/>
                <w:szCs w:val="9"/>
                <w:color w:val="auto"/>
              </w:rPr>
            </w:pPr>
          </w:p>
        </w:tc>
        <w:tc>
          <w:tcPr>
            <w:tcW w:w="660" w:type="dxa"/>
            <w:vAlign w:val="bottom"/>
            <w:tcBorders>
              <w:top w:val="single" w:sz="8" w:color="auto"/>
            </w:tcBorders>
            <w:shd w:val="clear" w:color="auto" w:fill="CCEEFF"/>
          </w:tcPr>
          <w:p>
            <w:pPr>
              <w:spacing w:after="0"/>
              <w:rPr>
                <w:sz w:val="9"/>
                <w:szCs w:val="9"/>
                <w:color w:val="auto"/>
              </w:rPr>
            </w:pPr>
          </w:p>
        </w:tc>
        <w:tc>
          <w:tcPr>
            <w:tcW w:w="160" w:type="dxa"/>
            <w:vAlign w:val="bottom"/>
            <w:tcBorders>
              <w:top w:val="single" w:sz="8" w:color="CCEEFF"/>
            </w:tcBorders>
            <w:shd w:val="clear" w:color="auto" w:fill="CCEEFF"/>
          </w:tcPr>
          <w:p>
            <w:pPr>
              <w:spacing w:after="0"/>
              <w:rPr>
                <w:sz w:val="9"/>
                <w:szCs w:val="9"/>
                <w:color w:val="auto"/>
              </w:rPr>
            </w:pPr>
          </w:p>
        </w:tc>
        <w:tc>
          <w:tcPr>
            <w:tcW w:w="660" w:type="dxa"/>
            <w:vAlign w:val="bottom"/>
            <w:tcBorders>
              <w:top w:val="single" w:sz="8" w:color="auto"/>
            </w:tcBorders>
            <w:shd w:val="clear" w:color="auto" w:fill="CCEEFF"/>
          </w:tcPr>
          <w:p>
            <w:pPr>
              <w:spacing w:after="0"/>
              <w:rPr>
                <w:sz w:val="9"/>
                <w:szCs w:val="9"/>
                <w:color w:val="auto"/>
              </w:rPr>
            </w:pPr>
          </w:p>
        </w:tc>
        <w:tc>
          <w:tcPr>
            <w:tcW w:w="140" w:type="dxa"/>
            <w:vAlign w:val="bottom"/>
            <w:tcBorders>
              <w:top w:val="single" w:sz="8" w:color="CCEEFF"/>
            </w:tcBorders>
            <w:shd w:val="clear" w:color="auto" w:fill="CCEEFF"/>
          </w:tcPr>
          <w:p>
            <w:pPr>
              <w:spacing w:after="0"/>
              <w:rPr>
                <w:sz w:val="9"/>
                <w:szCs w:val="9"/>
                <w:color w:val="auto"/>
              </w:rPr>
            </w:pPr>
          </w:p>
        </w:tc>
        <w:tc>
          <w:tcPr>
            <w:tcW w:w="700" w:type="dxa"/>
            <w:vAlign w:val="bottom"/>
            <w:tcBorders>
              <w:top w:val="single" w:sz="8" w:color="auto"/>
            </w:tcBorders>
            <w:shd w:val="clear" w:color="auto" w:fill="CCEEFF"/>
          </w:tcPr>
          <w:p>
            <w:pPr>
              <w:spacing w:after="0"/>
              <w:rPr>
                <w:sz w:val="9"/>
                <w:szCs w:val="9"/>
                <w:color w:val="auto"/>
              </w:rPr>
            </w:pPr>
          </w:p>
        </w:tc>
        <w:tc>
          <w:tcPr>
            <w:tcW w:w="60" w:type="dxa"/>
            <w:vAlign w:val="bottom"/>
            <w:tcBorders>
              <w:top w:val="single" w:sz="8" w:color="CCEEFF"/>
            </w:tcBorders>
            <w:shd w:val="clear" w:color="auto" w:fill="CCEEFF"/>
          </w:tcPr>
          <w:p>
            <w:pPr>
              <w:spacing w:after="0"/>
              <w:rPr>
                <w:sz w:val="9"/>
                <w:szCs w:val="9"/>
                <w:color w:val="auto"/>
              </w:rPr>
            </w:pPr>
          </w:p>
        </w:tc>
      </w:tr>
      <w:tr>
        <w:trPr>
          <w:trHeight w:val="149"/>
        </w:trPr>
        <w:tc>
          <w:tcPr>
            <w:tcW w:w="20" w:type="dxa"/>
            <w:vAlign w:val="bottom"/>
          </w:tcPr>
          <w:p>
            <w:pPr>
              <w:spacing w:after="0"/>
              <w:rPr>
                <w:sz w:val="12"/>
                <w:szCs w:val="12"/>
                <w:color w:val="auto"/>
              </w:rPr>
            </w:pPr>
          </w:p>
        </w:tc>
        <w:tc>
          <w:tcPr>
            <w:tcW w:w="14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900" w:type="dxa"/>
            <w:vAlign w:val="bottom"/>
            <w:gridSpan w:val="2"/>
            <w:shd w:val="clear" w:color="auto" w:fill="CCEEFF"/>
          </w:tcPr>
          <w:p>
            <w:pPr>
              <w:jc w:val="center"/>
              <w:ind w:left="97"/>
              <w:spacing w:after="0"/>
              <w:rPr>
                <w:sz w:val="20"/>
                <w:szCs w:val="20"/>
                <w:color w:val="auto"/>
              </w:rPr>
            </w:pPr>
            <w:r>
              <w:rPr>
                <w:rFonts w:ascii="Arial" w:cs="Arial" w:eastAsia="Arial" w:hAnsi="Arial"/>
                <w:sz w:val="13"/>
                <w:szCs w:val="13"/>
                <w:color w:val="auto"/>
                <w:w w:val="89"/>
              </w:rPr>
              <w:t>2018</w:t>
            </w:r>
          </w:p>
        </w:tc>
        <w:tc>
          <w:tcPr>
            <w:tcW w:w="780" w:type="dxa"/>
            <w:vAlign w:val="bottom"/>
            <w:gridSpan w:val="3"/>
            <w:shd w:val="clear" w:color="auto" w:fill="CCEEFF"/>
          </w:tcPr>
          <w:p>
            <w:pPr>
              <w:jc w:val="right"/>
              <w:spacing w:after="0"/>
              <w:rPr>
                <w:sz w:val="20"/>
                <w:szCs w:val="20"/>
                <w:color w:val="auto"/>
              </w:rPr>
            </w:pPr>
            <w:r>
              <w:rPr>
                <w:rFonts w:ascii="Arial" w:cs="Arial" w:eastAsia="Arial" w:hAnsi="Arial"/>
                <w:sz w:val="13"/>
                <w:szCs w:val="13"/>
                <w:color w:val="auto"/>
              </w:rPr>
              <w:t>15,000,000</w:t>
            </w: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812,500</w:t>
            </w:r>
          </w:p>
        </w:tc>
        <w:tc>
          <w:tcPr>
            <w:tcW w:w="140" w:type="dxa"/>
            <w:vAlign w:val="bottom"/>
            <w:shd w:val="clear" w:color="auto" w:fill="CCEEFF"/>
          </w:tcPr>
          <w:p>
            <w:pPr>
              <w:spacing w:after="0"/>
              <w:rPr>
                <w:sz w:val="12"/>
                <w:szCs w:val="12"/>
                <w:color w:val="auto"/>
              </w:rPr>
            </w:pPr>
          </w:p>
        </w:tc>
        <w:tc>
          <w:tcPr>
            <w:tcW w:w="600" w:type="dxa"/>
            <w:vAlign w:val="bottom"/>
            <w:shd w:val="clear" w:color="auto" w:fill="CCEEFF"/>
          </w:tcPr>
          <w:p>
            <w:pPr>
              <w:ind w:left="400"/>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2"/>
                <w:szCs w:val="12"/>
                <w:color w:val="auto"/>
              </w:rPr>
            </w:pPr>
          </w:p>
        </w:tc>
        <w:tc>
          <w:tcPr>
            <w:tcW w:w="50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rPr>
              <w:t>—</w:t>
            </w: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15,000,000</w:t>
            </w: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10,833,333</w:t>
            </w:r>
          </w:p>
        </w:tc>
        <w:tc>
          <w:tcPr>
            <w:tcW w:w="140" w:type="dxa"/>
            <w:vAlign w:val="bottom"/>
            <w:shd w:val="clear" w:color="auto" w:fill="CCEEFF"/>
          </w:tcPr>
          <w:p>
            <w:pPr>
              <w:spacing w:after="0"/>
              <w:rPr>
                <w:sz w:val="12"/>
                <w:szCs w:val="12"/>
                <w:color w:val="auto"/>
              </w:rPr>
            </w:pPr>
          </w:p>
        </w:tc>
        <w:tc>
          <w:tcPr>
            <w:tcW w:w="820" w:type="dxa"/>
            <w:vAlign w:val="bottom"/>
            <w:shd w:val="clear" w:color="auto" w:fill="CCEEFF"/>
          </w:tcPr>
          <w:p>
            <w:pPr>
              <w:ind w:left="620"/>
              <w:spacing w:after="0"/>
              <w:rPr>
                <w:sz w:val="20"/>
                <w:szCs w:val="20"/>
                <w:color w:val="auto"/>
              </w:rPr>
            </w:pPr>
            <w:r>
              <w:rPr>
                <w:rFonts w:ascii="Arial" w:cs="Arial" w:eastAsia="Arial" w:hAnsi="Arial"/>
                <w:sz w:val="13"/>
                <w:szCs w:val="13"/>
                <w:color w:val="auto"/>
              </w:rPr>
              <w:t>—</w:t>
            </w: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10,833,333</w:t>
            </w: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4,166,667</w:t>
            </w: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4,166,667</w:t>
            </w:r>
          </w:p>
        </w:tc>
        <w:tc>
          <w:tcPr>
            <w:tcW w:w="60" w:type="dxa"/>
            <w:vAlign w:val="bottom"/>
            <w:shd w:val="clear" w:color="auto" w:fill="CCEEFF"/>
          </w:tcPr>
          <w:p>
            <w:pPr>
              <w:spacing w:after="0"/>
              <w:rPr>
                <w:sz w:val="12"/>
                <w:szCs w:val="12"/>
                <w:color w:val="auto"/>
              </w:rPr>
            </w:pPr>
          </w:p>
        </w:tc>
      </w:tr>
      <w:tr>
        <w:trPr>
          <w:trHeight w:val="121"/>
        </w:trPr>
        <w:tc>
          <w:tcPr>
            <w:tcW w:w="20" w:type="dxa"/>
            <w:vAlign w:val="bottom"/>
          </w:tcPr>
          <w:p>
            <w:pPr>
              <w:spacing w:after="0"/>
              <w:rPr>
                <w:sz w:val="10"/>
                <w:szCs w:val="10"/>
                <w:color w:val="auto"/>
              </w:rPr>
            </w:pPr>
          </w:p>
        </w:tc>
        <w:tc>
          <w:tcPr>
            <w:tcW w:w="1420" w:type="dxa"/>
            <w:vAlign w:val="bottom"/>
          </w:tcPr>
          <w:p>
            <w:pPr>
              <w:spacing w:after="0" w:line="121" w:lineRule="exact"/>
              <w:rPr>
                <w:sz w:val="20"/>
                <w:szCs w:val="20"/>
                <w:color w:val="auto"/>
              </w:rPr>
            </w:pPr>
            <w:r>
              <w:rPr>
                <w:rFonts w:ascii="Arial" w:cs="Arial" w:eastAsia="Arial" w:hAnsi="Arial"/>
                <w:sz w:val="13"/>
                <w:szCs w:val="13"/>
                <w:color w:val="auto"/>
              </w:rPr>
              <w:t>Timothy Rooney</w:t>
            </w:r>
          </w:p>
        </w:tc>
        <w:tc>
          <w:tcPr>
            <w:tcW w:w="740" w:type="dxa"/>
            <w:vAlign w:val="bottom"/>
            <w:gridSpan w:val="2"/>
          </w:tcPr>
          <w:p>
            <w:pPr>
              <w:jc w:val="right"/>
              <w:spacing w:after="0" w:line="121" w:lineRule="exact"/>
              <w:rPr>
                <w:sz w:val="20"/>
                <w:szCs w:val="20"/>
                <w:color w:val="auto"/>
              </w:rPr>
            </w:pPr>
            <w:r>
              <w:rPr>
                <w:rFonts w:ascii="Arial" w:cs="Arial" w:eastAsia="Arial" w:hAnsi="Arial"/>
                <w:sz w:val="13"/>
                <w:szCs w:val="13"/>
                <w:color w:val="auto"/>
              </w:rPr>
              <w:t>7,800,000</w:t>
            </w:r>
          </w:p>
        </w:tc>
        <w:tc>
          <w:tcPr>
            <w:tcW w:w="160" w:type="dxa"/>
            <w:vAlign w:val="bottom"/>
          </w:tcPr>
          <w:p>
            <w:pPr>
              <w:spacing w:after="0"/>
              <w:rPr>
                <w:sz w:val="10"/>
                <w:szCs w:val="10"/>
                <w:color w:val="auto"/>
              </w:rPr>
            </w:pPr>
          </w:p>
        </w:tc>
        <w:tc>
          <w:tcPr>
            <w:tcW w:w="740" w:type="dxa"/>
            <w:vAlign w:val="bottom"/>
          </w:tcPr>
          <w:p>
            <w:pPr>
              <w:ind w:left="280"/>
              <w:spacing w:after="0" w:line="121" w:lineRule="exact"/>
              <w:rPr>
                <w:sz w:val="20"/>
                <w:szCs w:val="20"/>
                <w:color w:val="auto"/>
              </w:rPr>
            </w:pPr>
            <w:r>
              <w:rPr>
                <w:rFonts w:ascii="Arial" w:cs="Arial" w:eastAsia="Arial" w:hAnsi="Arial"/>
                <w:sz w:val="13"/>
                <w:szCs w:val="13"/>
                <w:color w:val="auto"/>
              </w:rPr>
              <w:t>—</w:t>
            </w:r>
          </w:p>
        </w:tc>
        <w:tc>
          <w:tcPr>
            <w:tcW w:w="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40" w:type="dxa"/>
            <w:vAlign w:val="bottom"/>
          </w:tcPr>
          <w:p>
            <w:pPr>
              <w:jc w:val="right"/>
              <w:spacing w:after="0" w:line="121" w:lineRule="exact"/>
              <w:rPr>
                <w:sz w:val="20"/>
                <w:szCs w:val="20"/>
                <w:color w:val="auto"/>
              </w:rPr>
            </w:pPr>
            <w:r>
              <w:rPr>
                <w:rFonts w:ascii="Arial" w:cs="Arial" w:eastAsia="Arial" w:hAnsi="Arial"/>
                <w:sz w:val="13"/>
                <w:szCs w:val="13"/>
                <w:color w:val="auto"/>
              </w:rPr>
              <w:t>—</w:t>
            </w:r>
          </w:p>
        </w:tc>
        <w:tc>
          <w:tcPr>
            <w:tcW w:w="140" w:type="dxa"/>
            <w:vAlign w:val="bottom"/>
          </w:tcPr>
          <w:p>
            <w:pPr>
              <w:spacing w:after="0"/>
              <w:rPr>
                <w:sz w:val="10"/>
                <w:szCs w:val="10"/>
                <w:color w:val="auto"/>
              </w:rPr>
            </w:pPr>
          </w:p>
        </w:tc>
        <w:tc>
          <w:tcPr>
            <w:tcW w:w="580" w:type="dxa"/>
            <w:vAlign w:val="bottom"/>
          </w:tcPr>
          <w:p>
            <w:pPr>
              <w:jc w:val="right"/>
              <w:ind w:right="17"/>
              <w:spacing w:after="0" w:line="121" w:lineRule="exact"/>
              <w:rPr>
                <w:sz w:val="20"/>
                <w:szCs w:val="20"/>
                <w:color w:val="auto"/>
              </w:rPr>
            </w:pPr>
            <w:r>
              <w:rPr>
                <w:rFonts w:ascii="Arial" w:cs="Arial" w:eastAsia="Arial" w:hAnsi="Arial"/>
                <w:sz w:val="13"/>
                <w:szCs w:val="13"/>
                <w:color w:val="auto"/>
              </w:rPr>
              <w:t>—</w:t>
            </w:r>
          </w:p>
        </w:tc>
        <w:tc>
          <w:tcPr>
            <w:tcW w:w="740" w:type="dxa"/>
            <w:vAlign w:val="bottom"/>
            <w:gridSpan w:val="2"/>
          </w:tcPr>
          <w:p>
            <w:pPr>
              <w:jc w:val="right"/>
              <w:spacing w:after="0" w:line="121" w:lineRule="exact"/>
              <w:rPr>
                <w:sz w:val="20"/>
                <w:szCs w:val="20"/>
                <w:color w:val="auto"/>
              </w:rPr>
            </w:pPr>
            <w:r>
              <w:rPr>
                <w:rFonts w:ascii="Arial" w:cs="Arial" w:eastAsia="Arial" w:hAnsi="Arial"/>
                <w:sz w:val="13"/>
                <w:szCs w:val="13"/>
                <w:color w:val="auto"/>
              </w:rPr>
              <w:t>1,750,000</w:t>
            </w:r>
          </w:p>
        </w:tc>
        <w:tc>
          <w:tcPr>
            <w:tcW w:w="640" w:type="dxa"/>
            <w:vAlign w:val="bottom"/>
            <w:gridSpan w:val="2"/>
          </w:tcPr>
          <w:p>
            <w:pPr>
              <w:jc w:val="right"/>
              <w:spacing w:after="0" w:line="121" w:lineRule="exact"/>
              <w:rPr>
                <w:sz w:val="20"/>
                <w:szCs w:val="20"/>
                <w:color w:val="auto"/>
              </w:rPr>
            </w:pPr>
            <w:r>
              <w:rPr>
                <w:rFonts w:ascii="Arial" w:cs="Arial" w:eastAsia="Arial" w:hAnsi="Arial"/>
                <w:sz w:val="13"/>
                <w:szCs w:val="13"/>
                <w:color w:val="auto"/>
              </w:rPr>
              <w:t>131,950</w:t>
            </w:r>
          </w:p>
        </w:tc>
        <w:tc>
          <w:tcPr>
            <w:tcW w:w="780" w:type="dxa"/>
            <w:vAlign w:val="bottom"/>
            <w:gridSpan w:val="2"/>
          </w:tcPr>
          <w:p>
            <w:pPr>
              <w:jc w:val="right"/>
              <w:spacing w:after="0" w:line="121" w:lineRule="exact"/>
              <w:rPr>
                <w:sz w:val="20"/>
                <w:szCs w:val="20"/>
                <w:color w:val="auto"/>
              </w:rPr>
            </w:pPr>
            <w:r>
              <w:rPr>
                <w:rFonts w:ascii="Arial" w:cs="Arial" w:eastAsia="Arial" w:hAnsi="Arial"/>
                <w:sz w:val="13"/>
                <w:szCs w:val="13"/>
                <w:color w:val="auto"/>
              </w:rPr>
              <w:t>6,050,000</w:t>
            </w:r>
          </w:p>
        </w:tc>
        <w:tc>
          <w:tcPr>
            <w:tcW w:w="820" w:type="dxa"/>
            <w:vAlign w:val="bottom"/>
            <w:gridSpan w:val="2"/>
          </w:tcPr>
          <w:p>
            <w:pPr>
              <w:jc w:val="right"/>
              <w:spacing w:after="0" w:line="121" w:lineRule="exact"/>
              <w:rPr>
                <w:sz w:val="20"/>
                <w:szCs w:val="20"/>
                <w:color w:val="auto"/>
              </w:rPr>
            </w:pPr>
            <w:r>
              <w:rPr>
                <w:rFonts w:ascii="Arial" w:cs="Arial" w:eastAsia="Arial" w:hAnsi="Arial"/>
                <w:sz w:val="13"/>
                <w:szCs w:val="13"/>
                <w:color w:val="auto"/>
              </w:rPr>
              <w:t>4,330,000</w:t>
            </w:r>
          </w:p>
        </w:tc>
        <w:tc>
          <w:tcPr>
            <w:tcW w:w="140" w:type="dxa"/>
            <w:vAlign w:val="bottom"/>
          </w:tcPr>
          <w:p>
            <w:pPr>
              <w:spacing w:after="0"/>
              <w:rPr>
                <w:sz w:val="10"/>
                <w:szCs w:val="10"/>
                <w:color w:val="auto"/>
              </w:rPr>
            </w:pPr>
          </w:p>
        </w:tc>
        <w:tc>
          <w:tcPr>
            <w:tcW w:w="820" w:type="dxa"/>
            <w:vAlign w:val="bottom"/>
          </w:tcPr>
          <w:p>
            <w:pPr>
              <w:ind w:left="620"/>
              <w:spacing w:after="0" w:line="121" w:lineRule="exact"/>
              <w:rPr>
                <w:sz w:val="20"/>
                <w:szCs w:val="20"/>
                <w:color w:val="auto"/>
              </w:rPr>
            </w:pPr>
            <w:r>
              <w:rPr>
                <w:rFonts w:ascii="Arial" w:cs="Arial" w:eastAsia="Arial" w:hAnsi="Arial"/>
                <w:sz w:val="13"/>
                <w:szCs w:val="13"/>
                <w:color w:val="auto"/>
              </w:rPr>
              <w:t>—</w:t>
            </w:r>
          </w:p>
        </w:tc>
        <w:tc>
          <w:tcPr>
            <w:tcW w:w="800" w:type="dxa"/>
            <w:vAlign w:val="bottom"/>
            <w:gridSpan w:val="2"/>
          </w:tcPr>
          <w:p>
            <w:pPr>
              <w:jc w:val="right"/>
              <w:spacing w:after="0" w:line="121" w:lineRule="exact"/>
              <w:rPr>
                <w:sz w:val="20"/>
                <w:szCs w:val="20"/>
                <w:color w:val="auto"/>
              </w:rPr>
            </w:pPr>
            <w:r>
              <w:rPr>
                <w:rFonts w:ascii="Arial" w:cs="Arial" w:eastAsia="Arial" w:hAnsi="Arial"/>
                <w:sz w:val="13"/>
                <w:szCs w:val="13"/>
                <w:color w:val="auto"/>
              </w:rPr>
              <w:t>4,330,000</w:t>
            </w:r>
          </w:p>
        </w:tc>
        <w:tc>
          <w:tcPr>
            <w:tcW w:w="820" w:type="dxa"/>
            <w:vAlign w:val="bottom"/>
            <w:gridSpan w:val="2"/>
          </w:tcPr>
          <w:p>
            <w:pPr>
              <w:jc w:val="right"/>
              <w:spacing w:after="0" w:line="121" w:lineRule="exact"/>
              <w:rPr>
                <w:sz w:val="20"/>
                <w:szCs w:val="20"/>
                <w:color w:val="auto"/>
              </w:rPr>
            </w:pPr>
            <w:r>
              <w:rPr>
                <w:rFonts w:ascii="Arial" w:cs="Arial" w:eastAsia="Arial" w:hAnsi="Arial"/>
                <w:sz w:val="13"/>
                <w:szCs w:val="13"/>
                <w:color w:val="auto"/>
              </w:rPr>
              <w:t>1,720,000</w:t>
            </w:r>
          </w:p>
        </w:tc>
        <w:tc>
          <w:tcPr>
            <w:tcW w:w="1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60" w:type="dxa"/>
            <w:vAlign w:val="bottom"/>
          </w:tcPr>
          <w:p>
            <w:pPr>
              <w:spacing w:after="0"/>
              <w:rPr>
                <w:sz w:val="10"/>
                <w:szCs w:val="10"/>
                <w:color w:val="auto"/>
              </w:rPr>
            </w:pPr>
          </w:p>
        </w:tc>
      </w:tr>
      <w:tr>
        <w:trPr>
          <w:trHeight w:val="135"/>
        </w:trPr>
        <w:tc>
          <w:tcPr>
            <w:tcW w:w="20" w:type="dxa"/>
            <w:vAlign w:val="bottom"/>
          </w:tcPr>
          <w:p>
            <w:pPr>
              <w:spacing w:after="0"/>
              <w:rPr>
                <w:sz w:val="11"/>
                <w:szCs w:val="11"/>
                <w:color w:val="auto"/>
              </w:rPr>
            </w:pPr>
          </w:p>
        </w:tc>
        <w:tc>
          <w:tcPr>
            <w:tcW w:w="14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40" w:type="dxa"/>
            <w:vAlign w:val="bottom"/>
          </w:tcPr>
          <w:p>
            <w:pPr>
              <w:jc w:val="center"/>
              <w:spacing w:after="0" w:line="135" w:lineRule="exact"/>
              <w:rPr>
                <w:sz w:val="20"/>
                <w:szCs w:val="20"/>
                <w:color w:val="auto"/>
              </w:rPr>
            </w:pPr>
            <w:r>
              <w:rPr>
                <w:rFonts w:ascii="Arial" w:cs="Arial" w:eastAsia="Arial" w:hAnsi="Arial"/>
                <w:sz w:val="13"/>
                <w:szCs w:val="13"/>
                <w:color w:val="auto"/>
                <w:w w:val="88"/>
              </w:rPr>
              <w:t>November 1,</w:t>
            </w: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0" w:type="dxa"/>
            <w:vAlign w:val="bottom"/>
          </w:tcPr>
          <w:p>
            <w:pPr>
              <w:spacing w:after="0"/>
              <w:rPr>
                <w:sz w:val="11"/>
                <w:szCs w:val="11"/>
                <w:color w:val="auto"/>
              </w:rPr>
            </w:pPr>
          </w:p>
        </w:tc>
      </w:tr>
      <w:tr>
        <w:trPr>
          <w:trHeight w:val="135"/>
        </w:trPr>
        <w:tc>
          <w:tcPr>
            <w:tcW w:w="20" w:type="dxa"/>
            <w:vAlign w:val="bottom"/>
          </w:tcPr>
          <w:p>
            <w:pPr>
              <w:spacing w:after="0"/>
              <w:rPr>
                <w:sz w:val="11"/>
                <w:szCs w:val="11"/>
                <w:color w:val="auto"/>
              </w:rPr>
            </w:pPr>
          </w:p>
        </w:tc>
        <w:tc>
          <w:tcPr>
            <w:tcW w:w="14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900" w:type="dxa"/>
            <w:vAlign w:val="bottom"/>
            <w:gridSpan w:val="2"/>
          </w:tcPr>
          <w:p>
            <w:pPr>
              <w:jc w:val="center"/>
              <w:ind w:left="97"/>
              <w:spacing w:after="0" w:line="135" w:lineRule="exact"/>
              <w:rPr>
                <w:sz w:val="20"/>
                <w:szCs w:val="20"/>
                <w:color w:val="auto"/>
              </w:rPr>
            </w:pPr>
            <w:r>
              <w:rPr>
                <w:rFonts w:ascii="Arial" w:cs="Arial" w:eastAsia="Arial" w:hAnsi="Arial"/>
                <w:sz w:val="13"/>
                <w:szCs w:val="13"/>
                <w:color w:val="auto"/>
                <w:w w:val="89"/>
              </w:rPr>
              <w:t>2018</w:t>
            </w:r>
          </w:p>
        </w:tc>
        <w:tc>
          <w:tcPr>
            <w:tcW w:w="780" w:type="dxa"/>
            <w:vAlign w:val="bottom"/>
            <w:gridSpan w:val="3"/>
          </w:tcPr>
          <w:p>
            <w:pPr>
              <w:jc w:val="right"/>
              <w:spacing w:after="0" w:line="135" w:lineRule="exact"/>
              <w:rPr>
                <w:sz w:val="20"/>
                <w:szCs w:val="20"/>
                <w:color w:val="auto"/>
              </w:rPr>
            </w:pPr>
            <w:r>
              <w:rPr>
                <w:rFonts w:ascii="Arial" w:cs="Arial" w:eastAsia="Arial" w:hAnsi="Arial"/>
                <w:sz w:val="13"/>
                <w:szCs w:val="13"/>
                <w:color w:val="auto"/>
              </w:rPr>
              <w:t>500,000</w:t>
            </w:r>
          </w:p>
        </w:tc>
        <w:tc>
          <w:tcPr>
            <w:tcW w:w="720" w:type="dxa"/>
            <w:vAlign w:val="bottom"/>
            <w:gridSpan w:val="2"/>
          </w:tcPr>
          <w:p>
            <w:pPr>
              <w:jc w:val="right"/>
              <w:spacing w:after="0" w:line="135" w:lineRule="exact"/>
              <w:rPr>
                <w:sz w:val="20"/>
                <w:szCs w:val="20"/>
                <w:color w:val="auto"/>
              </w:rPr>
            </w:pPr>
            <w:r>
              <w:rPr>
                <w:rFonts w:ascii="Arial" w:cs="Arial" w:eastAsia="Arial" w:hAnsi="Arial"/>
                <w:sz w:val="13"/>
                <w:szCs w:val="13"/>
                <w:color w:val="auto"/>
              </w:rPr>
              <w:t>32,839</w:t>
            </w:r>
          </w:p>
        </w:tc>
        <w:tc>
          <w:tcPr>
            <w:tcW w:w="140" w:type="dxa"/>
            <w:vAlign w:val="bottom"/>
          </w:tcPr>
          <w:p>
            <w:pPr>
              <w:spacing w:after="0"/>
              <w:rPr>
                <w:sz w:val="11"/>
                <w:szCs w:val="11"/>
                <w:color w:val="auto"/>
              </w:rPr>
            </w:pPr>
          </w:p>
        </w:tc>
        <w:tc>
          <w:tcPr>
            <w:tcW w:w="600" w:type="dxa"/>
            <w:vAlign w:val="bottom"/>
          </w:tcPr>
          <w:p>
            <w:pPr>
              <w:ind w:left="400"/>
              <w:spacing w:after="0" w:line="135" w:lineRule="exact"/>
              <w:rPr>
                <w:sz w:val="20"/>
                <w:szCs w:val="20"/>
                <w:color w:val="auto"/>
              </w:rPr>
            </w:pPr>
            <w:r>
              <w:rPr>
                <w:rFonts w:ascii="Arial" w:cs="Arial" w:eastAsia="Arial" w:hAnsi="Arial"/>
                <w:sz w:val="13"/>
                <w:szCs w:val="13"/>
                <w:color w:val="auto"/>
              </w:rPr>
              <w:t>—</w:t>
            </w:r>
          </w:p>
        </w:tc>
        <w:tc>
          <w:tcPr>
            <w:tcW w:w="140" w:type="dxa"/>
            <w:vAlign w:val="bottom"/>
          </w:tcPr>
          <w:p>
            <w:pPr>
              <w:spacing w:after="0"/>
              <w:rPr>
                <w:sz w:val="11"/>
                <w:szCs w:val="11"/>
                <w:color w:val="auto"/>
              </w:rPr>
            </w:pPr>
          </w:p>
        </w:tc>
        <w:tc>
          <w:tcPr>
            <w:tcW w:w="500" w:type="dxa"/>
            <w:vAlign w:val="bottom"/>
          </w:tcPr>
          <w:p>
            <w:pPr>
              <w:jc w:val="right"/>
              <w:ind w:right="17"/>
              <w:spacing w:after="0" w:line="135" w:lineRule="exact"/>
              <w:rPr>
                <w:sz w:val="20"/>
                <w:szCs w:val="20"/>
                <w:color w:val="auto"/>
              </w:rPr>
            </w:pPr>
            <w:r>
              <w:rPr>
                <w:rFonts w:ascii="Arial" w:cs="Arial" w:eastAsia="Arial" w:hAnsi="Arial"/>
                <w:sz w:val="13"/>
                <w:szCs w:val="13"/>
                <w:color w:val="auto"/>
              </w:rPr>
              <w:t>—</w:t>
            </w:r>
          </w:p>
        </w:tc>
        <w:tc>
          <w:tcPr>
            <w:tcW w:w="780" w:type="dxa"/>
            <w:vAlign w:val="bottom"/>
            <w:gridSpan w:val="2"/>
          </w:tcPr>
          <w:p>
            <w:pPr>
              <w:jc w:val="right"/>
              <w:spacing w:after="0" w:line="135" w:lineRule="exact"/>
              <w:rPr>
                <w:sz w:val="20"/>
                <w:szCs w:val="20"/>
                <w:color w:val="auto"/>
              </w:rPr>
            </w:pPr>
            <w:r>
              <w:rPr>
                <w:rFonts w:ascii="Arial" w:cs="Arial" w:eastAsia="Arial" w:hAnsi="Arial"/>
                <w:sz w:val="13"/>
                <w:szCs w:val="13"/>
                <w:color w:val="auto"/>
              </w:rPr>
              <w:t>500,000</w:t>
            </w:r>
          </w:p>
        </w:tc>
        <w:tc>
          <w:tcPr>
            <w:tcW w:w="160" w:type="dxa"/>
            <w:vAlign w:val="bottom"/>
          </w:tcPr>
          <w:p>
            <w:pPr>
              <w:spacing w:after="0"/>
              <w:rPr>
                <w:sz w:val="11"/>
                <w:szCs w:val="11"/>
                <w:color w:val="auto"/>
              </w:rPr>
            </w:pPr>
          </w:p>
        </w:tc>
        <w:tc>
          <w:tcPr>
            <w:tcW w:w="660" w:type="dxa"/>
            <w:vAlign w:val="bottom"/>
          </w:tcPr>
          <w:p>
            <w:pPr>
              <w:jc w:val="right"/>
              <w:spacing w:after="0" w:line="135" w:lineRule="exact"/>
              <w:rPr>
                <w:sz w:val="20"/>
                <w:szCs w:val="20"/>
                <w:color w:val="auto"/>
              </w:rPr>
            </w:pPr>
            <w:r>
              <w:rPr>
                <w:rFonts w:ascii="Arial" w:cs="Arial" w:eastAsia="Arial" w:hAnsi="Arial"/>
                <w:sz w:val="13"/>
                <w:szCs w:val="13"/>
                <w:color w:val="auto"/>
              </w:rPr>
              <w:t>—</w:t>
            </w:r>
          </w:p>
        </w:tc>
        <w:tc>
          <w:tcPr>
            <w:tcW w:w="140" w:type="dxa"/>
            <w:vAlign w:val="bottom"/>
          </w:tcPr>
          <w:p>
            <w:pPr>
              <w:spacing w:after="0"/>
              <w:rPr>
                <w:sz w:val="11"/>
                <w:szCs w:val="11"/>
                <w:color w:val="auto"/>
              </w:rPr>
            </w:pPr>
          </w:p>
        </w:tc>
        <w:tc>
          <w:tcPr>
            <w:tcW w:w="820" w:type="dxa"/>
            <w:vAlign w:val="bottom"/>
          </w:tcPr>
          <w:p>
            <w:pPr>
              <w:ind w:left="620"/>
              <w:spacing w:after="0" w:line="135" w:lineRule="exact"/>
              <w:rPr>
                <w:sz w:val="20"/>
                <w:szCs w:val="20"/>
                <w:color w:val="auto"/>
              </w:rPr>
            </w:pPr>
            <w:r>
              <w:rPr>
                <w:rFonts w:ascii="Arial" w:cs="Arial" w:eastAsia="Arial" w:hAnsi="Arial"/>
                <w:sz w:val="13"/>
                <w:szCs w:val="13"/>
                <w:color w:val="auto"/>
              </w:rPr>
              <w:t>—</w:t>
            </w:r>
          </w:p>
        </w:tc>
        <w:tc>
          <w:tcPr>
            <w:tcW w:w="140" w:type="dxa"/>
            <w:vAlign w:val="bottom"/>
          </w:tcPr>
          <w:p>
            <w:pPr>
              <w:spacing w:after="0"/>
              <w:rPr>
                <w:sz w:val="11"/>
                <w:szCs w:val="11"/>
                <w:color w:val="auto"/>
              </w:rPr>
            </w:pPr>
          </w:p>
        </w:tc>
        <w:tc>
          <w:tcPr>
            <w:tcW w:w="660" w:type="dxa"/>
            <w:vAlign w:val="bottom"/>
          </w:tcPr>
          <w:p>
            <w:pPr>
              <w:jc w:val="right"/>
              <w:spacing w:after="0" w:line="135" w:lineRule="exact"/>
              <w:rPr>
                <w:sz w:val="20"/>
                <w:szCs w:val="20"/>
                <w:color w:val="auto"/>
              </w:rPr>
            </w:pPr>
            <w:r>
              <w:rPr>
                <w:rFonts w:ascii="Arial" w:cs="Arial" w:eastAsia="Arial" w:hAnsi="Arial"/>
                <w:sz w:val="13"/>
                <w:szCs w:val="13"/>
                <w:color w:val="auto"/>
              </w:rPr>
              <w:t>—</w:t>
            </w:r>
          </w:p>
        </w:tc>
        <w:tc>
          <w:tcPr>
            <w:tcW w:w="820" w:type="dxa"/>
            <w:vAlign w:val="bottom"/>
            <w:gridSpan w:val="2"/>
          </w:tcPr>
          <w:p>
            <w:pPr>
              <w:jc w:val="right"/>
              <w:spacing w:after="0" w:line="135" w:lineRule="exact"/>
              <w:rPr>
                <w:sz w:val="20"/>
                <w:szCs w:val="20"/>
                <w:color w:val="auto"/>
              </w:rPr>
            </w:pPr>
            <w:r>
              <w:rPr>
                <w:rFonts w:ascii="Arial" w:cs="Arial" w:eastAsia="Arial" w:hAnsi="Arial"/>
                <w:sz w:val="13"/>
                <w:szCs w:val="13"/>
                <w:color w:val="auto"/>
              </w:rPr>
              <w:t>500,000</w:t>
            </w:r>
          </w:p>
        </w:tc>
        <w:tc>
          <w:tcPr>
            <w:tcW w:w="1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0" w:type="dxa"/>
            <w:vAlign w:val="bottom"/>
          </w:tcPr>
          <w:p>
            <w:pPr>
              <w:spacing w:after="0"/>
              <w:rPr>
                <w:sz w:val="11"/>
                <w:szCs w:val="11"/>
                <w:color w:val="auto"/>
              </w:rPr>
            </w:pPr>
          </w:p>
        </w:tc>
      </w:tr>
      <w:tr>
        <w:trPr>
          <w:trHeight w:val="135"/>
        </w:trPr>
        <w:tc>
          <w:tcPr>
            <w:tcW w:w="20" w:type="dxa"/>
            <w:vAlign w:val="bottom"/>
          </w:tcPr>
          <w:p>
            <w:pPr>
              <w:spacing w:after="0"/>
              <w:rPr>
                <w:sz w:val="11"/>
                <w:szCs w:val="11"/>
                <w:color w:val="auto"/>
              </w:rPr>
            </w:pPr>
          </w:p>
        </w:tc>
        <w:tc>
          <w:tcPr>
            <w:tcW w:w="14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40" w:type="dxa"/>
            <w:vAlign w:val="bottom"/>
          </w:tcPr>
          <w:p>
            <w:pPr>
              <w:jc w:val="center"/>
              <w:spacing w:after="0" w:line="135" w:lineRule="exact"/>
              <w:rPr>
                <w:sz w:val="20"/>
                <w:szCs w:val="20"/>
                <w:color w:val="auto"/>
              </w:rPr>
            </w:pPr>
            <w:r>
              <w:rPr>
                <w:rFonts w:ascii="Arial" w:cs="Arial" w:eastAsia="Arial" w:hAnsi="Arial"/>
                <w:sz w:val="13"/>
                <w:szCs w:val="13"/>
                <w:color w:val="auto"/>
                <w:w w:val="88"/>
              </w:rPr>
              <w:t>November 30,</w:t>
            </w: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0" w:type="dxa"/>
            <w:vAlign w:val="bottom"/>
          </w:tcPr>
          <w:p>
            <w:pPr>
              <w:spacing w:after="0"/>
              <w:rPr>
                <w:sz w:val="11"/>
                <w:szCs w:val="11"/>
                <w:color w:val="auto"/>
              </w:rPr>
            </w:pPr>
          </w:p>
        </w:tc>
      </w:tr>
      <w:tr>
        <w:trPr>
          <w:trHeight w:val="135"/>
        </w:trPr>
        <w:tc>
          <w:tcPr>
            <w:tcW w:w="20" w:type="dxa"/>
            <w:vAlign w:val="bottom"/>
          </w:tcPr>
          <w:p>
            <w:pPr>
              <w:spacing w:after="0"/>
              <w:rPr>
                <w:sz w:val="11"/>
                <w:szCs w:val="11"/>
                <w:color w:val="auto"/>
              </w:rPr>
            </w:pPr>
          </w:p>
        </w:tc>
        <w:tc>
          <w:tcPr>
            <w:tcW w:w="14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900" w:type="dxa"/>
            <w:vAlign w:val="bottom"/>
            <w:gridSpan w:val="2"/>
          </w:tcPr>
          <w:p>
            <w:pPr>
              <w:jc w:val="center"/>
              <w:ind w:left="97"/>
              <w:spacing w:after="0" w:line="135" w:lineRule="exact"/>
              <w:rPr>
                <w:sz w:val="20"/>
                <w:szCs w:val="20"/>
                <w:color w:val="auto"/>
              </w:rPr>
            </w:pPr>
            <w:r>
              <w:rPr>
                <w:rFonts w:ascii="Arial" w:cs="Arial" w:eastAsia="Arial" w:hAnsi="Arial"/>
                <w:sz w:val="13"/>
                <w:szCs w:val="13"/>
                <w:color w:val="auto"/>
                <w:w w:val="89"/>
              </w:rPr>
              <w:t>2018</w:t>
            </w:r>
          </w:p>
        </w:tc>
        <w:tc>
          <w:tcPr>
            <w:tcW w:w="780" w:type="dxa"/>
            <w:vAlign w:val="bottom"/>
            <w:gridSpan w:val="3"/>
          </w:tcPr>
          <w:p>
            <w:pPr>
              <w:jc w:val="right"/>
              <w:spacing w:after="0" w:line="135" w:lineRule="exact"/>
              <w:rPr>
                <w:sz w:val="20"/>
                <w:szCs w:val="20"/>
                <w:color w:val="auto"/>
              </w:rPr>
            </w:pPr>
            <w:r>
              <w:rPr>
                <w:rFonts w:ascii="Arial" w:cs="Arial" w:eastAsia="Arial" w:hAnsi="Arial"/>
                <w:sz w:val="13"/>
                <w:szCs w:val="13"/>
                <w:color w:val="auto"/>
              </w:rPr>
              <w:t>3,420,000</w:t>
            </w:r>
          </w:p>
        </w:tc>
        <w:tc>
          <w:tcPr>
            <w:tcW w:w="720" w:type="dxa"/>
            <w:vAlign w:val="bottom"/>
            <w:gridSpan w:val="2"/>
          </w:tcPr>
          <w:p>
            <w:pPr>
              <w:jc w:val="right"/>
              <w:spacing w:after="0" w:line="135" w:lineRule="exact"/>
              <w:rPr>
                <w:sz w:val="20"/>
                <w:szCs w:val="20"/>
                <w:color w:val="auto"/>
              </w:rPr>
            </w:pPr>
            <w:r>
              <w:rPr>
                <w:rFonts w:ascii="Arial" w:cs="Arial" w:eastAsia="Arial" w:hAnsi="Arial"/>
                <w:sz w:val="13"/>
                <w:szCs w:val="13"/>
                <w:color w:val="auto"/>
              </w:rPr>
              <w:t>196,822</w:t>
            </w:r>
          </w:p>
        </w:tc>
        <w:tc>
          <w:tcPr>
            <w:tcW w:w="140" w:type="dxa"/>
            <w:vAlign w:val="bottom"/>
          </w:tcPr>
          <w:p>
            <w:pPr>
              <w:spacing w:after="0"/>
              <w:rPr>
                <w:sz w:val="11"/>
                <w:szCs w:val="11"/>
                <w:color w:val="auto"/>
              </w:rPr>
            </w:pPr>
          </w:p>
        </w:tc>
        <w:tc>
          <w:tcPr>
            <w:tcW w:w="600" w:type="dxa"/>
            <w:vAlign w:val="bottom"/>
          </w:tcPr>
          <w:p>
            <w:pPr>
              <w:ind w:left="400"/>
              <w:spacing w:after="0" w:line="135" w:lineRule="exact"/>
              <w:rPr>
                <w:sz w:val="20"/>
                <w:szCs w:val="20"/>
                <w:color w:val="auto"/>
              </w:rPr>
            </w:pPr>
            <w:r>
              <w:rPr>
                <w:rFonts w:ascii="Arial" w:cs="Arial" w:eastAsia="Arial" w:hAnsi="Arial"/>
                <w:sz w:val="13"/>
                <w:szCs w:val="13"/>
                <w:color w:val="auto"/>
              </w:rPr>
              <w:t>—</w:t>
            </w:r>
          </w:p>
        </w:tc>
        <w:tc>
          <w:tcPr>
            <w:tcW w:w="140" w:type="dxa"/>
            <w:vAlign w:val="bottom"/>
          </w:tcPr>
          <w:p>
            <w:pPr>
              <w:spacing w:after="0"/>
              <w:rPr>
                <w:sz w:val="11"/>
                <w:szCs w:val="11"/>
                <w:color w:val="auto"/>
              </w:rPr>
            </w:pPr>
          </w:p>
        </w:tc>
        <w:tc>
          <w:tcPr>
            <w:tcW w:w="500" w:type="dxa"/>
            <w:vAlign w:val="bottom"/>
          </w:tcPr>
          <w:p>
            <w:pPr>
              <w:jc w:val="right"/>
              <w:ind w:right="17"/>
              <w:spacing w:after="0" w:line="135" w:lineRule="exact"/>
              <w:rPr>
                <w:sz w:val="20"/>
                <w:szCs w:val="20"/>
                <w:color w:val="auto"/>
              </w:rPr>
            </w:pPr>
            <w:r>
              <w:rPr>
                <w:rFonts w:ascii="Arial" w:cs="Arial" w:eastAsia="Arial" w:hAnsi="Arial"/>
                <w:sz w:val="13"/>
                <w:szCs w:val="13"/>
                <w:color w:val="auto"/>
              </w:rPr>
              <w:t>—</w:t>
            </w:r>
          </w:p>
        </w:tc>
        <w:tc>
          <w:tcPr>
            <w:tcW w:w="780" w:type="dxa"/>
            <w:vAlign w:val="bottom"/>
            <w:gridSpan w:val="2"/>
          </w:tcPr>
          <w:p>
            <w:pPr>
              <w:jc w:val="right"/>
              <w:spacing w:after="0" w:line="135" w:lineRule="exact"/>
              <w:rPr>
                <w:sz w:val="20"/>
                <w:szCs w:val="20"/>
                <w:color w:val="auto"/>
              </w:rPr>
            </w:pPr>
            <w:r>
              <w:rPr>
                <w:rFonts w:ascii="Arial" w:cs="Arial" w:eastAsia="Arial" w:hAnsi="Arial"/>
                <w:sz w:val="13"/>
                <w:szCs w:val="13"/>
                <w:color w:val="auto"/>
              </w:rPr>
              <w:t>3,420,000</w:t>
            </w:r>
          </w:p>
        </w:tc>
        <w:tc>
          <w:tcPr>
            <w:tcW w:w="160" w:type="dxa"/>
            <w:vAlign w:val="bottom"/>
          </w:tcPr>
          <w:p>
            <w:pPr>
              <w:spacing w:after="0"/>
              <w:rPr>
                <w:sz w:val="11"/>
                <w:szCs w:val="11"/>
                <w:color w:val="auto"/>
              </w:rPr>
            </w:pPr>
          </w:p>
        </w:tc>
        <w:tc>
          <w:tcPr>
            <w:tcW w:w="660" w:type="dxa"/>
            <w:vAlign w:val="bottom"/>
          </w:tcPr>
          <w:p>
            <w:pPr>
              <w:jc w:val="right"/>
              <w:spacing w:after="0" w:line="135" w:lineRule="exact"/>
              <w:rPr>
                <w:sz w:val="20"/>
                <w:szCs w:val="20"/>
                <w:color w:val="auto"/>
              </w:rPr>
            </w:pPr>
            <w:r>
              <w:rPr>
                <w:rFonts w:ascii="Arial" w:cs="Arial" w:eastAsia="Arial" w:hAnsi="Arial"/>
                <w:sz w:val="13"/>
                <w:szCs w:val="13"/>
                <w:color w:val="auto"/>
              </w:rPr>
              <w:t>—</w:t>
            </w:r>
          </w:p>
        </w:tc>
        <w:tc>
          <w:tcPr>
            <w:tcW w:w="140" w:type="dxa"/>
            <w:vAlign w:val="bottom"/>
          </w:tcPr>
          <w:p>
            <w:pPr>
              <w:spacing w:after="0"/>
              <w:rPr>
                <w:sz w:val="11"/>
                <w:szCs w:val="11"/>
                <w:color w:val="auto"/>
              </w:rPr>
            </w:pPr>
          </w:p>
        </w:tc>
        <w:tc>
          <w:tcPr>
            <w:tcW w:w="820" w:type="dxa"/>
            <w:vAlign w:val="bottom"/>
          </w:tcPr>
          <w:p>
            <w:pPr>
              <w:ind w:left="620"/>
              <w:spacing w:after="0" w:line="135" w:lineRule="exact"/>
              <w:rPr>
                <w:sz w:val="20"/>
                <w:szCs w:val="20"/>
                <w:color w:val="auto"/>
              </w:rPr>
            </w:pPr>
            <w:r>
              <w:rPr>
                <w:rFonts w:ascii="Arial" w:cs="Arial" w:eastAsia="Arial" w:hAnsi="Arial"/>
                <w:sz w:val="13"/>
                <w:szCs w:val="13"/>
                <w:color w:val="auto"/>
              </w:rPr>
              <w:t>—</w:t>
            </w:r>
          </w:p>
        </w:tc>
        <w:tc>
          <w:tcPr>
            <w:tcW w:w="140" w:type="dxa"/>
            <w:vAlign w:val="bottom"/>
          </w:tcPr>
          <w:p>
            <w:pPr>
              <w:spacing w:after="0"/>
              <w:rPr>
                <w:sz w:val="11"/>
                <w:szCs w:val="11"/>
                <w:color w:val="auto"/>
              </w:rPr>
            </w:pPr>
          </w:p>
        </w:tc>
        <w:tc>
          <w:tcPr>
            <w:tcW w:w="660" w:type="dxa"/>
            <w:vAlign w:val="bottom"/>
          </w:tcPr>
          <w:p>
            <w:pPr>
              <w:jc w:val="right"/>
              <w:spacing w:after="0" w:line="135" w:lineRule="exact"/>
              <w:rPr>
                <w:sz w:val="20"/>
                <w:szCs w:val="20"/>
                <w:color w:val="auto"/>
              </w:rPr>
            </w:pPr>
            <w:r>
              <w:rPr>
                <w:rFonts w:ascii="Arial" w:cs="Arial" w:eastAsia="Arial" w:hAnsi="Arial"/>
                <w:sz w:val="13"/>
                <w:szCs w:val="13"/>
                <w:color w:val="auto"/>
              </w:rPr>
              <w:t>—</w:t>
            </w:r>
          </w:p>
        </w:tc>
        <w:tc>
          <w:tcPr>
            <w:tcW w:w="820" w:type="dxa"/>
            <w:vAlign w:val="bottom"/>
            <w:gridSpan w:val="2"/>
          </w:tcPr>
          <w:p>
            <w:pPr>
              <w:jc w:val="right"/>
              <w:spacing w:after="0" w:line="135" w:lineRule="exact"/>
              <w:rPr>
                <w:sz w:val="20"/>
                <w:szCs w:val="20"/>
                <w:color w:val="auto"/>
              </w:rPr>
            </w:pPr>
            <w:r>
              <w:rPr>
                <w:rFonts w:ascii="Arial" w:cs="Arial" w:eastAsia="Arial" w:hAnsi="Arial"/>
                <w:sz w:val="13"/>
                <w:szCs w:val="13"/>
                <w:color w:val="auto"/>
              </w:rPr>
              <w:t>3,420,000</w:t>
            </w:r>
          </w:p>
        </w:tc>
        <w:tc>
          <w:tcPr>
            <w:tcW w:w="1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0" w:type="dxa"/>
            <w:vAlign w:val="bottom"/>
          </w:tcPr>
          <w:p>
            <w:pPr>
              <w:spacing w:after="0"/>
              <w:rPr>
                <w:sz w:val="11"/>
                <w:szCs w:val="11"/>
                <w:color w:val="auto"/>
              </w:rPr>
            </w:pPr>
          </w:p>
        </w:tc>
      </w:tr>
      <w:tr>
        <w:trPr>
          <w:trHeight w:val="135"/>
        </w:trPr>
        <w:tc>
          <w:tcPr>
            <w:tcW w:w="20" w:type="dxa"/>
            <w:vAlign w:val="bottom"/>
          </w:tcPr>
          <w:p>
            <w:pPr>
              <w:spacing w:after="0"/>
              <w:rPr>
                <w:sz w:val="11"/>
                <w:szCs w:val="11"/>
                <w:color w:val="auto"/>
              </w:rPr>
            </w:pPr>
          </w:p>
        </w:tc>
        <w:tc>
          <w:tcPr>
            <w:tcW w:w="14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40" w:type="dxa"/>
            <w:vAlign w:val="bottom"/>
          </w:tcPr>
          <w:p>
            <w:pPr>
              <w:jc w:val="center"/>
              <w:spacing w:after="0" w:line="135" w:lineRule="exact"/>
              <w:rPr>
                <w:sz w:val="20"/>
                <w:szCs w:val="20"/>
                <w:color w:val="auto"/>
              </w:rPr>
            </w:pPr>
            <w:r>
              <w:rPr>
                <w:rFonts w:ascii="Arial" w:cs="Arial" w:eastAsia="Arial" w:hAnsi="Arial"/>
                <w:sz w:val="13"/>
                <w:szCs w:val="13"/>
                <w:color w:val="auto"/>
                <w:w w:val="85"/>
              </w:rPr>
              <w:t>November, 30</w:t>
            </w: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0" w:type="dxa"/>
            <w:vAlign w:val="bottom"/>
          </w:tcPr>
          <w:p>
            <w:pPr>
              <w:spacing w:after="0"/>
              <w:rPr>
                <w:sz w:val="11"/>
                <w:szCs w:val="11"/>
                <w:color w:val="auto"/>
              </w:rPr>
            </w:pPr>
          </w:p>
        </w:tc>
      </w:tr>
      <w:tr>
        <w:trPr>
          <w:trHeight w:val="149"/>
        </w:trPr>
        <w:tc>
          <w:tcPr>
            <w:tcW w:w="20" w:type="dxa"/>
            <w:vAlign w:val="bottom"/>
          </w:tcPr>
          <w:p>
            <w:pPr>
              <w:spacing w:after="0"/>
              <w:rPr>
                <w:sz w:val="12"/>
                <w:szCs w:val="12"/>
                <w:color w:val="auto"/>
              </w:rPr>
            </w:pPr>
          </w:p>
        </w:tc>
        <w:tc>
          <w:tcPr>
            <w:tcW w:w="14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900" w:type="dxa"/>
            <w:vAlign w:val="bottom"/>
            <w:gridSpan w:val="2"/>
          </w:tcPr>
          <w:p>
            <w:pPr>
              <w:jc w:val="center"/>
              <w:ind w:left="97"/>
              <w:spacing w:after="0"/>
              <w:rPr>
                <w:sz w:val="20"/>
                <w:szCs w:val="20"/>
                <w:color w:val="auto"/>
              </w:rPr>
            </w:pPr>
            <w:r>
              <w:rPr>
                <w:rFonts w:ascii="Arial" w:cs="Arial" w:eastAsia="Arial" w:hAnsi="Arial"/>
                <w:sz w:val="13"/>
                <w:szCs w:val="13"/>
                <w:color w:val="auto"/>
                <w:w w:val="89"/>
              </w:rPr>
              <w:t>2018</w:t>
            </w:r>
          </w:p>
        </w:tc>
        <w:tc>
          <w:tcPr>
            <w:tcW w:w="780" w:type="dxa"/>
            <w:vAlign w:val="bottom"/>
            <w:gridSpan w:val="3"/>
          </w:tcPr>
          <w:p>
            <w:pPr>
              <w:jc w:val="right"/>
              <w:spacing w:after="0"/>
              <w:rPr>
                <w:sz w:val="20"/>
                <w:szCs w:val="20"/>
                <w:color w:val="auto"/>
              </w:rPr>
            </w:pPr>
            <w:r>
              <w:rPr>
                <w:rFonts w:ascii="Arial" w:cs="Arial" w:eastAsia="Arial" w:hAnsi="Arial"/>
                <w:sz w:val="13"/>
                <w:szCs w:val="13"/>
                <w:color w:val="auto"/>
              </w:rPr>
              <w:t>360,000</w:t>
            </w:r>
          </w:p>
        </w:tc>
        <w:tc>
          <w:tcPr>
            <w:tcW w:w="720" w:type="dxa"/>
            <w:vAlign w:val="bottom"/>
            <w:gridSpan w:val="2"/>
          </w:tcPr>
          <w:p>
            <w:pPr>
              <w:jc w:val="right"/>
              <w:spacing w:after="0"/>
              <w:rPr>
                <w:sz w:val="20"/>
                <w:szCs w:val="20"/>
                <w:color w:val="auto"/>
              </w:rPr>
            </w:pPr>
            <w:r>
              <w:rPr>
                <w:rFonts w:ascii="Arial" w:cs="Arial" w:eastAsia="Arial" w:hAnsi="Arial"/>
                <w:sz w:val="13"/>
                <w:szCs w:val="13"/>
                <w:color w:val="auto"/>
              </w:rPr>
              <w:t>84,816</w:t>
            </w:r>
          </w:p>
        </w:tc>
        <w:tc>
          <w:tcPr>
            <w:tcW w:w="140" w:type="dxa"/>
            <w:vAlign w:val="bottom"/>
          </w:tcPr>
          <w:p>
            <w:pPr>
              <w:spacing w:after="0"/>
              <w:rPr>
                <w:sz w:val="12"/>
                <w:szCs w:val="12"/>
                <w:color w:val="auto"/>
              </w:rPr>
            </w:pPr>
          </w:p>
        </w:tc>
        <w:tc>
          <w:tcPr>
            <w:tcW w:w="600" w:type="dxa"/>
            <w:vAlign w:val="bottom"/>
          </w:tcPr>
          <w:p>
            <w:pPr>
              <w:ind w:left="40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2"/>
                <w:szCs w:val="12"/>
                <w:color w:val="auto"/>
              </w:rPr>
            </w:pPr>
          </w:p>
        </w:tc>
        <w:tc>
          <w:tcPr>
            <w:tcW w:w="500" w:type="dxa"/>
            <w:vAlign w:val="bottom"/>
          </w:tcPr>
          <w:p>
            <w:pPr>
              <w:jc w:val="right"/>
              <w:ind w:right="17"/>
              <w:spacing w:after="0"/>
              <w:rPr>
                <w:sz w:val="20"/>
                <w:szCs w:val="20"/>
                <w:color w:val="auto"/>
              </w:rPr>
            </w:pPr>
            <w:r>
              <w:rPr>
                <w:rFonts w:ascii="Arial" w:cs="Arial" w:eastAsia="Arial" w:hAnsi="Arial"/>
                <w:sz w:val="13"/>
                <w:szCs w:val="13"/>
                <w:color w:val="auto"/>
              </w:rPr>
              <w:t>—</w:t>
            </w:r>
          </w:p>
        </w:tc>
        <w:tc>
          <w:tcPr>
            <w:tcW w:w="780" w:type="dxa"/>
            <w:vAlign w:val="bottom"/>
            <w:gridSpan w:val="2"/>
          </w:tcPr>
          <w:p>
            <w:pPr>
              <w:jc w:val="right"/>
              <w:spacing w:after="0"/>
              <w:rPr>
                <w:sz w:val="20"/>
                <w:szCs w:val="20"/>
                <w:color w:val="auto"/>
              </w:rPr>
            </w:pPr>
            <w:r>
              <w:rPr>
                <w:rFonts w:ascii="Arial" w:cs="Arial" w:eastAsia="Arial" w:hAnsi="Arial"/>
                <w:sz w:val="13"/>
                <w:szCs w:val="13"/>
                <w:color w:val="auto"/>
              </w:rPr>
              <w:t>360,000</w:t>
            </w:r>
          </w:p>
        </w:tc>
        <w:tc>
          <w:tcPr>
            <w:tcW w:w="160" w:type="dxa"/>
            <w:vAlign w:val="bottom"/>
          </w:tcPr>
          <w:p>
            <w:pPr>
              <w:spacing w:after="0"/>
              <w:rPr>
                <w:sz w:val="12"/>
                <w:szCs w:val="12"/>
                <w:color w:val="auto"/>
              </w:rPr>
            </w:pPr>
          </w:p>
        </w:tc>
        <w:tc>
          <w:tcPr>
            <w:tcW w:w="660" w:type="dxa"/>
            <w:vAlign w:val="bottom"/>
          </w:tcPr>
          <w:p>
            <w:pPr>
              <w:jc w:val="right"/>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2"/>
                <w:szCs w:val="12"/>
                <w:color w:val="auto"/>
              </w:rPr>
            </w:pPr>
          </w:p>
        </w:tc>
        <w:tc>
          <w:tcPr>
            <w:tcW w:w="820" w:type="dxa"/>
            <w:vAlign w:val="bottom"/>
          </w:tcPr>
          <w:p>
            <w:pPr>
              <w:ind w:left="62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2"/>
                <w:szCs w:val="12"/>
                <w:color w:val="auto"/>
              </w:rPr>
            </w:pPr>
          </w:p>
        </w:tc>
        <w:tc>
          <w:tcPr>
            <w:tcW w:w="660" w:type="dxa"/>
            <w:vAlign w:val="bottom"/>
          </w:tcPr>
          <w:p>
            <w:pPr>
              <w:jc w:val="right"/>
              <w:spacing w:after="0"/>
              <w:rPr>
                <w:sz w:val="20"/>
                <w:szCs w:val="20"/>
                <w:color w:val="auto"/>
              </w:rPr>
            </w:pPr>
            <w:r>
              <w:rPr>
                <w:rFonts w:ascii="Arial" w:cs="Arial" w:eastAsia="Arial" w:hAnsi="Arial"/>
                <w:sz w:val="13"/>
                <w:szCs w:val="13"/>
                <w:color w:val="auto"/>
              </w:rPr>
              <w:t>—</w:t>
            </w:r>
          </w:p>
        </w:tc>
        <w:tc>
          <w:tcPr>
            <w:tcW w:w="820" w:type="dxa"/>
            <w:vAlign w:val="bottom"/>
            <w:gridSpan w:val="2"/>
          </w:tcPr>
          <w:p>
            <w:pPr>
              <w:jc w:val="right"/>
              <w:spacing w:after="0"/>
              <w:rPr>
                <w:sz w:val="20"/>
                <w:szCs w:val="20"/>
                <w:color w:val="auto"/>
              </w:rPr>
            </w:pPr>
            <w:r>
              <w:rPr>
                <w:rFonts w:ascii="Arial" w:cs="Arial" w:eastAsia="Arial" w:hAnsi="Arial"/>
                <w:sz w:val="13"/>
                <w:szCs w:val="13"/>
                <w:color w:val="auto"/>
              </w:rPr>
              <w:t>360,000</w:t>
            </w:r>
          </w:p>
        </w:tc>
        <w:tc>
          <w:tcPr>
            <w:tcW w:w="840" w:type="dxa"/>
            <w:vAlign w:val="bottom"/>
            <w:gridSpan w:val="2"/>
          </w:tcPr>
          <w:p>
            <w:pPr>
              <w:jc w:val="right"/>
              <w:spacing w:after="0"/>
              <w:rPr>
                <w:sz w:val="20"/>
                <w:szCs w:val="20"/>
                <w:color w:val="auto"/>
              </w:rPr>
            </w:pPr>
            <w:r>
              <w:rPr>
                <w:rFonts w:ascii="Arial" w:cs="Arial" w:eastAsia="Arial" w:hAnsi="Arial"/>
                <w:sz w:val="13"/>
                <w:szCs w:val="13"/>
                <w:color w:val="auto"/>
              </w:rPr>
              <w:t>6,000,000</w:t>
            </w:r>
          </w:p>
        </w:tc>
        <w:tc>
          <w:tcPr>
            <w:tcW w:w="60" w:type="dxa"/>
            <w:vAlign w:val="bottom"/>
          </w:tcPr>
          <w:p>
            <w:pPr>
              <w:spacing w:after="0"/>
              <w:rPr>
                <w:sz w:val="12"/>
                <w:szCs w:val="12"/>
                <w:color w:val="auto"/>
              </w:rPr>
            </w:pPr>
          </w:p>
        </w:tc>
      </w:tr>
      <w:tr>
        <w:trPr>
          <w:trHeight w:val="121"/>
        </w:trPr>
        <w:tc>
          <w:tcPr>
            <w:tcW w:w="20" w:type="dxa"/>
            <w:vAlign w:val="bottom"/>
          </w:tcPr>
          <w:p>
            <w:pPr>
              <w:spacing w:after="0"/>
              <w:rPr>
                <w:sz w:val="10"/>
                <w:szCs w:val="10"/>
                <w:color w:val="auto"/>
              </w:rPr>
            </w:pPr>
          </w:p>
        </w:tc>
        <w:tc>
          <w:tcPr>
            <w:tcW w:w="1420" w:type="dxa"/>
            <w:vAlign w:val="bottom"/>
            <w:shd w:val="clear" w:color="auto" w:fill="CCEEFF"/>
          </w:tcPr>
          <w:p>
            <w:pPr>
              <w:spacing w:after="0" w:line="121" w:lineRule="exact"/>
              <w:rPr>
                <w:sz w:val="20"/>
                <w:szCs w:val="20"/>
                <w:color w:val="auto"/>
              </w:rPr>
            </w:pPr>
            <w:r>
              <w:rPr>
                <w:rFonts w:ascii="Arial" w:cs="Arial" w:eastAsia="Arial" w:hAnsi="Arial"/>
                <w:sz w:val="13"/>
                <w:szCs w:val="13"/>
                <w:color w:val="auto"/>
              </w:rPr>
              <w:t>Andrew Quick</w:t>
            </w:r>
          </w:p>
        </w:tc>
        <w:tc>
          <w:tcPr>
            <w:tcW w:w="740" w:type="dxa"/>
            <w:vAlign w:val="bottom"/>
            <w:gridSpan w:val="2"/>
            <w:shd w:val="clear" w:color="auto" w:fill="CCEEFF"/>
          </w:tcPr>
          <w:p>
            <w:pPr>
              <w:jc w:val="right"/>
              <w:spacing w:after="0" w:line="121" w:lineRule="exact"/>
              <w:rPr>
                <w:sz w:val="20"/>
                <w:szCs w:val="20"/>
                <w:color w:val="auto"/>
              </w:rPr>
            </w:pPr>
            <w:r>
              <w:rPr>
                <w:rFonts w:ascii="Arial" w:cs="Arial" w:eastAsia="Arial" w:hAnsi="Arial"/>
                <w:sz w:val="13"/>
                <w:szCs w:val="13"/>
                <w:color w:val="auto"/>
              </w:rPr>
              <w:t>4,518,750</w:t>
            </w:r>
          </w:p>
        </w:tc>
        <w:tc>
          <w:tcPr>
            <w:tcW w:w="160" w:type="dxa"/>
            <w:vAlign w:val="bottom"/>
            <w:shd w:val="clear" w:color="auto" w:fill="CCEEFF"/>
          </w:tcPr>
          <w:p>
            <w:pPr>
              <w:spacing w:after="0"/>
              <w:rPr>
                <w:sz w:val="10"/>
                <w:szCs w:val="10"/>
                <w:color w:val="auto"/>
              </w:rPr>
            </w:pPr>
          </w:p>
        </w:tc>
        <w:tc>
          <w:tcPr>
            <w:tcW w:w="740" w:type="dxa"/>
            <w:vAlign w:val="bottom"/>
            <w:shd w:val="clear" w:color="auto" w:fill="CCEEFF"/>
          </w:tcPr>
          <w:p>
            <w:pPr>
              <w:ind w:left="280"/>
              <w:spacing w:after="0" w:line="121" w:lineRule="exact"/>
              <w:rPr>
                <w:sz w:val="20"/>
                <w:szCs w:val="20"/>
                <w:color w:val="auto"/>
              </w:rPr>
            </w:pPr>
            <w:r>
              <w:rPr>
                <w:rFonts w:ascii="Arial" w:cs="Arial" w:eastAsia="Arial" w:hAnsi="Arial"/>
                <w:sz w:val="13"/>
                <w:szCs w:val="13"/>
                <w:color w:val="auto"/>
              </w:rPr>
              <w:t>—</w:t>
            </w:r>
          </w:p>
        </w:tc>
        <w:tc>
          <w:tcPr>
            <w:tcW w:w="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40" w:type="dxa"/>
            <w:vAlign w:val="bottom"/>
            <w:shd w:val="clear" w:color="auto" w:fill="CCEEFF"/>
          </w:tcPr>
          <w:p>
            <w:pPr>
              <w:jc w:val="right"/>
              <w:spacing w:after="0" w:line="121" w:lineRule="exact"/>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0"/>
                <w:szCs w:val="10"/>
                <w:color w:val="auto"/>
              </w:rPr>
            </w:pPr>
          </w:p>
        </w:tc>
        <w:tc>
          <w:tcPr>
            <w:tcW w:w="580" w:type="dxa"/>
            <w:vAlign w:val="bottom"/>
            <w:shd w:val="clear" w:color="auto" w:fill="CCEEFF"/>
          </w:tcPr>
          <w:p>
            <w:pPr>
              <w:jc w:val="right"/>
              <w:ind w:right="17"/>
              <w:spacing w:after="0" w:line="121" w:lineRule="exact"/>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0"/>
                <w:szCs w:val="10"/>
                <w:color w:val="auto"/>
              </w:rPr>
            </w:pPr>
          </w:p>
        </w:tc>
        <w:tc>
          <w:tcPr>
            <w:tcW w:w="600" w:type="dxa"/>
            <w:vAlign w:val="bottom"/>
            <w:shd w:val="clear" w:color="auto" w:fill="CCEEFF"/>
          </w:tcPr>
          <w:p>
            <w:pPr>
              <w:ind w:left="400"/>
              <w:spacing w:after="0" w:line="121" w:lineRule="exact"/>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0"/>
                <w:szCs w:val="10"/>
                <w:color w:val="auto"/>
              </w:rPr>
            </w:pPr>
          </w:p>
        </w:tc>
        <w:tc>
          <w:tcPr>
            <w:tcW w:w="500" w:type="dxa"/>
            <w:vAlign w:val="bottom"/>
            <w:shd w:val="clear" w:color="auto" w:fill="CCEEFF"/>
          </w:tcPr>
          <w:p>
            <w:pPr>
              <w:jc w:val="right"/>
              <w:ind w:right="17"/>
              <w:spacing w:after="0" w:line="121" w:lineRule="exact"/>
              <w:rPr>
                <w:sz w:val="20"/>
                <w:szCs w:val="20"/>
                <w:color w:val="auto"/>
              </w:rPr>
            </w:pPr>
            <w:r>
              <w:rPr>
                <w:rFonts w:ascii="Arial" w:cs="Arial" w:eastAsia="Arial" w:hAnsi="Arial"/>
                <w:sz w:val="13"/>
                <w:szCs w:val="13"/>
                <w:color w:val="auto"/>
              </w:rPr>
              <w:t>—</w:t>
            </w:r>
          </w:p>
        </w:tc>
        <w:tc>
          <w:tcPr>
            <w:tcW w:w="780" w:type="dxa"/>
            <w:vAlign w:val="bottom"/>
            <w:gridSpan w:val="2"/>
            <w:shd w:val="clear" w:color="auto" w:fill="CCEEFF"/>
          </w:tcPr>
          <w:p>
            <w:pPr>
              <w:jc w:val="right"/>
              <w:spacing w:after="0" w:line="121" w:lineRule="exact"/>
              <w:rPr>
                <w:sz w:val="20"/>
                <w:szCs w:val="20"/>
                <w:color w:val="auto"/>
              </w:rPr>
            </w:pPr>
            <w:r>
              <w:rPr>
                <w:rFonts w:ascii="Arial" w:cs="Arial" w:eastAsia="Arial" w:hAnsi="Arial"/>
                <w:sz w:val="13"/>
                <w:szCs w:val="13"/>
                <w:color w:val="auto"/>
              </w:rPr>
              <w:t>4,518,750</w:t>
            </w:r>
          </w:p>
        </w:tc>
        <w:tc>
          <w:tcPr>
            <w:tcW w:w="820" w:type="dxa"/>
            <w:vAlign w:val="bottom"/>
            <w:gridSpan w:val="2"/>
            <w:shd w:val="clear" w:color="auto" w:fill="CCEEFF"/>
          </w:tcPr>
          <w:p>
            <w:pPr>
              <w:jc w:val="right"/>
              <w:spacing w:after="0" w:line="121" w:lineRule="exact"/>
              <w:rPr>
                <w:sz w:val="20"/>
                <w:szCs w:val="20"/>
                <w:color w:val="auto"/>
              </w:rPr>
            </w:pPr>
            <w:r>
              <w:rPr>
                <w:rFonts w:ascii="Arial" w:cs="Arial" w:eastAsia="Arial" w:hAnsi="Arial"/>
                <w:sz w:val="13"/>
                <w:szCs w:val="13"/>
                <w:color w:val="auto"/>
              </w:rPr>
              <w:t>3,211,250</w:t>
            </w:r>
          </w:p>
        </w:tc>
        <w:tc>
          <w:tcPr>
            <w:tcW w:w="140" w:type="dxa"/>
            <w:vAlign w:val="bottom"/>
            <w:shd w:val="clear" w:color="auto" w:fill="CCEEFF"/>
          </w:tcPr>
          <w:p>
            <w:pPr>
              <w:spacing w:after="0"/>
              <w:rPr>
                <w:sz w:val="10"/>
                <w:szCs w:val="10"/>
                <w:color w:val="auto"/>
              </w:rPr>
            </w:pPr>
          </w:p>
        </w:tc>
        <w:tc>
          <w:tcPr>
            <w:tcW w:w="820" w:type="dxa"/>
            <w:vAlign w:val="bottom"/>
            <w:shd w:val="clear" w:color="auto" w:fill="CCEEFF"/>
          </w:tcPr>
          <w:p>
            <w:pPr>
              <w:ind w:left="620"/>
              <w:spacing w:after="0" w:line="121" w:lineRule="exact"/>
              <w:rPr>
                <w:sz w:val="20"/>
                <w:szCs w:val="20"/>
                <w:color w:val="auto"/>
              </w:rPr>
            </w:pPr>
            <w:r>
              <w:rPr>
                <w:rFonts w:ascii="Arial" w:cs="Arial" w:eastAsia="Arial" w:hAnsi="Arial"/>
                <w:sz w:val="13"/>
                <w:szCs w:val="13"/>
                <w:color w:val="auto"/>
              </w:rPr>
              <w:t>—</w:t>
            </w:r>
          </w:p>
        </w:tc>
        <w:tc>
          <w:tcPr>
            <w:tcW w:w="800" w:type="dxa"/>
            <w:vAlign w:val="bottom"/>
            <w:gridSpan w:val="2"/>
            <w:shd w:val="clear" w:color="auto" w:fill="CCEEFF"/>
          </w:tcPr>
          <w:p>
            <w:pPr>
              <w:jc w:val="right"/>
              <w:spacing w:after="0" w:line="121" w:lineRule="exact"/>
              <w:rPr>
                <w:sz w:val="20"/>
                <w:szCs w:val="20"/>
                <w:color w:val="auto"/>
              </w:rPr>
            </w:pPr>
            <w:r>
              <w:rPr>
                <w:rFonts w:ascii="Arial" w:cs="Arial" w:eastAsia="Arial" w:hAnsi="Arial"/>
                <w:sz w:val="13"/>
                <w:szCs w:val="13"/>
                <w:color w:val="auto"/>
              </w:rPr>
              <w:t>3,211,250</w:t>
            </w:r>
          </w:p>
        </w:tc>
        <w:tc>
          <w:tcPr>
            <w:tcW w:w="820" w:type="dxa"/>
            <w:vAlign w:val="bottom"/>
            <w:gridSpan w:val="2"/>
            <w:shd w:val="clear" w:color="auto" w:fill="CCEEFF"/>
          </w:tcPr>
          <w:p>
            <w:pPr>
              <w:jc w:val="right"/>
              <w:spacing w:after="0" w:line="121" w:lineRule="exact"/>
              <w:rPr>
                <w:sz w:val="20"/>
                <w:szCs w:val="20"/>
                <w:color w:val="auto"/>
              </w:rPr>
            </w:pPr>
            <w:r>
              <w:rPr>
                <w:rFonts w:ascii="Arial" w:cs="Arial" w:eastAsia="Arial" w:hAnsi="Arial"/>
                <w:sz w:val="13"/>
                <w:szCs w:val="13"/>
                <w:color w:val="auto"/>
              </w:rPr>
              <w:t>1,307,500</w:t>
            </w:r>
          </w:p>
        </w:tc>
        <w:tc>
          <w:tcPr>
            <w:tcW w:w="140" w:type="dxa"/>
            <w:vAlign w:val="bottom"/>
            <w:shd w:val="clear" w:color="auto" w:fill="CCEEFF"/>
          </w:tcPr>
          <w:p>
            <w:pPr>
              <w:spacing w:after="0"/>
              <w:rPr>
                <w:sz w:val="10"/>
                <w:szCs w:val="10"/>
                <w:color w:val="auto"/>
              </w:rPr>
            </w:pPr>
          </w:p>
        </w:tc>
        <w:tc>
          <w:tcPr>
            <w:tcW w:w="70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r>
      <w:tr>
        <w:trPr>
          <w:trHeight w:val="135"/>
        </w:trPr>
        <w:tc>
          <w:tcPr>
            <w:tcW w:w="20" w:type="dxa"/>
            <w:vAlign w:val="bottom"/>
          </w:tcPr>
          <w:p>
            <w:pPr>
              <w:spacing w:after="0"/>
              <w:rPr>
                <w:sz w:val="11"/>
                <w:szCs w:val="11"/>
                <w:color w:val="auto"/>
              </w:rPr>
            </w:pPr>
          </w:p>
        </w:tc>
        <w:tc>
          <w:tcPr>
            <w:tcW w:w="14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740" w:type="dxa"/>
            <w:vAlign w:val="bottom"/>
            <w:shd w:val="clear" w:color="auto" w:fill="CCEEFF"/>
          </w:tcPr>
          <w:p>
            <w:pPr>
              <w:jc w:val="center"/>
              <w:spacing w:after="0" w:line="135" w:lineRule="exact"/>
              <w:rPr>
                <w:sz w:val="20"/>
                <w:szCs w:val="20"/>
                <w:color w:val="auto"/>
              </w:rPr>
            </w:pPr>
            <w:r>
              <w:rPr>
                <w:rFonts w:ascii="Arial" w:cs="Arial" w:eastAsia="Arial" w:hAnsi="Arial"/>
                <w:sz w:val="13"/>
                <w:szCs w:val="13"/>
                <w:color w:val="auto"/>
                <w:w w:val="88"/>
              </w:rPr>
              <w:t>November 1,</w:t>
            </w:r>
          </w:p>
        </w:tc>
        <w:tc>
          <w:tcPr>
            <w:tcW w:w="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r>
      <w:tr>
        <w:trPr>
          <w:trHeight w:val="135"/>
        </w:trPr>
        <w:tc>
          <w:tcPr>
            <w:tcW w:w="20" w:type="dxa"/>
            <w:vAlign w:val="bottom"/>
          </w:tcPr>
          <w:p>
            <w:pPr>
              <w:spacing w:after="0"/>
              <w:rPr>
                <w:sz w:val="11"/>
                <w:szCs w:val="11"/>
                <w:color w:val="auto"/>
              </w:rPr>
            </w:pPr>
          </w:p>
        </w:tc>
        <w:tc>
          <w:tcPr>
            <w:tcW w:w="14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900" w:type="dxa"/>
            <w:vAlign w:val="bottom"/>
            <w:gridSpan w:val="2"/>
            <w:shd w:val="clear" w:color="auto" w:fill="CCEEFF"/>
          </w:tcPr>
          <w:p>
            <w:pPr>
              <w:jc w:val="center"/>
              <w:ind w:left="97"/>
              <w:spacing w:after="0" w:line="135" w:lineRule="exact"/>
              <w:rPr>
                <w:sz w:val="20"/>
                <w:szCs w:val="20"/>
                <w:color w:val="auto"/>
              </w:rPr>
            </w:pPr>
            <w:r>
              <w:rPr>
                <w:rFonts w:ascii="Arial" w:cs="Arial" w:eastAsia="Arial" w:hAnsi="Arial"/>
                <w:sz w:val="13"/>
                <w:szCs w:val="13"/>
                <w:color w:val="auto"/>
                <w:w w:val="89"/>
              </w:rPr>
              <w:t>2018</w:t>
            </w:r>
          </w:p>
        </w:tc>
        <w:tc>
          <w:tcPr>
            <w:tcW w:w="780" w:type="dxa"/>
            <w:vAlign w:val="bottom"/>
            <w:gridSpan w:val="3"/>
            <w:shd w:val="clear" w:color="auto" w:fill="CCEEFF"/>
          </w:tcPr>
          <w:p>
            <w:pPr>
              <w:jc w:val="right"/>
              <w:spacing w:after="0" w:line="135" w:lineRule="exact"/>
              <w:rPr>
                <w:sz w:val="20"/>
                <w:szCs w:val="20"/>
                <w:color w:val="auto"/>
              </w:rPr>
            </w:pPr>
            <w:r>
              <w:rPr>
                <w:rFonts w:ascii="Arial" w:cs="Arial" w:eastAsia="Arial" w:hAnsi="Arial"/>
                <w:sz w:val="13"/>
                <w:szCs w:val="13"/>
                <w:color w:val="auto"/>
              </w:rPr>
              <w:t>500,000</w:t>
            </w:r>
          </w:p>
        </w:tc>
        <w:tc>
          <w:tcPr>
            <w:tcW w:w="720" w:type="dxa"/>
            <w:vAlign w:val="bottom"/>
            <w:gridSpan w:val="2"/>
            <w:shd w:val="clear" w:color="auto" w:fill="CCEEFF"/>
          </w:tcPr>
          <w:p>
            <w:pPr>
              <w:jc w:val="right"/>
              <w:spacing w:after="0" w:line="135" w:lineRule="exact"/>
              <w:rPr>
                <w:sz w:val="20"/>
                <w:szCs w:val="20"/>
                <w:color w:val="auto"/>
              </w:rPr>
            </w:pPr>
            <w:r>
              <w:rPr>
                <w:rFonts w:ascii="Arial" w:cs="Arial" w:eastAsia="Arial" w:hAnsi="Arial"/>
                <w:sz w:val="13"/>
                <w:szCs w:val="13"/>
                <w:color w:val="auto"/>
              </w:rPr>
              <w:t>32,839</w:t>
            </w:r>
          </w:p>
        </w:tc>
        <w:tc>
          <w:tcPr>
            <w:tcW w:w="140" w:type="dxa"/>
            <w:vAlign w:val="bottom"/>
            <w:shd w:val="clear" w:color="auto" w:fill="CCEEFF"/>
          </w:tcPr>
          <w:p>
            <w:pPr>
              <w:spacing w:after="0"/>
              <w:rPr>
                <w:sz w:val="11"/>
                <w:szCs w:val="11"/>
                <w:color w:val="auto"/>
              </w:rPr>
            </w:pPr>
          </w:p>
        </w:tc>
        <w:tc>
          <w:tcPr>
            <w:tcW w:w="600" w:type="dxa"/>
            <w:vAlign w:val="bottom"/>
            <w:shd w:val="clear" w:color="auto" w:fill="CCEEFF"/>
          </w:tcPr>
          <w:p>
            <w:pPr>
              <w:ind w:left="400"/>
              <w:spacing w:after="0" w:line="135" w:lineRule="exact"/>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1"/>
                <w:szCs w:val="11"/>
                <w:color w:val="auto"/>
              </w:rPr>
            </w:pPr>
          </w:p>
        </w:tc>
        <w:tc>
          <w:tcPr>
            <w:tcW w:w="500" w:type="dxa"/>
            <w:vAlign w:val="bottom"/>
            <w:shd w:val="clear" w:color="auto" w:fill="CCEEFF"/>
          </w:tcPr>
          <w:p>
            <w:pPr>
              <w:jc w:val="right"/>
              <w:ind w:right="17"/>
              <w:spacing w:after="0" w:line="135" w:lineRule="exact"/>
              <w:rPr>
                <w:sz w:val="20"/>
                <w:szCs w:val="20"/>
                <w:color w:val="auto"/>
              </w:rPr>
            </w:pPr>
            <w:r>
              <w:rPr>
                <w:rFonts w:ascii="Arial" w:cs="Arial" w:eastAsia="Arial" w:hAnsi="Arial"/>
                <w:sz w:val="13"/>
                <w:szCs w:val="13"/>
                <w:color w:val="auto"/>
              </w:rPr>
              <w:t>—</w:t>
            </w:r>
          </w:p>
        </w:tc>
        <w:tc>
          <w:tcPr>
            <w:tcW w:w="780" w:type="dxa"/>
            <w:vAlign w:val="bottom"/>
            <w:gridSpan w:val="2"/>
            <w:shd w:val="clear" w:color="auto" w:fill="CCEEFF"/>
          </w:tcPr>
          <w:p>
            <w:pPr>
              <w:jc w:val="right"/>
              <w:spacing w:after="0" w:line="135" w:lineRule="exact"/>
              <w:rPr>
                <w:sz w:val="20"/>
                <w:szCs w:val="20"/>
                <w:color w:val="auto"/>
              </w:rPr>
            </w:pPr>
            <w:r>
              <w:rPr>
                <w:rFonts w:ascii="Arial" w:cs="Arial" w:eastAsia="Arial" w:hAnsi="Arial"/>
                <w:sz w:val="13"/>
                <w:szCs w:val="13"/>
                <w:color w:val="auto"/>
              </w:rPr>
              <w:t>500,000</w:t>
            </w:r>
          </w:p>
        </w:tc>
        <w:tc>
          <w:tcPr>
            <w:tcW w:w="160" w:type="dxa"/>
            <w:vAlign w:val="bottom"/>
            <w:shd w:val="clear" w:color="auto" w:fill="CCEEFF"/>
          </w:tcPr>
          <w:p>
            <w:pPr>
              <w:spacing w:after="0"/>
              <w:rPr>
                <w:sz w:val="11"/>
                <w:szCs w:val="11"/>
                <w:color w:val="auto"/>
              </w:rPr>
            </w:pPr>
          </w:p>
        </w:tc>
        <w:tc>
          <w:tcPr>
            <w:tcW w:w="66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1"/>
                <w:szCs w:val="11"/>
                <w:color w:val="auto"/>
              </w:rPr>
            </w:pPr>
          </w:p>
        </w:tc>
        <w:tc>
          <w:tcPr>
            <w:tcW w:w="820" w:type="dxa"/>
            <w:vAlign w:val="bottom"/>
            <w:shd w:val="clear" w:color="auto" w:fill="CCEEFF"/>
          </w:tcPr>
          <w:p>
            <w:pPr>
              <w:ind w:left="620"/>
              <w:spacing w:after="0" w:line="135" w:lineRule="exact"/>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1"/>
                <w:szCs w:val="11"/>
                <w:color w:val="auto"/>
              </w:rPr>
            </w:pPr>
          </w:p>
        </w:tc>
        <w:tc>
          <w:tcPr>
            <w:tcW w:w="66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w:t>
            </w:r>
          </w:p>
        </w:tc>
        <w:tc>
          <w:tcPr>
            <w:tcW w:w="820" w:type="dxa"/>
            <w:vAlign w:val="bottom"/>
            <w:gridSpan w:val="2"/>
            <w:shd w:val="clear" w:color="auto" w:fill="CCEEFF"/>
          </w:tcPr>
          <w:p>
            <w:pPr>
              <w:jc w:val="right"/>
              <w:spacing w:after="0" w:line="135" w:lineRule="exact"/>
              <w:rPr>
                <w:sz w:val="20"/>
                <w:szCs w:val="20"/>
                <w:color w:val="auto"/>
              </w:rPr>
            </w:pPr>
            <w:r>
              <w:rPr>
                <w:rFonts w:ascii="Arial" w:cs="Arial" w:eastAsia="Arial" w:hAnsi="Arial"/>
                <w:sz w:val="13"/>
                <w:szCs w:val="13"/>
                <w:color w:val="auto"/>
              </w:rPr>
              <w:t>500,000</w:t>
            </w:r>
          </w:p>
        </w:tc>
        <w:tc>
          <w:tcPr>
            <w:tcW w:w="14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r>
      <w:tr>
        <w:trPr>
          <w:trHeight w:val="135"/>
        </w:trPr>
        <w:tc>
          <w:tcPr>
            <w:tcW w:w="20" w:type="dxa"/>
            <w:vAlign w:val="bottom"/>
          </w:tcPr>
          <w:p>
            <w:pPr>
              <w:spacing w:after="0"/>
              <w:rPr>
                <w:sz w:val="11"/>
                <w:szCs w:val="11"/>
                <w:color w:val="auto"/>
              </w:rPr>
            </w:pPr>
          </w:p>
        </w:tc>
        <w:tc>
          <w:tcPr>
            <w:tcW w:w="14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740" w:type="dxa"/>
            <w:vAlign w:val="bottom"/>
            <w:shd w:val="clear" w:color="auto" w:fill="CCEEFF"/>
          </w:tcPr>
          <w:p>
            <w:pPr>
              <w:jc w:val="center"/>
              <w:spacing w:after="0" w:line="135" w:lineRule="exact"/>
              <w:rPr>
                <w:sz w:val="20"/>
                <w:szCs w:val="20"/>
                <w:color w:val="auto"/>
              </w:rPr>
            </w:pPr>
            <w:r>
              <w:rPr>
                <w:rFonts w:ascii="Arial" w:cs="Arial" w:eastAsia="Arial" w:hAnsi="Arial"/>
                <w:sz w:val="13"/>
                <w:szCs w:val="13"/>
                <w:color w:val="auto"/>
                <w:w w:val="88"/>
              </w:rPr>
              <w:t>November 30,</w:t>
            </w:r>
          </w:p>
        </w:tc>
        <w:tc>
          <w:tcPr>
            <w:tcW w:w="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r>
      <w:tr>
        <w:trPr>
          <w:trHeight w:val="135"/>
        </w:trPr>
        <w:tc>
          <w:tcPr>
            <w:tcW w:w="20" w:type="dxa"/>
            <w:vAlign w:val="bottom"/>
          </w:tcPr>
          <w:p>
            <w:pPr>
              <w:spacing w:after="0"/>
              <w:rPr>
                <w:sz w:val="11"/>
                <w:szCs w:val="11"/>
                <w:color w:val="auto"/>
              </w:rPr>
            </w:pPr>
          </w:p>
        </w:tc>
        <w:tc>
          <w:tcPr>
            <w:tcW w:w="14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900" w:type="dxa"/>
            <w:vAlign w:val="bottom"/>
            <w:gridSpan w:val="2"/>
            <w:shd w:val="clear" w:color="auto" w:fill="CCEEFF"/>
          </w:tcPr>
          <w:p>
            <w:pPr>
              <w:jc w:val="center"/>
              <w:ind w:left="97"/>
              <w:spacing w:after="0" w:line="135" w:lineRule="exact"/>
              <w:rPr>
                <w:sz w:val="20"/>
                <w:szCs w:val="20"/>
                <w:color w:val="auto"/>
              </w:rPr>
            </w:pPr>
            <w:r>
              <w:rPr>
                <w:rFonts w:ascii="Arial" w:cs="Arial" w:eastAsia="Arial" w:hAnsi="Arial"/>
                <w:sz w:val="13"/>
                <w:szCs w:val="13"/>
                <w:color w:val="auto"/>
                <w:w w:val="89"/>
              </w:rPr>
              <w:t>2018</w:t>
            </w:r>
          </w:p>
        </w:tc>
        <w:tc>
          <w:tcPr>
            <w:tcW w:w="780" w:type="dxa"/>
            <w:vAlign w:val="bottom"/>
            <w:gridSpan w:val="3"/>
            <w:shd w:val="clear" w:color="auto" w:fill="CCEEFF"/>
          </w:tcPr>
          <w:p>
            <w:pPr>
              <w:jc w:val="right"/>
              <w:spacing w:after="0" w:line="135" w:lineRule="exact"/>
              <w:rPr>
                <w:sz w:val="20"/>
                <w:szCs w:val="20"/>
                <w:color w:val="auto"/>
              </w:rPr>
            </w:pPr>
            <w:r>
              <w:rPr>
                <w:rFonts w:ascii="Arial" w:cs="Arial" w:eastAsia="Arial" w:hAnsi="Arial"/>
                <w:sz w:val="13"/>
                <w:szCs w:val="13"/>
                <w:color w:val="auto"/>
              </w:rPr>
              <w:t>3,021,250</w:t>
            </w:r>
          </w:p>
        </w:tc>
        <w:tc>
          <w:tcPr>
            <w:tcW w:w="720" w:type="dxa"/>
            <w:vAlign w:val="bottom"/>
            <w:gridSpan w:val="2"/>
            <w:shd w:val="clear" w:color="auto" w:fill="CCEEFF"/>
          </w:tcPr>
          <w:p>
            <w:pPr>
              <w:jc w:val="right"/>
              <w:spacing w:after="0" w:line="135" w:lineRule="exact"/>
              <w:rPr>
                <w:sz w:val="20"/>
                <w:szCs w:val="20"/>
                <w:color w:val="auto"/>
              </w:rPr>
            </w:pPr>
            <w:r>
              <w:rPr>
                <w:rFonts w:ascii="Arial" w:cs="Arial" w:eastAsia="Arial" w:hAnsi="Arial"/>
                <w:sz w:val="13"/>
                <w:szCs w:val="13"/>
                <w:color w:val="auto"/>
              </w:rPr>
              <w:t>173,873</w:t>
            </w:r>
          </w:p>
        </w:tc>
        <w:tc>
          <w:tcPr>
            <w:tcW w:w="140" w:type="dxa"/>
            <w:vAlign w:val="bottom"/>
            <w:shd w:val="clear" w:color="auto" w:fill="CCEEFF"/>
          </w:tcPr>
          <w:p>
            <w:pPr>
              <w:spacing w:after="0"/>
              <w:rPr>
                <w:sz w:val="11"/>
                <w:szCs w:val="11"/>
                <w:color w:val="auto"/>
              </w:rPr>
            </w:pPr>
          </w:p>
        </w:tc>
        <w:tc>
          <w:tcPr>
            <w:tcW w:w="600" w:type="dxa"/>
            <w:vAlign w:val="bottom"/>
            <w:shd w:val="clear" w:color="auto" w:fill="CCEEFF"/>
          </w:tcPr>
          <w:p>
            <w:pPr>
              <w:ind w:left="400"/>
              <w:spacing w:after="0" w:line="135" w:lineRule="exact"/>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1"/>
                <w:szCs w:val="11"/>
                <w:color w:val="auto"/>
              </w:rPr>
            </w:pPr>
          </w:p>
        </w:tc>
        <w:tc>
          <w:tcPr>
            <w:tcW w:w="500" w:type="dxa"/>
            <w:vAlign w:val="bottom"/>
            <w:shd w:val="clear" w:color="auto" w:fill="CCEEFF"/>
          </w:tcPr>
          <w:p>
            <w:pPr>
              <w:jc w:val="right"/>
              <w:ind w:right="17"/>
              <w:spacing w:after="0" w:line="135" w:lineRule="exact"/>
              <w:rPr>
                <w:sz w:val="20"/>
                <w:szCs w:val="20"/>
                <w:color w:val="auto"/>
              </w:rPr>
            </w:pPr>
            <w:r>
              <w:rPr>
                <w:rFonts w:ascii="Arial" w:cs="Arial" w:eastAsia="Arial" w:hAnsi="Arial"/>
                <w:sz w:val="13"/>
                <w:szCs w:val="13"/>
                <w:color w:val="auto"/>
              </w:rPr>
              <w:t>—</w:t>
            </w:r>
          </w:p>
        </w:tc>
        <w:tc>
          <w:tcPr>
            <w:tcW w:w="780" w:type="dxa"/>
            <w:vAlign w:val="bottom"/>
            <w:gridSpan w:val="2"/>
            <w:shd w:val="clear" w:color="auto" w:fill="CCEEFF"/>
          </w:tcPr>
          <w:p>
            <w:pPr>
              <w:jc w:val="right"/>
              <w:spacing w:after="0" w:line="135" w:lineRule="exact"/>
              <w:rPr>
                <w:sz w:val="20"/>
                <w:szCs w:val="20"/>
                <w:color w:val="auto"/>
              </w:rPr>
            </w:pPr>
            <w:r>
              <w:rPr>
                <w:rFonts w:ascii="Arial" w:cs="Arial" w:eastAsia="Arial" w:hAnsi="Arial"/>
                <w:sz w:val="13"/>
                <w:szCs w:val="13"/>
                <w:color w:val="auto"/>
              </w:rPr>
              <w:t>3,021,250</w:t>
            </w:r>
          </w:p>
        </w:tc>
        <w:tc>
          <w:tcPr>
            <w:tcW w:w="160" w:type="dxa"/>
            <w:vAlign w:val="bottom"/>
            <w:shd w:val="clear" w:color="auto" w:fill="CCEEFF"/>
          </w:tcPr>
          <w:p>
            <w:pPr>
              <w:spacing w:after="0"/>
              <w:rPr>
                <w:sz w:val="11"/>
                <w:szCs w:val="11"/>
                <w:color w:val="auto"/>
              </w:rPr>
            </w:pPr>
          </w:p>
        </w:tc>
        <w:tc>
          <w:tcPr>
            <w:tcW w:w="66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1"/>
                <w:szCs w:val="11"/>
                <w:color w:val="auto"/>
              </w:rPr>
            </w:pPr>
          </w:p>
        </w:tc>
        <w:tc>
          <w:tcPr>
            <w:tcW w:w="820" w:type="dxa"/>
            <w:vAlign w:val="bottom"/>
            <w:shd w:val="clear" w:color="auto" w:fill="CCEEFF"/>
          </w:tcPr>
          <w:p>
            <w:pPr>
              <w:ind w:left="620"/>
              <w:spacing w:after="0" w:line="135" w:lineRule="exact"/>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1"/>
                <w:szCs w:val="11"/>
                <w:color w:val="auto"/>
              </w:rPr>
            </w:pPr>
          </w:p>
        </w:tc>
        <w:tc>
          <w:tcPr>
            <w:tcW w:w="66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w:t>
            </w:r>
          </w:p>
        </w:tc>
        <w:tc>
          <w:tcPr>
            <w:tcW w:w="820" w:type="dxa"/>
            <w:vAlign w:val="bottom"/>
            <w:gridSpan w:val="2"/>
            <w:shd w:val="clear" w:color="auto" w:fill="CCEEFF"/>
          </w:tcPr>
          <w:p>
            <w:pPr>
              <w:jc w:val="right"/>
              <w:spacing w:after="0" w:line="135" w:lineRule="exact"/>
              <w:rPr>
                <w:sz w:val="20"/>
                <w:szCs w:val="20"/>
                <w:color w:val="auto"/>
              </w:rPr>
            </w:pPr>
            <w:r>
              <w:rPr>
                <w:rFonts w:ascii="Arial" w:cs="Arial" w:eastAsia="Arial" w:hAnsi="Arial"/>
                <w:sz w:val="13"/>
                <w:szCs w:val="13"/>
                <w:color w:val="auto"/>
              </w:rPr>
              <w:t>3,021,250</w:t>
            </w:r>
          </w:p>
        </w:tc>
        <w:tc>
          <w:tcPr>
            <w:tcW w:w="14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r>
      <w:tr>
        <w:trPr>
          <w:trHeight w:val="149"/>
        </w:trPr>
        <w:tc>
          <w:tcPr>
            <w:tcW w:w="20" w:type="dxa"/>
            <w:vAlign w:val="bottom"/>
          </w:tcPr>
          <w:p>
            <w:pPr>
              <w:spacing w:after="0"/>
              <w:rPr>
                <w:sz w:val="12"/>
                <w:szCs w:val="12"/>
                <w:color w:val="auto"/>
              </w:rPr>
            </w:pPr>
          </w:p>
        </w:tc>
        <w:tc>
          <w:tcPr>
            <w:tcW w:w="14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4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0"/>
              </w:rPr>
              <w:t>April 1, 2019</w:t>
            </w:r>
          </w:p>
        </w:tc>
        <w:tc>
          <w:tcPr>
            <w:tcW w:w="780" w:type="dxa"/>
            <w:vAlign w:val="bottom"/>
            <w:gridSpan w:val="3"/>
            <w:shd w:val="clear" w:color="auto" w:fill="CCEEFF"/>
          </w:tcPr>
          <w:p>
            <w:pPr>
              <w:jc w:val="right"/>
              <w:spacing w:after="0"/>
              <w:rPr>
                <w:sz w:val="20"/>
                <w:szCs w:val="20"/>
                <w:color w:val="auto"/>
              </w:rPr>
            </w:pPr>
            <w:r>
              <w:rPr>
                <w:rFonts w:ascii="Arial" w:cs="Arial" w:eastAsia="Arial" w:hAnsi="Arial"/>
                <w:sz w:val="13"/>
                <w:szCs w:val="13"/>
                <w:color w:val="auto"/>
              </w:rPr>
              <w:t>4,040,000</w:t>
            </w: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759,722</w:t>
            </w:r>
          </w:p>
        </w:tc>
        <w:tc>
          <w:tcPr>
            <w:tcW w:w="140" w:type="dxa"/>
            <w:vAlign w:val="bottom"/>
            <w:shd w:val="clear" w:color="auto" w:fill="CCEEFF"/>
          </w:tcPr>
          <w:p>
            <w:pPr>
              <w:spacing w:after="0"/>
              <w:rPr>
                <w:sz w:val="12"/>
                <w:szCs w:val="12"/>
                <w:color w:val="auto"/>
              </w:rPr>
            </w:pPr>
          </w:p>
        </w:tc>
        <w:tc>
          <w:tcPr>
            <w:tcW w:w="600" w:type="dxa"/>
            <w:vAlign w:val="bottom"/>
            <w:shd w:val="clear" w:color="auto" w:fill="CCEEFF"/>
          </w:tcPr>
          <w:p>
            <w:pPr>
              <w:ind w:left="400"/>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2"/>
                <w:szCs w:val="12"/>
                <w:color w:val="auto"/>
              </w:rPr>
            </w:pPr>
          </w:p>
        </w:tc>
        <w:tc>
          <w:tcPr>
            <w:tcW w:w="50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rPr>
              <w:t>—</w:t>
            </w: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4,040,000</w:t>
            </w:r>
          </w:p>
        </w:tc>
        <w:tc>
          <w:tcPr>
            <w:tcW w:w="16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2"/>
                <w:szCs w:val="12"/>
                <w:color w:val="auto"/>
              </w:rPr>
            </w:pPr>
          </w:p>
        </w:tc>
        <w:tc>
          <w:tcPr>
            <w:tcW w:w="820" w:type="dxa"/>
            <w:vAlign w:val="bottom"/>
            <w:shd w:val="clear" w:color="auto" w:fill="CCEEFF"/>
          </w:tcPr>
          <w:p>
            <w:pPr>
              <w:ind w:left="620"/>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4,040,000</w:t>
            </w: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8,868,750</w:t>
            </w:r>
          </w:p>
        </w:tc>
        <w:tc>
          <w:tcPr>
            <w:tcW w:w="60" w:type="dxa"/>
            <w:vAlign w:val="bottom"/>
            <w:shd w:val="clear" w:color="auto" w:fill="CCEEFF"/>
          </w:tcPr>
          <w:p>
            <w:pPr>
              <w:spacing w:after="0"/>
              <w:rPr>
                <w:sz w:val="12"/>
                <w:szCs w:val="12"/>
                <w:color w:val="auto"/>
              </w:rPr>
            </w:pPr>
          </w:p>
        </w:tc>
      </w:tr>
      <w:tr>
        <w:trPr>
          <w:trHeight w:val="135"/>
        </w:trPr>
        <w:tc>
          <w:tcPr>
            <w:tcW w:w="20" w:type="dxa"/>
            <w:vAlign w:val="bottom"/>
          </w:tcPr>
          <w:p>
            <w:pPr>
              <w:spacing w:after="0"/>
              <w:rPr>
                <w:sz w:val="11"/>
                <w:szCs w:val="11"/>
                <w:color w:val="auto"/>
              </w:rPr>
            </w:pPr>
          </w:p>
        </w:tc>
        <w:tc>
          <w:tcPr>
            <w:tcW w:w="1420" w:type="dxa"/>
            <w:vAlign w:val="bottom"/>
          </w:tcPr>
          <w:p>
            <w:pPr>
              <w:spacing w:after="0" w:line="135" w:lineRule="exact"/>
              <w:rPr>
                <w:sz w:val="20"/>
                <w:szCs w:val="20"/>
                <w:color w:val="auto"/>
              </w:rPr>
            </w:pPr>
            <w:r>
              <w:rPr>
                <w:rFonts w:ascii="Arial" w:cs="Arial" w:eastAsia="Arial" w:hAnsi="Arial"/>
                <w:sz w:val="13"/>
                <w:szCs w:val="13"/>
                <w:color w:val="auto"/>
              </w:rPr>
              <w:t>Troy Barring</w:t>
            </w:r>
          </w:p>
        </w:tc>
        <w:tc>
          <w:tcPr>
            <w:tcW w:w="120" w:type="dxa"/>
            <w:vAlign w:val="bottom"/>
          </w:tcPr>
          <w:p>
            <w:pPr>
              <w:spacing w:after="0"/>
              <w:rPr>
                <w:sz w:val="11"/>
                <w:szCs w:val="11"/>
                <w:color w:val="auto"/>
              </w:rPr>
            </w:pPr>
          </w:p>
        </w:tc>
        <w:tc>
          <w:tcPr>
            <w:tcW w:w="620" w:type="dxa"/>
            <w:vAlign w:val="bottom"/>
          </w:tcPr>
          <w:p>
            <w:pPr>
              <w:jc w:val="right"/>
              <w:spacing w:after="0" w:line="135" w:lineRule="exact"/>
              <w:rPr>
                <w:sz w:val="20"/>
                <w:szCs w:val="20"/>
                <w:color w:val="auto"/>
              </w:rPr>
            </w:pPr>
            <w:r>
              <w:rPr>
                <w:rFonts w:ascii="Arial" w:cs="Arial" w:eastAsia="Arial" w:hAnsi="Arial"/>
                <w:sz w:val="13"/>
                <w:szCs w:val="13"/>
                <w:color w:val="auto"/>
              </w:rPr>
              <w:t>1,110,000</w:t>
            </w:r>
          </w:p>
        </w:tc>
        <w:tc>
          <w:tcPr>
            <w:tcW w:w="160" w:type="dxa"/>
            <w:vAlign w:val="bottom"/>
          </w:tcPr>
          <w:p>
            <w:pPr>
              <w:spacing w:after="0"/>
              <w:rPr>
                <w:sz w:val="11"/>
                <w:szCs w:val="11"/>
                <w:color w:val="auto"/>
              </w:rPr>
            </w:pPr>
          </w:p>
        </w:tc>
        <w:tc>
          <w:tcPr>
            <w:tcW w:w="740" w:type="dxa"/>
            <w:vAlign w:val="bottom"/>
          </w:tcPr>
          <w:p>
            <w:pPr>
              <w:ind w:left="280"/>
              <w:spacing w:after="0" w:line="135" w:lineRule="exact"/>
              <w:rPr>
                <w:sz w:val="20"/>
                <w:szCs w:val="20"/>
                <w:color w:val="auto"/>
              </w:rPr>
            </w:pPr>
            <w:r>
              <w:rPr>
                <w:rFonts w:ascii="Arial" w:cs="Arial" w:eastAsia="Arial" w:hAnsi="Arial"/>
                <w:sz w:val="13"/>
                <w:szCs w:val="13"/>
                <w:color w:val="auto"/>
              </w:rPr>
              <w:t>—</w:t>
            </w: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jc w:val="right"/>
              <w:spacing w:after="0" w:line="135" w:lineRule="exact"/>
              <w:rPr>
                <w:sz w:val="20"/>
                <w:szCs w:val="20"/>
                <w:color w:val="auto"/>
              </w:rPr>
            </w:pPr>
            <w:r>
              <w:rPr>
                <w:rFonts w:ascii="Arial" w:cs="Arial" w:eastAsia="Arial" w:hAnsi="Arial"/>
                <w:sz w:val="13"/>
                <w:szCs w:val="13"/>
                <w:color w:val="auto"/>
              </w:rPr>
              <w:t>—</w:t>
            </w:r>
          </w:p>
        </w:tc>
        <w:tc>
          <w:tcPr>
            <w:tcW w:w="140" w:type="dxa"/>
            <w:vAlign w:val="bottom"/>
          </w:tcPr>
          <w:p>
            <w:pPr>
              <w:spacing w:after="0"/>
              <w:rPr>
                <w:sz w:val="11"/>
                <w:szCs w:val="11"/>
                <w:color w:val="auto"/>
              </w:rPr>
            </w:pPr>
          </w:p>
        </w:tc>
        <w:tc>
          <w:tcPr>
            <w:tcW w:w="580" w:type="dxa"/>
            <w:vAlign w:val="bottom"/>
          </w:tcPr>
          <w:p>
            <w:pPr>
              <w:jc w:val="right"/>
              <w:ind w:right="17"/>
              <w:spacing w:after="0" w:line="135" w:lineRule="exact"/>
              <w:rPr>
                <w:sz w:val="20"/>
                <w:szCs w:val="20"/>
                <w:color w:val="auto"/>
              </w:rPr>
            </w:pPr>
            <w:r>
              <w:rPr>
                <w:rFonts w:ascii="Arial" w:cs="Arial" w:eastAsia="Arial" w:hAnsi="Arial"/>
                <w:sz w:val="13"/>
                <w:szCs w:val="13"/>
                <w:color w:val="auto"/>
              </w:rPr>
              <w:t>—</w:t>
            </w:r>
          </w:p>
        </w:tc>
        <w:tc>
          <w:tcPr>
            <w:tcW w:w="740" w:type="dxa"/>
            <w:vAlign w:val="bottom"/>
            <w:gridSpan w:val="2"/>
          </w:tcPr>
          <w:p>
            <w:pPr>
              <w:jc w:val="right"/>
              <w:spacing w:after="0" w:line="135" w:lineRule="exact"/>
              <w:rPr>
                <w:sz w:val="20"/>
                <w:szCs w:val="20"/>
                <w:color w:val="auto"/>
              </w:rPr>
            </w:pPr>
            <w:r>
              <w:rPr>
                <w:rFonts w:ascii="Arial" w:cs="Arial" w:eastAsia="Arial" w:hAnsi="Arial"/>
                <w:sz w:val="13"/>
                <w:szCs w:val="13"/>
                <w:color w:val="auto"/>
              </w:rPr>
              <w:t>1,110,000</w:t>
            </w:r>
          </w:p>
        </w:tc>
        <w:tc>
          <w:tcPr>
            <w:tcW w:w="640" w:type="dxa"/>
            <w:vAlign w:val="bottom"/>
            <w:gridSpan w:val="2"/>
          </w:tcPr>
          <w:p>
            <w:pPr>
              <w:jc w:val="right"/>
              <w:spacing w:after="0" w:line="135" w:lineRule="exact"/>
              <w:rPr>
                <w:sz w:val="20"/>
                <w:szCs w:val="20"/>
                <w:color w:val="auto"/>
              </w:rPr>
            </w:pPr>
            <w:r>
              <w:rPr>
                <w:rFonts w:ascii="Arial" w:cs="Arial" w:eastAsia="Arial" w:hAnsi="Arial"/>
                <w:sz w:val="13"/>
                <w:szCs w:val="13"/>
                <w:color w:val="auto"/>
              </w:rPr>
              <w:t>34,474</w:t>
            </w:r>
          </w:p>
        </w:tc>
        <w:tc>
          <w:tcPr>
            <w:tcW w:w="140" w:type="dxa"/>
            <w:vAlign w:val="bottom"/>
          </w:tcPr>
          <w:p>
            <w:pPr>
              <w:spacing w:after="0"/>
              <w:rPr>
                <w:sz w:val="11"/>
                <w:szCs w:val="11"/>
                <w:color w:val="auto"/>
              </w:rPr>
            </w:pPr>
          </w:p>
        </w:tc>
        <w:tc>
          <w:tcPr>
            <w:tcW w:w="640" w:type="dxa"/>
            <w:vAlign w:val="bottom"/>
          </w:tcPr>
          <w:p>
            <w:pPr>
              <w:jc w:val="right"/>
              <w:spacing w:after="0" w:line="135" w:lineRule="exact"/>
              <w:rPr>
                <w:sz w:val="20"/>
                <w:szCs w:val="20"/>
                <w:color w:val="auto"/>
              </w:rPr>
            </w:pPr>
            <w:r>
              <w:rPr>
                <w:rFonts w:ascii="Arial" w:cs="Arial" w:eastAsia="Arial" w:hAnsi="Arial"/>
                <w:sz w:val="13"/>
                <w:szCs w:val="13"/>
                <w:color w:val="auto"/>
              </w:rPr>
              <w:t>—</w:t>
            </w:r>
          </w:p>
        </w:tc>
        <w:tc>
          <w:tcPr>
            <w:tcW w:w="160" w:type="dxa"/>
            <w:vAlign w:val="bottom"/>
          </w:tcPr>
          <w:p>
            <w:pPr>
              <w:spacing w:after="0"/>
              <w:rPr>
                <w:sz w:val="11"/>
                <w:szCs w:val="11"/>
                <w:color w:val="auto"/>
              </w:rPr>
            </w:pPr>
          </w:p>
        </w:tc>
        <w:tc>
          <w:tcPr>
            <w:tcW w:w="660" w:type="dxa"/>
            <w:vAlign w:val="bottom"/>
          </w:tcPr>
          <w:p>
            <w:pPr>
              <w:jc w:val="right"/>
              <w:spacing w:after="0" w:line="135" w:lineRule="exact"/>
              <w:rPr>
                <w:sz w:val="20"/>
                <w:szCs w:val="20"/>
                <w:color w:val="auto"/>
              </w:rPr>
            </w:pPr>
            <w:r>
              <w:rPr>
                <w:rFonts w:ascii="Arial" w:cs="Arial" w:eastAsia="Arial" w:hAnsi="Arial"/>
                <w:sz w:val="13"/>
                <w:szCs w:val="13"/>
                <w:color w:val="auto"/>
              </w:rPr>
              <w:t>—</w:t>
            </w:r>
          </w:p>
        </w:tc>
        <w:tc>
          <w:tcPr>
            <w:tcW w:w="140" w:type="dxa"/>
            <w:vAlign w:val="bottom"/>
          </w:tcPr>
          <w:p>
            <w:pPr>
              <w:spacing w:after="0"/>
              <w:rPr>
                <w:sz w:val="11"/>
                <w:szCs w:val="11"/>
                <w:color w:val="auto"/>
              </w:rPr>
            </w:pPr>
          </w:p>
        </w:tc>
        <w:tc>
          <w:tcPr>
            <w:tcW w:w="820" w:type="dxa"/>
            <w:vAlign w:val="bottom"/>
          </w:tcPr>
          <w:p>
            <w:pPr>
              <w:ind w:left="620"/>
              <w:spacing w:after="0" w:line="135" w:lineRule="exact"/>
              <w:rPr>
                <w:sz w:val="20"/>
                <w:szCs w:val="20"/>
                <w:color w:val="auto"/>
              </w:rPr>
            </w:pPr>
            <w:r>
              <w:rPr>
                <w:rFonts w:ascii="Arial" w:cs="Arial" w:eastAsia="Arial" w:hAnsi="Arial"/>
                <w:sz w:val="13"/>
                <w:szCs w:val="13"/>
                <w:color w:val="auto"/>
              </w:rPr>
              <w:t>—</w:t>
            </w:r>
          </w:p>
        </w:tc>
        <w:tc>
          <w:tcPr>
            <w:tcW w:w="140" w:type="dxa"/>
            <w:vAlign w:val="bottom"/>
          </w:tcPr>
          <w:p>
            <w:pPr>
              <w:spacing w:after="0"/>
              <w:rPr>
                <w:sz w:val="11"/>
                <w:szCs w:val="11"/>
                <w:color w:val="auto"/>
              </w:rPr>
            </w:pPr>
          </w:p>
        </w:tc>
        <w:tc>
          <w:tcPr>
            <w:tcW w:w="660" w:type="dxa"/>
            <w:vAlign w:val="bottom"/>
          </w:tcPr>
          <w:p>
            <w:pPr>
              <w:jc w:val="right"/>
              <w:spacing w:after="0" w:line="135" w:lineRule="exact"/>
              <w:rPr>
                <w:sz w:val="20"/>
                <w:szCs w:val="20"/>
                <w:color w:val="auto"/>
              </w:rPr>
            </w:pPr>
            <w:r>
              <w:rPr>
                <w:rFonts w:ascii="Arial" w:cs="Arial" w:eastAsia="Arial" w:hAnsi="Arial"/>
                <w:sz w:val="13"/>
                <w:szCs w:val="13"/>
                <w:color w:val="auto"/>
              </w:rPr>
              <w:t>—</w:t>
            </w:r>
          </w:p>
        </w:tc>
        <w:tc>
          <w:tcPr>
            <w:tcW w:w="160" w:type="dxa"/>
            <w:vAlign w:val="bottom"/>
          </w:tcPr>
          <w:p>
            <w:pPr>
              <w:spacing w:after="0"/>
              <w:rPr>
                <w:sz w:val="11"/>
                <w:szCs w:val="11"/>
                <w:color w:val="auto"/>
              </w:rPr>
            </w:pPr>
          </w:p>
        </w:tc>
        <w:tc>
          <w:tcPr>
            <w:tcW w:w="660" w:type="dxa"/>
            <w:vAlign w:val="bottom"/>
          </w:tcPr>
          <w:p>
            <w:pPr>
              <w:jc w:val="right"/>
              <w:spacing w:after="0" w:line="135" w:lineRule="exact"/>
              <w:rPr>
                <w:sz w:val="20"/>
                <w:szCs w:val="20"/>
                <w:color w:val="auto"/>
              </w:rPr>
            </w:pPr>
            <w:r>
              <w:rPr>
                <w:rFonts w:ascii="Arial" w:cs="Arial" w:eastAsia="Arial" w:hAnsi="Arial"/>
                <w:sz w:val="13"/>
                <w:szCs w:val="13"/>
                <w:color w:val="auto"/>
              </w:rPr>
              <w:t>—</w:t>
            </w:r>
          </w:p>
        </w:tc>
        <w:tc>
          <w:tcPr>
            <w:tcW w:w="140" w:type="dxa"/>
            <w:vAlign w:val="bottom"/>
          </w:tcPr>
          <w:p>
            <w:pPr>
              <w:spacing w:after="0"/>
              <w:rPr>
                <w:sz w:val="11"/>
                <w:szCs w:val="11"/>
                <w:color w:val="auto"/>
              </w:rPr>
            </w:pPr>
          </w:p>
        </w:tc>
        <w:tc>
          <w:tcPr>
            <w:tcW w:w="760" w:type="dxa"/>
            <w:vAlign w:val="bottom"/>
            <w:gridSpan w:val="2"/>
          </w:tcPr>
          <w:p>
            <w:pPr>
              <w:ind w:left="500"/>
              <w:spacing w:after="0" w:line="135" w:lineRule="exact"/>
              <w:rPr>
                <w:sz w:val="20"/>
                <w:szCs w:val="20"/>
                <w:color w:val="auto"/>
              </w:rPr>
            </w:pPr>
            <w:r>
              <w:rPr>
                <w:rFonts w:ascii="Arial" w:cs="Arial" w:eastAsia="Arial" w:hAnsi="Arial"/>
                <w:sz w:val="13"/>
                <w:szCs w:val="13"/>
                <w:color w:val="auto"/>
              </w:rPr>
              <w:t>—</w:t>
            </w:r>
          </w:p>
        </w:tc>
      </w:tr>
      <w:tr>
        <w:trPr>
          <w:trHeight w:val="121"/>
        </w:trPr>
        <w:tc>
          <w:tcPr>
            <w:tcW w:w="20" w:type="dxa"/>
            <w:vAlign w:val="bottom"/>
          </w:tcPr>
          <w:p>
            <w:pPr>
              <w:spacing w:after="0"/>
              <w:rPr>
                <w:sz w:val="10"/>
                <w:szCs w:val="10"/>
                <w:color w:val="auto"/>
              </w:rPr>
            </w:pPr>
          </w:p>
        </w:tc>
        <w:tc>
          <w:tcPr>
            <w:tcW w:w="1420" w:type="dxa"/>
            <w:vAlign w:val="bottom"/>
            <w:shd w:val="clear" w:color="auto" w:fill="CCEEFF"/>
          </w:tcPr>
          <w:p>
            <w:pPr>
              <w:spacing w:after="0" w:line="121" w:lineRule="exact"/>
              <w:rPr>
                <w:sz w:val="20"/>
                <w:szCs w:val="20"/>
                <w:color w:val="auto"/>
              </w:rPr>
            </w:pPr>
            <w:r>
              <w:rPr>
                <w:rFonts w:ascii="Arial" w:cs="Arial" w:eastAsia="Arial" w:hAnsi="Arial"/>
                <w:sz w:val="13"/>
                <w:szCs w:val="13"/>
                <w:color w:val="auto"/>
              </w:rPr>
              <w:t>Erin Liberto</w:t>
            </w:r>
          </w:p>
        </w:tc>
        <w:tc>
          <w:tcPr>
            <w:tcW w:w="740" w:type="dxa"/>
            <w:vAlign w:val="bottom"/>
            <w:gridSpan w:val="2"/>
            <w:shd w:val="clear" w:color="auto" w:fill="CCEEFF"/>
          </w:tcPr>
          <w:p>
            <w:pPr>
              <w:jc w:val="right"/>
              <w:spacing w:after="0" w:line="121" w:lineRule="exact"/>
              <w:rPr>
                <w:sz w:val="20"/>
                <w:szCs w:val="20"/>
                <w:color w:val="auto"/>
              </w:rPr>
            </w:pPr>
            <w:r>
              <w:rPr>
                <w:rFonts w:ascii="Arial" w:cs="Arial" w:eastAsia="Arial" w:hAnsi="Arial"/>
                <w:sz w:val="13"/>
                <w:szCs w:val="13"/>
                <w:color w:val="auto"/>
              </w:rPr>
              <w:t>4,000,000</w:t>
            </w:r>
          </w:p>
        </w:tc>
        <w:tc>
          <w:tcPr>
            <w:tcW w:w="160" w:type="dxa"/>
            <w:vAlign w:val="bottom"/>
            <w:shd w:val="clear" w:color="auto" w:fill="CCEEFF"/>
          </w:tcPr>
          <w:p>
            <w:pPr>
              <w:spacing w:after="0"/>
              <w:rPr>
                <w:sz w:val="10"/>
                <w:szCs w:val="10"/>
                <w:color w:val="auto"/>
              </w:rPr>
            </w:pPr>
          </w:p>
        </w:tc>
        <w:tc>
          <w:tcPr>
            <w:tcW w:w="740" w:type="dxa"/>
            <w:vAlign w:val="bottom"/>
            <w:shd w:val="clear" w:color="auto" w:fill="CCEEFF"/>
          </w:tcPr>
          <w:p>
            <w:pPr>
              <w:ind w:left="280"/>
              <w:spacing w:after="0" w:line="121" w:lineRule="exact"/>
              <w:rPr>
                <w:sz w:val="20"/>
                <w:szCs w:val="20"/>
                <w:color w:val="auto"/>
              </w:rPr>
            </w:pPr>
            <w:r>
              <w:rPr>
                <w:rFonts w:ascii="Arial" w:cs="Arial" w:eastAsia="Arial" w:hAnsi="Arial"/>
                <w:sz w:val="13"/>
                <w:szCs w:val="13"/>
                <w:color w:val="auto"/>
              </w:rPr>
              <w:t>—</w:t>
            </w:r>
          </w:p>
        </w:tc>
        <w:tc>
          <w:tcPr>
            <w:tcW w:w="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40" w:type="dxa"/>
            <w:vAlign w:val="bottom"/>
            <w:shd w:val="clear" w:color="auto" w:fill="CCEEFF"/>
          </w:tcPr>
          <w:p>
            <w:pPr>
              <w:jc w:val="right"/>
              <w:spacing w:after="0" w:line="121" w:lineRule="exact"/>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0"/>
                <w:szCs w:val="10"/>
                <w:color w:val="auto"/>
              </w:rPr>
            </w:pPr>
          </w:p>
        </w:tc>
        <w:tc>
          <w:tcPr>
            <w:tcW w:w="580" w:type="dxa"/>
            <w:vAlign w:val="bottom"/>
            <w:shd w:val="clear" w:color="auto" w:fill="CCEEFF"/>
          </w:tcPr>
          <w:p>
            <w:pPr>
              <w:jc w:val="right"/>
              <w:ind w:right="17"/>
              <w:spacing w:after="0" w:line="121" w:lineRule="exact"/>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0"/>
                <w:szCs w:val="10"/>
                <w:color w:val="auto"/>
              </w:rPr>
            </w:pPr>
          </w:p>
        </w:tc>
        <w:tc>
          <w:tcPr>
            <w:tcW w:w="600" w:type="dxa"/>
            <w:vAlign w:val="bottom"/>
            <w:shd w:val="clear" w:color="auto" w:fill="CCEEFF"/>
          </w:tcPr>
          <w:p>
            <w:pPr>
              <w:ind w:left="400"/>
              <w:spacing w:after="0" w:line="121" w:lineRule="exact"/>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0"/>
                <w:szCs w:val="10"/>
                <w:color w:val="auto"/>
              </w:rPr>
            </w:pPr>
          </w:p>
        </w:tc>
        <w:tc>
          <w:tcPr>
            <w:tcW w:w="500" w:type="dxa"/>
            <w:vAlign w:val="bottom"/>
            <w:shd w:val="clear" w:color="auto" w:fill="CCEEFF"/>
          </w:tcPr>
          <w:p>
            <w:pPr>
              <w:jc w:val="right"/>
              <w:ind w:right="17"/>
              <w:spacing w:after="0" w:line="121" w:lineRule="exact"/>
              <w:rPr>
                <w:sz w:val="20"/>
                <w:szCs w:val="20"/>
                <w:color w:val="auto"/>
              </w:rPr>
            </w:pPr>
            <w:r>
              <w:rPr>
                <w:rFonts w:ascii="Arial" w:cs="Arial" w:eastAsia="Arial" w:hAnsi="Arial"/>
                <w:sz w:val="13"/>
                <w:szCs w:val="13"/>
                <w:color w:val="auto"/>
              </w:rPr>
              <w:t>—</w:t>
            </w:r>
          </w:p>
        </w:tc>
        <w:tc>
          <w:tcPr>
            <w:tcW w:w="780" w:type="dxa"/>
            <w:vAlign w:val="bottom"/>
            <w:gridSpan w:val="2"/>
            <w:shd w:val="clear" w:color="auto" w:fill="CCEEFF"/>
          </w:tcPr>
          <w:p>
            <w:pPr>
              <w:jc w:val="right"/>
              <w:spacing w:after="0" w:line="121" w:lineRule="exact"/>
              <w:rPr>
                <w:sz w:val="20"/>
                <w:szCs w:val="20"/>
                <w:color w:val="auto"/>
              </w:rPr>
            </w:pPr>
            <w:r>
              <w:rPr>
                <w:rFonts w:ascii="Arial" w:cs="Arial" w:eastAsia="Arial" w:hAnsi="Arial"/>
                <w:sz w:val="13"/>
                <w:szCs w:val="13"/>
                <w:color w:val="auto"/>
              </w:rPr>
              <w:t>4,000,000</w:t>
            </w:r>
          </w:p>
        </w:tc>
        <w:tc>
          <w:tcPr>
            <w:tcW w:w="820" w:type="dxa"/>
            <w:vAlign w:val="bottom"/>
            <w:gridSpan w:val="2"/>
            <w:shd w:val="clear" w:color="auto" w:fill="CCEEFF"/>
          </w:tcPr>
          <w:p>
            <w:pPr>
              <w:jc w:val="right"/>
              <w:spacing w:after="0" w:line="121" w:lineRule="exact"/>
              <w:rPr>
                <w:sz w:val="20"/>
                <w:szCs w:val="20"/>
                <w:color w:val="auto"/>
              </w:rPr>
            </w:pPr>
            <w:r>
              <w:rPr>
                <w:rFonts w:ascii="Arial" w:cs="Arial" w:eastAsia="Arial" w:hAnsi="Arial"/>
                <w:sz w:val="13"/>
                <w:szCs w:val="13"/>
                <w:color w:val="auto"/>
              </w:rPr>
              <w:t>2,300,000</w:t>
            </w:r>
          </w:p>
        </w:tc>
        <w:tc>
          <w:tcPr>
            <w:tcW w:w="140" w:type="dxa"/>
            <w:vAlign w:val="bottom"/>
            <w:shd w:val="clear" w:color="auto" w:fill="CCEEFF"/>
          </w:tcPr>
          <w:p>
            <w:pPr>
              <w:spacing w:after="0"/>
              <w:rPr>
                <w:sz w:val="10"/>
                <w:szCs w:val="10"/>
                <w:color w:val="auto"/>
              </w:rPr>
            </w:pPr>
          </w:p>
        </w:tc>
        <w:tc>
          <w:tcPr>
            <w:tcW w:w="820" w:type="dxa"/>
            <w:vAlign w:val="bottom"/>
            <w:shd w:val="clear" w:color="auto" w:fill="CCEEFF"/>
          </w:tcPr>
          <w:p>
            <w:pPr>
              <w:ind w:left="620"/>
              <w:spacing w:after="0" w:line="121" w:lineRule="exact"/>
              <w:rPr>
                <w:sz w:val="20"/>
                <w:szCs w:val="20"/>
                <w:color w:val="auto"/>
              </w:rPr>
            </w:pPr>
            <w:r>
              <w:rPr>
                <w:rFonts w:ascii="Arial" w:cs="Arial" w:eastAsia="Arial" w:hAnsi="Arial"/>
                <w:sz w:val="13"/>
                <w:szCs w:val="13"/>
                <w:color w:val="auto"/>
              </w:rPr>
              <w:t>—</w:t>
            </w:r>
          </w:p>
        </w:tc>
        <w:tc>
          <w:tcPr>
            <w:tcW w:w="800" w:type="dxa"/>
            <w:vAlign w:val="bottom"/>
            <w:gridSpan w:val="2"/>
            <w:shd w:val="clear" w:color="auto" w:fill="CCEEFF"/>
          </w:tcPr>
          <w:p>
            <w:pPr>
              <w:jc w:val="right"/>
              <w:spacing w:after="0" w:line="121" w:lineRule="exact"/>
              <w:rPr>
                <w:sz w:val="20"/>
                <w:szCs w:val="20"/>
                <w:color w:val="auto"/>
              </w:rPr>
            </w:pPr>
            <w:r>
              <w:rPr>
                <w:rFonts w:ascii="Arial" w:cs="Arial" w:eastAsia="Arial" w:hAnsi="Arial"/>
                <w:sz w:val="13"/>
                <w:szCs w:val="13"/>
                <w:color w:val="auto"/>
              </w:rPr>
              <w:t>2,300,000</w:t>
            </w:r>
          </w:p>
        </w:tc>
        <w:tc>
          <w:tcPr>
            <w:tcW w:w="820" w:type="dxa"/>
            <w:vAlign w:val="bottom"/>
            <w:gridSpan w:val="2"/>
            <w:shd w:val="clear" w:color="auto" w:fill="CCEEFF"/>
          </w:tcPr>
          <w:p>
            <w:pPr>
              <w:jc w:val="right"/>
              <w:spacing w:after="0" w:line="121" w:lineRule="exact"/>
              <w:rPr>
                <w:sz w:val="20"/>
                <w:szCs w:val="20"/>
                <w:color w:val="auto"/>
              </w:rPr>
            </w:pPr>
            <w:r>
              <w:rPr>
                <w:rFonts w:ascii="Arial" w:cs="Arial" w:eastAsia="Arial" w:hAnsi="Arial"/>
                <w:sz w:val="13"/>
                <w:szCs w:val="13"/>
                <w:color w:val="auto"/>
              </w:rPr>
              <w:t>1,700,000</w:t>
            </w:r>
          </w:p>
        </w:tc>
        <w:tc>
          <w:tcPr>
            <w:tcW w:w="140" w:type="dxa"/>
            <w:vAlign w:val="bottom"/>
            <w:shd w:val="clear" w:color="auto" w:fill="CCEEFF"/>
          </w:tcPr>
          <w:p>
            <w:pPr>
              <w:spacing w:after="0"/>
              <w:rPr>
                <w:sz w:val="10"/>
                <w:szCs w:val="10"/>
                <w:color w:val="auto"/>
              </w:rPr>
            </w:pPr>
          </w:p>
        </w:tc>
        <w:tc>
          <w:tcPr>
            <w:tcW w:w="70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r>
      <w:tr>
        <w:trPr>
          <w:trHeight w:val="135"/>
        </w:trPr>
        <w:tc>
          <w:tcPr>
            <w:tcW w:w="20" w:type="dxa"/>
            <w:vAlign w:val="bottom"/>
          </w:tcPr>
          <w:p>
            <w:pPr>
              <w:spacing w:after="0"/>
              <w:rPr>
                <w:sz w:val="11"/>
                <w:szCs w:val="11"/>
                <w:color w:val="auto"/>
              </w:rPr>
            </w:pPr>
          </w:p>
        </w:tc>
        <w:tc>
          <w:tcPr>
            <w:tcW w:w="14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740" w:type="dxa"/>
            <w:vAlign w:val="bottom"/>
            <w:shd w:val="clear" w:color="auto" w:fill="CCEEFF"/>
          </w:tcPr>
          <w:p>
            <w:pPr>
              <w:jc w:val="center"/>
              <w:spacing w:after="0" w:line="135" w:lineRule="exact"/>
              <w:rPr>
                <w:sz w:val="20"/>
                <w:szCs w:val="20"/>
                <w:color w:val="auto"/>
              </w:rPr>
            </w:pPr>
            <w:r>
              <w:rPr>
                <w:rFonts w:ascii="Arial" w:cs="Arial" w:eastAsia="Arial" w:hAnsi="Arial"/>
                <w:sz w:val="13"/>
                <w:szCs w:val="13"/>
                <w:color w:val="auto"/>
                <w:w w:val="88"/>
              </w:rPr>
              <w:t>November 1,</w:t>
            </w:r>
          </w:p>
        </w:tc>
        <w:tc>
          <w:tcPr>
            <w:tcW w:w="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r>
      <w:tr>
        <w:trPr>
          <w:trHeight w:val="135"/>
        </w:trPr>
        <w:tc>
          <w:tcPr>
            <w:tcW w:w="20" w:type="dxa"/>
            <w:vAlign w:val="bottom"/>
          </w:tcPr>
          <w:p>
            <w:pPr>
              <w:spacing w:after="0"/>
              <w:rPr>
                <w:sz w:val="11"/>
                <w:szCs w:val="11"/>
                <w:color w:val="auto"/>
              </w:rPr>
            </w:pPr>
          </w:p>
        </w:tc>
        <w:tc>
          <w:tcPr>
            <w:tcW w:w="14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900" w:type="dxa"/>
            <w:vAlign w:val="bottom"/>
            <w:gridSpan w:val="2"/>
            <w:shd w:val="clear" w:color="auto" w:fill="CCEEFF"/>
          </w:tcPr>
          <w:p>
            <w:pPr>
              <w:jc w:val="center"/>
              <w:ind w:left="97"/>
              <w:spacing w:after="0" w:line="135" w:lineRule="exact"/>
              <w:rPr>
                <w:sz w:val="20"/>
                <w:szCs w:val="20"/>
                <w:color w:val="auto"/>
              </w:rPr>
            </w:pPr>
            <w:r>
              <w:rPr>
                <w:rFonts w:ascii="Arial" w:cs="Arial" w:eastAsia="Arial" w:hAnsi="Arial"/>
                <w:sz w:val="13"/>
                <w:szCs w:val="13"/>
                <w:color w:val="auto"/>
                <w:w w:val="89"/>
              </w:rPr>
              <w:t>2018</w:t>
            </w:r>
          </w:p>
        </w:tc>
        <w:tc>
          <w:tcPr>
            <w:tcW w:w="780" w:type="dxa"/>
            <w:vAlign w:val="bottom"/>
            <w:gridSpan w:val="3"/>
            <w:shd w:val="clear" w:color="auto" w:fill="CCEEFF"/>
          </w:tcPr>
          <w:p>
            <w:pPr>
              <w:jc w:val="right"/>
              <w:spacing w:after="0" w:line="135" w:lineRule="exact"/>
              <w:rPr>
                <w:sz w:val="20"/>
                <w:szCs w:val="20"/>
                <w:color w:val="auto"/>
              </w:rPr>
            </w:pPr>
            <w:r>
              <w:rPr>
                <w:rFonts w:ascii="Arial" w:cs="Arial" w:eastAsia="Arial" w:hAnsi="Arial"/>
                <w:sz w:val="13"/>
                <w:szCs w:val="13"/>
                <w:color w:val="auto"/>
              </w:rPr>
              <w:t>2,110,000</w:t>
            </w:r>
          </w:p>
        </w:tc>
        <w:tc>
          <w:tcPr>
            <w:tcW w:w="720" w:type="dxa"/>
            <w:vAlign w:val="bottom"/>
            <w:gridSpan w:val="2"/>
            <w:shd w:val="clear" w:color="auto" w:fill="CCEEFF"/>
          </w:tcPr>
          <w:p>
            <w:pPr>
              <w:jc w:val="right"/>
              <w:spacing w:after="0" w:line="135" w:lineRule="exact"/>
              <w:rPr>
                <w:sz w:val="20"/>
                <w:szCs w:val="20"/>
                <w:color w:val="auto"/>
              </w:rPr>
            </w:pPr>
            <w:r>
              <w:rPr>
                <w:rFonts w:ascii="Arial" w:cs="Arial" w:eastAsia="Arial" w:hAnsi="Arial"/>
                <w:sz w:val="13"/>
                <w:szCs w:val="13"/>
                <w:color w:val="auto"/>
              </w:rPr>
              <w:t>138,574</w:t>
            </w:r>
          </w:p>
        </w:tc>
        <w:tc>
          <w:tcPr>
            <w:tcW w:w="140" w:type="dxa"/>
            <w:vAlign w:val="bottom"/>
            <w:shd w:val="clear" w:color="auto" w:fill="CCEEFF"/>
          </w:tcPr>
          <w:p>
            <w:pPr>
              <w:spacing w:after="0"/>
              <w:rPr>
                <w:sz w:val="11"/>
                <w:szCs w:val="11"/>
                <w:color w:val="auto"/>
              </w:rPr>
            </w:pPr>
          </w:p>
        </w:tc>
        <w:tc>
          <w:tcPr>
            <w:tcW w:w="600" w:type="dxa"/>
            <w:vAlign w:val="bottom"/>
            <w:shd w:val="clear" w:color="auto" w:fill="CCEEFF"/>
          </w:tcPr>
          <w:p>
            <w:pPr>
              <w:ind w:left="400"/>
              <w:spacing w:after="0" w:line="135" w:lineRule="exact"/>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1"/>
                <w:szCs w:val="11"/>
                <w:color w:val="auto"/>
              </w:rPr>
            </w:pPr>
          </w:p>
        </w:tc>
        <w:tc>
          <w:tcPr>
            <w:tcW w:w="500" w:type="dxa"/>
            <w:vAlign w:val="bottom"/>
            <w:shd w:val="clear" w:color="auto" w:fill="CCEEFF"/>
          </w:tcPr>
          <w:p>
            <w:pPr>
              <w:jc w:val="right"/>
              <w:ind w:right="17"/>
              <w:spacing w:after="0" w:line="135" w:lineRule="exact"/>
              <w:rPr>
                <w:sz w:val="20"/>
                <w:szCs w:val="20"/>
                <w:color w:val="auto"/>
              </w:rPr>
            </w:pPr>
            <w:r>
              <w:rPr>
                <w:rFonts w:ascii="Arial" w:cs="Arial" w:eastAsia="Arial" w:hAnsi="Arial"/>
                <w:sz w:val="13"/>
                <w:szCs w:val="13"/>
                <w:color w:val="auto"/>
              </w:rPr>
              <w:t>—</w:t>
            </w:r>
          </w:p>
        </w:tc>
        <w:tc>
          <w:tcPr>
            <w:tcW w:w="780" w:type="dxa"/>
            <w:vAlign w:val="bottom"/>
            <w:gridSpan w:val="2"/>
            <w:shd w:val="clear" w:color="auto" w:fill="CCEEFF"/>
          </w:tcPr>
          <w:p>
            <w:pPr>
              <w:jc w:val="right"/>
              <w:spacing w:after="0" w:line="135" w:lineRule="exact"/>
              <w:rPr>
                <w:sz w:val="20"/>
                <w:szCs w:val="20"/>
                <w:color w:val="auto"/>
              </w:rPr>
            </w:pPr>
            <w:r>
              <w:rPr>
                <w:rFonts w:ascii="Arial" w:cs="Arial" w:eastAsia="Arial" w:hAnsi="Arial"/>
                <w:sz w:val="13"/>
                <w:szCs w:val="13"/>
                <w:color w:val="auto"/>
              </w:rPr>
              <w:t>2,110,000</w:t>
            </w:r>
          </w:p>
        </w:tc>
        <w:tc>
          <w:tcPr>
            <w:tcW w:w="160" w:type="dxa"/>
            <w:vAlign w:val="bottom"/>
            <w:shd w:val="clear" w:color="auto" w:fill="CCEEFF"/>
          </w:tcPr>
          <w:p>
            <w:pPr>
              <w:spacing w:after="0"/>
              <w:rPr>
                <w:sz w:val="11"/>
                <w:szCs w:val="11"/>
                <w:color w:val="auto"/>
              </w:rPr>
            </w:pPr>
          </w:p>
        </w:tc>
        <w:tc>
          <w:tcPr>
            <w:tcW w:w="66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1"/>
                <w:szCs w:val="11"/>
                <w:color w:val="auto"/>
              </w:rPr>
            </w:pPr>
          </w:p>
        </w:tc>
        <w:tc>
          <w:tcPr>
            <w:tcW w:w="820" w:type="dxa"/>
            <w:vAlign w:val="bottom"/>
            <w:shd w:val="clear" w:color="auto" w:fill="CCEEFF"/>
          </w:tcPr>
          <w:p>
            <w:pPr>
              <w:ind w:left="620"/>
              <w:spacing w:after="0" w:line="135" w:lineRule="exact"/>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1"/>
                <w:szCs w:val="11"/>
                <w:color w:val="auto"/>
              </w:rPr>
            </w:pPr>
          </w:p>
        </w:tc>
        <w:tc>
          <w:tcPr>
            <w:tcW w:w="66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w:t>
            </w:r>
          </w:p>
        </w:tc>
        <w:tc>
          <w:tcPr>
            <w:tcW w:w="820" w:type="dxa"/>
            <w:vAlign w:val="bottom"/>
            <w:gridSpan w:val="2"/>
            <w:shd w:val="clear" w:color="auto" w:fill="CCEEFF"/>
          </w:tcPr>
          <w:p>
            <w:pPr>
              <w:jc w:val="right"/>
              <w:spacing w:after="0" w:line="135" w:lineRule="exact"/>
              <w:rPr>
                <w:sz w:val="20"/>
                <w:szCs w:val="20"/>
                <w:color w:val="auto"/>
              </w:rPr>
            </w:pPr>
            <w:r>
              <w:rPr>
                <w:rFonts w:ascii="Arial" w:cs="Arial" w:eastAsia="Arial" w:hAnsi="Arial"/>
                <w:sz w:val="13"/>
                <w:szCs w:val="13"/>
                <w:color w:val="auto"/>
              </w:rPr>
              <w:t>2,110,000</w:t>
            </w:r>
          </w:p>
        </w:tc>
        <w:tc>
          <w:tcPr>
            <w:tcW w:w="14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r>
      <w:tr>
        <w:trPr>
          <w:trHeight w:val="135"/>
        </w:trPr>
        <w:tc>
          <w:tcPr>
            <w:tcW w:w="20" w:type="dxa"/>
            <w:vAlign w:val="bottom"/>
          </w:tcPr>
          <w:p>
            <w:pPr>
              <w:spacing w:after="0"/>
              <w:rPr>
                <w:sz w:val="11"/>
                <w:szCs w:val="11"/>
                <w:color w:val="auto"/>
              </w:rPr>
            </w:pPr>
          </w:p>
        </w:tc>
        <w:tc>
          <w:tcPr>
            <w:tcW w:w="14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740" w:type="dxa"/>
            <w:vAlign w:val="bottom"/>
            <w:shd w:val="clear" w:color="auto" w:fill="CCEEFF"/>
          </w:tcPr>
          <w:p>
            <w:pPr>
              <w:jc w:val="center"/>
              <w:spacing w:after="0" w:line="135" w:lineRule="exact"/>
              <w:rPr>
                <w:sz w:val="20"/>
                <w:szCs w:val="20"/>
                <w:color w:val="auto"/>
              </w:rPr>
            </w:pPr>
            <w:r>
              <w:rPr>
                <w:rFonts w:ascii="Arial" w:cs="Arial" w:eastAsia="Arial" w:hAnsi="Arial"/>
                <w:sz w:val="13"/>
                <w:szCs w:val="13"/>
                <w:color w:val="auto"/>
                <w:w w:val="88"/>
              </w:rPr>
              <w:t>November 30,</w:t>
            </w:r>
          </w:p>
        </w:tc>
        <w:tc>
          <w:tcPr>
            <w:tcW w:w="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r>
      <w:tr>
        <w:trPr>
          <w:trHeight w:val="149"/>
        </w:trPr>
        <w:tc>
          <w:tcPr>
            <w:tcW w:w="20" w:type="dxa"/>
            <w:vAlign w:val="bottom"/>
          </w:tcPr>
          <w:p>
            <w:pPr>
              <w:spacing w:after="0"/>
              <w:rPr>
                <w:sz w:val="12"/>
                <w:szCs w:val="12"/>
                <w:color w:val="auto"/>
              </w:rPr>
            </w:pPr>
          </w:p>
        </w:tc>
        <w:tc>
          <w:tcPr>
            <w:tcW w:w="14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center"/>
              <w:ind w:left="97"/>
              <w:spacing w:after="0"/>
              <w:rPr>
                <w:sz w:val="20"/>
                <w:szCs w:val="20"/>
                <w:color w:val="auto"/>
              </w:rPr>
            </w:pPr>
            <w:r>
              <w:rPr>
                <w:rFonts w:ascii="Arial" w:cs="Arial" w:eastAsia="Arial" w:hAnsi="Arial"/>
                <w:sz w:val="13"/>
                <w:szCs w:val="13"/>
                <w:color w:val="auto"/>
                <w:w w:val="89"/>
              </w:rPr>
              <w:t>2018</w:t>
            </w:r>
          </w:p>
        </w:tc>
        <w:tc>
          <w:tcPr>
            <w:tcW w:w="780" w:type="dxa"/>
            <w:vAlign w:val="bottom"/>
            <w:gridSpan w:val="3"/>
            <w:shd w:val="clear" w:color="auto" w:fill="CCEEFF"/>
          </w:tcPr>
          <w:p>
            <w:pPr>
              <w:jc w:val="right"/>
              <w:spacing w:after="0"/>
              <w:rPr>
                <w:sz w:val="20"/>
                <w:szCs w:val="20"/>
                <w:color w:val="auto"/>
              </w:rPr>
            </w:pPr>
            <w:r>
              <w:rPr>
                <w:rFonts w:ascii="Arial" w:cs="Arial" w:eastAsia="Arial" w:hAnsi="Arial"/>
                <w:sz w:val="13"/>
                <w:szCs w:val="13"/>
                <w:color w:val="auto"/>
              </w:rPr>
              <w:t>5,970,000</w:t>
            </w: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343,574</w:t>
            </w:r>
          </w:p>
        </w:tc>
        <w:tc>
          <w:tcPr>
            <w:tcW w:w="140" w:type="dxa"/>
            <w:vAlign w:val="bottom"/>
            <w:shd w:val="clear" w:color="auto" w:fill="CCEEFF"/>
          </w:tcPr>
          <w:p>
            <w:pPr>
              <w:spacing w:after="0"/>
              <w:rPr>
                <w:sz w:val="12"/>
                <w:szCs w:val="12"/>
                <w:color w:val="auto"/>
              </w:rPr>
            </w:pPr>
          </w:p>
        </w:tc>
        <w:tc>
          <w:tcPr>
            <w:tcW w:w="600" w:type="dxa"/>
            <w:vAlign w:val="bottom"/>
            <w:shd w:val="clear" w:color="auto" w:fill="CCEEFF"/>
          </w:tcPr>
          <w:p>
            <w:pPr>
              <w:ind w:left="400"/>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2"/>
                <w:szCs w:val="12"/>
                <w:color w:val="auto"/>
              </w:rPr>
            </w:pPr>
          </w:p>
        </w:tc>
        <w:tc>
          <w:tcPr>
            <w:tcW w:w="50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rPr>
              <w:t>—</w:t>
            </w: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5,970,000</w:t>
            </w:r>
          </w:p>
        </w:tc>
        <w:tc>
          <w:tcPr>
            <w:tcW w:w="16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2"/>
                <w:szCs w:val="12"/>
                <w:color w:val="auto"/>
              </w:rPr>
            </w:pPr>
          </w:p>
        </w:tc>
        <w:tc>
          <w:tcPr>
            <w:tcW w:w="820" w:type="dxa"/>
            <w:vAlign w:val="bottom"/>
            <w:shd w:val="clear" w:color="auto" w:fill="CCEEFF"/>
          </w:tcPr>
          <w:p>
            <w:pPr>
              <w:ind w:left="620"/>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5,970,000</w:t>
            </w: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9,780,000</w:t>
            </w:r>
          </w:p>
        </w:tc>
        <w:tc>
          <w:tcPr>
            <w:tcW w:w="60" w:type="dxa"/>
            <w:vAlign w:val="bottom"/>
            <w:shd w:val="clear" w:color="auto" w:fill="CCEEFF"/>
          </w:tcPr>
          <w:p>
            <w:pPr>
              <w:spacing w:after="0"/>
              <w:rPr>
                <w:sz w:val="12"/>
                <w:szCs w:val="12"/>
                <w:color w:val="auto"/>
              </w:rPr>
            </w:pPr>
          </w:p>
        </w:tc>
      </w:tr>
      <w:tr>
        <w:trPr>
          <w:trHeight w:val="135"/>
        </w:trPr>
        <w:tc>
          <w:tcPr>
            <w:tcW w:w="20" w:type="dxa"/>
            <w:vAlign w:val="bottom"/>
          </w:tcPr>
          <w:p>
            <w:pPr>
              <w:spacing w:after="0"/>
              <w:rPr>
                <w:sz w:val="11"/>
                <w:szCs w:val="11"/>
                <w:color w:val="auto"/>
              </w:rPr>
            </w:pPr>
          </w:p>
        </w:tc>
        <w:tc>
          <w:tcPr>
            <w:tcW w:w="1420" w:type="dxa"/>
            <w:vAlign w:val="bottom"/>
          </w:tcPr>
          <w:p>
            <w:pPr>
              <w:spacing w:after="0" w:line="135" w:lineRule="exact"/>
              <w:rPr>
                <w:sz w:val="20"/>
                <w:szCs w:val="20"/>
                <w:color w:val="auto"/>
              </w:rPr>
            </w:pPr>
            <w:r>
              <w:rPr>
                <w:rFonts w:ascii="Arial" w:cs="Arial" w:eastAsia="Arial" w:hAnsi="Arial"/>
                <w:sz w:val="13"/>
                <w:szCs w:val="13"/>
                <w:color w:val="auto"/>
              </w:rPr>
              <w:t>Dale Sander(1)</w:t>
            </w:r>
          </w:p>
        </w:tc>
        <w:tc>
          <w:tcPr>
            <w:tcW w:w="120" w:type="dxa"/>
            <w:vAlign w:val="bottom"/>
          </w:tcPr>
          <w:p>
            <w:pPr>
              <w:spacing w:after="0"/>
              <w:rPr>
                <w:sz w:val="11"/>
                <w:szCs w:val="11"/>
                <w:color w:val="auto"/>
              </w:rPr>
            </w:pPr>
          </w:p>
        </w:tc>
        <w:tc>
          <w:tcPr>
            <w:tcW w:w="620" w:type="dxa"/>
            <w:vAlign w:val="bottom"/>
          </w:tcPr>
          <w:p>
            <w:pPr>
              <w:jc w:val="right"/>
              <w:spacing w:after="0" w:line="135" w:lineRule="exact"/>
              <w:rPr>
                <w:sz w:val="20"/>
                <w:szCs w:val="20"/>
                <w:color w:val="auto"/>
              </w:rPr>
            </w:pPr>
            <w:r>
              <w:rPr>
                <w:rFonts w:ascii="Arial" w:cs="Arial" w:eastAsia="Arial" w:hAnsi="Arial"/>
                <w:sz w:val="13"/>
                <w:szCs w:val="13"/>
                <w:color w:val="auto"/>
              </w:rPr>
              <w:t>4,000,000</w:t>
            </w:r>
          </w:p>
        </w:tc>
        <w:tc>
          <w:tcPr>
            <w:tcW w:w="160" w:type="dxa"/>
            <w:vAlign w:val="bottom"/>
          </w:tcPr>
          <w:p>
            <w:pPr>
              <w:spacing w:after="0"/>
              <w:rPr>
                <w:sz w:val="11"/>
                <w:szCs w:val="11"/>
                <w:color w:val="auto"/>
              </w:rPr>
            </w:pPr>
          </w:p>
        </w:tc>
        <w:tc>
          <w:tcPr>
            <w:tcW w:w="740" w:type="dxa"/>
            <w:vAlign w:val="bottom"/>
          </w:tcPr>
          <w:p>
            <w:pPr>
              <w:ind w:left="280"/>
              <w:spacing w:after="0" w:line="135" w:lineRule="exact"/>
              <w:rPr>
                <w:sz w:val="20"/>
                <w:szCs w:val="20"/>
                <w:color w:val="auto"/>
              </w:rPr>
            </w:pPr>
            <w:r>
              <w:rPr>
                <w:rFonts w:ascii="Arial" w:cs="Arial" w:eastAsia="Arial" w:hAnsi="Arial"/>
                <w:sz w:val="13"/>
                <w:szCs w:val="13"/>
                <w:color w:val="auto"/>
              </w:rPr>
              <w:t>—</w:t>
            </w: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jc w:val="right"/>
              <w:spacing w:after="0" w:line="135" w:lineRule="exact"/>
              <w:rPr>
                <w:sz w:val="20"/>
                <w:szCs w:val="20"/>
                <w:color w:val="auto"/>
              </w:rPr>
            </w:pPr>
            <w:r>
              <w:rPr>
                <w:rFonts w:ascii="Arial" w:cs="Arial" w:eastAsia="Arial" w:hAnsi="Arial"/>
                <w:sz w:val="13"/>
                <w:szCs w:val="13"/>
                <w:color w:val="auto"/>
              </w:rPr>
              <w:t>—</w:t>
            </w:r>
          </w:p>
        </w:tc>
        <w:tc>
          <w:tcPr>
            <w:tcW w:w="140" w:type="dxa"/>
            <w:vAlign w:val="bottom"/>
          </w:tcPr>
          <w:p>
            <w:pPr>
              <w:spacing w:after="0"/>
              <w:rPr>
                <w:sz w:val="11"/>
                <w:szCs w:val="11"/>
                <w:color w:val="auto"/>
              </w:rPr>
            </w:pPr>
          </w:p>
        </w:tc>
        <w:tc>
          <w:tcPr>
            <w:tcW w:w="580" w:type="dxa"/>
            <w:vAlign w:val="bottom"/>
          </w:tcPr>
          <w:p>
            <w:pPr>
              <w:jc w:val="right"/>
              <w:ind w:right="17"/>
              <w:spacing w:after="0" w:line="135" w:lineRule="exact"/>
              <w:rPr>
                <w:sz w:val="20"/>
                <w:szCs w:val="20"/>
                <w:color w:val="auto"/>
              </w:rPr>
            </w:pPr>
            <w:r>
              <w:rPr>
                <w:rFonts w:ascii="Arial" w:cs="Arial" w:eastAsia="Arial" w:hAnsi="Arial"/>
                <w:sz w:val="13"/>
                <w:szCs w:val="13"/>
                <w:color w:val="auto"/>
              </w:rPr>
              <w:t>—</w:t>
            </w:r>
          </w:p>
        </w:tc>
        <w:tc>
          <w:tcPr>
            <w:tcW w:w="740" w:type="dxa"/>
            <w:vAlign w:val="bottom"/>
            <w:gridSpan w:val="2"/>
          </w:tcPr>
          <w:p>
            <w:pPr>
              <w:jc w:val="right"/>
              <w:spacing w:after="0" w:line="135" w:lineRule="exact"/>
              <w:rPr>
                <w:sz w:val="20"/>
                <w:szCs w:val="20"/>
                <w:color w:val="auto"/>
              </w:rPr>
            </w:pPr>
            <w:r>
              <w:rPr>
                <w:rFonts w:ascii="Arial" w:cs="Arial" w:eastAsia="Arial" w:hAnsi="Arial"/>
                <w:sz w:val="13"/>
                <w:szCs w:val="13"/>
                <w:color w:val="auto"/>
              </w:rPr>
              <w:t>4,000,000</w:t>
            </w:r>
          </w:p>
        </w:tc>
        <w:tc>
          <w:tcPr>
            <w:tcW w:w="640" w:type="dxa"/>
            <w:vAlign w:val="bottom"/>
            <w:gridSpan w:val="2"/>
          </w:tcPr>
          <w:p>
            <w:pPr>
              <w:jc w:val="right"/>
              <w:spacing w:after="0" w:line="135" w:lineRule="exact"/>
              <w:rPr>
                <w:sz w:val="20"/>
                <w:szCs w:val="20"/>
                <w:color w:val="auto"/>
              </w:rPr>
            </w:pPr>
            <w:r>
              <w:rPr>
                <w:rFonts w:ascii="Arial" w:cs="Arial" w:eastAsia="Arial" w:hAnsi="Arial"/>
                <w:sz w:val="13"/>
                <w:szCs w:val="13"/>
                <w:color w:val="auto"/>
              </w:rPr>
              <w:t>199,200</w:t>
            </w:r>
          </w:p>
        </w:tc>
        <w:tc>
          <w:tcPr>
            <w:tcW w:w="140" w:type="dxa"/>
            <w:vAlign w:val="bottom"/>
          </w:tcPr>
          <w:p>
            <w:pPr>
              <w:spacing w:after="0"/>
              <w:rPr>
                <w:sz w:val="11"/>
                <w:szCs w:val="11"/>
                <w:color w:val="auto"/>
              </w:rPr>
            </w:pPr>
          </w:p>
        </w:tc>
        <w:tc>
          <w:tcPr>
            <w:tcW w:w="640" w:type="dxa"/>
            <w:vAlign w:val="bottom"/>
          </w:tcPr>
          <w:p>
            <w:pPr>
              <w:jc w:val="right"/>
              <w:spacing w:after="0" w:line="135" w:lineRule="exact"/>
              <w:rPr>
                <w:sz w:val="20"/>
                <w:szCs w:val="20"/>
                <w:color w:val="auto"/>
              </w:rPr>
            </w:pPr>
            <w:r>
              <w:rPr>
                <w:rFonts w:ascii="Arial" w:cs="Arial" w:eastAsia="Arial" w:hAnsi="Arial"/>
                <w:sz w:val="13"/>
                <w:szCs w:val="13"/>
                <w:color w:val="auto"/>
              </w:rPr>
              <w:t>—</w:t>
            </w:r>
          </w:p>
        </w:tc>
        <w:tc>
          <w:tcPr>
            <w:tcW w:w="160" w:type="dxa"/>
            <w:vAlign w:val="bottom"/>
          </w:tcPr>
          <w:p>
            <w:pPr>
              <w:spacing w:after="0"/>
              <w:rPr>
                <w:sz w:val="11"/>
                <w:szCs w:val="11"/>
                <w:color w:val="auto"/>
              </w:rPr>
            </w:pPr>
          </w:p>
        </w:tc>
        <w:tc>
          <w:tcPr>
            <w:tcW w:w="660" w:type="dxa"/>
            <w:vAlign w:val="bottom"/>
          </w:tcPr>
          <w:p>
            <w:pPr>
              <w:jc w:val="right"/>
              <w:spacing w:after="0" w:line="135" w:lineRule="exact"/>
              <w:rPr>
                <w:sz w:val="20"/>
                <w:szCs w:val="20"/>
                <w:color w:val="auto"/>
              </w:rPr>
            </w:pPr>
            <w:r>
              <w:rPr>
                <w:rFonts w:ascii="Arial" w:cs="Arial" w:eastAsia="Arial" w:hAnsi="Arial"/>
                <w:sz w:val="13"/>
                <w:szCs w:val="13"/>
                <w:color w:val="auto"/>
              </w:rPr>
              <w:t>—</w:t>
            </w:r>
          </w:p>
        </w:tc>
        <w:tc>
          <w:tcPr>
            <w:tcW w:w="140" w:type="dxa"/>
            <w:vAlign w:val="bottom"/>
          </w:tcPr>
          <w:p>
            <w:pPr>
              <w:spacing w:after="0"/>
              <w:rPr>
                <w:sz w:val="11"/>
                <w:szCs w:val="11"/>
                <w:color w:val="auto"/>
              </w:rPr>
            </w:pPr>
          </w:p>
        </w:tc>
        <w:tc>
          <w:tcPr>
            <w:tcW w:w="820" w:type="dxa"/>
            <w:vAlign w:val="bottom"/>
          </w:tcPr>
          <w:p>
            <w:pPr>
              <w:ind w:left="620"/>
              <w:spacing w:after="0" w:line="135" w:lineRule="exact"/>
              <w:rPr>
                <w:sz w:val="20"/>
                <w:szCs w:val="20"/>
                <w:color w:val="auto"/>
              </w:rPr>
            </w:pPr>
            <w:r>
              <w:rPr>
                <w:rFonts w:ascii="Arial" w:cs="Arial" w:eastAsia="Arial" w:hAnsi="Arial"/>
                <w:sz w:val="13"/>
                <w:szCs w:val="13"/>
                <w:color w:val="auto"/>
              </w:rPr>
              <w:t>—</w:t>
            </w:r>
          </w:p>
        </w:tc>
        <w:tc>
          <w:tcPr>
            <w:tcW w:w="140" w:type="dxa"/>
            <w:vAlign w:val="bottom"/>
          </w:tcPr>
          <w:p>
            <w:pPr>
              <w:spacing w:after="0"/>
              <w:rPr>
                <w:sz w:val="11"/>
                <w:szCs w:val="11"/>
                <w:color w:val="auto"/>
              </w:rPr>
            </w:pPr>
          </w:p>
        </w:tc>
        <w:tc>
          <w:tcPr>
            <w:tcW w:w="660" w:type="dxa"/>
            <w:vAlign w:val="bottom"/>
          </w:tcPr>
          <w:p>
            <w:pPr>
              <w:jc w:val="right"/>
              <w:spacing w:after="0" w:line="135" w:lineRule="exact"/>
              <w:rPr>
                <w:sz w:val="20"/>
                <w:szCs w:val="20"/>
                <w:color w:val="auto"/>
              </w:rPr>
            </w:pPr>
            <w:r>
              <w:rPr>
                <w:rFonts w:ascii="Arial" w:cs="Arial" w:eastAsia="Arial" w:hAnsi="Arial"/>
                <w:sz w:val="13"/>
                <w:szCs w:val="13"/>
                <w:color w:val="auto"/>
              </w:rPr>
              <w:t>—</w:t>
            </w:r>
          </w:p>
        </w:tc>
        <w:tc>
          <w:tcPr>
            <w:tcW w:w="160" w:type="dxa"/>
            <w:vAlign w:val="bottom"/>
          </w:tcPr>
          <w:p>
            <w:pPr>
              <w:spacing w:after="0"/>
              <w:rPr>
                <w:sz w:val="11"/>
                <w:szCs w:val="11"/>
                <w:color w:val="auto"/>
              </w:rPr>
            </w:pPr>
          </w:p>
        </w:tc>
        <w:tc>
          <w:tcPr>
            <w:tcW w:w="660" w:type="dxa"/>
            <w:vAlign w:val="bottom"/>
          </w:tcPr>
          <w:p>
            <w:pPr>
              <w:jc w:val="right"/>
              <w:spacing w:after="0" w:line="135" w:lineRule="exact"/>
              <w:rPr>
                <w:sz w:val="20"/>
                <w:szCs w:val="20"/>
                <w:color w:val="auto"/>
              </w:rPr>
            </w:pPr>
            <w:r>
              <w:rPr>
                <w:rFonts w:ascii="Arial" w:cs="Arial" w:eastAsia="Arial" w:hAnsi="Arial"/>
                <w:sz w:val="13"/>
                <w:szCs w:val="13"/>
                <w:color w:val="auto"/>
              </w:rPr>
              <w:t>—</w:t>
            </w:r>
          </w:p>
        </w:tc>
        <w:tc>
          <w:tcPr>
            <w:tcW w:w="140" w:type="dxa"/>
            <w:vAlign w:val="bottom"/>
          </w:tcPr>
          <w:p>
            <w:pPr>
              <w:spacing w:after="0"/>
              <w:rPr>
                <w:sz w:val="11"/>
                <w:szCs w:val="11"/>
                <w:color w:val="auto"/>
              </w:rPr>
            </w:pPr>
          </w:p>
        </w:tc>
        <w:tc>
          <w:tcPr>
            <w:tcW w:w="760" w:type="dxa"/>
            <w:vAlign w:val="bottom"/>
            <w:gridSpan w:val="2"/>
          </w:tcPr>
          <w:p>
            <w:pPr>
              <w:ind w:left="500"/>
              <w:spacing w:after="0" w:line="135" w:lineRule="exact"/>
              <w:rPr>
                <w:sz w:val="20"/>
                <w:szCs w:val="20"/>
                <w:color w:val="auto"/>
              </w:rPr>
            </w:pPr>
            <w:r>
              <w:rPr>
                <w:rFonts w:ascii="Arial" w:cs="Arial" w:eastAsia="Arial" w:hAnsi="Arial"/>
                <w:sz w:val="13"/>
                <w:szCs w:val="13"/>
                <w:color w:val="auto"/>
              </w:rPr>
              <w:t>—</w:t>
            </w:r>
          </w:p>
        </w:tc>
      </w:tr>
      <w:tr>
        <w:trPr>
          <w:trHeight w:val="121"/>
        </w:trPr>
        <w:tc>
          <w:tcPr>
            <w:tcW w:w="20" w:type="dxa"/>
            <w:vAlign w:val="bottom"/>
          </w:tcPr>
          <w:p>
            <w:pPr>
              <w:spacing w:after="0"/>
              <w:rPr>
                <w:sz w:val="10"/>
                <w:szCs w:val="10"/>
                <w:color w:val="auto"/>
              </w:rPr>
            </w:pPr>
          </w:p>
        </w:tc>
        <w:tc>
          <w:tcPr>
            <w:tcW w:w="1420" w:type="dxa"/>
            <w:vAlign w:val="bottom"/>
            <w:shd w:val="clear" w:color="auto" w:fill="CCEEFF"/>
          </w:tcPr>
          <w:p>
            <w:pPr>
              <w:spacing w:after="0" w:line="121" w:lineRule="exact"/>
              <w:rPr>
                <w:sz w:val="20"/>
                <w:szCs w:val="20"/>
                <w:color w:val="auto"/>
              </w:rPr>
            </w:pPr>
            <w:r>
              <w:rPr>
                <w:rFonts w:ascii="Arial" w:cs="Arial" w:eastAsia="Arial" w:hAnsi="Arial"/>
                <w:sz w:val="13"/>
                <w:szCs w:val="13"/>
                <w:color w:val="auto"/>
              </w:rPr>
              <w:t>Donna Shiroma</w:t>
            </w:r>
          </w:p>
        </w:tc>
        <w:tc>
          <w:tcPr>
            <w:tcW w:w="740" w:type="dxa"/>
            <w:vAlign w:val="bottom"/>
            <w:gridSpan w:val="2"/>
            <w:shd w:val="clear" w:color="auto" w:fill="CCEEFF"/>
          </w:tcPr>
          <w:p>
            <w:pPr>
              <w:jc w:val="right"/>
              <w:spacing w:after="0" w:line="121" w:lineRule="exact"/>
              <w:rPr>
                <w:sz w:val="20"/>
                <w:szCs w:val="20"/>
                <w:color w:val="auto"/>
              </w:rPr>
            </w:pPr>
            <w:r>
              <w:rPr>
                <w:rFonts w:ascii="Arial" w:cs="Arial" w:eastAsia="Arial" w:hAnsi="Arial"/>
                <w:sz w:val="13"/>
                <w:szCs w:val="13"/>
                <w:color w:val="auto"/>
              </w:rPr>
              <w:t>3,000,000</w:t>
            </w:r>
          </w:p>
        </w:tc>
        <w:tc>
          <w:tcPr>
            <w:tcW w:w="160" w:type="dxa"/>
            <w:vAlign w:val="bottom"/>
            <w:shd w:val="clear" w:color="auto" w:fill="CCEEFF"/>
          </w:tcPr>
          <w:p>
            <w:pPr>
              <w:spacing w:after="0"/>
              <w:rPr>
                <w:sz w:val="10"/>
                <w:szCs w:val="10"/>
                <w:color w:val="auto"/>
              </w:rPr>
            </w:pPr>
          </w:p>
        </w:tc>
        <w:tc>
          <w:tcPr>
            <w:tcW w:w="740" w:type="dxa"/>
            <w:vAlign w:val="bottom"/>
            <w:shd w:val="clear" w:color="auto" w:fill="CCEEFF"/>
          </w:tcPr>
          <w:p>
            <w:pPr>
              <w:ind w:left="280"/>
              <w:spacing w:after="0" w:line="121" w:lineRule="exact"/>
              <w:rPr>
                <w:sz w:val="20"/>
                <w:szCs w:val="20"/>
                <w:color w:val="auto"/>
              </w:rPr>
            </w:pPr>
            <w:r>
              <w:rPr>
                <w:rFonts w:ascii="Arial" w:cs="Arial" w:eastAsia="Arial" w:hAnsi="Arial"/>
                <w:sz w:val="13"/>
                <w:szCs w:val="13"/>
                <w:color w:val="auto"/>
              </w:rPr>
              <w:t>—</w:t>
            </w:r>
          </w:p>
        </w:tc>
        <w:tc>
          <w:tcPr>
            <w:tcW w:w="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40" w:type="dxa"/>
            <w:vAlign w:val="bottom"/>
            <w:shd w:val="clear" w:color="auto" w:fill="CCEEFF"/>
          </w:tcPr>
          <w:p>
            <w:pPr>
              <w:jc w:val="right"/>
              <w:spacing w:after="0" w:line="121" w:lineRule="exact"/>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0"/>
                <w:szCs w:val="10"/>
                <w:color w:val="auto"/>
              </w:rPr>
            </w:pPr>
          </w:p>
        </w:tc>
        <w:tc>
          <w:tcPr>
            <w:tcW w:w="580" w:type="dxa"/>
            <w:vAlign w:val="bottom"/>
            <w:shd w:val="clear" w:color="auto" w:fill="CCEEFF"/>
          </w:tcPr>
          <w:p>
            <w:pPr>
              <w:jc w:val="right"/>
              <w:ind w:right="17"/>
              <w:spacing w:after="0" w:line="121" w:lineRule="exact"/>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0"/>
                <w:szCs w:val="10"/>
                <w:color w:val="auto"/>
              </w:rPr>
            </w:pPr>
          </w:p>
        </w:tc>
        <w:tc>
          <w:tcPr>
            <w:tcW w:w="600" w:type="dxa"/>
            <w:vAlign w:val="bottom"/>
            <w:shd w:val="clear" w:color="auto" w:fill="CCEEFF"/>
          </w:tcPr>
          <w:p>
            <w:pPr>
              <w:ind w:left="400"/>
              <w:spacing w:after="0" w:line="121" w:lineRule="exact"/>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0"/>
                <w:szCs w:val="10"/>
                <w:color w:val="auto"/>
              </w:rPr>
            </w:pPr>
          </w:p>
        </w:tc>
        <w:tc>
          <w:tcPr>
            <w:tcW w:w="500" w:type="dxa"/>
            <w:vAlign w:val="bottom"/>
            <w:shd w:val="clear" w:color="auto" w:fill="CCEEFF"/>
          </w:tcPr>
          <w:p>
            <w:pPr>
              <w:jc w:val="right"/>
              <w:ind w:right="17"/>
              <w:spacing w:after="0" w:line="121" w:lineRule="exact"/>
              <w:rPr>
                <w:sz w:val="20"/>
                <w:szCs w:val="20"/>
                <w:color w:val="auto"/>
              </w:rPr>
            </w:pPr>
            <w:r>
              <w:rPr>
                <w:rFonts w:ascii="Arial" w:cs="Arial" w:eastAsia="Arial" w:hAnsi="Arial"/>
                <w:sz w:val="13"/>
                <w:szCs w:val="13"/>
                <w:color w:val="auto"/>
              </w:rPr>
              <w:t>—</w:t>
            </w:r>
          </w:p>
        </w:tc>
        <w:tc>
          <w:tcPr>
            <w:tcW w:w="780" w:type="dxa"/>
            <w:vAlign w:val="bottom"/>
            <w:gridSpan w:val="2"/>
            <w:shd w:val="clear" w:color="auto" w:fill="CCEEFF"/>
          </w:tcPr>
          <w:p>
            <w:pPr>
              <w:jc w:val="right"/>
              <w:spacing w:after="0" w:line="121" w:lineRule="exact"/>
              <w:rPr>
                <w:sz w:val="20"/>
                <w:szCs w:val="20"/>
                <w:color w:val="auto"/>
              </w:rPr>
            </w:pPr>
            <w:r>
              <w:rPr>
                <w:rFonts w:ascii="Arial" w:cs="Arial" w:eastAsia="Arial" w:hAnsi="Arial"/>
                <w:sz w:val="13"/>
                <w:szCs w:val="13"/>
                <w:color w:val="auto"/>
              </w:rPr>
              <w:t>3,000,000</w:t>
            </w:r>
          </w:p>
        </w:tc>
        <w:tc>
          <w:tcPr>
            <w:tcW w:w="820" w:type="dxa"/>
            <w:vAlign w:val="bottom"/>
            <w:gridSpan w:val="2"/>
            <w:shd w:val="clear" w:color="auto" w:fill="CCEEFF"/>
          </w:tcPr>
          <w:p>
            <w:pPr>
              <w:jc w:val="right"/>
              <w:spacing w:after="0" w:line="121" w:lineRule="exact"/>
              <w:rPr>
                <w:sz w:val="20"/>
                <w:szCs w:val="20"/>
                <w:color w:val="auto"/>
              </w:rPr>
            </w:pPr>
            <w:r>
              <w:rPr>
                <w:rFonts w:ascii="Arial" w:cs="Arial" w:eastAsia="Arial" w:hAnsi="Arial"/>
                <w:sz w:val="13"/>
                <w:szCs w:val="13"/>
                <w:color w:val="auto"/>
              </w:rPr>
              <w:t>1,520,000</w:t>
            </w:r>
          </w:p>
        </w:tc>
        <w:tc>
          <w:tcPr>
            <w:tcW w:w="140" w:type="dxa"/>
            <w:vAlign w:val="bottom"/>
            <w:shd w:val="clear" w:color="auto" w:fill="CCEEFF"/>
          </w:tcPr>
          <w:p>
            <w:pPr>
              <w:spacing w:after="0"/>
              <w:rPr>
                <w:sz w:val="10"/>
                <w:szCs w:val="10"/>
                <w:color w:val="auto"/>
              </w:rPr>
            </w:pPr>
          </w:p>
        </w:tc>
        <w:tc>
          <w:tcPr>
            <w:tcW w:w="820" w:type="dxa"/>
            <w:vAlign w:val="bottom"/>
            <w:shd w:val="clear" w:color="auto" w:fill="CCEEFF"/>
          </w:tcPr>
          <w:p>
            <w:pPr>
              <w:ind w:left="620"/>
              <w:spacing w:after="0" w:line="121" w:lineRule="exact"/>
              <w:rPr>
                <w:sz w:val="20"/>
                <w:szCs w:val="20"/>
                <w:color w:val="auto"/>
              </w:rPr>
            </w:pPr>
            <w:r>
              <w:rPr>
                <w:rFonts w:ascii="Arial" w:cs="Arial" w:eastAsia="Arial" w:hAnsi="Arial"/>
                <w:sz w:val="13"/>
                <w:szCs w:val="13"/>
                <w:color w:val="auto"/>
              </w:rPr>
              <w:t>—</w:t>
            </w:r>
          </w:p>
        </w:tc>
        <w:tc>
          <w:tcPr>
            <w:tcW w:w="800" w:type="dxa"/>
            <w:vAlign w:val="bottom"/>
            <w:gridSpan w:val="2"/>
            <w:shd w:val="clear" w:color="auto" w:fill="CCEEFF"/>
          </w:tcPr>
          <w:p>
            <w:pPr>
              <w:jc w:val="right"/>
              <w:spacing w:after="0" w:line="121" w:lineRule="exact"/>
              <w:rPr>
                <w:sz w:val="20"/>
                <w:szCs w:val="20"/>
                <w:color w:val="auto"/>
              </w:rPr>
            </w:pPr>
            <w:r>
              <w:rPr>
                <w:rFonts w:ascii="Arial" w:cs="Arial" w:eastAsia="Arial" w:hAnsi="Arial"/>
                <w:sz w:val="13"/>
                <w:szCs w:val="13"/>
                <w:color w:val="auto"/>
              </w:rPr>
              <w:t>1,520,000</w:t>
            </w:r>
          </w:p>
        </w:tc>
        <w:tc>
          <w:tcPr>
            <w:tcW w:w="820" w:type="dxa"/>
            <w:vAlign w:val="bottom"/>
            <w:gridSpan w:val="2"/>
            <w:shd w:val="clear" w:color="auto" w:fill="CCEEFF"/>
          </w:tcPr>
          <w:p>
            <w:pPr>
              <w:jc w:val="right"/>
              <w:spacing w:after="0" w:line="121" w:lineRule="exact"/>
              <w:rPr>
                <w:sz w:val="20"/>
                <w:szCs w:val="20"/>
                <w:color w:val="auto"/>
              </w:rPr>
            </w:pPr>
            <w:r>
              <w:rPr>
                <w:rFonts w:ascii="Arial" w:cs="Arial" w:eastAsia="Arial" w:hAnsi="Arial"/>
                <w:sz w:val="13"/>
                <w:szCs w:val="13"/>
                <w:color w:val="auto"/>
              </w:rPr>
              <w:t>1,480,000</w:t>
            </w:r>
          </w:p>
        </w:tc>
        <w:tc>
          <w:tcPr>
            <w:tcW w:w="140" w:type="dxa"/>
            <w:vAlign w:val="bottom"/>
            <w:shd w:val="clear" w:color="auto" w:fill="CCEEFF"/>
          </w:tcPr>
          <w:p>
            <w:pPr>
              <w:spacing w:after="0"/>
              <w:rPr>
                <w:sz w:val="10"/>
                <w:szCs w:val="10"/>
                <w:color w:val="auto"/>
              </w:rPr>
            </w:pPr>
          </w:p>
        </w:tc>
        <w:tc>
          <w:tcPr>
            <w:tcW w:w="70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r>
      <w:tr>
        <w:trPr>
          <w:trHeight w:val="135"/>
        </w:trPr>
        <w:tc>
          <w:tcPr>
            <w:tcW w:w="20" w:type="dxa"/>
            <w:vAlign w:val="bottom"/>
          </w:tcPr>
          <w:p>
            <w:pPr>
              <w:spacing w:after="0"/>
              <w:rPr>
                <w:sz w:val="11"/>
                <w:szCs w:val="11"/>
                <w:color w:val="auto"/>
              </w:rPr>
            </w:pPr>
          </w:p>
        </w:tc>
        <w:tc>
          <w:tcPr>
            <w:tcW w:w="14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740" w:type="dxa"/>
            <w:vAlign w:val="bottom"/>
            <w:shd w:val="clear" w:color="auto" w:fill="CCEEFF"/>
          </w:tcPr>
          <w:p>
            <w:pPr>
              <w:jc w:val="center"/>
              <w:spacing w:after="0" w:line="135" w:lineRule="exact"/>
              <w:rPr>
                <w:sz w:val="20"/>
                <w:szCs w:val="20"/>
                <w:color w:val="auto"/>
              </w:rPr>
            </w:pPr>
            <w:r>
              <w:rPr>
                <w:rFonts w:ascii="Arial" w:cs="Arial" w:eastAsia="Arial" w:hAnsi="Arial"/>
                <w:sz w:val="13"/>
                <w:szCs w:val="13"/>
                <w:color w:val="auto"/>
                <w:w w:val="88"/>
              </w:rPr>
              <w:t>November 1,</w:t>
            </w:r>
          </w:p>
        </w:tc>
        <w:tc>
          <w:tcPr>
            <w:tcW w:w="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r>
      <w:tr>
        <w:trPr>
          <w:trHeight w:val="135"/>
        </w:trPr>
        <w:tc>
          <w:tcPr>
            <w:tcW w:w="20" w:type="dxa"/>
            <w:vAlign w:val="bottom"/>
          </w:tcPr>
          <w:p>
            <w:pPr>
              <w:spacing w:after="0"/>
              <w:rPr>
                <w:sz w:val="11"/>
                <w:szCs w:val="11"/>
                <w:color w:val="auto"/>
              </w:rPr>
            </w:pPr>
          </w:p>
        </w:tc>
        <w:tc>
          <w:tcPr>
            <w:tcW w:w="14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900" w:type="dxa"/>
            <w:vAlign w:val="bottom"/>
            <w:gridSpan w:val="2"/>
            <w:shd w:val="clear" w:color="auto" w:fill="CCEEFF"/>
          </w:tcPr>
          <w:p>
            <w:pPr>
              <w:jc w:val="center"/>
              <w:ind w:left="97"/>
              <w:spacing w:after="0" w:line="135" w:lineRule="exact"/>
              <w:rPr>
                <w:sz w:val="20"/>
                <w:szCs w:val="20"/>
                <w:color w:val="auto"/>
              </w:rPr>
            </w:pPr>
            <w:r>
              <w:rPr>
                <w:rFonts w:ascii="Arial" w:cs="Arial" w:eastAsia="Arial" w:hAnsi="Arial"/>
                <w:sz w:val="13"/>
                <w:szCs w:val="13"/>
                <w:color w:val="auto"/>
                <w:w w:val="89"/>
              </w:rPr>
              <w:t>2018</w:t>
            </w:r>
          </w:p>
        </w:tc>
        <w:tc>
          <w:tcPr>
            <w:tcW w:w="780" w:type="dxa"/>
            <w:vAlign w:val="bottom"/>
            <w:gridSpan w:val="3"/>
            <w:shd w:val="clear" w:color="auto" w:fill="CCEEFF"/>
          </w:tcPr>
          <w:p>
            <w:pPr>
              <w:jc w:val="right"/>
              <w:spacing w:after="0" w:line="135" w:lineRule="exact"/>
              <w:rPr>
                <w:sz w:val="20"/>
                <w:szCs w:val="20"/>
                <w:color w:val="auto"/>
              </w:rPr>
            </w:pPr>
            <w:r>
              <w:rPr>
                <w:rFonts w:ascii="Arial" w:cs="Arial" w:eastAsia="Arial" w:hAnsi="Arial"/>
                <w:sz w:val="13"/>
                <w:szCs w:val="13"/>
                <w:color w:val="auto"/>
              </w:rPr>
              <w:t>2,610,000</w:t>
            </w:r>
          </w:p>
        </w:tc>
        <w:tc>
          <w:tcPr>
            <w:tcW w:w="720" w:type="dxa"/>
            <w:vAlign w:val="bottom"/>
            <w:gridSpan w:val="2"/>
            <w:shd w:val="clear" w:color="auto" w:fill="CCEEFF"/>
          </w:tcPr>
          <w:p>
            <w:pPr>
              <w:jc w:val="right"/>
              <w:spacing w:after="0" w:line="135" w:lineRule="exact"/>
              <w:rPr>
                <w:sz w:val="20"/>
                <w:szCs w:val="20"/>
                <w:color w:val="auto"/>
              </w:rPr>
            </w:pPr>
            <w:r>
              <w:rPr>
                <w:rFonts w:ascii="Arial" w:cs="Arial" w:eastAsia="Arial" w:hAnsi="Arial"/>
                <w:sz w:val="13"/>
                <w:szCs w:val="13"/>
                <w:color w:val="auto"/>
              </w:rPr>
              <w:t>171,412</w:t>
            </w:r>
          </w:p>
        </w:tc>
        <w:tc>
          <w:tcPr>
            <w:tcW w:w="140" w:type="dxa"/>
            <w:vAlign w:val="bottom"/>
            <w:shd w:val="clear" w:color="auto" w:fill="CCEEFF"/>
          </w:tcPr>
          <w:p>
            <w:pPr>
              <w:spacing w:after="0"/>
              <w:rPr>
                <w:sz w:val="11"/>
                <w:szCs w:val="11"/>
                <w:color w:val="auto"/>
              </w:rPr>
            </w:pPr>
          </w:p>
        </w:tc>
        <w:tc>
          <w:tcPr>
            <w:tcW w:w="600" w:type="dxa"/>
            <w:vAlign w:val="bottom"/>
            <w:shd w:val="clear" w:color="auto" w:fill="CCEEFF"/>
          </w:tcPr>
          <w:p>
            <w:pPr>
              <w:ind w:left="400"/>
              <w:spacing w:after="0" w:line="135" w:lineRule="exact"/>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1"/>
                <w:szCs w:val="11"/>
                <w:color w:val="auto"/>
              </w:rPr>
            </w:pPr>
          </w:p>
        </w:tc>
        <w:tc>
          <w:tcPr>
            <w:tcW w:w="500" w:type="dxa"/>
            <w:vAlign w:val="bottom"/>
            <w:shd w:val="clear" w:color="auto" w:fill="CCEEFF"/>
          </w:tcPr>
          <w:p>
            <w:pPr>
              <w:jc w:val="right"/>
              <w:ind w:right="17"/>
              <w:spacing w:after="0" w:line="135" w:lineRule="exact"/>
              <w:rPr>
                <w:sz w:val="20"/>
                <w:szCs w:val="20"/>
                <w:color w:val="auto"/>
              </w:rPr>
            </w:pPr>
            <w:r>
              <w:rPr>
                <w:rFonts w:ascii="Arial" w:cs="Arial" w:eastAsia="Arial" w:hAnsi="Arial"/>
                <w:sz w:val="13"/>
                <w:szCs w:val="13"/>
                <w:color w:val="auto"/>
              </w:rPr>
              <w:t>—</w:t>
            </w:r>
          </w:p>
        </w:tc>
        <w:tc>
          <w:tcPr>
            <w:tcW w:w="780" w:type="dxa"/>
            <w:vAlign w:val="bottom"/>
            <w:gridSpan w:val="2"/>
            <w:shd w:val="clear" w:color="auto" w:fill="CCEEFF"/>
          </w:tcPr>
          <w:p>
            <w:pPr>
              <w:jc w:val="right"/>
              <w:spacing w:after="0" w:line="135" w:lineRule="exact"/>
              <w:rPr>
                <w:sz w:val="20"/>
                <w:szCs w:val="20"/>
                <w:color w:val="auto"/>
              </w:rPr>
            </w:pPr>
            <w:r>
              <w:rPr>
                <w:rFonts w:ascii="Arial" w:cs="Arial" w:eastAsia="Arial" w:hAnsi="Arial"/>
                <w:sz w:val="13"/>
                <w:szCs w:val="13"/>
                <w:color w:val="auto"/>
              </w:rPr>
              <w:t>2,610,000</w:t>
            </w:r>
          </w:p>
        </w:tc>
        <w:tc>
          <w:tcPr>
            <w:tcW w:w="160" w:type="dxa"/>
            <w:vAlign w:val="bottom"/>
            <w:shd w:val="clear" w:color="auto" w:fill="CCEEFF"/>
          </w:tcPr>
          <w:p>
            <w:pPr>
              <w:spacing w:after="0"/>
              <w:rPr>
                <w:sz w:val="11"/>
                <w:szCs w:val="11"/>
                <w:color w:val="auto"/>
              </w:rPr>
            </w:pPr>
          </w:p>
        </w:tc>
        <w:tc>
          <w:tcPr>
            <w:tcW w:w="66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1"/>
                <w:szCs w:val="11"/>
                <w:color w:val="auto"/>
              </w:rPr>
            </w:pPr>
          </w:p>
        </w:tc>
        <w:tc>
          <w:tcPr>
            <w:tcW w:w="820" w:type="dxa"/>
            <w:vAlign w:val="bottom"/>
            <w:shd w:val="clear" w:color="auto" w:fill="CCEEFF"/>
          </w:tcPr>
          <w:p>
            <w:pPr>
              <w:ind w:left="620"/>
              <w:spacing w:after="0" w:line="135" w:lineRule="exact"/>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1"/>
                <w:szCs w:val="11"/>
                <w:color w:val="auto"/>
              </w:rPr>
            </w:pPr>
          </w:p>
        </w:tc>
        <w:tc>
          <w:tcPr>
            <w:tcW w:w="66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w:t>
            </w:r>
          </w:p>
        </w:tc>
        <w:tc>
          <w:tcPr>
            <w:tcW w:w="820" w:type="dxa"/>
            <w:vAlign w:val="bottom"/>
            <w:gridSpan w:val="2"/>
            <w:shd w:val="clear" w:color="auto" w:fill="CCEEFF"/>
          </w:tcPr>
          <w:p>
            <w:pPr>
              <w:jc w:val="right"/>
              <w:spacing w:after="0" w:line="135" w:lineRule="exact"/>
              <w:rPr>
                <w:sz w:val="20"/>
                <w:szCs w:val="20"/>
                <w:color w:val="auto"/>
              </w:rPr>
            </w:pPr>
            <w:r>
              <w:rPr>
                <w:rFonts w:ascii="Arial" w:cs="Arial" w:eastAsia="Arial" w:hAnsi="Arial"/>
                <w:sz w:val="13"/>
                <w:szCs w:val="13"/>
                <w:color w:val="auto"/>
              </w:rPr>
              <w:t>2,610,000</w:t>
            </w:r>
          </w:p>
        </w:tc>
        <w:tc>
          <w:tcPr>
            <w:tcW w:w="14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r>
      <w:tr>
        <w:trPr>
          <w:trHeight w:val="135"/>
        </w:trPr>
        <w:tc>
          <w:tcPr>
            <w:tcW w:w="20" w:type="dxa"/>
            <w:vAlign w:val="bottom"/>
          </w:tcPr>
          <w:p>
            <w:pPr>
              <w:spacing w:after="0"/>
              <w:rPr>
                <w:sz w:val="11"/>
                <w:szCs w:val="11"/>
                <w:color w:val="auto"/>
              </w:rPr>
            </w:pPr>
          </w:p>
        </w:tc>
        <w:tc>
          <w:tcPr>
            <w:tcW w:w="14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740" w:type="dxa"/>
            <w:vAlign w:val="bottom"/>
            <w:shd w:val="clear" w:color="auto" w:fill="CCEEFF"/>
          </w:tcPr>
          <w:p>
            <w:pPr>
              <w:jc w:val="center"/>
              <w:spacing w:after="0" w:line="135" w:lineRule="exact"/>
              <w:rPr>
                <w:sz w:val="20"/>
                <w:szCs w:val="20"/>
                <w:color w:val="auto"/>
              </w:rPr>
            </w:pPr>
            <w:r>
              <w:rPr>
                <w:rFonts w:ascii="Arial" w:cs="Arial" w:eastAsia="Arial" w:hAnsi="Arial"/>
                <w:sz w:val="13"/>
                <w:szCs w:val="13"/>
                <w:color w:val="auto"/>
                <w:w w:val="88"/>
              </w:rPr>
              <w:t>November 30,</w:t>
            </w:r>
          </w:p>
        </w:tc>
        <w:tc>
          <w:tcPr>
            <w:tcW w:w="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r>
      <w:tr>
        <w:trPr>
          <w:trHeight w:val="149"/>
        </w:trPr>
        <w:tc>
          <w:tcPr>
            <w:tcW w:w="20" w:type="dxa"/>
            <w:vAlign w:val="bottom"/>
          </w:tcPr>
          <w:p>
            <w:pPr>
              <w:spacing w:after="0"/>
              <w:rPr>
                <w:sz w:val="12"/>
                <w:szCs w:val="12"/>
                <w:color w:val="auto"/>
              </w:rPr>
            </w:pPr>
          </w:p>
        </w:tc>
        <w:tc>
          <w:tcPr>
            <w:tcW w:w="14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center"/>
              <w:ind w:left="97"/>
              <w:spacing w:after="0"/>
              <w:rPr>
                <w:sz w:val="20"/>
                <w:szCs w:val="20"/>
                <w:color w:val="auto"/>
              </w:rPr>
            </w:pPr>
            <w:r>
              <w:rPr>
                <w:rFonts w:ascii="Arial" w:cs="Arial" w:eastAsia="Arial" w:hAnsi="Arial"/>
                <w:sz w:val="13"/>
                <w:szCs w:val="13"/>
                <w:color w:val="auto"/>
                <w:w w:val="89"/>
              </w:rPr>
              <w:t>2018</w:t>
            </w:r>
          </w:p>
        </w:tc>
        <w:tc>
          <w:tcPr>
            <w:tcW w:w="780" w:type="dxa"/>
            <w:vAlign w:val="bottom"/>
            <w:gridSpan w:val="3"/>
            <w:shd w:val="clear" w:color="auto" w:fill="CCEEFF"/>
          </w:tcPr>
          <w:p>
            <w:pPr>
              <w:jc w:val="right"/>
              <w:spacing w:after="0"/>
              <w:rPr>
                <w:sz w:val="20"/>
                <w:szCs w:val="20"/>
                <w:color w:val="auto"/>
              </w:rPr>
            </w:pPr>
            <w:r>
              <w:rPr>
                <w:rFonts w:ascii="Arial" w:cs="Arial" w:eastAsia="Arial" w:hAnsi="Arial"/>
                <w:sz w:val="13"/>
                <w:szCs w:val="13"/>
                <w:color w:val="auto"/>
              </w:rPr>
              <w:t>6,470,000</w:t>
            </w: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372,349</w:t>
            </w:r>
          </w:p>
        </w:tc>
        <w:tc>
          <w:tcPr>
            <w:tcW w:w="140" w:type="dxa"/>
            <w:vAlign w:val="bottom"/>
            <w:shd w:val="clear" w:color="auto" w:fill="CCEEFF"/>
          </w:tcPr>
          <w:p>
            <w:pPr>
              <w:spacing w:after="0"/>
              <w:rPr>
                <w:sz w:val="12"/>
                <w:szCs w:val="12"/>
                <w:color w:val="auto"/>
              </w:rPr>
            </w:pPr>
          </w:p>
        </w:tc>
        <w:tc>
          <w:tcPr>
            <w:tcW w:w="600" w:type="dxa"/>
            <w:vAlign w:val="bottom"/>
            <w:shd w:val="clear" w:color="auto" w:fill="CCEEFF"/>
          </w:tcPr>
          <w:p>
            <w:pPr>
              <w:ind w:left="400"/>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2"/>
                <w:szCs w:val="12"/>
                <w:color w:val="auto"/>
              </w:rPr>
            </w:pPr>
          </w:p>
        </w:tc>
        <w:tc>
          <w:tcPr>
            <w:tcW w:w="50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rPr>
              <w:t>—</w:t>
            </w: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6,470,000</w:t>
            </w:r>
          </w:p>
        </w:tc>
        <w:tc>
          <w:tcPr>
            <w:tcW w:w="16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2"/>
                <w:szCs w:val="12"/>
                <w:color w:val="auto"/>
              </w:rPr>
            </w:pPr>
          </w:p>
        </w:tc>
        <w:tc>
          <w:tcPr>
            <w:tcW w:w="820" w:type="dxa"/>
            <w:vAlign w:val="bottom"/>
            <w:shd w:val="clear" w:color="auto" w:fill="CCEEFF"/>
          </w:tcPr>
          <w:p>
            <w:pPr>
              <w:ind w:left="620"/>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6,470,000</w:t>
            </w: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10,560,000</w:t>
            </w:r>
          </w:p>
        </w:tc>
        <w:tc>
          <w:tcPr>
            <w:tcW w:w="60" w:type="dxa"/>
            <w:vAlign w:val="bottom"/>
            <w:shd w:val="clear" w:color="auto" w:fill="CCEEFF"/>
          </w:tcPr>
          <w:p>
            <w:pPr>
              <w:spacing w:after="0"/>
              <w:rPr>
                <w:sz w:val="12"/>
                <w:szCs w:val="12"/>
                <w:color w:val="auto"/>
              </w:rPr>
            </w:pPr>
          </w:p>
        </w:tc>
      </w:tr>
      <w:tr>
        <w:trPr>
          <w:trHeight w:val="142"/>
        </w:trPr>
        <w:tc>
          <w:tcPr>
            <w:tcW w:w="20" w:type="dxa"/>
            <w:vAlign w:val="bottom"/>
          </w:tcPr>
          <w:p>
            <w:pPr>
              <w:spacing w:after="0"/>
              <w:rPr>
                <w:sz w:val="12"/>
                <w:szCs w:val="12"/>
                <w:color w:val="auto"/>
              </w:rPr>
            </w:pPr>
          </w:p>
        </w:tc>
        <w:tc>
          <w:tcPr>
            <w:tcW w:w="14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20" w:type="dxa"/>
            <w:vAlign w:val="bottom"/>
            <w:tcBorders>
              <w:top w:val="single" w:sz="8" w:color="auto"/>
              <w:bottom w:val="single" w:sz="8" w:color="auto"/>
            </w:tcBorders>
          </w:tcPr>
          <w:p>
            <w:pPr>
              <w:jc w:val="right"/>
              <w:spacing w:after="0" w:line="143" w:lineRule="exact"/>
              <w:rPr>
                <w:sz w:val="20"/>
                <w:szCs w:val="20"/>
                <w:color w:val="auto"/>
              </w:rPr>
            </w:pPr>
            <w:r>
              <w:rPr>
                <w:rFonts w:ascii="Arial" w:cs="Arial" w:eastAsia="Arial" w:hAnsi="Arial"/>
                <w:sz w:val="13"/>
                <w:szCs w:val="13"/>
                <w:b w:val="1"/>
                <w:bCs w:val="1"/>
                <w:color w:val="auto"/>
                <w:w w:val="92"/>
              </w:rPr>
              <w:t>24,428,750</w:t>
            </w:r>
          </w:p>
        </w:tc>
        <w:tc>
          <w:tcPr>
            <w:tcW w:w="1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Borders>
              <w:top w:val="single" w:sz="8" w:color="auto"/>
              <w:bottom w:val="single" w:sz="8" w:color="auto"/>
            </w:tcBorders>
          </w:tcPr>
          <w:p>
            <w:pPr>
              <w:jc w:val="right"/>
              <w:spacing w:after="0" w:line="143" w:lineRule="exact"/>
              <w:rPr>
                <w:sz w:val="20"/>
                <w:szCs w:val="20"/>
                <w:color w:val="auto"/>
              </w:rPr>
            </w:pPr>
            <w:r>
              <w:rPr>
                <w:rFonts w:ascii="Arial" w:cs="Arial" w:eastAsia="Arial" w:hAnsi="Arial"/>
                <w:sz w:val="13"/>
                <w:szCs w:val="13"/>
                <w:b w:val="1"/>
                <w:bCs w:val="1"/>
                <w:color w:val="auto"/>
                <w:w w:val="95"/>
              </w:rPr>
              <w:t>44,001,250</w:t>
            </w:r>
          </w:p>
        </w:tc>
        <w:tc>
          <w:tcPr>
            <w:tcW w:w="140" w:type="dxa"/>
            <w:vAlign w:val="bottom"/>
          </w:tcPr>
          <w:p>
            <w:pPr>
              <w:spacing w:after="0"/>
              <w:rPr>
                <w:sz w:val="12"/>
                <w:szCs w:val="12"/>
                <w:color w:val="auto"/>
              </w:rPr>
            </w:pPr>
          </w:p>
        </w:tc>
        <w:tc>
          <w:tcPr>
            <w:tcW w:w="580" w:type="dxa"/>
            <w:vAlign w:val="bottom"/>
            <w:tcBorders>
              <w:top w:val="single" w:sz="8" w:color="auto"/>
              <w:bottom w:val="single" w:sz="8" w:color="auto"/>
            </w:tcBorders>
          </w:tcPr>
          <w:p>
            <w:pPr>
              <w:jc w:val="right"/>
              <w:spacing w:after="0" w:line="143" w:lineRule="exact"/>
              <w:rPr>
                <w:sz w:val="20"/>
                <w:szCs w:val="20"/>
                <w:color w:val="auto"/>
              </w:rPr>
            </w:pPr>
            <w:r>
              <w:rPr>
                <w:rFonts w:ascii="Arial" w:cs="Arial" w:eastAsia="Arial" w:hAnsi="Arial"/>
                <w:sz w:val="13"/>
                <w:szCs w:val="13"/>
                <w:b w:val="1"/>
                <w:bCs w:val="1"/>
                <w:color w:val="auto"/>
                <w:w w:val="93"/>
              </w:rPr>
              <w:t>3,119,320</w:t>
            </w:r>
          </w:p>
        </w:tc>
        <w:tc>
          <w:tcPr>
            <w:tcW w:w="140" w:type="dxa"/>
            <w:vAlign w:val="bottom"/>
          </w:tcPr>
          <w:p>
            <w:pPr>
              <w:spacing w:after="0"/>
              <w:rPr>
                <w:sz w:val="12"/>
                <w:szCs w:val="12"/>
                <w:color w:val="auto"/>
              </w:rPr>
            </w:pPr>
          </w:p>
        </w:tc>
        <w:tc>
          <w:tcPr>
            <w:tcW w:w="600" w:type="dxa"/>
            <w:vAlign w:val="bottom"/>
            <w:tcBorders>
              <w:top w:val="single" w:sz="8" w:color="auto"/>
              <w:bottom w:val="single" w:sz="8" w:color="auto"/>
            </w:tcBorders>
          </w:tcPr>
          <w:p>
            <w:pPr>
              <w:jc w:val="right"/>
              <w:spacing w:after="0" w:line="143" w:lineRule="exact"/>
              <w:rPr>
                <w:sz w:val="20"/>
                <w:szCs w:val="20"/>
                <w:color w:val="auto"/>
              </w:rPr>
            </w:pPr>
            <w:r>
              <w:rPr>
                <w:rFonts w:ascii="Arial" w:cs="Arial" w:eastAsia="Arial" w:hAnsi="Arial"/>
                <w:sz w:val="13"/>
                <w:szCs w:val="13"/>
                <w:b w:val="1"/>
                <w:bCs w:val="1"/>
                <w:color w:val="auto"/>
              </w:rPr>
              <w:t>6,860,000</w:t>
            </w:r>
          </w:p>
        </w:tc>
        <w:tc>
          <w:tcPr>
            <w:tcW w:w="140" w:type="dxa"/>
            <w:vAlign w:val="bottom"/>
          </w:tcPr>
          <w:p>
            <w:pPr>
              <w:spacing w:after="0"/>
              <w:rPr>
                <w:sz w:val="12"/>
                <w:szCs w:val="12"/>
                <w:color w:val="auto"/>
              </w:rPr>
            </w:pPr>
          </w:p>
        </w:tc>
        <w:tc>
          <w:tcPr>
            <w:tcW w:w="500" w:type="dxa"/>
            <w:vAlign w:val="bottom"/>
            <w:tcBorders>
              <w:top w:val="single" w:sz="8" w:color="auto"/>
              <w:bottom w:val="single" w:sz="8" w:color="auto"/>
            </w:tcBorders>
          </w:tcPr>
          <w:p>
            <w:pPr>
              <w:jc w:val="right"/>
              <w:spacing w:after="0" w:line="143" w:lineRule="exact"/>
              <w:rPr>
                <w:sz w:val="20"/>
                <w:szCs w:val="20"/>
                <w:color w:val="auto"/>
              </w:rPr>
            </w:pPr>
            <w:r>
              <w:rPr>
                <w:rFonts w:ascii="Arial" w:cs="Arial" w:eastAsia="Arial" w:hAnsi="Arial"/>
                <w:sz w:val="13"/>
                <w:szCs w:val="13"/>
                <w:b w:val="1"/>
                <w:bCs w:val="1"/>
                <w:color w:val="auto"/>
                <w:w w:val="97"/>
              </w:rPr>
              <w:t>365,624</w:t>
            </w:r>
          </w:p>
        </w:tc>
        <w:tc>
          <w:tcPr>
            <w:tcW w:w="140" w:type="dxa"/>
            <w:vAlign w:val="bottom"/>
          </w:tcPr>
          <w:p>
            <w:pPr>
              <w:spacing w:after="0"/>
              <w:rPr>
                <w:sz w:val="12"/>
                <w:szCs w:val="12"/>
                <w:color w:val="auto"/>
              </w:rPr>
            </w:pPr>
          </w:p>
        </w:tc>
        <w:tc>
          <w:tcPr>
            <w:tcW w:w="640" w:type="dxa"/>
            <w:vAlign w:val="bottom"/>
            <w:tcBorders>
              <w:top w:val="single" w:sz="8" w:color="auto"/>
              <w:bottom w:val="single" w:sz="8" w:color="auto"/>
            </w:tcBorders>
          </w:tcPr>
          <w:p>
            <w:pPr>
              <w:jc w:val="right"/>
              <w:spacing w:after="0" w:line="143" w:lineRule="exact"/>
              <w:rPr>
                <w:sz w:val="20"/>
                <w:szCs w:val="20"/>
                <w:color w:val="auto"/>
              </w:rPr>
            </w:pPr>
            <w:r>
              <w:rPr>
                <w:rFonts w:ascii="Arial" w:cs="Arial" w:eastAsia="Arial" w:hAnsi="Arial"/>
                <w:sz w:val="13"/>
                <w:szCs w:val="13"/>
                <w:b w:val="1"/>
                <w:bCs w:val="1"/>
                <w:color w:val="auto"/>
                <w:w w:val="95"/>
              </w:rPr>
              <w:t>61,570,000</w:t>
            </w:r>
          </w:p>
        </w:tc>
        <w:tc>
          <w:tcPr>
            <w:tcW w:w="160" w:type="dxa"/>
            <w:vAlign w:val="bottom"/>
          </w:tcPr>
          <w:p>
            <w:pPr>
              <w:spacing w:after="0"/>
              <w:rPr>
                <w:sz w:val="12"/>
                <w:szCs w:val="12"/>
                <w:color w:val="auto"/>
              </w:rPr>
            </w:pPr>
          </w:p>
        </w:tc>
        <w:tc>
          <w:tcPr>
            <w:tcW w:w="660" w:type="dxa"/>
            <w:vAlign w:val="bottom"/>
            <w:tcBorders>
              <w:top w:val="single" w:sz="8" w:color="auto"/>
              <w:bottom w:val="single" w:sz="8" w:color="auto"/>
            </w:tcBorders>
          </w:tcPr>
          <w:p>
            <w:pPr>
              <w:jc w:val="right"/>
              <w:spacing w:after="0" w:line="143" w:lineRule="exact"/>
              <w:rPr>
                <w:sz w:val="20"/>
                <w:szCs w:val="20"/>
                <w:color w:val="auto"/>
              </w:rPr>
            </w:pPr>
            <w:r>
              <w:rPr>
                <w:rFonts w:ascii="Arial" w:cs="Arial" w:eastAsia="Arial" w:hAnsi="Arial"/>
                <w:sz w:val="13"/>
                <w:szCs w:val="13"/>
                <w:b w:val="1"/>
                <w:bCs w:val="1"/>
                <w:color w:val="auto"/>
                <w:w w:val="98"/>
              </w:rPr>
              <w:t>22,194,583</w:t>
            </w:r>
          </w:p>
        </w:tc>
        <w:tc>
          <w:tcPr>
            <w:tcW w:w="140" w:type="dxa"/>
            <w:vAlign w:val="bottom"/>
          </w:tcPr>
          <w:p>
            <w:pPr>
              <w:spacing w:after="0"/>
              <w:rPr>
                <w:sz w:val="12"/>
                <w:szCs w:val="12"/>
                <w:color w:val="auto"/>
              </w:rPr>
            </w:pPr>
          </w:p>
        </w:tc>
        <w:tc>
          <w:tcPr>
            <w:tcW w:w="820" w:type="dxa"/>
            <w:vAlign w:val="bottom"/>
            <w:tcBorders>
              <w:top w:val="single" w:sz="8" w:color="auto"/>
              <w:bottom w:val="single" w:sz="8" w:color="auto"/>
            </w:tcBorders>
          </w:tcPr>
          <w:p>
            <w:pPr>
              <w:ind w:left="620"/>
              <w:spacing w:after="0" w:line="143" w:lineRule="exact"/>
              <w:rPr>
                <w:sz w:val="20"/>
                <w:szCs w:val="20"/>
                <w:color w:val="auto"/>
              </w:rPr>
            </w:pPr>
            <w:r>
              <w:rPr>
                <w:rFonts w:ascii="Arial" w:cs="Arial" w:eastAsia="Arial" w:hAnsi="Arial"/>
                <w:sz w:val="13"/>
                <w:szCs w:val="13"/>
                <w:b w:val="1"/>
                <w:bCs w:val="1"/>
                <w:color w:val="auto"/>
              </w:rPr>
              <w:t>—</w:t>
            </w:r>
          </w:p>
        </w:tc>
        <w:tc>
          <w:tcPr>
            <w:tcW w:w="140" w:type="dxa"/>
            <w:vAlign w:val="bottom"/>
          </w:tcPr>
          <w:p>
            <w:pPr>
              <w:spacing w:after="0"/>
              <w:rPr>
                <w:sz w:val="12"/>
                <w:szCs w:val="12"/>
                <w:color w:val="auto"/>
              </w:rPr>
            </w:pPr>
          </w:p>
        </w:tc>
        <w:tc>
          <w:tcPr>
            <w:tcW w:w="660" w:type="dxa"/>
            <w:vAlign w:val="bottom"/>
            <w:tcBorders>
              <w:top w:val="single" w:sz="8" w:color="auto"/>
              <w:bottom w:val="single" w:sz="8" w:color="auto"/>
            </w:tcBorders>
          </w:tcPr>
          <w:p>
            <w:pPr>
              <w:jc w:val="right"/>
              <w:spacing w:after="0" w:line="143" w:lineRule="exact"/>
              <w:rPr>
                <w:sz w:val="20"/>
                <w:szCs w:val="20"/>
                <w:color w:val="auto"/>
              </w:rPr>
            </w:pPr>
            <w:r>
              <w:rPr>
                <w:rFonts w:ascii="Arial" w:cs="Arial" w:eastAsia="Arial" w:hAnsi="Arial"/>
                <w:sz w:val="13"/>
                <w:szCs w:val="13"/>
                <w:b w:val="1"/>
                <w:bCs w:val="1"/>
                <w:color w:val="auto"/>
                <w:w w:val="98"/>
              </w:rPr>
              <w:t>22,194,583</w:t>
            </w:r>
          </w:p>
        </w:tc>
        <w:tc>
          <w:tcPr>
            <w:tcW w:w="160" w:type="dxa"/>
            <w:vAlign w:val="bottom"/>
          </w:tcPr>
          <w:p>
            <w:pPr>
              <w:spacing w:after="0"/>
              <w:rPr>
                <w:sz w:val="12"/>
                <w:szCs w:val="12"/>
                <w:color w:val="auto"/>
              </w:rPr>
            </w:pPr>
          </w:p>
        </w:tc>
        <w:tc>
          <w:tcPr>
            <w:tcW w:w="660" w:type="dxa"/>
            <w:vAlign w:val="bottom"/>
            <w:tcBorders>
              <w:top w:val="single" w:sz="8" w:color="auto"/>
              <w:bottom w:val="single" w:sz="8" w:color="auto"/>
            </w:tcBorders>
          </w:tcPr>
          <w:p>
            <w:pPr>
              <w:jc w:val="right"/>
              <w:spacing w:after="0" w:line="143" w:lineRule="exact"/>
              <w:rPr>
                <w:sz w:val="20"/>
                <w:szCs w:val="20"/>
                <w:color w:val="auto"/>
              </w:rPr>
            </w:pPr>
            <w:r>
              <w:rPr>
                <w:rFonts w:ascii="Arial" w:cs="Arial" w:eastAsia="Arial" w:hAnsi="Arial"/>
                <w:sz w:val="13"/>
                <w:szCs w:val="13"/>
                <w:b w:val="1"/>
                <w:bCs w:val="1"/>
                <w:color w:val="auto"/>
                <w:w w:val="98"/>
              </w:rPr>
              <w:t>39,375,417</w:t>
            </w:r>
          </w:p>
        </w:tc>
        <w:tc>
          <w:tcPr>
            <w:tcW w:w="140" w:type="dxa"/>
            <w:vAlign w:val="bottom"/>
          </w:tcPr>
          <w:p>
            <w:pPr>
              <w:spacing w:after="0"/>
              <w:rPr>
                <w:sz w:val="12"/>
                <w:szCs w:val="12"/>
                <w:color w:val="auto"/>
              </w:rPr>
            </w:pPr>
          </w:p>
        </w:tc>
        <w:tc>
          <w:tcPr>
            <w:tcW w:w="700" w:type="dxa"/>
            <w:vAlign w:val="bottom"/>
            <w:tcBorders>
              <w:top w:val="single" w:sz="8" w:color="auto"/>
              <w:bottom w:val="single" w:sz="8" w:color="auto"/>
            </w:tcBorders>
          </w:tcPr>
          <w:p>
            <w:pPr>
              <w:jc w:val="right"/>
              <w:spacing w:after="0" w:line="143" w:lineRule="exact"/>
              <w:rPr>
                <w:sz w:val="20"/>
                <w:szCs w:val="20"/>
                <w:color w:val="auto"/>
              </w:rPr>
            </w:pPr>
            <w:r>
              <w:rPr>
                <w:rFonts w:ascii="Arial" w:cs="Arial" w:eastAsia="Arial" w:hAnsi="Arial"/>
                <w:sz w:val="13"/>
                <w:szCs w:val="13"/>
                <w:b w:val="1"/>
                <w:bCs w:val="1"/>
                <w:color w:val="auto"/>
              </w:rPr>
              <w:t>39,375,417</w:t>
            </w:r>
          </w:p>
        </w:tc>
        <w:tc>
          <w:tcPr>
            <w:tcW w:w="60" w:type="dxa"/>
            <w:vAlign w:val="bottom"/>
          </w:tcPr>
          <w:p>
            <w:pPr>
              <w:spacing w:after="0"/>
              <w:rPr>
                <w:sz w:val="12"/>
                <w:szCs w:val="12"/>
                <w:color w:val="auto"/>
              </w:rPr>
            </w:pPr>
          </w:p>
        </w:tc>
      </w:tr>
      <w:tr>
        <w:trPr>
          <w:trHeight w:val="20"/>
        </w:trPr>
        <w:tc>
          <w:tcPr>
            <w:tcW w:w="2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38" w:lineRule="exact"/>
        <w:rPr>
          <w:sz w:val="20"/>
          <w:szCs w:val="20"/>
          <w:color w:val="auto"/>
        </w:rPr>
      </w:pPr>
    </w:p>
    <w:p>
      <w:pPr>
        <w:ind w:left="640" w:hanging="436"/>
        <w:spacing w:after="0"/>
        <w:tabs>
          <w:tab w:leader="none" w:pos="640" w:val="left"/>
        </w:tabs>
        <w:numPr>
          <w:ilvl w:val="0"/>
          <w:numId w:val="37"/>
        </w:numPr>
        <w:rPr>
          <w:rFonts w:ascii="Arial" w:cs="Arial" w:eastAsia="Arial" w:hAnsi="Arial"/>
          <w:sz w:val="14"/>
          <w:szCs w:val="14"/>
          <w:color w:val="auto"/>
        </w:rPr>
      </w:pPr>
      <w:r>
        <w:rPr>
          <w:rFonts w:ascii="Arial" w:cs="Arial" w:eastAsia="Arial" w:hAnsi="Arial"/>
          <w:sz w:val="14"/>
          <w:szCs w:val="14"/>
          <w:color w:val="auto"/>
        </w:rPr>
        <w:t>Mr. Sander resigned as Chief Financial Officer effective May 15, 2019.</w:t>
      </w:r>
    </w:p>
    <w:p>
      <w:pPr>
        <w:spacing w:after="0" w:line="316" w:lineRule="exact"/>
        <w:rPr>
          <w:sz w:val="20"/>
          <w:szCs w:val="20"/>
          <w:color w:val="auto"/>
        </w:rPr>
      </w:pPr>
    </w:p>
    <w:p>
      <w:pPr>
        <w:ind w:left="200"/>
        <w:spacing w:after="0"/>
        <w:rPr>
          <w:sz w:val="20"/>
          <w:szCs w:val="20"/>
          <w:color w:val="auto"/>
        </w:rPr>
      </w:pPr>
      <w:r>
        <w:rPr>
          <w:rFonts w:ascii="Arial" w:cs="Arial" w:eastAsia="Arial" w:hAnsi="Arial"/>
          <w:sz w:val="18"/>
          <w:szCs w:val="18"/>
          <w:u w:val="single" w:color="auto"/>
          <w:color w:val="auto"/>
        </w:rPr>
        <w:t>Other Equity-related Transactions with Key Management Personnel</w:t>
      </w:r>
    </w:p>
    <w:p>
      <w:pPr>
        <w:spacing w:after="0" w:line="117" w:lineRule="exact"/>
        <w:rPr>
          <w:sz w:val="20"/>
          <w:szCs w:val="20"/>
          <w:color w:val="auto"/>
        </w:rPr>
      </w:pPr>
    </w:p>
    <w:p>
      <w:pPr>
        <w:ind w:left="200" w:right="440" w:firstLine="441"/>
        <w:spacing w:after="0" w:line="277" w:lineRule="auto"/>
        <w:rPr>
          <w:sz w:val="20"/>
          <w:szCs w:val="20"/>
          <w:color w:val="auto"/>
        </w:rPr>
      </w:pPr>
      <w:r>
        <w:rPr>
          <w:rFonts w:ascii="Arial" w:cs="Arial" w:eastAsia="Arial" w:hAnsi="Arial"/>
          <w:sz w:val="18"/>
          <w:szCs w:val="18"/>
          <w:color w:val="auto"/>
        </w:rPr>
        <w:t>Other than set forth below, there have been no other transactions involving equity instruments apart from those described in the tables above, relating to options and shareholdings:</w:t>
      </w:r>
    </w:p>
    <w:p>
      <w:pPr>
        <w:spacing w:after="0" w:line="170" w:lineRule="exact"/>
        <w:rPr>
          <w:sz w:val="20"/>
          <w:szCs w:val="20"/>
          <w:color w:val="auto"/>
        </w:rPr>
      </w:pPr>
    </w:p>
    <w:p>
      <w:pPr>
        <w:ind w:left="200" w:right="40" w:firstLine="441"/>
        <w:spacing w:after="0" w:line="264" w:lineRule="auto"/>
        <w:rPr>
          <w:sz w:val="20"/>
          <w:szCs w:val="20"/>
          <w:color w:val="auto"/>
        </w:rPr>
      </w:pPr>
      <w:r>
        <w:rPr>
          <w:rFonts w:ascii="Arial" w:cs="Arial" w:eastAsia="Arial" w:hAnsi="Arial"/>
          <w:sz w:val="18"/>
          <w:szCs w:val="18"/>
          <w:color w:val="auto"/>
        </w:rPr>
        <w:t>On November 30, 2018, the shareholders of the Company approved and Dr. Perry was issued 15,000,000 options to purchase ordinary shares at an exercise price of A$0.0820. The vesting of such options is based on (i) tenure of Dr. Perry, (ii) the Company’s Share Price and (iii) milestone performance by the Company as follows:</w:t>
      </w:r>
    </w:p>
    <w:p>
      <w:pPr>
        <w:spacing w:after="0" w:line="87" w:lineRule="exact"/>
        <w:rPr>
          <w:sz w:val="20"/>
          <w:szCs w:val="20"/>
          <w:color w:val="auto"/>
        </w:rPr>
      </w:pPr>
    </w:p>
    <w:p>
      <w:pPr>
        <w:ind w:left="1180" w:hanging="544"/>
        <w:spacing w:after="0"/>
        <w:tabs>
          <w:tab w:leader="none" w:pos="1180" w:val="left"/>
        </w:tabs>
        <w:numPr>
          <w:ilvl w:val="0"/>
          <w:numId w:val="38"/>
        </w:numPr>
        <w:rPr>
          <w:rFonts w:ascii="Arial" w:cs="Arial" w:eastAsia="Arial" w:hAnsi="Arial"/>
          <w:sz w:val="18"/>
          <w:szCs w:val="18"/>
          <w:color w:val="auto"/>
        </w:rPr>
      </w:pPr>
      <w:r>
        <w:rPr>
          <w:rFonts w:ascii="Arial" w:cs="Arial" w:eastAsia="Arial" w:hAnsi="Arial"/>
          <w:sz w:val="18"/>
          <w:szCs w:val="18"/>
          <w:i w:val="1"/>
          <w:iCs w:val="1"/>
          <w:color w:val="auto"/>
        </w:rPr>
        <w:t xml:space="preserve">Tenure </w:t>
      </w:r>
      <w:r>
        <w:rPr>
          <w:rFonts w:ascii="Arial" w:cs="Arial" w:eastAsia="Arial" w:hAnsi="Arial"/>
          <w:sz w:val="18"/>
          <w:szCs w:val="18"/>
          <w:color w:val="auto"/>
        </w:rPr>
        <w:t>– a total of 7,499,999 options issued for immediate vesting and over the two-year period commencing July 1, 2017;</w:t>
      </w:r>
    </w:p>
    <w:p>
      <w:pPr>
        <w:spacing w:after="0" w:line="130" w:lineRule="exact"/>
        <w:rPr>
          <w:rFonts w:ascii="Arial" w:cs="Arial" w:eastAsia="Arial" w:hAnsi="Arial"/>
          <w:sz w:val="18"/>
          <w:szCs w:val="18"/>
          <w:color w:val="auto"/>
        </w:rPr>
      </w:pPr>
    </w:p>
    <w:p>
      <w:pPr>
        <w:ind w:left="1180" w:right="380" w:hanging="544"/>
        <w:spacing w:after="0" w:line="264" w:lineRule="auto"/>
        <w:tabs>
          <w:tab w:leader="none" w:pos="1180" w:val="left"/>
        </w:tabs>
        <w:numPr>
          <w:ilvl w:val="0"/>
          <w:numId w:val="38"/>
        </w:numPr>
        <w:rPr>
          <w:rFonts w:ascii="Arial" w:cs="Arial" w:eastAsia="Arial" w:hAnsi="Arial"/>
          <w:sz w:val="18"/>
          <w:szCs w:val="18"/>
          <w:color w:val="auto"/>
        </w:rPr>
      </w:pPr>
      <w:r>
        <w:rPr>
          <w:rFonts w:ascii="Arial" w:cs="Arial" w:eastAsia="Arial" w:hAnsi="Arial"/>
          <w:sz w:val="18"/>
          <w:szCs w:val="18"/>
          <w:i w:val="1"/>
          <w:iCs w:val="1"/>
          <w:color w:val="auto"/>
        </w:rPr>
        <w:t xml:space="preserve">Company Share Price </w:t>
      </w:r>
      <w:r>
        <w:rPr>
          <w:rFonts w:ascii="Arial" w:cs="Arial" w:eastAsia="Arial" w:hAnsi="Arial"/>
          <w:sz w:val="18"/>
          <w:szCs w:val="18"/>
          <w:color w:val="auto"/>
        </w:rPr>
        <w:t>– a total of 5,000,001 options issued but to vest in three equal tranches subject to the Volume Weighted Average</w:t>
      </w:r>
      <w:r>
        <w:rPr>
          <w:rFonts w:ascii="Arial" w:cs="Arial" w:eastAsia="Arial" w:hAnsi="Arial"/>
          <w:sz w:val="18"/>
          <w:szCs w:val="18"/>
          <w:i w:val="1"/>
          <w:iCs w:val="1"/>
          <w:color w:val="auto"/>
        </w:rPr>
        <w:t xml:space="preserve"> </w:t>
      </w:r>
      <w:r>
        <w:rPr>
          <w:rFonts w:ascii="Arial" w:cs="Arial" w:eastAsia="Arial" w:hAnsi="Arial"/>
          <w:sz w:val="18"/>
          <w:szCs w:val="18"/>
          <w:color w:val="auto"/>
        </w:rPr>
        <w:t>Price (VWAP) of Company share price (as at close of trade on the ASX on relevant date) achieving multiples of 2x, 3x and 4x the Company’s share price at the time of shareholder approval; and</w:t>
      </w:r>
    </w:p>
    <w:p>
      <w:pPr>
        <w:spacing w:after="0" w:line="114"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62</w:t>
      </w:r>
    </w:p>
    <w:p>
      <w:pPr>
        <w:sectPr>
          <w:pgSz w:w="11900" w:h="16838" w:orient="portrait"/>
          <w:cols w:equalWidth="0" w:num="1">
            <w:col w:w="11240"/>
          </w:cols>
          <w:pgMar w:left="240" w:top="459" w:right="419" w:bottom="1440" w:gutter="0" w:footer="0" w:header="0"/>
        </w:sectPr>
      </w:pPr>
    </w:p>
    <w:bookmarkStart w:id="64" w:name="page65"/>
    <w:bookmarkEnd w:id="6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1180" w:right="480" w:hanging="544"/>
        <w:spacing w:after="0" w:line="277" w:lineRule="auto"/>
        <w:tabs>
          <w:tab w:leader="none" w:pos="1180" w:val="left"/>
        </w:tabs>
        <w:numPr>
          <w:ilvl w:val="0"/>
          <w:numId w:val="39"/>
        </w:numPr>
        <w:rPr>
          <w:rFonts w:ascii="Arial" w:cs="Arial" w:eastAsia="Arial" w:hAnsi="Arial"/>
          <w:sz w:val="18"/>
          <w:szCs w:val="18"/>
          <w:color w:val="auto"/>
        </w:rPr>
      </w:pPr>
      <w:r>
        <w:rPr>
          <w:rFonts w:ascii="Arial" w:cs="Arial" w:eastAsia="Arial" w:hAnsi="Arial"/>
          <w:sz w:val="18"/>
          <w:szCs w:val="18"/>
          <w:i w:val="1"/>
          <w:iCs w:val="1"/>
          <w:color w:val="auto"/>
        </w:rPr>
        <w:t xml:space="preserve">Milestone performance </w:t>
      </w:r>
      <w:r>
        <w:rPr>
          <w:rFonts w:ascii="Arial" w:cs="Arial" w:eastAsia="Arial" w:hAnsi="Arial"/>
          <w:sz w:val="18"/>
          <w:szCs w:val="18"/>
          <w:color w:val="auto"/>
        </w:rPr>
        <w:t>– a total of 2,500,000 options issued, but to vest upon the achievement of initial BARDA procurement under</w:t>
      </w:r>
      <w:r>
        <w:rPr>
          <w:rFonts w:ascii="Arial" w:cs="Arial" w:eastAsia="Arial" w:hAnsi="Arial"/>
          <w:sz w:val="18"/>
          <w:szCs w:val="18"/>
          <w:i w:val="1"/>
          <w:iCs w:val="1"/>
          <w:color w:val="auto"/>
        </w:rPr>
        <w:t xml:space="preserve"> </w:t>
      </w:r>
      <w:r>
        <w:rPr>
          <w:rFonts w:ascii="Arial" w:cs="Arial" w:eastAsia="Arial" w:hAnsi="Arial"/>
          <w:sz w:val="18"/>
          <w:szCs w:val="18"/>
          <w:color w:val="auto"/>
        </w:rPr>
        <w:t>CLIN2 of the BARDA Contract.</w:t>
      </w:r>
    </w:p>
    <w:p>
      <w:pPr>
        <w:spacing w:after="0" w:line="279" w:lineRule="exact"/>
        <w:rPr>
          <w:sz w:val="20"/>
          <w:szCs w:val="20"/>
          <w:color w:val="auto"/>
        </w:rPr>
      </w:pPr>
    </w:p>
    <w:p>
      <w:pPr>
        <w:ind w:left="200"/>
        <w:spacing w:after="0"/>
        <w:rPr>
          <w:sz w:val="20"/>
          <w:szCs w:val="20"/>
          <w:color w:val="auto"/>
        </w:rPr>
      </w:pPr>
      <w:r>
        <w:rPr>
          <w:rFonts w:ascii="Arial" w:cs="Arial" w:eastAsia="Arial" w:hAnsi="Arial"/>
          <w:sz w:val="18"/>
          <w:szCs w:val="18"/>
          <w:u w:val="single" w:color="auto"/>
          <w:color w:val="auto"/>
        </w:rPr>
        <w:t>Other Transactions with Key Management Personnel and/or their Related Parties</w:t>
      </w:r>
    </w:p>
    <w:p>
      <w:pPr>
        <w:spacing w:after="0" w:line="117" w:lineRule="exact"/>
        <w:rPr>
          <w:sz w:val="20"/>
          <w:szCs w:val="20"/>
          <w:color w:val="auto"/>
        </w:rPr>
      </w:pPr>
    </w:p>
    <w:p>
      <w:pPr>
        <w:ind w:left="200" w:right="40" w:firstLine="441"/>
        <w:spacing w:after="0" w:line="264" w:lineRule="auto"/>
        <w:rPr>
          <w:sz w:val="20"/>
          <w:szCs w:val="20"/>
          <w:color w:val="auto"/>
        </w:rPr>
      </w:pPr>
      <w:r>
        <w:rPr>
          <w:rFonts w:ascii="Arial" w:cs="Arial" w:eastAsia="Arial" w:hAnsi="Arial"/>
          <w:sz w:val="18"/>
          <w:szCs w:val="18"/>
          <w:color w:val="auto"/>
        </w:rPr>
        <w:t>There were no other transactions conducted between the Company and KMP or their parties, apart from those disclosed above relating to equity and compensation, that were conducted other than in accordance with normal employees, customer or supplier relationships on terms no more favorable than those reasonably expected under arm’s length dealings with unrelated persons.</w:t>
      </w:r>
    </w:p>
    <w:p>
      <w:pPr>
        <w:spacing w:after="0" w:line="28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C. Board Practices</w:t>
      </w:r>
    </w:p>
    <w:p>
      <w:pPr>
        <w:spacing w:after="0" w:line="117"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Introduction</w:t>
      </w:r>
    </w:p>
    <w:p>
      <w:pPr>
        <w:spacing w:after="0" w:line="121" w:lineRule="exact"/>
        <w:rPr>
          <w:sz w:val="20"/>
          <w:szCs w:val="20"/>
          <w:color w:val="auto"/>
        </w:rPr>
      </w:pPr>
    </w:p>
    <w:p>
      <w:pPr>
        <w:ind w:left="200" w:right="480" w:firstLine="441"/>
        <w:spacing w:after="0" w:line="264" w:lineRule="auto"/>
        <w:rPr>
          <w:sz w:val="20"/>
          <w:szCs w:val="20"/>
          <w:color w:val="auto"/>
        </w:rPr>
      </w:pPr>
      <w:r>
        <w:rPr>
          <w:rFonts w:ascii="Arial" w:cs="Arial" w:eastAsia="Arial" w:hAnsi="Arial"/>
          <w:sz w:val="18"/>
          <w:szCs w:val="18"/>
          <w:color w:val="auto"/>
        </w:rPr>
        <w:t>Our Board of Directors is elected by and accountable to our shareholders. It currently consists of six directors, the executive Chairman, four non-executive directors and our Chief Executive Officer who also serves as an Executive Director. The Chairman of our Board of Directors is responsible for the management of the Board of Directors and its functions.</w:t>
      </w:r>
    </w:p>
    <w:p>
      <w:pPr>
        <w:spacing w:after="0" w:line="28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Election of Directors</w:t>
      </w:r>
    </w:p>
    <w:p>
      <w:pPr>
        <w:spacing w:after="0" w:line="121" w:lineRule="exact"/>
        <w:rPr>
          <w:sz w:val="20"/>
          <w:szCs w:val="20"/>
          <w:color w:val="auto"/>
        </w:rPr>
      </w:pPr>
    </w:p>
    <w:p>
      <w:pPr>
        <w:ind w:left="200" w:right="140" w:firstLine="441"/>
        <w:spacing w:after="0" w:line="276" w:lineRule="auto"/>
        <w:rPr>
          <w:sz w:val="20"/>
          <w:szCs w:val="20"/>
          <w:color w:val="auto"/>
        </w:rPr>
      </w:pPr>
      <w:r>
        <w:rPr>
          <w:rFonts w:ascii="Arial" w:cs="Arial" w:eastAsia="Arial" w:hAnsi="Arial"/>
          <w:sz w:val="17"/>
          <w:szCs w:val="17"/>
          <w:color w:val="auto"/>
        </w:rPr>
        <w:t>Directors are elected at our annual general meeting of shareholders. Under our Constitution, a director, other than a managing director, must not hold office for more than three years or beyond the third annual general meeting following his or her appointment (whichever is the longer period) without submitting himself for re-election. Our Board of Directors has the power to appoint any person to be a director, either to fill a vacancy or as an additional director (provided that the total number of directors does not exceed the maximum allowed by law), and any director so appointed may hold office only until the next annual general meeting when he or she shall be eligible for election.</w:t>
      </w:r>
    </w:p>
    <w:p>
      <w:pPr>
        <w:spacing w:after="0" w:line="277"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Corporate Governance</w:t>
      </w:r>
    </w:p>
    <w:p>
      <w:pPr>
        <w:spacing w:after="0" w:line="121"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ASX Corporate Governance Principles</w:t>
      </w:r>
    </w:p>
    <w:p>
      <w:pPr>
        <w:spacing w:after="0" w:line="117" w:lineRule="exact"/>
        <w:rPr>
          <w:sz w:val="20"/>
          <w:szCs w:val="20"/>
          <w:color w:val="auto"/>
        </w:rPr>
      </w:pPr>
    </w:p>
    <w:p>
      <w:pPr>
        <w:ind w:left="200" w:firstLine="441"/>
        <w:spacing w:after="0" w:line="259" w:lineRule="auto"/>
        <w:rPr>
          <w:sz w:val="20"/>
          <w:szCs w:val="20"/>
          <w:color w:val="auto"/>
        </w:rPr>
      </w:pPr>
      <w:r>
        <w:rPr>
          <w:rFonts w:ascii="Arial" w:cs="Arial" w:eastAsia="Arial" w:hAnsi="Arial"/>
          <w:sz w:val="18"/>
          <w:szCs w:val="18"/>
          <w:color w:val="auto"/>
        </w:rPr>
        <w:t>In Australia there are no mandatory corporate governance structures and practices that must be observed by a company listed on the ASX. Instead, the ASX Corporate Governance Council has published the ASX Best Practice Guide, which contains what are called the “Recommendations,” which articulate eight core principles (and associated recommendations) which are intended to provide a reference point for companies about their corporate governance structures and practices, and against which companies must report.</w:t>
      </w:r>
    </w:p>
    <w:p>
      <w:pPr>
        <w:spacing w:after="0" w:line="187" w:lineRule="exact"/>
        <w:rPr>
          <w:sz w:val="20"/>
          <w:szCs w:val="20"/>
          <w:color w:val="auto"/>
        </w:rPr>
      </w:pPr>
    </w:p>
    <w:p>
      <w:pPr>
        <w:ind w:left="200" w:right="20" w:firstLine="441"/>
        <w:spacing w:after="0" w:line="257" w:lineRule="auto"/>
        <w:rPr>
          <w:sz w:val="20"/>
          <w:szCs w:val="20"/>
          <w:color w:val="auto"/>
        </w:rPr>
      </w:pPr>
      <w:r>
        <w:rPr>
          <w:rFonts w:ascii="Arial" w:cs="Arial" w:eastAsia="Arial" w:hAnsi="Arial"/>
          <w:sz w:val="18"/>
          <w:szCs w:val="18"/>
          <w:color w:val="auto"/>
        </w:rPr>
        <w:t>Under ASX listing Rule 4.10.3, companies are required to provide a statement in their annual report to shareholders disclosing the extent to which they have followed the Recommendations in the reporting period. Where a company has not followed all the Recommendations, it must identify the Recommendations that have not been followed, the reasons for not following them, and what (if any) alternative governance practices it adopted in lieu of the recommendation during that period. It is not mandatory to follow the Recommendations. We believe we are in material compliance with the ASX Corporate Governance Principles.</w:t>
      </w:r>
    </w:p>
    <w:p>
      <w:pPr>
        <w:spacing w:after="0" w:line="188" w:lineRule="exact"/>
        <w:rPr>
          <w:sz w:val="20"/>
          <w:szCs w:val="20"/>
          <w:color w:val="auto"/>
        </w:rPr>
      </w:pPr>
    </w:p>
    <w:p>
      <w:pPr>
        <w:ind w:left="200" w:right="720" w:firstLine="441"/>
        <w:spacing w:after="0" w:line="277" w:lineRule="auto"/>
        <w:rPr>
          <w:sz w:val="20"/>
          <w:szCs w:val="20"/>
          <w:color w:val="auto"/>
        </w:rPr>
      </w:pPr>
      <w:r>
        <w:rPr>
          <w:rFonts w:ascii="Arial" w:cs="Arial" w:eastAsia="Arial" w:hAnsi="Arial"/>
          <w:sz w:val="18"/>
          <w:szCs w:val="18"/>
          <w:color w:val="auto"/>
        </w:rPr>
        <w:t>Set forth below are the material provisions of the ASX Corporate Governance Principles together with the reasons, where applicable, for variations therefrom:</w:t>
      </w:r>
    </w:p>
    <w:p>
      <w:pPr>
        <w:spacing w:after="0" w:line="76" w:lineRule="exact"/>
        <w:rPr>
          <w:sz w:val="20"/>
          <w:szCs w:val="20"/>
          <w:color w:val="auto"/>
        </w:rPr>
      </w:pPr>
    </w:p>
    <w:p>
      <w:pPr>
        <w:ind w:left="1180" w:right="40" w:hanging="544"/>
        <w:spacing w:after="0" w:line="277" w:lineRule="auto"/>
        <w:tabs>
          <w:tab w:leader="none" w:pos="1180" w:val="left"/>
        </w:tabs>
        <w:numPr>
          <w:ilvl w:val="0"/>
          <w:numId w:val="40"/>
        </w:numPr>
        <w:rPr>
          <w:rFonts w:ascii="Arial" w:cs="Arial" w:eastAsia="Arial" w:hAnsi="Arial"/>
          <w:sz w:val="18"/>
          <w:szCs w:val="18"/>
          <w:color w:val="auto"/>
        </w:rPr>
      </w:pPr>
      <w:r>
        <w:rPr>
          <w:rFonts w:ascii="Arial" w:cs="Arial" w:eastAsia="Arial" w:hAnsi="Arial"/>
          <w:sz w:val="18"/>
          <w:szCs w:val="18"/>
          <w:color w:val="auto"/>
        </w:rPr>
        <w:t>Lay solid foundations for management and oversight. Companies should clearly delineate the respective roles and responsibilities of board and management and regularly review their performance.</w:t>
      </w:r>
    </w:p>
    <w:p>
      <w:pPr>
        <w:spacing w:after="0" w:line="75" w:lineRule="exact"/>
        <w:rPr>
          <w:rFonts w:ascii="Arial" w:cs="Arial" w:eastAsia="Arial" w:hAnsi="Arial"/>
          <w:sz w:val="18"/>
          <w:szCs w:val="18"/>
          <w:color w:val="auto"/>
        </w:rPr>
      </w:pPr>
    </w:p>
    <w:p>
      <w:pPr>
        <w:ind w:left="1180" w:right="220" w:hanging="544"/>
        <w:spacing w:after="0" w:line="277" w:lineRule="auto"/>
        <w:tabs>
          <w:tab w:leader="none" w:pos="1180" w:val="left"/>
        </w:tabs>
        <w:numPr>
          <w:ilvl w:val="0"/>
          <w:numId w:val="40"/>
        </w:numPr>
        <w:rPr>
          <w:rFonts w:ascii="Arial" w:cs="Arial" w:eastAsia="Arial" w:hAnsi="Arial"/>
          <w:sz w:val="18"/>
          <w:szCs w:val="18"/>
          <w:color w:val="auto"/>
        </w:rPr>
      </w:pPr>
      <w:r>
        <w:rPr>
          <w:rFonts w:ascii="Arial" w:cs="Arial" w:eastAsia="Arial" w:hAnsi="Arial"/>
          <w:sz w:val="18"/>
          <w:szCs w:val="18"/>
          <w:color w:val="auto"/>
        </w:rPr>
        <w:t>Structure the Board to be effective and add value. Listed companies should have a board of an appropriate size and collectively have the skills, commitment and knowledge of the entity and the</w:t>
      </w:r>
    </w:p>
    <w:p>
      <w:pPr>
        <w:spacing w:after="0" w:line="103"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63</w:t>
      </w:r>
    </w:p>
    <w:p>
      <w:pPr>
        <w:sectPr>
          <w:pgSz w:w="11900" w:h="16838" w:orient="portrait"/>
          <w:cols w:equalWidth="0" w:num="1">
            <w:col w:w="11200"/>
          </w:cols>
          <w:pgMar w:left="240" w:top="459" w:right="459" w:bottom="1440" w:gutter="0" w:footer="0" w:header="0"/>
        </w:sectPr>
      </w:pPr>
    </w:p>
    <w:bookmarkStart w:id="65" w:name="page66"/>
    <w:bookmarkEnd w:id="6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1180" w:right="100"/>
        <w:spacing w:after="0" w:line="277" w:lineRule="auto"/>
        <w:rPr>
          <w:sz w:val="20"/>
          <w:szCs w:val="20"/>
          <w:color w:val="auto"/>
        </w:rPr>
      </w:pPr>
      <w:r>
        <w:rPr>
          <w:rFonts w:ascii="Arial" w:cs="Arial" w:eastAsia="Arial" w:hAnsi="Arial"/>
          <w:sz w:val="18"/>
          <w:szCs w:val="18"/>
          <w:color w:val="auto"/>
        </w:rPr>
        <w:t>industry in which it operates, to enable it to discharge its duties effectively and to add value. During the year ended June 30, 2018, we did not follow this Recommendations in the following area:</w:t>
      </w:r>
    </w:p>
    <w:p>
      <w:pPr>
        <w:spacing w:after="0" w:line="76" w:lineRule="exact"/>
        <w:rPr>
          <w:sz w:val="20"/>
          <w:szCs w:val="20"/>
          <w:color w:val="auto"/>
        </w:rPr>
      </w:pPr>
    </w:p>
    <w:p>
      <w:pPr>
        <w:ind w:left="1620" w:right="220" w:hanging="430"/>
        <w:spacing w:after="0" w:line="312" w:lineRule="auto"/>
        <w:tabs>
          <w:tab w:leader="none" w:pos="1620" w:val="left"/>
        </w:tabs>
        <w:numPr>
          <w:ilvl w:val="1"/>
          <w:numId w:val="41"/>
        </w:numPr>
        <w:rPr>
          <w:rFonts w:ascii="Arial" w:cs="Arial" w:eastAsia="Arial" w:hAnsi="Arial"/>
          <w:sz w:val="16"/>
          <w:szCs w:val="16"/>
          <w:color w:val="auto"/>
        </w:rPr>
      </w:pPr>
      <w:r>
        <w:rPr>
          <w:rFonts w:ascii="Arial" w:cs="Arial" w:eastAsia="Arial" w:hAnsi="Arial"/>
          <w:sz w:val="16"/>
          <w:szCs w:val="16"/>
          <w:color w:val="auto"/>
        </w:rPr>
        <w:t>No formal performance evaluation of the Board was conducted for the year ended June 30, 2018 as the Board believes that the Company is not of a size, nor is its our financial affairs of such complexity, to warrant such an exercise. The Board recognizes the importance of performance evaluations and will continually assess the necessity and timing of future performance evaluation.</w:t>
      </w:r>
    </w:p>
    <w:p>
      <w:pPr>
        <w:spacing w:after="0" w:line="52" w:lineRule="exact"/>
        <w:rPr>
          <w:rFonts w:ascii="Arial" w:cs="Arial" w:eastAsia="Arial" w:hAnsi="Arial"/>
          <w:sz w:val="16"/>
          <w:szCs w:val="16"/>
          <w:color w:val="auto"/>
        </w:rPr>
      </w:pPr>
    </w:p>
    <w:p>
      <w:pPr>
        <w:ind w:left="1180" w:right="360" w:hanging="544"/>
        <w:spacing w:after="0" w:line="277" w:lineRule="auto"/>
        <w:tabs>
          <w:tab w:leader="none" w:pos="1180" w:val="left"/>
        </w:tabs>
        <w:numPr>
          <w:ilvl w:val="0"/>
          <w:numId w:val="42"/>
        </w:numPr>
        <w:rPr>
          <w:rFonts w:ascii="Arial" w:cs="Arial" w:eastAsia="Arial" w:hAnsi="Arial"/>
          <w:sz w:val="18"/>
          <w:szCs w:val="18"/>
          <w:color w:val="auto"/>
        </w:rPr>
      </w:pPr>
      <w:r>
        <w:rPr>
          <w:rFonts w:ascii="Arial" w:cs="Arial" w:eastAsia="Arial" w:hAnsi="Arial"/>
          <w:sz w:val="18"/>
          <w:szCs w:val="18"/>
          <w:color w:val="auto"/>
        </w:rPr>
        <w:t>Instill a culture of acting lawfully, ethically and responsibly. A listed entity should instill and continually reinforce a culture across the organization of acting lawfully, ethically and responsibly.</w:t>
      </w:r>
    </w:p>
    <w:p>
      <w:pPr>
        <w:spacing w:after="0" w:line="75" w:lineRule="exact"/>
        <w:rPr>
          <w:rFonts w:ascii="Arial" w:cs="Arial" w:eastAsia="Arial" w:hAnsi="Arial"/>
          <w:sz w:val="18"/>
          <w:szCs w:val="18"/>
          <w:color w:val="auto"/>
        </w:rPr>
      </w:pPr>
    </w:p>
    <w:p>
      <w:pPr>
        <w:ind w:left="1180" w:hanging="544"/>
        <w:spacing w:after="0"/>
        <w:tabs>
          <w:tab w:leader="none" w:pos="1180" w:val="left"/>
        </w:tabs>
        <w:numPr>
          <w:ilvl w:val="0"/>
          <w:numId w:val="42"/>
        </w:numPr>
        <w:rPr>
          <w:rFonts w:ascii="Arial" w:cs="Arial" w:eastAsia="Arial" w:hAnsi="Arial"/>
          <w:sz w:val="16"/>
          <w:szCs w:val="16"/>
          <w:color w:val="auto"/>
        </w:rPr>
      </w:pPr>
      <w:r>
        <w:rPr>
          <w:rFonts w:ascii="Arial" w:cs="Arial" w:eastAsia="Arial" w:hAnsi="Arial"/>
          <w:sz w:val="16"/>
          <w:szCs w:val="16"/>
          <w:color w:val="auto"/>
        </w:rPr>
        <w:t>Safeguard the integrity of corporate reports. A listed entity should have appropriate processes to verify the integrity of its corporate reports</w:t>
      </w:r>
    </w:p>
    <w:p>
      <w:pPr>
        <w:spacing w:after="0" w:line="153" w:lineRule="exact"/>
        <w:rPr>
          <w:rFonts w:ascii="Arial" w:cs="Arial" w:eastAsia="Arial" w:hAnsi="Arial"/>
          <w:sz w:val="16"/>
          <w:szCs w:val="16"/>
          <w:color w:val="auto"/>
        </w:rPr>
      </w:pPr>
    </w:p>
    <w:p>
      <w:pPr>
        <w:ind w:left="1180" w:right="60" w:hanging="544"/>
        <w:spacing w:after="0" w:line="255" w:lineRule="auto"/>
        <w:tabs>
          <w:tab w:leader="none" w:pos="1180" w:val="left"/>
        </w:tabs>
        <w:numPr>
          <w:ilvl w:val="0"/>
          <w:numId w:val="42"/>
        </w:numPr>
        <w:rPr>
          <w:rFonts w:ascii="Arial" w:cs="Arial" w:eastAsia="Arial" w:hAnsi="Arial"/>
          <w:sz w:val="18"/>
          <w:szCs w:val="18"/>
          <w:color w:val="auto"/>
        </w:rPr>
      </w:pPr>
      <w:r>
        <w:rPr>
          <w:rFonts w:ascii="Arial" w:cs="Arial" w:eastAsia="Arial" w:hAnsi="Arial"/>
          <w:sz w:val="18"/>
          <w:szCs w:val="18"/>
          <w:color w:val="auto"/>
        </w:rPr>
        <w:t>Make timely and balanced disclosure. A listed entity should promote timely and balanced disclosure of all material matters concerning it that a reasonable person would expect to have a material effect on the price or value of its securities. During the year ended June 30, 2018, we did not follow this Recommendations as we only adopted written policies designed to promote timely and balanced disclosure in accordance with ASX Listing Rule disclosure requirements for the year ending June 30, 2019. Our executive officers and members of our Board of Directors are aware of the obligations for continuous disclosure under the ASX Listing Rules and meet on a regular basis to ensure compliance.</w:t>
      </w:r>
    </w:p>
    <w:p>
      <w:pPr>
        <w:spacing w:after="0" w:line="98" w:lineRule="exact"/>
        <w:rPr>
          <w:rFonts w:ascii="Arial" w:cs="Arial" w:eastAsia="Arial" w:hAnsi="Arial"/>
          <w:sz w:val="18"/>
          <w:szCs w:val="18"/>
          <w:color w:val="auto"/>
        </w:rPr>
      </w:pPr>
    </w:p>
    <w:p>
      <w:pPr>
        <w:ind w:left="1180" w:hanging="544"/>
        <w:spacing w:after="0" w:line="277" w:lineRule="auto"/>
        <w:tabs>
          <w:tab w:leader="none" w:pos="1180" w:val="left"/>
        </w:tabs>
        <w:numPr>
          <w:ilvl w:val="0"/>
          <w:numId w:val="42"/>
        </w:numPr>
        <w:rPr>
          <w:rFonts w:ascii="Arial" w:cs="Arial" w:eastAsia="Arial" w:hAnsi="Arial"/>
          <w:sz w:val="18"/>
          <w:szCs w:val="18"/>
          <w:color w:val="auto"/>
        </w:rPr>
      </w:pPr>
      <w:r>
        <w:rPr>
          <w:rFonts w:ascii="Arial" w:cs="Arial" w:eastAsia="Arial" w:hAnsi="Arial"/>
          <w:sz w:val="18"/>
          <w:szCs w:val="18"/>
          <w:color w:val="auto"/>
        </w:rPr>
        <w:t>Respect the rights of security holders. A listed entity should provide its security holders with appropriate information and facilities to allow them to exercise their rights as security holders effectively.</w:t>
      </w:r>
    </w:p>
    <w:p>
      <w:pPr>
        <w:spacing w:after="0" w:line="75" w:lineRule="exact"/>
        <w:rPr>
          <w:rFonts w:ascii="Arial" w:cs="Arial" w:eastAsia="Arial" w:hAnsi="Arial"/>
          <w:sz w:val="18"/>
          <w:szCs w:val="18"/>
          <w:color w:val="auto"/>
        </w:rPr>
      </w:pPr>
    </w:p>
    <w:p>
      <w:pPr>
        <w:ind w:left="1180" w:right="120" w:hanging="544"/>
        <w:spacing w:after="0" w:line="277" w:lineRule="auto"/>
        <w:tabs>
          <w:tab w:leader="none" w:pos="1180" w:val="left"/>
        </w:tabs>
        <w:numPr>
          <w:ilvl w:val="0"/>
          <w:numId w:val="42"/>
        </w:numPr>
        <w:rPr>
          <w:rFonts w:ascii="Arial" w:cs="Arial" w:eastAsia="Arial" w:hAnsi="Arial"/>
          <w:sz w:val="18"/>
          <w:szCs w:val="18"/>
          <w:color w:val="auto"/>
        </w:rPr>
      </w:pPr>
      <w:r>
        <w:rPr>
          <w:rFonts w:ascii="Arial" w:cs="Arial" w:eastAsia="Arial" w:hAnsi="Arial"/>
          <w:sz w:val="18"/>
          <w:szCs w:val="18"/>
          <w:color w:val="auto"/>
        </w:rPr>
        <w:t>Recognize and manage risk. A listed entity should establish a sound system of risk management and periodically review the effectiveness of that framework.</w:t>
      </w:r>
    </w:p>
    <w:p>
      <w:pPr>
        <w:spacing w:after="0" w:line="75" w:lineRule="exact"/>
        <w:rPr>
          <w:rFonts w:ascii="Arial" w:cs="Arial" w:eastAsia="Arial" w:hAnsi="Arial"/>
          <w:sz w:val="18"/>
          <w:szCs w:val="18"/>
          <w:color w:val="auto"/>
        </w:rPr>
      </w:pPr>
    </w:p>
    <w:p>
      <w:pPr>
        <w:ind w:left="1180" w:right="260" w:hanging="544"/>
        <w:spacing w:after="0" w:line="264" w:lineRule="auto"/>
        <w:tabs>
          <w:tab w:leader="none" w:pos="1180" w:val="left"/>
        </w:tabs>
        <w:numPr>
          <w:ilvl w:val="0"/>
          <w:numId w:val="42"/>
        </w:numPr>
        <w:rPr>
          <w:rFonts w:ascii="Arial" w:cs="Arial" w:eastAsia="Arial" w:hAnsi="Arial"/>
          <w:sz w:val="18"/>
          <w:szCs w:val="18"/>
          <w:color w:val="auto"/>
        </w:rPr>
      </w:pPr>
      <w:r>
        <w:rPr>
          <w:rFonts w:ascii="Arial" w:cs="Arial" w:eastAsia="Arial" w:hAnsi="Arial"/>
          <w:sz w:val="18"/>
          <w:szCs w:val="18"/>
          <w:color w:val="auto"/>
        </w:rPr>
        <w:t>Remunerate fairly and responsibly. A listed entity should pay director remuneration sufficient to attract and retain high quality directors and design its executive remuneration to attract, retain and motivate high quality senior executives and to align their interests with the creation of value for security holders and with the entity’s values and risk appetite.</w:t>
      </w:r>
    </w:p>
    <w:p>
      <w:pPr>
        <w:spacing w:after="0" w:line="28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Non-Executive and Independent Directors</w:t>
      </w:r>
    </w:p>
    <w:p>
      <w:pPr>
        <w:spacing w:after="0" w:line="121" w:lineRule="exact"/>
        <w:rPr>
          <w:sz w:val="20"/>
          <w:szCs w:val="20"/>
          <w:color w:val="auto"/>
        </w:rPr>
      </w:pPr>
    </w:p>
    <w:p>
      <w:pPr>
        <w:ind w:left="200" w:right="160" w:firstLine="441"/>
        <w:spacing w:after="0" w:line="259" w:lineRule="auto"/>
        <w:rPr>
          <w:sz w:val="20"/>
          <w:szCs w:val="20"/>
          <w:color w:val="auto"/>
        </w:rPr>
      </w:pPr>
      <w:r>
        <w:rPr>
          <w:rFonts w:ascii="Arial" w:cs="Arial" w:eastAsia="Arial" w:hAnsi="Arial"/>
          <w:sz w:val="18"/>
          <w:szCs w:val="18"/>
          <w:color w:val="auto"/>
        </w:rPr>
        <w:t>Australian law does not require a company to appoint a certain number of independent directors to its board of directors or audit committee. However, under the ASX Corporate Governance Principles and Recommendations, the ASX recommends, but does not require, that a ASX-listed company have a majority of independent directors on its board of directors and that the audit committee be comprised of independent directors, within the meaning of the rules of the ASX.</w:t>
      </w:r>
    </w:p>
    <w:p>
      <w:pPr>
        <w:spacing w:after="0" w:line="187" w:lineRule="exact"/>
        <w:rPr>
          <w:sz w:val="20"/>
          <w:szCs w:val="20"/>
          <w:color w:val="auto"/>
        </w:rPr>
      </w:pPr>
    </w:p>
    <w:p>
      <w:pPr>
        <w:ind w:left="200" w:right="260" w:firstLine="441"/>
        <w:spacing w:after="0" w:line="264" w:lineRule="auto"/>
        <w:rPr>
          <w:sz w:val="20"/>
          <w:szCs w:val="20"/>
          <w:color w:val="auto"/>
        </w:rPr>
      </w:pPr>
      <w:r>
        <w:rPr>
          <w:rFonts w:ascii="Arial" w:cs="Arial" w:eastAsia="Arial" w:hAnsi="Arial"/>
          <w:sz w:val="18"/>
          <w:szCs w:val="18"/>
          <w:color w:val="auto"/>
        </w:rPr>
        <w:t>Our Board of Directors currently have five directors, of which we view four are independent non-executive directors within the meaning of the ASX Corporate Governance Principles and Recommendations, and our audit committee consists of three independent non-executive directors. Accordingly, we currently comply with the Recommendations.</w:t>
      </w:r>
    </w:p>
    <w:p>
      <w:pPr>
        <w:spacing w:after="0" w:line="181" w:lineRule="exact"/>
        <w:rPr>
          <w:sz w:val="20"/>
          <w:szCs w:val="20"/>
          <w:color w:val="auto"/>
        </w:rPr>
      </w:pPr>
    </w:p>
    <w:p>
      <w:pPr>
        <w:ind w:left="200" w:right="80" w:firstLine="441"/>
        <w:spacing w:after="0" w:line="286" w:lineRule="auto"/>
        <w:rPr>
          <w:sz w:val="20"/>
          <w:szCs w:val="20"/>
          <w:color w:val="auto"/>
        </w:rPr>
      </w:pPr>
      <w:r>
        <w:rPr>
          <w:rFonts w:ascii="Arial" w:cs="Arial" w:eastAsia="Arial" w:hAnsi="Arial"/>
          <w:sz w:val="17"/>
          <w:szCs w:val="17"/>
          <w:color w:val="auto"/>
        </w:rPr>
        <w:t>Under NASDAQ Marketplace Rules, in general a majority of our Board of Directors must qualify as independent directors within the meaning of the NASDAQ Marketplace Rules and our audit committee must have at least three members and be comprised only of independent directors, each of whom satisfies the respective “independence” requirements of NASDAQ and the U.S. Securities and Exchange Commission.</w:t>
      </w:r>
    </w:p>
    <w:p>
      <w:pPr>
        <w:spacing w:after="0" w:line="166" w:lineRule="exact"/>
        <w:rPr>
          <w:sz w:val="20"/>
          <w:szCs w:val="20"/>
          <w:color w:val="auto"/>
        </w:rPr>
      </w:pPr>
    </w:p>
    <w:p>
      <w:pPr>
        <w:jc w:val="both"/>
        <w:ind w:left="200" w:right="100" w:firstLine="441"/>
        <w:spacing w:after="0" w:line="286" w:lineRule="auto"/>
        <w:rPr>
          <w:sz w:val="20"/>
          <w:szCs w:val="20"/>
          <w:color w:val="auto"/>
        </w:rPr>
      </w:pPr>
      <w:r>
        <w:rPr>
          <w:rFonts w:ascii="Arial" w:cs="Arial" w:eastAsia="Arial" w:hAnsi="Arial"/>
          <w:sz w:val="17"/>
          <w:szCs w:val="17"/>
          <w:color w:val="auto"/>
        </w:rPr>
        <w:t>The Board of Directors does not have regularly scheduled meetings at which only independent directors are present. The Board of Directors does meet regularly, and independent directors are expected to attend all such meetings. Our practices are consistent with the Recommendations, in that the Recommendations do not provide that independent directors should meet separately from the Board of Directors.</w:t>
      </w:r>
    </w:p>
    <w:p>
      <w:pPr>
        <w:spacing w:after="0" w:line="98"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64</w:t>
      </w:r>
    </w:p>
    <w:p>
      <w:pPr>
        <w:sectPr>
          <w:pgSz w:w="11900" w:h="16838" w:orient="portrait"/>
          <w:cols w:equalWidth="0" w:num="1">
            <w:col w:w="11200"/>
          </w:cols>
          <w:pgMar w:left="240" w:top="459" w:right="459" w:bottom="1440" w:gutter="0" w:footer="0" w:header="0"/>
        </w:sectPr>
      </w:pPr>
    </w:p>
    <w:bookmarkStart w:id="66" w:name="page67"/>
    <w:bookmarkEnd w:id="6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20" w:firstLine="441"/>
        <w:spacing w:after="0" w:line="342" w:lineRule="auto"/>
        <w:rPr>
          <w:sz w:val="20"/>
          <w:szCs w:val="20"/>
          <w:color w:val="auto"/>
        </w:rPr>
      </w:pPr>
      <w:r>
        <w:rPr>
          <w:rFonts w:ascii="Arial" w:cs="Arial" w:eastAsia="Arial" w:hAnsi="Arial"/>
          <w:sz w:val="16"/>
          <w:szCs w:val="16"/>
          <w:color w:val="auto"/>
        </w:rPr>
        <w:t>Our Board of Directors has determined that each of Lou Panaccio, Jeremy Curnock Cook, Louis Drapeau, Damien McDonald and Suzanne Crowe qualifies as an independent director under the requirements of the ASX, NASDAQ Marketplace Rules and U.S. Securities and Exchange Commission.</w:t>
      </w:r>
    </w:p>
    <w:p>
      <w:pPr>
        <w:spacing w:after="0" w:line="228"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Committees of the Board of Directors</w:t>
      </w:r>
    </w:p>
    <w:p>
      <w:pPr>
        <w:spacing w:after="0" w:line="121" w:lineRule="exact"/>
        <w:rPr>
          <w:sz w:val="20"/>
          <w:szCs w:val="20"/>
          <w:color w:val="auto"/>
        </w:rPr>
      </w:pPr>
    </w:p>
    <w:p>
      <w:pPr>
        <w:ind w:left="200" w:right="60" w:firstLine="441"/>
        <w:spacing w:after="0" w:line="286" w:lineRule="auto"/>
        <w:rPr>
          <w:sz w:val="20"/>
          <w:szCs w:val="20"/>
          <w:color w:val="auto"/>
        </w:rPr>
      </w:pPr>
      <w:r>
        <w:rPr>
          <w:rFonts w:ascii="Arial" w:cs="Arial" w:eastAsia="Arial" w:hAnsi="Arial"/>
          <w:sz w:val="17"/>
          <w:szCs w:val="17"/>
          <w:i w:val="1"/>
          <w:iCs w:val="1"/>
          <w:color w:val="auto"/>
        </w:rPr>
        <w:t>Audit Committee</w:t>
      </w:r>
      <w:r>
        <w:rPr>
          <w:rFonts w:ascii="Arial" w:cs="Arial" w:eastAsia="Arial" w:hAnsi="Arial"/>
          <w:sz w:val="17"/>
          <w:szCs w:val="17"/>
          <w:color w:val="auto"/>
        </w:rPr>
        <w:t>. NASDAQ Marketplace Rules require us to establish an audit committee comprised of at least three members, each of whom is</w:t>
      </w:r>
      <w:r>
        <w:rPr>
          <w:rFonts w:ascii="Arial" w:cs="Arial" w:eastAsia="Arial" w:hAnsi="Arial"/>
          <w:sz w:val="17"/>
          <w:szCs w:val="17"/>
          <w:i w:val="1"/>
          <w:iCs w:val="1"/>
          <w:color w:val="auto"/>
        </w:rPr>
        <w:t xml:space="preserve"> </w:t>
      </w:r>
      <w:r>
        <w:rPr>
          <w:rFonts w:ascii="Arial" w:cs="Arial" w:eastAsia="Arial" w:hAnsi="Arial"/>
          <w:sz w:val="17"/>
          <w:szCs w:val="17"/>
          <w:color w:val="auto"/>
        </w:rPr>
        <w:t>financially literate and satisfies the respective “independence” requirements of the U.S. Securities and Exchange Commission and NASDAQ and one of whom has accounting or related financial management expertise at senior levels within a company.</w:t>
      </w:r>
    </w:p>
    <w:p>
      <w:pPr>
        <w:spacing w:after="0" w:line="166" w:lineRule="exact"/>
        <w:rPr>
          <w:sz w:val="20"/>
          <w:szCs w:val="20"/>
          <w:color w:val="auto"/>
        </w:rPr>
      </w:pPr>
    </w:p>
    <w:p>
      <w:pPr>
        <w:jc w:val="both"/>
        <w:ind w:left="200" w:right="120" w:firstLine="441"/>
        <w:spacing w:after="0" w:line="259" w:lineRule="auto"/>
        <w:rPr>
          <w:sz w:val="20"/>
          <w:szCs w:val="20"/>
          <w:color w:val="auto"/>
        </w:rPr>
      </w:pPr>
      <w:r>
        <w:rPr>
          <w:rFonts w:ascii="Arial" w:cs="Arial" w:eastAsia="Arial" w:hAnsi="Arial"/>
          <w:sz w:val="18"/>
          <w:szCs w:val="18"/>
          <w:color w:val="auto"/>
        </w:rPr>
        <w:t>Our Audit Committee assists our Board of Directors in overseeing the accounting and financial reporting processes of our company and audits of our financial statements, including the integrity of our financial statements, compliance with legal and regulatory requirements, our independent public accountants’ qualifications and independence, and independent public accountants, and such other duties as may be directed by our Board of Directors. The Audit Committee is also required to assess risk management.</w:t>
      </w:r>
    </w:p>
    <w:p>
      <w:pPr>
        <w:spacing w:after="0" w:line="187" w:lineRule="exact"/>
        <w:rPr>
          <w:sz w:val="20"/>
          <w:szCs w:val="20"/>
          <w:color w:val="auto"/>
        </w:rPr>
      </w:pPr>
    </w:p>
    <w:p>
      <w:pPr>
        <w:ind w:left="200" w:right="140" w:firstLine="441"/>
        <w:spacing w:after="0" w:line="259" w:lineRule="auto"/>
        <w:rPr>
          <w:sz w:val="20"/>
          <w:szCs w:val="20"/>
          <w:color w:val="auto"/>
        </w:rPr>
      </w:pPr>
      <w:r>
        <w:rPr>
          <w:rFonts w:ascii="Arial" w:cs="Arial" w:eastAsia="Arial" w:hAnsi="Arial"/>
          <w:sz w:val="18"/>
          <w:szCs w:val="18"/>
          <w:color w:val="auto"/>
        </w:rPr>
        <w:t>Our Audit Committee currently consists of three board members, each of whom satisfies the “independence” requirements of the U.S. Securities and Exchange Commission, NASDAQ Marketplace Rules and ASX Rules. Our Audit Committee is currently composed of Messrs. Drapeau, Panaccio and McDonald. Each qualifies as an “independent director” within the meaning of NASDAQ Marketplace Rules. Mr. Drapeau is the chairman of the audit committee. The audit committee meets at least two times per year.</w:t>
      </w:r>
    </w:p>
    <w:p>
      <w:pPr>
        <w:spacing w:after="0" w:line="187" w:lineRule="exact"/>
        <w:rPr>
          <w:sz w:val="20"/>
          <w:szCs w:val="20"/>
          <w:color w:val="auto"/>
        </w:rPr>
      </w:pPr>
    </w:p>
    <w:p>
      <w:pPr>
        <w:ind w:left="200" w:firstLine="441"/>
        <w:spacing w:after="0" w:line="293" w:lineRule="auto"/>
        <w:rPr>
          <w:sz w:val="20"/>
          <w:szCs w:val="20"/>
          <w:color w:val="auto"/>
        </w:rPr>
      </w:pPr>
      <w:r>
        <w:rPr>
          <w:rFonts w:ascii="Arial" w:cs="Arial" w:eastAsia="Arial" w:hAnsi="Arial"/>
          <w:sz w:val="16"/>
          <w:szCs w:val="16"/>
          <w:i w:val="1"/>
          <w:iCs w:val="1"/>
          <w:color w:val="auto"/>
        </w:rPr>
        <w:t xml:space="preserve">Remuneration (Compensation) Committee. </w:t>
      </w:r>
      <w:r>
        <w:rPr>
          <w:rFonts w:ascii="Arial" w:cs="Arial" w:eastAsia="Arial" w:hAnsi="Arial"/>
          <w:sz w:val="16"/>
          <w:szCs w:val="16"/>
          <w:color w:val="auto"/>
        </w:rPr>
        <w:t>Our Board of Directors has established a Remuneration Committee, which is comprised by majority of</w:t>
      </w:r>
      <w:r>
        <w:rPr>
          <w:rFonts w:ascii="Arial" w:cs="Arial" w:eastAsia="Arial" w:hAnsi="Arial"/>
          <w:sz w:val="16"/>
          <w:szCs w:val="16"/>
          <w:i w:val="1"/>
          <w:iCs w:val="1"/>
          <w:color w:val="auto"/>
        </w:rPr>
        <w:t xml:space="preserve"> </w:t>
      </w:r>
      <w:r>
        <w:rPr>
          <w:rFonts w:ascii="Arial" w:cs="Arial" w:eastAsia="Arial" w:hAnsi="Arial"/>
          <w:sz w:val="16"/>
          <w:szCs w:val="16"/>
          <w:color w:val="auto"/>
        </w:rPr>
        <w:t>independent directors, within the meaning of NASDAQ Marketplace Rules. The Remuneration Committee is responsible for reviewing the salary, incentives and other benefits of our directors, senior executive officers and employees, and to make recommendations on such matters for approval by our Board of Directors. The Remuneration Committee is also responsible for overseeing and advising our Board of Directors with regard to the adoption of policies that govern our compensation programs. Ms. Crowe and Messrs. Drapeau and Cook are the current members of the Remuneration Committee and each qualifies as an “independent director” within the meaning of NASDAQ Marketplace Rules. Ms. Crowe is the chairman of this committee.</w:t>
      </w:r>
    </w:p>
    <w:p>
      <w:pPr>
        <w:spacing w:after="0" w:line="165" w:lineRule="exact"/>
        <w:rPr>
          <w:sz w:val="20"/>
          <w:szCs w:val="20"/>
          <w:color w:val="auto"/>
        </w:rPr>
      </w:pPr>
    </w:p>
    <w:p>
      <w:pPr>
        <w:ind w:left="200" w:right="20" w:firstLine="441"/>
        <w:spacing w:after="0" w:line="255" w:lineRule="auto"/>
        <w:rPr>
          <w:sz w:val="20"/>
          <w:szCs w:val="20"/>
          <w:color w:val="auto"/>
        </w:rPr>
      </w:pPr>
      <w:r>
        <w:rPr>
          <w:rFonts w:ascii="Arial" w:cs="Arial" w:eastAsia="Arial" w:hAnsi="Arial"/>
          <w:sz w:val="18"/>
          <w:szCs w:val="18"/>
          <w:i w:val="1"/>
          <w:iCs w:val="1"/>
          <w:color w:val="auto"/>
        </w:rPr>
        <w:t>Nomination Committee</w:t>
      </w:r>
      <w:r>
        <w:rPr>
          <w:rFonts w:ascii="Arial" w:cs="Arial" w:eastAsia="Arial" w:hAnsi="Arial"/>
          <w:sz w:val="18"/>
          <w:szCs w:val="18"/>
          <w:color w:val="auto"/>
        </w:rPr>
        <w:t>. Our Board of Directors has established a Nomination Committee. Ms. Crowe and Messrs. Drapeau and Cook are the</w:t>
      </w:r>
      <w:r>
        <w:rPr>
          <w:rFonts w:ascii="Arial" w:cs="Arial" w:eastAsia="Arial" w:hAnsi="Arial"/>
          <w:sz w:val="18"/>
          <w:szCs w:val="18"/>
          <w:i w:val="1"/>
          <w:iCs w:val="1"/>
          <w:color w:val="auto"/>
        </w:rPr>
        <w:t xml:space="preserve"> </w:t>
      </w:r>
      <w:r>
        <w:rPr>
          <w:rFonts w:ascii="Arial" w:cs="Arial" w:eastAsia="Arial" w:hAnsi="Arial"/>
          <w:sz w:val="18"/>
          <w:szCs w:val="18"/>
          <w:color w:val="auto"/>
        </w:rPr>
        <w:t>current members of the Nomination Committee and each qualifies as an “independent director” within the meaning of NASDAQ Marketplace Rules. Ms. Crowe is the chairman of this committee. The Nomination Committee is responsible for identifying individuals qualified to become members of our Board of Directors, recommending to our Board of Directors nominees for election at meetings of our shareholders or to fill vacancies that arise on our Board of Directors, and recommending to our Board of Directors qualified and experienced directors to serve on the committees of our Board of Directors.</w:t>
      </w:r>
    </w:p>
    <w:p>
      <w:pPr>
        <w:spacing w:after="0" w:line="297"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Directors’ Service Contracts</w:t>
      </w:r>
    </w:p>
    <w:p>
      <w:pPr>
        <w:spacing w:after="0" w:line="121" w:lineRule="exact"/>
        <w:rPr>
          <w:sz w:val="20"/>
          <w:szCs w:val="20"/>
          <w:color w:val="auto"/>
        </w:rPr>
      </w:pPr>
    </w:p>
    <w:p>
      <w:pPr>
        <w:ind w:left="200" w:right="80" w:firstLine="441"/>
        <w:spacing w:after="0" w:line="277" w:lineRule="auto"/>
        <w:rPr>
          <w:sz w:val="20"/>
          <w:szCs w:val="20"/>
          <w:color w:val="auto"/>
        </w:rPr>
      </w:pPr>
      <w:r>
        <w:rPr>
          <w:rFonts w:ascii="Arial" w:cs="Arial" w:eastAsia="Arial" w:hAnsi="Arial"/>
          <w:sz w:val="18"/>
          <w:szCs w:val="18"/>
          <w:color w:val="auto"/>
        </w:rPr>
        <w:t>For details of directors’ service contracts providing for benefits upon termination of employment, see “Item 6. Directors, Senior Management and Employees – B. Compensation – Service Agreements.”</w:t>
      </w:r>
    </w:p>
    <w:p>
      <w:pPr>
        <w:spacing w:after="0" w:line="27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Indemnification of Directors and Officers</w:t>
      </w:r>
    </w:p>
    <w:p>
      <w:pPr>
        <w:spacing w:after="0" w:line="121" w:lineRule="exact"/>
        <w:rPr>
          <w:sz w:val="20"/>
          <w:szCs w:val="20"/>
          <w:color w:val="auto"/>
        </w:rPr>
      </w:pPr>
    </w:p>
    <w:p>
      <w:pPr>
        <w:ind w:left="200" w:right="200" w:firstLine="441"/>
        <w:spacing w:after="0" w:line="264" w:lineRule="auto"/>
        <w:rPr>
          <w:sz w:val="20"/>
          <w:szCs w:val="20"/>
          <w:color w:val="auto"/>
        </w:rPr>
      </w:pPr>
      <w:r>
        <w:rPr>
          <w:rFonts w:ascii="Arial" w:cs="Arial" w:eastAsia="Arial" w:hAnsi="Arial"/>
          <w:sz w:val="18"/>
          <w:szCs w:val="18"/>
          <w:color w:val="auto"/>
        </w:rPr>
        <w:t>Our Constitution provides that, we may indemnify a person who is, or has been, an officer of our company, to the full extent permissible by law, out of our property against any liability incurred by such person as an officer in defending proceedings, whether civil or criminal, and whatever their outcome.</w:t>
      </w:r>
    </w:p>
    <w:p>
      <w:pPr>
        <w:spacing w:after="0" w:line="114"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65</w:t>
      </w:r>
    </w:p>
    <w:p>
      <w:pPr>
        <w:sectPr>
          <w:pgSz w:w="11900" w:h="16838" w:orient="portrait"/>
          <w:cols w:equalWidth="0" w:num="1">
            <w:col w:w="11220"/>
          </w:cols>
          <w:pgMar w:left="240" w:top="459" w:right="439" w:bottom="1440" w:gutter="0" w:footer="0" w:header="0"/>
        </w:sectPr>
      </w:pPr>
    </w:p>
    <w:bookmarkStart w:id="67" w:name="page68"/>
    <w:bookmarkEnd w:id="6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40" w:firstLine="441"/>
        <w:spacing w:after="0" w:line="277" w:lineRule="auto"/>
        <w:rPr>
          <w:sz w:val="20"/>
          <w:szCs w:val="20"/>
          <w:color w:val="auto"/>
        </w:rPr>
      </w:pPr>
      <w:r>
        <w:rPr>
          <w:rFonts w:ascii="Arial" w:cs="Arial" w:eastAsia="Arial" w:hAnsi="Arial"/>
          <w:sz w:val="18"/>
          <w:szCs w:val="18"/>
          <w:color w:val="auto"/>
        </w:rPr>
        <w:t>In addition, our Constitution provides that to the extent permitted by law, we may pay, or agree to pay, a premium in respect of a contract insuring a person who is or has been an officer of our company or one of our subsidiaries against any liability:</w:t>
      </w:r>
    </w:p>
    <w:p>
      <w:pPr>
        <w:spacing w:after="0" w:line="76" w:lineRule="exact"/>
        <w:rPr>
          <w:sz w:val="20"/>
          <w:szCs w:val="20"/>
          <w:color w:val="auto"/>
        </w:rPr>
      </w:pPr>
    </w:p>
    <w:p>
      <w:pPr>
        <w:ind w:left="1180" w:hanging="436"/>
        <w:spacing w:after="0"/>
        <w:tabs>
          <w:tab w:leader="none" w:pos="1180" w:val="left"/>
        </w:tabs>
        <w:numPr>
          <w:ilvl w:val="0"/>
          <w:numId w:val="43"/>
        </w:numPr>
        <w:rPr>
          <w:rFonts w:ascii="Arial" w:cs="Arial" w:eastAsia="Arial" w:hAnsi="Arial"/>
          <w:sz w:val="18"/>
          <w:szCs w:val="18"/>
          <w:color w:val="auto"/>
        </w:rPr>
      </w:pPr>
      <w:r>
        <w:rPr>
          <w:rFonts w:ascii="Arial" w:cs="Arial" w:eastAsia="Arial" w:hAnsi="Arial"/>
          <w:sz w:val="18"/>
          <w:szCs w:val="18"/>
          <w:color w:val="auto"/>
        </w:rPr>
        <w:t>incurred by the person in his or her capacity as an officer of our company or a subsidiary of our company, and</w:t>
      </w:r>
    </w:p>
    <w:p>
      <w:pPr>
        <w:spacing w:after="0" w:line="130" w:lineRule="exact"/>
        <w:rPr>
          <w:rFonts w:ascii="Arial" w:cs="Arial" w:eastAsia="Arial" w:hAnsi="Arial"/>
          <w:sz w:val="18"/>
          <w:szCs w:val="18"/>
          <w:color w:val="auto"/>
        </w:rPr>
      </w:pPr>
    </w:p>
    <w:p>
      <w:pPr>
        <w:ind w:left="1180" w:right="120" w:hanging="436"/>
        <w:spacing w:after="0" w:line="277" w:lineRule="auto"/>
        <w:tabs>
          <w:tab w:leader="none" w:pos="1180" w:val="left"/>
        </w:tabs>
        <w:numPr>
          <w:ilvl w:val="0"/>
          <w:numId w:val="43"/>
        </w:numPr>
        <w:rPr>
          <w:rFonts w:ascii="Arial" w:cs="Arial" w:eastAsia="Arial" w:hAnsi="Arial"/>
          <w:sz w:val="18"/>
          <w:szCs w:val="18"/>
          <w:color w:val="auto"/>
        </w:rPr>
      </w:pPr>
      <w:r>
        <w:rPr>
          <w:rFonts w:ascii="Arial" w:cs="Arial" w:eastAsia="Arial" w:hAnsi="Arial"/>
          <w:sz w:val="18"/>
          <w:szCs w:val="18"/>
          <w:color w:val="auto"/>
        </w:rPr>
        <w:t>for costs and expenses incurred by that person in defending proceedings relating to that person acting as an officer of Avita, whether civil or criminal, and whatever their outcome.</w:t>
      </w:r>
    </w:p>
    <w:p>
      <w:pPr>
        <w:spacing w:after="0" w:line="170" w:lineRule="exact"/>
        <w:rPr>
          <w:sz w:val="20"/>
          <w:szCs w:val="20"/>
          <w:color w:val="auto"/>
        </w:rPr>
      </w:pPr>
    </w:p>
    <w:p>
      <w:pPr>
        <w:ind w:left="200" w:right="60" w:firstLine="441"/>
        <w:spacing w:after="0" w:line="342" w:lineRule="auto"/>
        <w:rPr>
          <w:sz w:val="20"/>
          <w:szCs w:val="20"/>
          <w:color w:val="auto"/>
        </w:rPr>
      </w:pPr>
      <w:r>
        <w:rPr>
          <w:rFonts w:ascii="Arial" w:cs="Arial" w:eastAsia="Arial" w:hAnsi="Arial"/>
          <w:sz w:val="16"/>
          <w:szCs w:val="16"/>
          <w:color w:val="auto"/>
        </w:rPr>
        <w:t>We maintain a directors’ and officers’ liability insurance policy. We have established a policy for the indemnification of our directors and officers against certain liabilities incurred as a director or officer, including costs and expenses associated in successfully defending legal proceedings.</w:t>
      </w:r>
    </w:p>
    <w:p>
      <w:pPr>
        <w:spacing w:after="0" w:line="228"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D. Employees</w:t>
      </w:r>
    </w:p>
    <w:p>
      <w:pPr>
        <w:spacing w:after="0" w:line="121" w:lineRule="exact"/>
        <w:rPr>
          <w:sz w:val="20"/>
          <w:szCs w:val="20"/>
          <w:color w:val="auto"/>
        </w:rPr>
      </w:pPr>
    </w:p>
    <w:p>
      <w:pPr>
        <w:jc w:val="both"/>
        <w:ind w:left="200" w:right="200" w:firstLine="441"/>
        <w:spacing w:after="0" w:line="302" w:lineRule="auto"/>
        <w:rPr>
          <w:sz w:val="20"/>
          <w:szCs w:val="20"/>
          <w:color w:val="auto"/>
        </w:rPr>
      </w:pPr>
      <w:r>
        <w:rPr>
          <w:rFonts w:ascii="Arial" w:cs="Arial" w:eastAsia="Arial" w:hAnsi="Arial"/>
          <w:sz w:val="16"/>
          <w:szCs w:val="16"/>
          <w:color w:val="auto"/>
        </w:rPr>
        <w:t>As of June 30, 2019, we had 95 full-time employees, of which 80 were located in the U.S., two were located in Europe and one in Australia. Of these full-time employees, 30 are engaged in sales and marketing activities, 14 are engaged in research and development activities, 21 are engaged in manufacturing, quality and regulatory activities and 20 are engaged in corporate administrative activities. None of our employees is represented by a labor union or covered by a collective bargaining agreement. We consider our relationship with our employees to be good.</w:t>
      </w:r>
    </w:p>
    <w:p>
      <w:pPr>
        <w:spacing w:after="0" w:line="258"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E. Share Ownership</w:t>
      </w:r>
    </w:p>
    <w:p>
      <w:pPr>
        <w:spacing w:after="0" w:line="117"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Beneficial Ownership of Senior Management and Directors</w:t>
      </w:r>
    </w:p>
    <w:p>
      <w:pPr>
        <w:spacing w:after="0" w:line="121" w:lineRule="exact"/>
        <w:rPr>
          <w:sz w:val="20"/>
          <w:szCs w:val="20"/>
          <w:color w:val="auto"/>
        </w:rPr>
      </w:pPr>
    </w:p>
    <w:p>
      <w:pPr>
        <w:ind w:left="640"/>
        <w:spacing w:after="0"/>
        <w:rPr>
          <w:sz w:val="20"/>
          <w:szCs w:val="20"/>
          <w:color w:val="auto"/>
        </w:rPr>
      </w:pPr>
      <w:r>
        <w:rPr>
          <w:rFonts w:ascii="Arial" w:cs="Arial" w:eastAsia="Arial" w:hAnsi="Arial"/>
          <w:sz w:val="18"/>
          <w:szCs w:val="18"/>
          <w:color w:val="auto"/>
        </w:rPr>
        <w:t>The beneficial ownership of senior management and directors are set out in Item 7 (A).</w:t>
      </w:r>
    </w:p>
    <w:p>
      <w:pPr>
        <w:spacing w:after="0" w:line="329"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F. Stock Option Plan</w:t>
      </w:r>
    </w:p>
    <w:p>
      <w:pPr>
        <w:spacing w:after="0" w:line="121" w:lineRule="exact"/>
        <w:rPr>
          <w:sz w:val="20"/>
          <w:szCs w:val="20"/>
          <w:color w:val="auto"/>
        </w:rPr>
      </w:pPr>
    </w:p>
    <w:p>
      <w:pPr>
        <w:ind w:left="200" w:right="20" w:firstLine="441"/>
        <w:spacing w:after="0" w:line="257" w:lineRule="auto"/>
        <w:rPr>
          <w:sz w:val="20"/>
          <w:szCs w:val="20"/>
          <w:color w:val="auto"/>
        </w:rPr>
      </w:pPr>
      <w:r>
        <w:rPr>
          <w:rFonts w:ascii="Arial" w:cs="Arial" w:eastAsia="Arial" w:hAnsi="Arial"/>
          <w:sz w:val="18"/>
          <w:szCs w:val="18"/>
          <w:color w:val="auto"/>
        </w:rPr>
        <w:t>In November 2014, we adopted the Employee Share Plan and the Incentive Option Plan (collectively, the 2016 Plans). The Employee Share Plan was amended at the 2018 AGM. Under the 2016 Plans, we may issue stock options or other share-based instruments representing up to 7.5% of our ordinary shares outstanding, or a total of 139,832,968 ordinary shares based on the number of ordinary shares currently outstanding. Any increase in the maximum number of ordinary shares issuable under the 2016 Plans is subject to shareholder approval or to an increase in the total number of ordinary shares outstanding.</w:t>
      </w:r>
    </w:p>
    <w:p>
      <w:pPr>
        <w:spacing w:after="0" w:line="188" w:lineRule="exact"/>
        <w:rPr>
          <w:sz w:val="20"/>
          <w:szCs w:val="20"/>
          <w:color w:val="auto"/>
        </w:rPr>
      </w:pPr>
    </w:p>
    <w:p>
      <w:pPr>
        <w:ind w:left="200" w:right="60" w:firstLine="441"/>
        <w:spacing w:after="0" w:line="259" w:lineRule="auto"/>
        <w:rPr>
          <w:sz w:val="20"/>
          <w:szCs w:val="20"/>
          <w:color w:val="auto"/>
        </w:rPr>
      </w:pPr>
      <w:r>
        <w:rPr>
          <w:rFonts w:ascii="Arial" w:cs="Arial" w:eastAsia="Arial" w:hAnsi="Arial"/>
          <w:sz w:val="18"/>
          <w:szCs w:val="18"/>
          <w:color w:val="auto"/>
        </w:rPr>
        <w:t>The purpose of the 2016 Plans is to promote the success of our Company by incentivizing our employees and directors to contribute to the creation of shareholder value. Under the 2016 Plans, we may issue to employees and directors of our Company and its subsidiaries, from time to time, options to purchase ordinary shares or other share-based instruments. To date, the 2016 Plans have only been used to issue options to purchase ordinary shares to employees.</w:t>
      </w:r>
    </w:p>
    <w:p>
      <w:pPr>
        <w:spacing w:after="0" w:line="187" w:lineRule="exact"/>
        <w:rPr>
          <w:sz w:val="20"/>
          <w:szCs w:val="20"/>
          <w:color w:val="auto"/>
        </w:rPr>
      </w:pPr>
    </w:p>
    <w:p>
      <w:pPr>
        <w:ind w:left="200" w:firstLine="441"/>
        <w:spacing w:after="0" w:line="257" w:lineRule="auto"/>
        <w:rPr>
          <w:sz w:val="20"/>
          <w:szCs w:val="20"/>
          <w:color w:val="auto"/>
        </w:rPr>
      </w:pPr>
      <w:r>
        <w:rPr>
          <w:rFonts w:ascii="Arial" w:cs="Arial" w:eastAsia="Arial" w:hAnsi="Arial"/>
          <w:sz w:val="18"/>
          <w:szCs w:val="18"/>
          <w:color w:val="auto"/>
        </w:rPr>
        <w:t>The 2016 Plans are administered by the Remuneration Committee. Subject to Board approval where required by applicable law, the Remuneration Committee has the authority, in its sole discretion, to grant options under the 2016 Plans, to interpret the provisions of the 2016 Plans, and to prescribe, amend, and rescind rules and regulations relating to the 2016 Plans or any issue or grant thereunder as it may deem necessary or advisable, subject to any other approval if required by applicable law. All decisions made by the Remuneration Committee pursuant to the provisions of the 2016 Plans will be final, conclusive and binding on all persons.</w:t>
      </w:r>
    </w:p>
    <w:p>
      <w:pPr>
        <w:spacing w:after="0" w:line="188" w:lineRule="exact"/>
        <w:rPr>
          <w:sz w:val="20"/>
          <w:szCs w:val="20"/>
          <w:color w:val="auto"/>
        </w:rPr>
      </w:pPr>
    </w:p>
    <w:p>
      <w:pPr>
        <w:ind w:left="200" w:right="60" w:firstLine="441"/>
        <w:spacing w:after="0" w:line="277" w:lineRule="auto"/>
        <w:rPr>
          <w:sz w:val="20"/>
          <w:szCs w:val="20"/>
          <w:color w:val="auto"/>
        </w:rPr>
      </w:pPr>
      <w:r>
        <w:rPr>
          <w:rFonts w:ascii="Arial" w:cs="Arial" w:eastAsia="Arial" w:hAnsi="Arial"/>
          <w:sz w:val="18"/>
          <w:szCs w:val="18"/>
          <w:color w:val="auto"/>
        </w:rPr>
        <w:t>The number of shares issued or options granted, the exercise price and option term or options granted, the vesting schedule and escrow periods of shares issued and options granted, under the 2016 Plans are determined</w:t>
      </w:r>
    </w:p>
    <w:p>
      <w:pPr>
        <w:spacing w:after="0" w:line="103"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66</w:t>
      </w:r>
    </w:p>
    <w:p>
      <w:pPr>
        <w:sectPr>
          <w:pgSz w:w="11900" w:h="16838" w:orient="portrait"/>
          <w:cols w:equalWidth="0" w:num="1">
            <w:col w:w="11180"/>
          </w:cols>
          <w:pgMar w:left="240" w:top="459" w:right="479" w:bottom="1440" w:gutter="0" w:footer="0" w:header="0"/>
        </w:sectPr>
      </w:pPr>
    </w:p>
    <w:bookmarkStart w:id="68" w:name="page69"/>
    <w:bookmarkEnd w:id="6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160"/>
        <w:spacing w:after="0" w:line="290" w:lineRule="auto"/>
        <w:rPr>
          <w:sz w:val="20"/>
          <w:szCs w:val="20"/>
          <w:color w:val="auto"/>
        </w:rPr>
      </w:pPr>
      <w:r>
        <w:rPr>
          <w:rFonts w:ascii="Arial" w:cs="Arial" w:eastAsia="Arial" w:hAnsi="Arial"/>
          <w:sz w:val="16"/>
          <w:szCs w:val="16"/>
          <w:color w:val="auto"/>
        </w:rPr>
        <w:t>by the Remuneration Committee, in accordance with the provisions of the 2016 Plans, and specified in an offer document from our Company and accepted by the eligible person, subject to the terms of the 2016 Plans. Options granted under the 2016 Plans will be unlisted and exercisable at an exercise price equal to less than market value of an ordinary share on the ASX at the date of grant, or such other exercise price that the Remuneration Committee determines to be appropriate under the circumstances. The term of an option granted under the 2016 Plans will be determined by the Remuneration Committee; however, no option will be exercisable after the expiration of ten years from the date of its grant. Except as otherwise provided in the 2016 Plans or determined by the Remuneration Committee and set forth in an offer document, the issuance of shares and exercise of options granted under the 2016 Plans will (i) vest over a four year period in four equal installments, 25% at the end of each year from the date of grant, and /or (ii) will be subject to other performance criteria and hurdles, as determined by the Remuneration Committee.</w:t>
      </w:r>
    </w:p>
    <w:p>
      <w:pPr>
        <w:spacing w:after="0" w:line="166" w:lineRule="exact"/>
        <w:rPr>
          <w:sz w:val="20"/>
          <w:szCs w:val="20"/>
          <w:color w:val="auto"/>
        </w:rPr>
      </w:pPr>
    </w:p>
    <w:p>
      <w:pPr>
        <w:ind w:left="200" w:right="380" w:firstLine="441"/>
        <w:spacing w:after="0" w:line="277" w:lineRule="auto"/>
        <w:rPr>
          <w:sz w:val="20"/>
          <w:szCs w:val="20"/>
          <w:color w:val="auto"/>
        </w:rPr>
      </w:pPr>
      <w:r>
        <w:rPr>
          <w:rFonts w:ascii="Arial" w:cs="Arial" w:eastAsia="Arial" w:hAnsi="Arial"/>
          <w:sz w:val="18"/>
          <w:szCs w:val="18"/>
          <w:color w:val="auto"/>
        </w:rPr>
        <w:t>A summary of the status of the 2016 Plans and predecessor plans, as of June 30, 2018, 2017 and 2016, and the changes for the years ended on those dates, is presented below:</w:t>
      </w:r>
    </w:p>
    <w:p>
      <w:pPr>
        <w:spacing w:after="0" w:line="177" w:lineRule="exact"/>
        <w:rPr>
          <w:sz w:val="20"/>
          <w:szCs w:val="20"/>
          <w:color w:val="auto"/>
        </w:rPr>
      </w:pPr>
    </w:p>
    <w:tbl>
      <w:tblPr>
        <w:tblLayout w:type="fixed"/>
        <w:tblInd w:w="20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2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0" w:type="dxa"/>
            <w:vAlign w:val="bottom"/>
            <w:gridSpan w:val="2"/>
            <w:vMerge w:val="restart"/>
          </w:tcPr>
          <w:p>
            <w:pPr>
              <w:jc w:val="right"/>
              <w:ind w:right="80"/>
              <w:spacing w:after="0"/>
              <w:rPr>
                <w:sz w:val="20"/>
                <w:szCs w:val="20"/>
                <w:color w:val="auto"/>
              </w:rPr>
            </w:pPr>
            <w:r>
              <w:rPr>
                <w:rFonts w:ascii="Arial" w:cs="Arial" w:eastAsia="Arial" w:hAnsi="Arial"/>
                <w:sz w:val="14"/>
                <w:szCs w:val="14"/>
                <w:b w:val="1"/>
                <w:bCs w:val="1"/>
                <w:color w:val="auto"/>
              </w:rPr>
              <w:t>2018</w:t>
            </w: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80" w:type="dxa"/>
            <w:vAlign w:val="bottom"/>
            <w:gridSpan w:val="5"/>
          </w:tcPr>
          <w:p>
            <w:pPr>
              <w:jc w:val="right"/>
              <w:ind w:right="353"/>
              <w:spacing w:after="0"/>
              <w:rPr>
                <w:sz w:val="20"/>
                <w:szCs w:val="20"/>
                <w:color w:val="auto"/>
              </w:rPr>
            </w:pPr>
            <w:r>
              <w:rPr>
                <w:rFonts w:ascii="Arial" w:cs="Arial" w:eastAsia="Arial" w:hAnsi="Arial"/>
                <w:sz w:val="14"/>
                <w:szCs w:val="14"/>
                <w:b w:val="1"/>
                <w:bCs w:val="1"/>
                <w:color w:val="auto"/>
              </w:rPr>
              <w:t>As of June 30,</w:t>
            </w:r>
          </w:p>
        </w:tc>
        <w:tc>
          <w:tcPr>
            <w:tcW w:w="1420" w:type="dxa"/>
            <w:vAlign w:val="bottom"/>
            <w:gridSpan w:val="3"/>
            <w:vMerge w:val="restart"/>
          </w:tcPr>
          <w:p>
            <w:pPr>
              <w:jc w:val="right"/>
              <w:ind w:right="80"/>
              <w:spacing w:after="0"/>
              <w:rPr>
                <w:sz w:val="20"/>
                <w:szCs w:val="20"/>
                <w:color w:val="auto"/>
              </w:rPr>
            </w:pPr>
            <w:r>
              <w:rPr>
                <w:rFonts w:ascii="Arial" w:cs="Arial" w:eastAsia="Arial" w:hAnsi="Arial"/>
                <w:sz w:val="14"/>
                <w:szCs w:val="14"/>
                <w:b w:val="1"/>
                <w:bCs w:val="1"/>
                <w:color w:val="auto"/>
              </w:rPr>
              <w:t>2016</w:t>
            </w: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42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0" w:type="dxa"/>
            <w:vAlign w:val="bottom"/>
            <w:gridSpan w:val="2"/>
            <w:vMerge w:val="continue"/>
          </w:tcPr>
          <w:p>
            <w:pPr>
              <w:spacing w:after="0"/>
              <w:rPr>
                <w:sz w:val="14"/>
                <w:szCs w:val="14"/>
                <w:color w:val="auto"/>
              </w:rPr>
            </w:pP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0" w:type="dxa"/>
            <w:vAlign w:val="bottom"/>
            <w:gridSpan w:val="2"/>
          </w:tcPr>
          <w:p>
            <w:pPr>
              <w:jc w:val="right"/>
              <w:ind w:right="80"/>
              <w:spacing w:after="0"/>
              <w:rPr>
                <w:sz w:val="20"/>
                <w:szCs w:val="20"/>
                <w:color w:val="auto"/>
              </w:rPr>
            </w:pPr>
            <w:r>
              <w:rPr>
                <w:rFonts w:ascii="Arial" w:cs="Arial" w:eastAsia="Arial" w:hAnsi="Arial"/>
                <w:sz w:val="14"/>
                <w:szCs w:val="14"/>
                <w:b w:val="1"/>
                <w:bCs w:val="1"/>
                <w:color w:val="auto"/>
              </w:rPr>
              <w:t>2017</w:t>
            </w: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420" w:type="dxa"/>
            <w:vAlign w:val="bottom"/>
            <w:gridSpan w:val="3"/>
            <w:vMerge w:val="continue"/>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420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740" w:type="dxa"/>
            <w:vAlign w:val="bottom"/>
            <w:tcBorders>
              <w:top w:val="single" w:sz="8" w:color="auto"/>
            </w:tcBorders>
          </w:tcPr>
          <w:p>
            <w:pPr>
              <w:spacing w:after="0"/>
              <w:rPr>
                <w:sz w:val="10"/>
                <w:szCs w:val="10"/>
                <w:color w:val="auto"/>
              </w:rPr>
            </w:pPr>
          </w:p>
        </w:tc>
        <w:tc>
          <w:tcPr>
            <w:tcW w:w="260" w:type="dxa"/>
            <w:vAlign w:val="bottom"/>
            <w:tcBorders>
              <w:top w:val="single" w:sz="8" w:color="auto"/>
            </w:tcBorders>
          </w:tcPr>
          <w:p>
            <w:pPr>
              <w:spacing w:after="0"/>
              <w:rPr>
                <w:sz w:val="10"/>
                <w:szCs w:val="10"/>
                <w:color w:val="auto"/>
              </w:rPr>
            </w:pPr>
          </w:p>
        </w:tc>
        <w:tc>
          <w:tcPr>
            <w:tcW w:w="60" w:type="dxa"/>
            <w:vAlign w:val="bottom"/>
            <w:tcBorders>
              <w:top w:val="single" w:sz="8" w:color="auto"/>
            </w:tcBorders>
          </w:tcPr>
          <w:p>
            <w:pPr>
              <w:spacing w:after="0"/>
              <w:rPr>
                <w:sz w:val="10"/>
                <w:szCs w:val="10"/>
                <w:color w:val="auto"/>
              </w:rPr>
            </w:pPr>
          </w:p>
        </w:tc>
        <w:tc>
          <w:tcPr>
            <w:tcW w:w="620" w:type="dxa"/>
            <w:vAlign w:val="bottom"/>
            <w:tcBorders>
              <w:top w:val="single" w:sz="8" w:color="auto"/>
            </w:tcBorders>
            <w:gridSpan w:val="2"/>
          </w:tcPr>
          <w:p>
            <w:pPr>
              <w:ind w:left="20"/>
              <w:spacing w:after="0" w:line="119" w:lineRule="exact"/>
              <w:rPr>
                <w:sz w:val="20"/>
                <w:szCs w:val="20"/>
                <w:color w:val="auto"/>
              </w:rPr>
            </w:pPr>
            <w:r>
              <w:rPr>
                <w:rFonts w:ascii="Arial" w:cs="Arial" w:eastAsia="Arial" w:hAnsi="Arial"/>
                <w:sz w:val="13"/>
                <w:szCs w:val="13"/>
                <w:b w:val="1"/>
                <w:bCs w:val="1"/>
                <w:color w:val="auto"/>
                <w:w w:val="99"/>
              </w:rPr>
              <w:t>Weighted</w:t>
            </w:r>
          </w:p>
        </w:tc>
        <w:tc>
          <w:tcPr>
            <w:tcW w:w="280" w:type="dxa"/>
            <w:vAlign w:val="bottom"/>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740" w:type="dxa"/>
            <w:vAlign w:val="bottom"/>
            <w:tcBorders>
              <w:top w:val="single" w:sz="8" w:color="auto"/>
            </w:tcBorders>
          </w:tcPr>
          <w:p>
            <w:pPr>
              <w:spacing w:after="0"/>
              <w:rPr>
                <w:sz w:val="10"/>
                <w:szCs w:val="10"/>
                <w:color w:val="auto"/>
              </w:rPr>
            </w:pPr>
          </w:p>
        </w:tc>
        <w:tc>
          <w:tcPr>
            <w:tcW w:w="260" w:type="dxa"/>
            <w:vAlign w:val="bottom"/>
            <w:tcBorders>
              <w:top w:val="single" w:sz="8" w:color="auto"/>
            </w:tcBorders>
          </w:tcPr>
          <w:p>
            <w:pPr>
              <w:spacing w:after="0"/>
              <w:rPr>
                <w:sz w:val="10"/>
                <w:szCs w:val="10"/>
                <w:color w:val="auto"/>
              </w:rPr>
            </w:pPr>
          </w:p>
        </w:tc>
        <w:tc>
          <w:tcPr>
            <w:tcW w:w="60" w:type="dxa"/>
            <w:vAlign w:val="bottom"/>
            <w:tcBorders>
              <w:top w:val="single" w:sz="8" w:color="auto"/>
            </w:tcBorders>
          </w:tcPr>
          <w:p>
            <w:pPr>
              <w:spacing w:after="0"/>
              <w:rPr>
                <w:sz w:val="10"/>
                <w:szCs w:val="10"/>
                <w:color w:val="auto"/>
              </w:rPr>
            </w:pPr>
          </w:p>
        </w:tc>
        <w:tc>
          <w:tcPr>
            <w:tcW w:w="620" w:type="dxa"/>
            <w:vAlign w:val="bottom"/>
            <w:tcBorders>
              <w:top w:val="single" w:sz="8" w:color="auto"/>
            </w:tcBorders>
            <w:gridSpan w:val="2"/>
          </w:tcPr>
          <w:p>
            <w:pPr>
              <w:ind w:left="20"/>
              <w:spacing w:after="0" w:line="119" w:lineRule="exact"/>
              <w:rPr>
                <w:sz w:val="20"/>
                <w:szCs w:val="20"/>
                <w:color w:val="auto"/>
              </w:rPr>
            </w:pPr>
            <w:r>
              <w:rPr>
                <w:rFonts w:ascii="Arial" w:cs="Arial" w:eastAsia="Arial" w:hAnsi="Arial"/>
                <w:sz w:val="13"/>
                <w:szCs w:val="13"/>
                <w:b w:val="1"/>
                <w:bCs w:val="1"/>
                <w:color w:val="auto"/>
                <w:w w:val="99"/>
              </w:rPr>
              <w:t>Weighted</w:t>
            </w:r>
          </w:p>
        </w:tc>
        <w:tc>
          <w:tcPr>
            <w:tcW w:w="280" w:type="dxa"/>
            <w:vAlign w:val="bottom"/>
          </w:tcPr>
          <w:p>
            <w:pPr>
              <w:spacing w:after="0"/>
              <w:rPr>
                <w:sz w:val="10"/>
                <w:szCs w:val="10"/>
                <w:color w:val="auto"/>
              </w:rPr>
            </w:pPr>
          </w:p>
        </w:tc>
        <w:tc>
          <w:tcPr>
            <w:tcW w:w="880" w:type="dxa"/>
            <w:vAlign w:val="bottom"/>
            <w:tcBorders>
              <w:top w:val="single" w:sz="8" w:color="auto"/>
            </w:tcBorders>
          </w:tcPr>
          <w:p>
            <w:pPr>
              <w:spacing w:after="0"/>
              <w:rPr>
                <w:sz w:val="10"/>
                <w:szCs w:val="10"/>
                <w:color w:val="auto"/>
              </w:rPr>
            </w:pPr>
          </w:p>
        </w:tc>
        <w:tc>
          <w:tcPr>
            <w:tcW w:w="260" w:type="dxa"/>
            <w:vAlign w:val="bottom"/>
            <w:tcBorders>
              <w:top w:val="single" w:sz="8" w:color="auto"/>
            </w:tcBorders>
          </w:tcPr>
          <w:p>
            <w:pPr>
              <w:spacing w:after="0"/>
              <w:rPr>
                <w:sz w:val="10"/>
                <w:szCs w:val="10"/>
                <w:color w:val="auto"/>
              </w:rPr>
            </w:pPr>
          </w:p>
        </w:tc>
        <w:tc>
          <w:tcPr>
            <w:tcW w:w="60" w:type="dxa"/>
            <w:vAlign w:val="bottom"/>
            <w:tcBorders>
              <w:top w:val="single" w:sz="8" w:color="auto"/>
            </w:tcBorders>
          </w:tcPr>
          <w:p>
            <w:pPr>
              <w:spacing w:after="0"/>
              <w:rPr>
                <w:sz w:val="10"/>
                <w:szCs w:val="10"/>
                <w:color w:val="auto"/>
              </w:rPr>
            </w:pPr>
          </w:p>
        </w:tc>
        <w:tc>
          <w:tcPr>
            <w:tcW w:w="660" w:type="dxa"/>
            <w:vAlign w:val="bottom"/>
            <w:tcBorders>
              <w:top w:val="single" w:sz="8" w:color="auto"/>
            </w:tcBorders>
            <w:gridSpan w:val="2"/>
          </w:tcPr>
          <w:p>
            <w:pPr>
              <w:jc w:val="center"/>
              <w:spacing w:after="0" w:line="119" w:lineRule="exact"/>
              <w:rPr>
                <w:sz w:val="20"/>
                <w:szCs w:val="20"/>
                <w:color w:val="auto"/>
              </w:rPr>
            </w:pPr>
            <w:r>
              <w:rPr>
                <w:rFonts w:ascii="Arial" w:cs="Arial" w:eastAsia="Arial" w:hAnsi="Arial"/>
                <w:sz w:val="13"/>
                <w:szCs w:val="13"/>
                <w:b w:val="1"/>
                <w:bCs w:val="1"/>
                <w:color w:val="auto"/>
                <w:w w:val="99"/>
              </w:rPr>
              <w:t>Weighted</w:t>
            </w: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2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2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90"/>
              </w:rPr>
              <w:t>average</w:t>
            </w:r>
          </w:p>
        </w:tc>
        <w:tc>
          <w:tcPr>
            <w:tcW w:w="2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2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90"/>
              </w:rPr>
              <w:t>average</w:t>
            </w:r>
          </w:p>
        </w:tc>
        <w:tc>
          <w:tcPr>
            <w:tcW w:w="2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90"/>
              </w:rPr>
              <w:t>average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2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0" w:type="dxa"/>
            <w:vAlign w:val="bottom"/>
            <w:gridSpan w:val="2"/>
            <w:vMerge w:val="restart"/>
          </w:tcPr>
          <w:p>
            <w:pPr>
              <w:jc w:val="right"/>
              <w:ind w:right="440"/>
              <w:spacing w:after="0"/>
              <w:rPr>
                <w:sz w:val="20"/>
                <w:szCs w:val="20"/>
                <w:color w:val="auto"/>
              </w:rPr>
            </w:pPr>
            <w:r>
              <w:rPr>
                <w:rFonts w:ascii="Arial" w:cs="Arial" w:eastAsia="Arial" w:hAnsi="Arial"/>
                <w:sz w:val="14"/>
                <w:szCs w:val="14"/>
                <w:b w:val="1"/>
                <w:bCs w:val="1"/>
                <w:color w:val="auto"/>
              </w:rPr>
              <w:t>Amount</w:t>
            </w:r>
          </w:p>
        </w:tc>
        <w:tc>
          <w:tcPr>
            <w:tcW w:w="60" w:type="dxa"/>
            <w:vAlign w:val="bottom"/>
          </w:tcPr>
          <w:p>
            <w:pPr>
              <w:spacing w:after="0"/>
              <w:rPr>
                <w:sz w:val="12"/>
                <w:szCs w:val="12"/>
                <w:color w:val="auto"/>
              </w:rPr>
            </w:pPr>
          </w:p>
        </w:tc>
        <w:tc>
          <w:tcPr>
            <w:tcW w:w="62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89"/>
              </w:rPr>
              <w:t>exercise</w:t>
            </w:r>
          </w:p>
        </w:tc>
        <w:tc>
          <w:tcPr>
            <w:tcW w:w="2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gridSpan w:val="2"/>
            <w:vMerge w:val="restart"/>
          </w:tcPr>
          <w:p>
            <w:pPr>
              <w:jc w:val="right"/>
              <w:ind w:right="440"/>
              <w:spacing w:after="0"/>
              <w:rPr>
                <w:sz w:val="20"/>
                <w:szCs w:val="20"/>
                <w:color w:val="auto"/>
              </w:rPr>
            </w:pPr>
            <w:r>
              <w:rPr>
                <w:rFonts w:ascii="Arial" w:cs="Arial" w:eastAsia="Arial" w:hAnsi="Arial"/>
                <w:sz w:val="14"/>
                <w:szCs w:val="14"/>
                <w:b w:val="1"/>
                <w:bCs w:val="1"/>
                <w:color w:val="auto"/>
              </w:rPr>
              <w:t>Amount</w:t>
            </w:r>
          </w:p>
        </w:tc>
        <w:tc>
          <w:tcPr>
            <w:tcW w:w="60" w:type="dxa"/>
            <w:vAlign w:val="bottom"/>
          </w:tcPr>
          <w:p>
            <w:pPr>
              <w:spacing w:after="0"/>
              <w:rPr>
                <w:sz w:val="12"/>
                <w:szCs w:val="12"/>
                <w:color w:val="auto"/>
              </w:rPr>
            </w:pPr>
          </w:p>
        </w:tc>
        <w:tc>
          <w:tcPr>
            <w:tcW w:w="62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89"/>
              </w:rPr>
              <w:t>exercise</w:t>
            </w:r>
          </w:p>
        </w:tc>
        <w:tc>
          <w:tcPr>
            <w:tcW w:w="280" w:type="dxa"/>
            <w:vAlign w:val="bottom"/>
          </w:tcPr>
          <w:p>
            <w:pPr>
              <w:spacing w:after="0"/>
              <w:rPr>
                <w:sz w:val="12"/>
                <w:szCs w:val="12"/>
                <w:color w:val="auto"/>
              </w:rPr>
            </w:pPr>
          </w:p>
        </w:tc>
        <w:tc>
          <w:tcPr>
            <w:tcW w:w="1140" w:type="dxa"/>
            <w:vAlign w:val="bottom"/>
            <w:gridSpan w:val="2"/>
            <w:vMerge w:val="restart"/>
          </w:tcPr>
          <w:p>
            <w:pPr>
              <w:jc w:val="right"/>
              <w:ind w:right="460"/>
              <w:spacing w:after="0"/>
              <w:rPr>
                <w:sz w:val="20"/>
                <w:szCs w:val="20"/>
                <w:color w:val="auto"/>
              </w:rPr>
            </w:pPr>
            <w:r>
              <w:rPr>
                <w:rFonts w:ascii="Arial" w:cs="Arial" w:eastAsia="Arial" w:hAnsi="Arial"/>
                <w:sz w:val="14"/>
                <w:szCs w:val="14"/>
                <w:b w:val="1"/>
                <w:bCs w:val="1"/>
                <w:color w:val="auto"/>
              </w:rPr>
              <w:t>Amount</w:t>
            </w: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85"/>
              </w:rPr>
              <w:t>exercise</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42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0" w:type="dxa"/>
            <w:vAlign w:val="bottom"/>
            <w:gridSpan w:val="2"/>
            <w:vMerge w:val="continue"/>
          </w:tcPr>
          <w:p>
            <w:pPr>
              <w:spacing w:after="0"/>
              <w:rPr>
                <w:sz w:val="14"/>
                <w:szCs w:val="14"/>
                <w:color w:val="auto"/>
              </w:rPr>
            </w:pP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00" w:type="dxa"/>
            <w:vAlign w:val="bottom"/>
          </w:tcPr>
          <w:p>
            <w:pPr>
              <w:jc w:val="center"/>
              <w:ind w:right="33"/>
              <w:spacing w:after="0"/>
              <w:rPr>
                <w:sz w:val="20"/>
                <w:szCs w:val="20"/>
                <w:color w:val="auto"/>
              </w:rPr>
            </w:pPr>
            <w:r>
              <w:rPr>
                <w:rFonts w:ascii="Arial" w:cs="Arial" w:eastAsia="Arial" w:hAnsi="Arial"/>
                <w:sz w:val="14"/>
                <w:szCs w:val="14"/>
                <w:b w:val="1"/>
                <w:bCs w:val="1"/>
                <w:color w:val="auto"/>
                <w:w w:val="89"/>
              </w:rPr>
              <w:t>price</w:t>
            </w:r>
          </w:p>
        </w:tc>
        <w:tc>
          <w:tcPr>
            <w:tcW w:w="2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0" w:type="dxa"/>
            <w:vAlign w:val="bottom"/>
            <w:gridSpan w:val="2"/>
            <w:vMerge w:val="continue"/>
          </w:tcPr>
          <w:p>
            <w:pPr>
              <w:spacing w:after="0"/>
              <w:rPr>
                <w:sz w:val="14"/>
                <w:szCs w:val="14"/>
                <w:color w:val="auto"/>
              </w:rPr>
            </w:pP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00" w:type="dxa"/>
            <w:vAlign w:val="bottom"/>
          </w:tcPr>
          <w:p>
            <w:pPr>
              <w:jc w:val="center"/>
              <w:ind w:right="33"/>
              <w:spacing w:after="0"/>
              <w:rPr>
                <w:sz w:val="20"/>
                <w:szCs w:val="20"/>
                <w:color w:val="auto"/>
              </w:rPr>
            </w:pPr>
            <w:r>
              <w:rPr>
                <w:rFonts w:ascii="Arial" w:cs="Arial" w:eastAsia="Arial" w:hAnsi="Arial"/>
                <w:sz w:val="14"/>
                <w:szCs w:val="14"/>
                <w:b w:val="1"/>
                <w:bCs w:val="1"/>
                <w:color w:val="auto"/>
                <w:w w:val="89"/>
              </w:rPr>
              <w:t>price</w:t>
            </w:r>
          </w:p>
        </w:tc>
        <w:tc>
          <w:tcPr>
            <w:tcW w:w="280" w:type="dxa"/>
            <w:vAlign w:val="bottom"/>
          </w:tcPr>
          <w:p>
            <w:pPr>
              <w:spacing w:after="0"/>
              <w:rPr>
                <w:sz w:val="14"/>
                <w:szCs w:val="14"/>
                <w:color w:val="auto"/>
              </w:rPr>
            </w:pPr>
          </w:p>
        </w:tc>
        <w:tc>
          <w:tcPr>
            <w:tcW w:w="1140" w:type="dxa"/>
            <w:vAlign w:val="bottom"/>
            <w:gridSpan w:val="2"/>
            <w:vMerge w:val="continue"/>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6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89"/>
              </w:rPr>
              <w:t>price</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2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Options outstanding at the beginning of the year</w:t>
            </w:r>
          </w:p>
        </w:tc>
        <w:tc>
          <w:tcPr>
            <w:tcW w:w="7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2,281,533</w:t>
            </w:r>
          </w:p>
        </w:tc>
        <w:tc>
          <w:tcPr>
            <w:tcW w:w="26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99"/>
              </w:rPr>
              <w:t>$</w:t>
            </w:r>
          </w:p>
        </w:tc>
        <w:tc>
          <w:tcPr>
            <w:tcW w:w="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0.09</w:t>
            </w:r>
          </w:p>
        </w:tc>
        <w:tc>
          <w:tcPr>
            <w:tcW w:w="2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1,606,936</w:t>
            </w:r>
          </w:p>
        </w:tc>
        <w:tc>
          <w:tcPr>
            <w:tcW w:w="26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99"/>
              </w:rPr>
              <w:t>$</w:t>
            </w:r>
          </w:p>
        </w:tc>
        <w:tc>
          <w:tcPr>
            <w:tcW w:w="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0.14</w:t>
            </w:r>
          </w:p>
        </w:tc>
        <w:tc>
          <w:tcPr>
            <w:tcW w:w="280" w:type="dxa"/>
            <w:vAlign w:val="bottom"/>
            <w:tcBorders>
              <w:top w:val="single" w:sz="8" w:color="CCEEFF"/>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0"/>
              </w:rPr>
              <w:t>$ 1,382,775</w:t>
            </w:r>
          </w:p>
        </w:tc>
        <w:tc>
          <w:tcPr>
            <w:tcW w:w="26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0.14</w:t>
            </w:r>
          </w:p>
        </w:tc>
        <w:tc>
          <w:tcPr>
            <w:tcW w:w="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00" w:type="dxa"/>
            <w:vAlign w:val="bottom"/>
          </w:tcPr>
          <w:p>
            <w:pPr>
              <w:ind w:left="340"/>
              <w:spacing w:after="0"/>
              <w:rPr>
                <w:sz w:val="20"/>
                <w:szCs w:val="20"/>
                <w:color w:val="auto"/>
              </w:rPr>
            </w:pPr>
            <w:r>
              <w:rPr>
                <w:rFonts w:ascii="Arial" w:cs="Arial" w:eastAsia="Arial" w:hAnsi="Arial"/>
                <w:sz w:val="18"/>
                <w:szCs w:val="18"/>
                <w:color w:val="auto"/>
              </w:rPr>
              <w:t>Granted</w:t>
            </w: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584,800</w:t>
            </w:r>
          </w:p>
        </w:tc>
        <w:tc>
          <w:tcPr>
            <w:tcW w:w="2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0.06</w:t>
            </w: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w w:val="89"/>
              </w:rPr>
              <w:t>1,760,497</w:t>
            </w:r>
          </w:p>
        </w:tc>
        <w:tc>
          <w:tcPr>
            <w:tcW w:w="2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0.08</w:t>
            </w:r>
          </w:p>
        </w:tc>
        <w:tc>
          <w:tcPr>
            <w:tcW w:w="1160" w:type="dxa"/>
            <w:vAlign w:val="bottom"/>
            <w:gridSpan w:val="2"/>
          </w:tcPr>
          <w:p>
            <w:pPr>
              <w:jc w:val="right"/>
              <w:spacing w:after="0"/>
              <w:rPr>
                <w:sz w:val="20"/>
                <w:szCs w:val="20"/>
                <w:color w:val="auto"/>
              </w:rPr>
            </w:pPr>
            <w:r>
              <w:rPr>
                <w:rFonts w:ascii="Arial" w:cs="Arial" w:eastAsia="Arial" w:hAnsi="Arial"/>
                <w:sz w:val="18"/>
                <w:szCs w:val="18"/>
                <w:color w:val="auto"/>
              </w:rPr>
              <w:t>431,661</w:t>
            </w:r>
          </w:p>
        </w:tc>
        <w:tc>
          <w:tcPr>
            <w:tcW w:w="2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0.16</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Expired</w:t>
            </w: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(521,036)</w:t>
            </w: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0.13</w:t>
            </w: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(700,900)</w:t>
            </w: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0.14</w:t>
            </w:r>
          </w:p>
        </w:tc>
        <w:tc>
          <w:tcPr>
            <w:tcW w:w="142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(207,500)</w:t>
            </w: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0.14</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00" w:type="dxa"/>
            <w:vAlign w:val="bottom"/>
          </w:tcPr>
          <w:p>
            <w:pPr>
              <w:ind w:left="340"/>
              <w:spacing w:after="0"/>
              <w:rPr>
                <w:sz w:val="20"/>
                <w:szCs w:val="20"/>
                <w:color w:val="auto"/>
              </w:rPr>
            </w:pPr>
            <w:r>
              <w:rPr>
                <w:rFonts w:ascii="Arial" w:cs="Arial" w:eastAsia="Arial" w:hAnsi="Arial"/>
                <w:sz w:val="18"/>
                <w:szCs w:val="18"/>
                <w:color w:val="auto"/>
              </w:rPr>
              <w:t>Forfeiture</w:t>
            </w: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2"/>
          </w:tcPr>
          <w:p>
            <w:pPr>
              <w:jc w:val="right"/>
              <w:ind w:right="200"/>
              <w:spacing w:after="0"/>
              <w:rPr>
                <w:sz w:val="20"/>
                <w:szCs w:val="20"/>
                <w:color w:val="auto"/>
              </w:rPr>
            </w:pPr>
            <w:r>
              <w:rPr>
                <w:rFonts w:ascii="Arial" w:cs="Arial" w:eastAsia="Arial" w:hAnsi="Arial"/>
                <w:sz w:val="18"/>
                <w:szCs w:val="18"/>
                <w:color w:val="auto"/>
              </w:rPr>
              <w:t>(67,067)</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0.08</w:t>
            </w: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gridSpan w:val="2"/>
          </w:tcPr>
          <w:p>
            <w:pPr>
              <w:jc w:val="right"/>
              <w:ind w:right="200"/>
              <w:spacing w:after="0"/>
              <w:rPr>
                <w:sz w:val="20"/>
                <w:szCs w:val="20"/>
                <w:color w:val="auto"/>
              </w:rPr>
            </w:pPr>
            <w:r>
              <w:rPr>
                <w:rFonts w:ascii="Arial" w:cs="Arial" w:eastAsia="Arial" w:hAnsi="Arial"/>
                <w:sz w:val="18"/>
                <w:szCs w:val="18"/>
                <w:color w:val="auto"/>
              </w:rPr>
              <w:t>(385,000)</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0.15</w:t>
            </w:r>
          </w:p>
        </w:tc>
        <w:tc>
          <w:tcPr>
            <w:tcW w:w="280" w:type="dxa"/>
            <w:vAlign w:val="bottom"/>
          </w:tcPr>
          <w:p>
            <w:pPr>
              <w:spacing w:after="0"/>
              <w:rPr>
                <w:sz w:val="18"/>
                <w:szCs w:val="18"/>
                <w:color w:val="auto"/>
              </w:rPr>
            </w:pPr>
          </w:p>
        </w:tc>
        <w:tc>
          <w:tcPr>
            <w:tcW w:w="114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60" w:type="dxa"/>
            <w:vAlign w:val="bottom"/>
            <w:gridSpan w:val="2"/>
          </w:tcPr>
          <w:p>
            <w:pPr>
              <w:ind w:left="3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20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200" w:type="dxa"/>
            <w:vAlign w:val="bottom"/>
            <w:shd w:val="clear" w:color="auto" w:fill="CCEEFF"/>
          </w:tcPr>
          <w:p>
            <w:pPr>
              <w:spacing w:after="0"/>
              <w:rPr>
                <w:sz w:val="20"/>
                <w:szCs w:val="20"/>
                <w:color w:val="auto"/>
              </w:rPr>
            </w:pPr>
            <w:r>
              <w:rPr>
                <w:rFonts w:ascii="Arial" w:cs="Arial" w:eastAsia="Arial" w:hAnsi="Arial"/>
                <w:sz w:val="18"/>
                <w:szCs w:val="18"/>
                <w:color w:val="auto"/>
              </w:rPr>
              <w:t>Options outstanding at the end of the year</w:t>
            </w: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2,278,230</w:t>
            </w:r>
          </w:p>
        </w:tc>
        <w:tc>
          <w:tcPr>
            <w:tcW w:w="260" w:type="dxa"/>
            <w:vAlign w:val="bottom"/>
            <w:shd w:val="clear" w:color="auto" w:fill="CCEEFF"/>
          </w:tcPr>
          <w:p>
            <w:pPr>
              <w:spacing w:after="0"/>
              <w:rPr>
                <w:sz w:val="18"/>
                <w:szCs w:val="18"/>
                <w:color w:val="auto"/>
              </w:rPr>
            </w:pPr>
          </w:p>
        </w:tc>
        <w:tc>
          <w:tcPr>
            <w:tcW w:w="18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w w:val="99"/>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0.08</w:t>
            </w:r>
          </w:p>
        </w:tc>
        <w:tc>
          <w:tcPr>
            <w:tcW w:w="4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2,281,533</w:t>
            </w:r>
          </w:p>
        </w:tc>
        <w:tc>
          <w:tcPr>
            <w:tcW w:w="260" w:type="dxa"/>
            <w:vAlign w:val="bottom"/>
            <w:shd w:val="clear" w:color="auto" w:fill="CCEEFF"/>
          </w:tcPr>
          <w:p>
            <w:pPr>
              <w:spacing w:after="0"/>
              <w:rPr>
                <w:sz w:val="18"/>
                <w:szCs w:val="18"/>
                <w:color w:val="auto"/>
              </w:rPr>
            </w:pPr>
          </w:p>
        </w:tc>
        <w:tc>
          <w:tcPr>
            <w:tcW w:w="18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w w:val="99"/>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0.08</w:t>
            </w:r>
          </w:p>
        </w:tc>
        <w:tc>
          <w:tcPr>
            <w:tcW w:w="1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$ 1,606,936</w:t>
            </w:r>
          </w:p>
        </w:tc>
        <w:tc>
          <w:tcPr>
            <w:tcW w:w="260" w:type="dxa"/>
            <w:vAlign w:val="bottom"/>
            <w:shd w:val="clear" w:color="auto" w:fill="CCEEFF"/>
          </w:tcPr>
          <w:p>
            <w:pPr>
              <w:spacing w:after="0"/>
              <w:rPr>
                <w:sz w:val="18"/>
                <w:szCs w:val="18"/>
                <w:color w:val="auto"/>
              </w:rPr>
            </w:pPr>
          </w:p>
        </w:tc>
        <w:tc>
          <w:tcPr>
            <w:tcW w:w="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0.15</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220" w:type="dxa"/>
            <w:vAlign w:val="bottom"/>
            <w:gridSpan w:val="2"/>
            <w:vMerge w:val="restart"/>
          </w:tcPr>
          <w:p>
            <w:pPr>
              <w:spacing w:after="0"/>
              <w:rPr>
                <w:sz w:val="20"/>
                <w:szCs w:val="20"/>
                <w:color w:val="auto"/>
              </w:rPr>
            </w:pPr>
            <w:r>
              <w:rPr>
                <w:rFonts w:ascii="Arial" w:cs="Arial" w:eastAsia="Arial" w:hAnsi="Arial"/>
                <w:sz w:val="18"/>
                <w:szCs w:val="18"/>
                <w:color w:val="auto"/>
              </w:rPr>
              <w:t>Options exercisable at the end of the year</w:t>
            </w:r>
          </w:p>
        </w:tc>
        <w:tc>
          <w:tcPr>
            <w:tcW w:w="7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220" w:type="dxa"/>
            <w:vAlign w:val="bottom"/>
            <w:gridSpan w:val="2"/>
            <w:vMerge w:val="continue"/>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914,139</w:t>
            </w:r>
          </w:p>
        </w:tc>
        <w:tc>
          <w:tcPr>
            <w:tcW w:w="2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Borders>
              <w:bottom w:val="single" w:sz="8" w:color="auto"/>
            </w:tcBorders>
          </w:tcPr>
          <w:p>
            <w:pPr>
              <w:spacing w:after="0"/>
              <w:rPr>
                <w:sz w:val="20"/>
                <w:szCs w:val="20"/>
                <w:color w:val="auto"/>
              </w:rPr>
            </w:pPr>
            <w:r>
              <w:rPr>
                <w:rFonts w:ascii="Arial" w:cs="Arial" w:eastAsia="Arial" w:hAnsi="Arial"/>
                <w:sz w:val="18"/>
                <w:szCs w:val="18"/>
                <w:color w:val="auto"/>
                <w:w w:val="99"/>
              </w:rPr>
              <w:t>$</w:t>
            </w: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0.09</w:t>
            </w:r>
          </w:p>
        </w:tc>
        <w:tc>
          <w:tcPr>
            <w:tcW w:w="280" w:type="dxa"/>
            <w:vAlign w:val="bottom"/>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438,639</w:t>
            </w:r>
          </w:p>
        </w:tc>
        <w:tc>
          <w:tcPr>
            <w:tcW w:w="2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Borders>
              <w:bottom w:val="single" w:sz="8" w:color="auto"/>
            </w:tcBorders>
          </w:tcPr>
          <w:p>
            <w:pPr>
              <w:spacing w:after="0"/>
              <w:rPr>
                <w:sz w:val="20"/>
                <w:szCs w:val="20"/>
                <w:color w:val="auto"/>
              </w:rPr>
            </w:pPr>
            <w:r>
              <w:rPr>
                <w:rFonts w:ascii="Arial" w:cs="Arial" w:eastAsia="Arial" w:hAnsi="Arial"/>
                <w:sz w:val="18"/>
                <w:szCs w:val="18"/>
                <w:color w:val="auto"/>
                <w:w w:val="99"/>
              </w:rPr>
              <w:t>$</w:t>
            </w: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0.09</w:t>
            </w:r>
          </w:p>
        </w:tc>
        <w:tc>
          <w:tcPr>
            <w:tcW w:w="280" w:type="dxa"/>
            <w:vAlign w:val="bottom"/>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0"/>
              </w:rPr>
              <w:t>$ 1,606,936</w:t>
            </w:r>
          </w:p>
        </w:tc>
        <w:tc>
          <w:tcPr>
            <w:tcW w:w="2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0.15</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2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20" w:type="dxa"/>
            <w:vAlign w:val="bottom"/>
          </w:tcPr>
          <w:p>
            <w:pPr>
              <w:spacing w:after="0"/>
              <w:rPr>
                <w:sz w:val="24"/>
                <w:szCs w:val="24"/>
                <w:color w:val="auto"/>
              </w:rPr>
            </w:pPr>
          </w:p>
        </w:tc>
        <w:tc>
          <w:tcPr>
            <w:tcW w:w="42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40" w:type="dxa"/>
            <w:vAlign w:val="bottom"/>
          </w:tcPr>
          <w:p>
            <w:pPr>
              <w:jc w:val="right"/>
              <w:ind w:right="114"/>
              <w:spacing w:after="0"/>
              <w:rPr>
                <w:sz w:val="20"/>
                <w:szCs w:val="20"/>
                <w:color w:val="auto"/>
              </w:rPr>
            </w:pPr>
            <w:r>
              <w:rPr>
                <w:rFonts w:ascii="Arial" w:cs="Arial" w:eastAsia="Arial" w:hAnsi="Arial"/>
                <w:sz w:val="18"/>
                <w:szCs w:val="18"/>
                <w:color w:val="auto"/>
              </w:rPr>
              <w:t>67</w:t>
            </w:r>
          </w:p>
        </w:tc>
        <w:tc>
          <w:tcPr>
            <w:tcW w:w="2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240" w:top="459" w:right="419" w:bottom="1440" w:gutter="0" w:footer="0" w:header="0"/>
        </w:sectPr>
      </w:pPr>
    </w:p>
    <w:bookmarkStart w:id="69" w:name="page70"/>
    <w:bookmarkEnd w:id="6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200" w:right="4660"/>
        <w:spacing w:after="0" w:line="378" w:lineRule="auto"/>
        <w:rPr>
          <w:sz w:val="20"/>
          <w:szCs w:val="20"/>
          <w:color w:val="auto"/>
        </w:rPr>
      </w:pPr>
      <w:r>
        <w:rPr>
          <w:rFonts w:ascii="Arial" w:cs="Arial" w:eastAsia="Arial" w:hAnsi="Arial"/>
          <w:sz w:val="18"/>
          <w:szCs w:val="18"/>
          <w:b w:val="1"/>
          <w:bCs w:val="1"/>
          <w:color w:val="auto"/>
        </w:rPr>
        <w:t>ITEM 7. MAJOR SHAREHOLDERS AND RELATED PARTY TRANSACTIONS A. Major Shareholders</w:t>
      </w:r>
    </w:p>
    <w:p>
      <w:pPr>
        <w:jc w:val="both"/>
        <w:ind w:left="200" w:right="500" w:firstLine="441"/>
        <w:spacing w:after="0" w:line="264" w:lineRule="auto"/>
        <w:rPr>
          <w:sz w:val="20"/>
          <w:szCs w:val="20"/>
          <w:color w:val="auto"/>
        </w:rPr>
      </w:pPr>
      <w:r>
        <w:rPr>
          <w:rFonts w:ascii="Arial" w:cs="Arial" w:eastAsia="Arial" w:hAnsi="Arial"/>
          <w:sz w:val="18"/>
          <w:szCs w:val="18"/>
          <w:color w:val="auto"/>
        </w:rPr>
        <w:t>The following table sets forth information regarding shares of our common stock beneficially owned as of April 30, 2019 by: (i) each of our executive officers and directors; (ii) all the executive officers and directors as a group; and (iii) each person known by us to beneficially own five percent or more of the outstanding ordinary shares.</w:t>
      </w:r>
    </w:p>
    <w:p>
      <w:pPr>
        <w:spacing w:after="0" w:line="187" w:lineRule="exact"/>
        <w:rPr>
          <w:sz w:val="20"/>
          <w:szCs w:val="20"/>
          <w:color w:val="auto"/>
        </w:rPr>
      </w:pPr>
    </w:p>
    <w:tbl>
      <w:tblPr>
        <w:tblLayout w:type="fixed"/>
        <w:tblInd w:w="20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35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16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1"/>
              </w:rPr>
              <w:t>Options to</w:t>
            </w:r>
          </w:p>
        </w:tc>
        <w:tc>
          <w:tcPr>
            <w:tcW w:w="112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3"/>
              </w:rPr>
              <w:t>Restricted</w:t>
            </w:r>
          </w:p>
        </w:tc>
        <w:tc>
          <w:tcPr>
            <w:tcW w:w="9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620" w:type="dxa"/>
            <w:vAlign w:val="bottom"/>
          </w:tcPr>
          <w:p>
            <w:pPr>
              <w:spacing w:after="0"/>
              <w:rPr>
                <w:sz w:val="12"/>
                <w:szCs w:val="12"/>
                <w:color w:val="auto"/>
              </w:rPr>
            </w:pPr>
          </w:p>
        </w:tc>
        <w:tc>
          <w:tcPr>
            <w:tcW w:w="354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16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88"/>
              </w:rPr>
              <w:t>Purchase</w:t>
            </w:r>
          </w:p>
        </w:tc>
        <w:tc>
          <w:tcPr>
            <w:tcW w:w="112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4"/>
              </w:rPr>
              <w:t>Security</w:t>
            </w:r>
          </w:p>
        </w:tc>
        <w:tc>
          <w:tcPr>
            <w:tcW w:w="9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620" w:type="dxa"/>
            <w:vAlign w:val="bottom"/>
          </w:tcPr>
          <w:p>
            <w:pPr>
              <w:spacing w:after="0"/>
              <w:rPr>
                <w:sz w:val="12"/>
                <w:szCs w:val="12"/>
                <w:color w:val="auto"/>
              </w:rPr>
            </w:pPr>
          </w:p>
        </w:tc>
        <w:tc>
          <w:tcPr>
            <w:tcW w:w="354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16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99"/>
              </w:rPr>
              <w:t>Ordinary</w:t>
            </w:r>
          </w:p>
        </w:tc>
        <w:tc>
          <w:tcPr>
            <w:tcW w:w="112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3"/>
              </w:rPr>
              <w:t>Units (RSUs)</w:t>
            </w:r>
          </w:p>
        </w:tc>
        <w:tc>
          <w:tcPr>
            <w:tcW w:w="1260" w:type="dxa"/>
            <w:vAlign w:val="bottom"/>
            <w:gridSpan w:val="2"/>
            <w:vMerge w:val="restart"/>
          </w:tcPr>
          <w:p>
            <w:pPr>
              <w:jc w:val="center"/>
              <w:ind w:right="280"/>
              <w:spacing w:after="0"/>
              <w:rPr>
                <w:sz w:val="20"/>
                <w:szCs w:val="20"/>
                <w:color w:val="auto"/>
              </w:rPr>
            </w:pPr>
            <w:r>
              <w:rPr>
                <w:rFonts w:ascii="Arial" w:cs="Arial" w:eastAsia="Arial" w:hAnsi="Arial"/>
                <w:sz w:val="14"/>
                <w:szCs w:val="14"/>
                <w:b w:val="1"/>
                <w:bCs w:val="1"/>
                <w:color w:val="auto"/>
                <w:w w:val="91"/>
              </w:rPr>
              <w:t>Total Share</w:t>
            </w:r>
          </w:p>
        </w:tc>
        <w:tc>
          <w:tcPr>
            <w:tcW w:w="8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620" w:type="dxa"/>
            <w:vAlign w:val="bottom"/>
          </w:tcPr>
          <w:p>
            <w:pPr>
              <w:spacing w:after="0"/>
              <w:rPr>
                <w:sz w:val="12"/>
                <w:szCs w:val="12"/>
                <w:color w:val="auto"/>
              </w:rPr>
            </w:pPr>
          </w:p>
        </w:tc>
        <w:tc>
          <w:tcPr>
            <w:tcW w:w="354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16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85"/>
              </w:rPr>
              <w:t>Shares</w:t>
            </w:r>
          </w:p>
        </w:tc>
        <w:tc>
          <w:tcPr>
            <w:tcW w:w="112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87"/>
              </w:rPr>
              <w:t>Vested or</w:t>
            </w:r>
          </w:p>
        </w:tc>
        <w:tc>
          <w:tcPr>
            <w:tcW w:w="1260" w:type="dxa"/>
            <w:vAlign w:val="bottom"/>
            <w:gridSpan w:val="2"/>
            <w:vMerge w:val="continue"/>
          </w:tcPr>
          <w:p>
            <w:pPr>
              <w:spacing w:after="0"/>
              <w:rPr>
                <w:sz w:val="12"/>
                <w:szCs w:val="12"/>
                <w:color w:val="auto"/>
              </w:rPr>
            </w:pPr>
          </w:p>
        </w:tc>
        <w:tc>
          <w:tcPr>
            <w:tcW w:w="8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620" w:type="dxa"/>
            <w:vAlign w:val="bottom"/>
          </w:tcPr>
          <w:p>
            <w:pPr>
              <w:spacing w:after="0"/>
              <w:rPr>
                <w:sz w:val="12"/>
                <w:szCs w:val="12"/>
                <w:color w:val="auto"/>
              </w:rPr>
            </w:pPr>
          </w:p>
        </w:tc>
        <w:tc>
          <w:tcPr>
            <w:tcW w:w="3540" w:type="dxa"/>
            <w:vAlign w:val="bottom"/>
          </w:tcPr>
          <w:p>
            <w:pPr>
              <w:spacing w:after="0"/>
              <w:rPr>
                <w:sz w:val="12"/>
                <w:szCs w:val="12"/>
                <w:color w:val="auto"/>
              </w:rPr>
            </w:pPr>
          </w:p>
        </w:tc>
        <w:tc>
          <w:tcPr>
            <w:tcW w:w="1240" w:type="dxa"/>
            <w:vAlign w:val="bottom"/>
            <w:gridSpan w:val="2"/>
            <w:vMerge w:val="restart"/>
          </w:tcPr>
          <w:p>
            <w:pPr>
              <w:ind w:left="200"/>
              <w:spacing w:after="0"/>
              <w:rPr>
                <w:sz w:val="20"/>
                <w:szCs w:val="20"/>
                <w:color w:val="auto"/>
              </w:rPr>
            </w:pPr>
            <w:r>
              <w:rPr>
                <w:rFonts w:ascii="Arial" w:cs="Arial" w:eastAsia="Arial" w:hAnsi="Arial"/>
                <w:sz w:val="14"/>
                <w:szCs w:val="14"/>
                <w:b w:val="1"/>
                <w:bCs w:val="1"/>
                <w:color w:val="auto"/>
              </w:rPr>
              <w:t>Ordinary</w:t>
            </w:r>
          </w:p>
        </w:tc>
        <w:tc>
          <w:tcPr>
            <w:tcW w:w="1160" w:type="dxa"/>
            <w:vAlign w:val="bottom"/>
            <w:gridSpan w:val="2"/>
          </w:tcPr>
          <w:p>
            <w:pPr>
              <w:jc w:val="right"/>
              <w:ind w:right="360"/>
              <w:spacing w:after="0" w:line="149" w:lineRule="exact"/>
              <w:rPr>
                <w:sz w:val="20"/>
                <w:szCs w:val="20"/>
                <w:color w:val="auto"/>
              </w:rPr>
            </w:pPr>
            <w:r>
              <w:rPr>
                <w:rFonts w:ascii="Arial" w:cs="Arial" w:eastAsia="Arial" w:hAnsi="Arial"/>
                <w:sz w:val="14"/>
                <w:szCs w:val="14"/>
                <w:b w:val="1"/>
                <w:bCs w:val="1"/>
                <w:color w:val="auto"/>
              </w:rPr>
              <w:t>Exercisable</w:t>
            </w:r>
          </w:p>
        </w:tc>
        <w:tc>
          <w:tcPr>
            <w:tcW w:w="112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86"/>
              </w:rPr>
              <w:t>Vesting</w:t>
            </w:r>
          </w:p>
        </w:tc>
        <w:tc>
          <w:tcPr>
            <w:tcW w:w="126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1"/>
              </w:rPr>
              <w:t>and Share-</w:t>
            </w:r>
          </w:p>
        </w:tc>
        <w:tc>
          <w:tcPr>
            <w:tcW w:w="860" w:type="dxa"/>
            <w:vAlign w:val="bottom"/>
            <w:vMerge w:val="restart"/>
          </w:tcPr>
          <w:p>
            <w:pPr>
              <w:jc w:val="right"/>
              <w:ind w:right="292"/>
              <w:spacing w:after="0"/>
              <w:rPr>
                <w:sz w:val="20"/>
                <w:szCs w:val="20"/>
                <w:color w:val="auto"/>
              </w:rPr>
            </w:pPr>
            <w:r>
              <w:rPr>
                <w:rFonts w:ascii="Arial" w:cs="Arial" w:eastAsia="Arial" w:hAnsi="Arial"/>
                <w:sz w:val="14"/>
                <w:szCs w:val="14"/>
                <w:b w:val="1"/>
                <w:bCs w:val="1"/>
                <w:color w:val="auto"/>
              </w:rPr>
              <w:t>%</w:t>
            </w:r>
          </w:p>
        </w:tc>
        <w:tc>
          <w:tcPr>
            <w:tcW w:w="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518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Name of Beneficial Owner</w:t>
            </w:r>
          </w:p>
        </w:tc>
        <w:tc>
          <w:tcPr>
            <w:tcW w:w="1240" w:type="dxa"/>
            <w:vAlign w:val="bottom"/>
            <w:gridSpan w:val="2"/>
            <w:vMerge w:val="continue"/>
          </w:tcPr>
          <w:p>
            <w:pPr>
              <w:spacing w:after="0"/>
              <w:rPr>
                <w:sz w:val="12"/>
                <w:szCs w:val="12"/>
                <w:color w:val="auto"/>
              </w:rPr>
            </w:pPr>
          </w:p>
        </w:tc>
        <w:tc>
          <w:tcPr>
            <w:tcW w:w="116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6"/>
              </w:rPr>
              <w:t>Within 60</w:t>
            </w:r>
          </w:p>
        </w:tc>
        <w:tc>
          <w:tcPr>
            <w:tcW w:w="112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6"/>
              </w:rPr>
              <w:t>Within 60</w:t>
            </w:r>
          </w:p>
        </w:tc>
        <w:tc>
          <w:tcPr>
            <w:tcW w:w="126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0"/>
              </w:rPr>
              <w:t>Based</w:t>
            </w:r>
          </w:p>
        </w:tc>
        <w:tc>
          <w:tcPr>
            <w:tcW w:w="860" w:type="dxa"/>
            <w:vAlign w:val="bottom"/>
            <w:vMerge w:val="continue"/>
          </w:tcPr>
          <w:p>
            <w:pPr>
              <w:spacing w:after="0"/>
              <w:rPr>
                <w:sz w:val="12"/>
                <w:szCs w:val="12"/>
                <w:color w:val="auto"/>
              </w:rPr>
            </w:pPr>
          </w:p>
        </w:tc>
        <w:tc>
          <w:tcPr>
            <w:tcW w:w="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8"/>
        </w:trPr>
        <w:tc>
          <w:tcPr>
            <w:tcW w:w="5180" w:type="dxa"/>
            <w:vAlign w:val="bottom"/>
            <w:gridSpan w:val="3"/>
            <w:vMerge w:val="continue"/>
          </w:tcPr>
          <w:p>
            <w:pPr>
              <w:spacing w:after="0"/>
              <w:rPr>
                <w:sz w:val="13"/>
                <w:szCs w:val="13"/>
                <w:color w:val="auto"/>
              </w:rPr>
            </w:pPr>
          </w:p>
        </w:tc>
        <w:tc>
          <w:tcPr>
            <w:tcW w:w="1240" w:type="dxa"/>
            <w:vAlign w:val="bottom"/>
            <w:gridSpan w:val="2"/>
          </w:tcPr>
          <w:p>
            <w:pPr>
              <w:ind w:left="280"/>
              <w:spacing w:after="0" w:line="158" w:lineRule="exact"/>
              <w:rPr>
                <w:sz w:val="20"/>
                <w:szCs w:val="20"/>
                <w:color w:val="auto"/>
              </w:rPr>
            </w:pPr>
            <w:r>
              <w:rPr>
                <w:rFonts w:ascii="Arial" w:cs="Arial" w:eastAsia="Arial" w:hAnsi="Arial"/>
                <w:sz w:val="14"/>
                <w:szCs w:val="14"/>
                <w:b w:val="1"/>
                <w:bCs w:val="1"/>
                <w:color w:val="auto"/>
              </w:rPr>
              <w:t>Shares</w:t>
            </w:r>
          </w:p>
        </w:tc>
        <w:tc>
          <w:tcPr>
            <w:tcW w:w="1160" w:type="dxa"/>
            <w:vAlign w:val="bottom"/>
            <w:gridSpan w:val="2"/>
          </w:tcPr>
          <w:p>
            <w:pPr>
              <w:jc w:val="center"/>
              <w:ind w:right="300"/>
              <w:spacing w:after="0" w:line="158" w:lineRule="exact"/>
              <w:rPr>
                <w:sz w:val="20"/>
                <w:szCs w:val="20"/>
                <w:color w:val="auto"/>
              </w:rPr>
            </w:pPr>
            <w:r>
              <w:rPr>
                <w:rFonts w:ascii="Arial" w:cs="Arial" w:eastAsia="Arial" w:hAnsi="Arial"/>
                <w:sz w:val="14"/>
                <w:szCs w:val="14"/>
                <w:b w:val="1"/>
                <w:bCs w:val="1"/>
                <w:color w:val="auto"/>
                <w:w w:val="89"/>
              </w:rPr>
              <w:t>Days</w:t>
            </w:r>
          </w:p>
        </w:tc>
        <w:tc>
          <w:tcPr>
            <w:tcW w:w="1120" w:type="dxa"/>
            <w:vAlign w:val="bottom"/>
            <w:gridSpan w:val="2"/>
          </w:tcPr>
          <w:p>
            <w:pPr>
              <w:jc w:val="center"/>
              <w:ind w:right="280"/>
              <w:spacing w:after="0" w:line="158" w:lineRule="exact"/>
              <w:rPr>
                <w:sz w:val="20"/>
                <w:szCs w:val="20"/>
                <w:color w:val="auto"/>
              </w:rPr>
            </w:pPr>
            <w:r>
              <w:rPr>
                <w:rFonts w:ascii="Arial" w:cs="Arial" w:eastAsia="Arial" w:hAnsi="Arial"/>
                <w:sz w:val="14"/>
                <w:szCs w:val="14"/>
                <w:b w:val="1"/>
                <w:bCs w:val="1"/>
                <w:color w:val="auto"/>
                <w:w w:val="95"/>
              </w:rPr>
              <w:t>Days</w:t>
            </w:r>
          </w:p>
        </w:tc>
        <w:tc>
          <w:tcPr>
            <w:tcW w:w="1260" w:type="dxa"/>
            <w:vAlign w:val="bottom"/>
            <w:gridSpan w:val="2"/>
          </w:tcPr>
          <w:p>
            <w:pPr>
              <w:jc w:val="center"/>
              <w:ind w:right="300"/>
              <w:spacing w:after="0" w:line="158" w:lineRule="exact"/>
              <w:rPr>
                <w:sz w:val="20"/>
                <w:szCs w:val="20"/>
                <w:color w:val="auto"/>
              </w:rPr>
            </w:pPr>
            <w:r>
              <w:rPr>
                <w:rFonts w:ascii="Arial" w:cs="Arial" w:eastAsia="Arial" w:hAnsi="Arial"/>
                <w:sz w:val="14"/>
                <w:szCs w:val="14"/>
                <w:b w:val="1"/>
                <w:bCs w:val="1"/>
                <w:color w:val="auto"/>
                <w:w w:val="93"/>
              </w:rPr>
              <w:t>Holdings(1)</w:t>
            </w:r>
          </w:p>
        </w:tc>
        <w:tc>
          <w:tcPr>
            <w:tcW w:w="1080" w:type="dxa"/>
            <w:vAlign w:val="bottom"/>
            <w:gridSpan w:val="2"/>
          </w:tcPr>
          <w:p>
            <w:pPr>
              <w:jc w:val="right"/>
              <w:ind w:right="240"/>
              <w:spacing w:after="0" w:line="158" w:lineRule="exact"/>
              <w:rPr>
                <w:sz w:val="20"/>
                <w:szCs w:val="20"/>
                <w:color w:val="auto"/>
              </w:rPr>
            </w:pPr>
            <w:r>
              <w:rPr>
                <w:rFonts w:ascii="Arial" w:cs="Arial" w:eastAsia="Arial" w:hAnsi="Arial"/>
                <w:sz w:val="14"/>
                <w:szCs w:val="14"/>
                <w:b w:val="1"/>
                <w:bCs w:val="1"/>
                <w:color w:val="auto"/>
                <w:w w:val="91"/>
              </w:rPr>
              <w:t>Ownership(2)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620" w:type="dxa"/>
            <w:vAlign w:val="bottom"/>
            <w:tcBorders>
              <w:bottom w:val="single" w:sz="8" w:color="CCEEFF"/>
            </w:tcBorders>
            <w:shd w:val="clear" w:color="auto" w:fill="000000"/>
          </w:tcPr>
          <w:p>
            <w:pPr>
              <w:spacing w:after="0" w:line="20" w:lineRule="exact"/>
              <w:rPr>
                <w:sz w:val="1"/>
                <w:szCs w:val="1"/>
                <w:color w:val="auto"/>
              </w:rPr>
            </w:pPr>
          </w:p>
        </w:tc>
        <w:tc>
          <w:tcPr>
            <w:tcW w:w="3540" w:type="dxa"/>
            <w:vAlign w:val="bottom"/>
            <w:tcBorders>
              <w:bottom w:val="single" w:sz="8" w:color="CCEEFF"/>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CCEEFF"/>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CCEEFF"/>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CCEEFF"/>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CCEEFF"/>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20" w:type="dxa"/>
            <w:vAlign w:val="bottom"/>
          </w:tcPr>
          <w:p>
            <w:pPr>
              <w:spacing w:after="0"/>
              <w:rPr>
                <w:sz w:val="16"/>
                <w:szCs w:val="16"/>
                <w:color w:val="auto"/>
              </w:rPr>
            </w:pPr>
          </w:p>
        </w:tc>
        <w:tc>
          <w:tcPr>
            <w:tcW w:w="5160" w:type="dxa"/>
            <w:vAlign w:val="bottom"/>
            <w:gridSpan w:val="2"/>
            <w:shd w:val="clear" w:color="auto" w:fill="CCEEFF"/>
          </w:tcPr>
          <w:p>
            <w:pPr>
              <w:spacing w:after="0" w:line="189" w:lineRule="exact"/>
              <w:rPr>
                <w:sz w:val="20"/>
                <w:szCs w:val="20"/>
                <w:color w:val="auto"/>
              </w:rPr>
            </w:pPr>
            <w:r>
              <w:rPr>
                <w:rFonts w:ascii="Arial" w:cs="Arial" w:eastAsia="Arial" w:hAnsi="Arial"/>
                <w:sz w:val="18"/>
                <w:szCs w:val="18"/>
                <w:b w:val="1"/>
                <w:bCs w:val="1"/>
                <w:color w:val="auto"/>
              </w:rPr>
              <w:t>5% or more shareholders</w:t>
            </w:r>
          </w:p>
        </w:tc>
        <w:tc>
          <w:tcPr>
            <w:tcW w:w="98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98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60" w:type="dxa"/>
            <w:vAlign w:val="bottom"/>
            <w:gridSpan w:val="2"/>
          </w:tcPr>
          <w:p>
            <w:pPr>
              <w:spacing w:after="0"/>
              <w:rPr>
                <w:sz w:val="20"/>
                <w:szCs w:val="20"/>
                <w:color w:val="auto"/>
              </w:rPr>
            </w:pPr>
            <w:r>
              <w:rPr>
                <w:rFonts w:ascii="Arial" w:cs="Arial" w:eastAsia="Arial" w:hAnsi="Arial"/>
                <w:sz w:val="18"/>
                <w:szCs w:val="18"/>
                <w:color w:val="auto"/>
              </w:rPr>
              <w:t>Redmile Group, LLC(1)</w:t>
            </w:r>
          </w:p>
        </w:tc>
        <w:tc>
          <w:tcPr>
            <w:tcW w:w="980" w:type="dxa"/>
            <w:vAlign w:val="bottom"/>
          </w:tcPr>
          <w:p>
            <w:pPr>
              <w:jc w:val="right"/>
              <w:spacing w:after="0"/>
              <w:rPr>
                <w:sz w:val="20"/>
                <w:szCs w:val="20"/>
                <w:color w:val="auto"/>
              </w:rPr>
            </w:pPr>
            <w:r>
              <w:rPr>
                <w:rFonts w:ascii="Arial" w:cs="Arial" w:eastAsia="Arial" w:hAnsi="Arial"/>
                <w:sz w:val="18"/>
                <w:szCs w:val="18"/>
                <w:color w:val="auto"/>
                <w:w w:val="93"/>
              </w:rPr>
              <w:t>250,000,000</w:t>
            </w:r>
          </w:p>
        </w:tc>
        <w:tc>
          <w:tcPr>
            <w:tcW w:w="260" w:type="dxa"/>
            <w:vAlign w:val="bottom"/>
          </w:tcPr>
          <w:p>
            <w:pPr>
              <w:spacing w:after="0"/>
              <w:rPr>
                <w:sz w:val="18"/>
                <w:szCs w:val="18"/>
                <w:color w:val="auto"/>
              </w:rPr>
            </w:pPr>
          </w:p>
        </w:tc>
        <w:tc>
          <w:tcPr>
            <w:tcW w:w="116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1120" w:type="dxa"/>
            <w:vAlign w:val="bottom"/>
            <w:gridSpan w:val="2"/>
          </w:tcPr>
          <w:p>
            <w:pPr>
              <w:ind w:left="580"/>
              <w:spacing w:after="0"/>
              <w:rPr>
                <w:sz w:val="20"/>
                <w:szCs w:val="20"/>
                <w:color w:val="auto"/>
              </w:rPr>
            </w:pPr>
            <w:r>
              <w:rPr>
                <w:rFonts w:ascii="Arial" w:cs="Arial" w:eastAsia="Arial" w:hAnsi="Arial"/>
                <w:sz w:val="18"/>
                <w:szCs w:val="18"/>
                <w:color w:val="auto"/>
              </w:rPr>
              <w:t>—</w:t>
            </w:r>
          </w:p>
        </w:tc>
        <w:tc>
          <w:tcPr>
            <w:tcW w:w="980" w:type="dxa"/>
            <w:vAlign w:val="bottom"/>
          </w:tcPr>
          <w:p>
            <w:pPr>
              <w:jc w:val="right"/>
              <w:spacing w:after="0"/>
              <w:rPr>
                <w:sz w:val="20"/>
                <w:szCs w:val="20"/>
                <w:color w:val="auto"/>
              </w:rPr>
            </w:pPr>
            <w:r>
              <w:rPr>
                <w:rFonts w:ascii="Arial" w:cs="Arial" w:eastAsia="Arial" w:hAnsi="Arial"/>
                <w:sz w:val="18"/>
                <w:szCs w:val="18"/>
                <w:color w:val="auto"/>
                <w:w w:val="95"/>
              </w:rPr>
              <w:t>250,000,000</w:t>
            </w:r>
          </w:p>
        </w:tc>
        <w:tc>
          <w:tcPr>
            <w:tcW w:w="280" w:type="dxa"/>
            <w:vAlign w:val="bottom"/>
          </w:tcPr>
          <w:p>
            <w:pPr>
              <w:spacing w:after="0"/>
              <w:rPr>
                <w:sz w:val="18"/>
                <w:szCs w:val="18"/>
                <w:color w:val="auto"/>
              </w:rPr>
            </w:pPr>
          </w:p>
        </w:tc>
        <w:tc>
          <w:tcPr>
            <w:tcW w:w="1080" w:type="dxa"/>
            <w:vAlign w:val="bottom"/>
            <w:gridSpan w:val="2"/>
          </w:tcPr>
          <w:p>
            <w:pPr>
              <w:jc w:val="right"/>
              <w:ind w:right="80"/>
              <w:spacing w:after="0"/>
              <w:rPr>
                <w:sz w:val="20"/>
                <w:szCs w:val="20"/>
                <w:color w:val="auto"/>
              </w:rPr>
            </w:pPr>
            <w:r>
              <w:rPr>
                <w:rFonts w:ascii="Arial" w:cs="Arial" w:eastAsia="Arial" w:hAnsi="Arial"/>
                <w:sz w:val="18"/>
                <w:szCs w:val="18"/>
                <w:color w:val="auto"/>
              </w:rPr>
              <w:t>13.4%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Karst Peak Capital Limited(2)</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196,154,563</w:t>
            </w:r>
          </w:p>
        </w:tc>
        <w:tc>
          <w:tcPr>
            <w:tcW w:w="2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ind w:left="580"/>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196,154,563</w:t>
            </w:r>
          </w:p>
        </w:tc>
        <w:tc>
          <w:tcPr>
            <w:tcW w:w="2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10.5%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60" w:type="dxa"/>
            <w:vAlign w:val="bottom"/>
            <w:gridSpan w:val="2"/>
          </w:tcPr>
          <w:p>
            <w:pPr>
              <w:spacing w:after="0"/>
              <w:rPr>
                <w:sz w:val="20"/>
                <w:szCs w:val="20"/>
                <w:color w:val="auto"/>
              </w:rPr>
            </w:pPr>
            <w:r>
              <w:rPr>
                <w:rFonts w:ascii="Arial" w:cs="Arial" w:eastAsia="Arial" w:hAnsi="Arial"/>
                <w:sz w:val="18"/>
                <w:szCs w:val="18"/>
                <w:color w:val="auto"/>
              </w:rPr>
              <w:t>Blackcrane Capital, LLC(3)</w:t>
            </w:r>
          </w:p>
        </w:tc>
        <w:tc>
          <w:tcPr>
            <w:tcW w:w="980" w:type="dxa"/>
            <w:vAlign w:val="bottom"/>
          </w:tcPr>
          <w:p>
            <w:pPr>
              <w:jc w:val="right"/>
              <w:spacing w:after="0"/>
              <w:rPr>
                <w:sz w:val="20"/>
                <w:szCs w:val="20"/>
                <w:color w:val="auto"/>
              </w:rPr>
            </w:pPr>
            <w:r>
              <w:rPr>
                <w:rFonts w:ascii="Arial" w:cs="Arial" w:eastAsia="Arial" w:hAnsi="Arial"/>
                <w:sz w:val="18"/>
                <w:szCs w:val="18"/>
                <w:color w:val="auto"/>
                <w:w w:val="93"/>
              </w:rPr>
              <w:t>124,345,592</w:t>
            </w:r>
          </w:p>
        </w:tc>
        <w:tc>
          <w:tcPr>
            <w:tcW w:w="260" w:type="dxa"/>
            <w:vAlign w:val="bottom"/>
          </w:tcPr>
          <w:p>
            <w:pPr>
              <w:spacing w:after="0"/>
              <w:rPr>
                <w:sz w:val="18"/>
                <w:szCs w:val="18"/>
                <w:color w:val="auto"/>
              </w:rPr>
            </w:pPr>
          </w:p>
        </w:tc>
        <w:tc>
          <w:tcPr>
            <w:tcW w:w="116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1120" w:type="dxa"/>
            <w:vAlign w:val="bottom"/>
            <w:gridSpan w:val="2"/>
          </w:tcPr>
          <w:p>
            <w:pPr>
              <w:ind w:left="580"/>
              <w:spacing w:after="0"/>
              <w:rPr>
                <w:sz w:val="20"/>
                <w:szCs w:val="20"/>
                <w:color w:val="auto"/>
              </w:rPr>
            </w:pPr>
            <w:r>
              <w:rPr>
                <w:rFonts w:ascii="Arial" w:cs="Arial" w:eastAsia="Arial" w:hAnsi="Arial"/>
                <w:sz w:val="18"/>
                <w:szCs w:val="18"/>
                <w:color w:val="auto"/>
              </w:rPr>
              <w:t>—</w:t>
            </w:r>
          </w:p>
        </w:tc>
        <w:tc>
          <w:tcPr>
            <w:tcW w:w="980" w:type="dxa"/>
            <w:vAlign w:val="bottom"/>
          </w:tcPr>
          <w:p>
            <w:pPr>
              <w:jc w:val="right"/>
              <w:spacing w:after="0"/>
              <w:rPr>
                <w:sz w:val="20"/>
                <w:szCs w:val="20"/>
                <w:color w:val="auto"/>
              </w:rPr>
            </w:pPr>
            <w:r>
              <w:rPr>
                <w:rFonts w:ascii="Arial" w:cs="Arial" w:eastAsia="Arial" w:hAnsi="Arial"/>
                <w:sz w:val="18"/>
                <w:szCs w:val="18"/>
                <w:color w:val="auto"/>
                <w:w w:val="95"/>
              </w:rPr>
              <w:t>124,345,592</w:t>
            </w:r>
          </w:p>
        </w:tc>
        <w:tc>
          <w:tcPr>
            <w:tcW w:w="280" w:type="dxa"/>
            <w:vAlign w:val="bottom"/>
          </w:tcPr>
          <w:p>
            <w:pPr>
              <w:spacing w:after="0"/>
              <w:rPr>
                <w:sz w:val="18"/>
                <w:szCs w:val="18"/>
                <w:color w:val="auto"/>
              </w:rPr>
            </w:pPr>
          </w:p>
        </w:tc>
        <w:tc>
          <w:tcPr>
            <w:tcW w:w="1080" w:type="dxa"/>
            <w:vAlign w:val="bottom"/>
            <w:gridSpan w:val="2"/>
          </w:tcPr>
          <w:p>
            <w:pPr>
              <w:jc w:val="right"/>
              <w:ind w:right="80"/>
              <w:spacing w:after="0"/>
              <w:rPr>
                <w:sz w:val="20"/>
                <w:szCs w:val="20"/>
                <w:color w:val="auto"/>
              </w:rPr>
            </w:pPr>
            <w:r>
              <w:rPr>
                <w:rFonts w:ascii="Arial" w:cs="Arial" w:eastAsia="Arial" w:hAnsi="Arial"/>
                <w:sz w:val="18"/>
                <w:szCs w:val="18"/>
                <w:color w:val="auto"/>
              </w:rPr>
              <w:t>6.7%</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516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rPr>
              <w:t>Phillip Asset Management Ltd. atf BioScience Managers</w:t>
            </w:r>
          </w:p>
        </w:tc>
        <w:tc>
          <w:tcPr>
            <w:tcW w:w="9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16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Translation Fund(4)</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95,833,334</w:t>
            </w:r>
          </w:p>
        </w:tc>
        <w:tc>
          <w:tcPr>
            <w:tcW w:w="260" w:type="dxa"/>
            <w:vAlign w:val="bottom"/>
            <w:shd w:val="clear" w:color="auto" w:fill="CCEEFF"/>
          </w:tcPr>
          <w:p>
            <w:pPr>
              <w:spacing w:after="0"/>
              <w:rPr>
                <w:sz w:val="20"/>
                <w:szCs w:val="20"/>
                <w:color w:val="auto"/>
              </w:rPr>
            </w:pPr>
          </w:p>
        </w:tc>
        <w:tc>
          <w:tcPr>
            <w:tcW w:w="11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ind w:left="580"/>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95,833,334</w:t>
            </w:r>
          </w:p>
        </w:tc>
        <w:tc>
          <w:tcPr>
            <w:tcW w:w="280" w:type="dxa"/>
            <w:vAlign w:val="bottom"/>
            <w:shd w:val="clear" w:color="auto" w:fill="CCEEFF"/>
          </w:tcPr>
          <w:p>
            <w:pPr>
              <w:spacing w:after="0"/>
              <w:rPr>
                <w:sz w:val="20"/>
                <w:szCs w:val="20"/>
                <w:color w:val="auto"/>
              </w:rPr>
            </w:pPr>
          </w:p>
        </w:tc>
        <w:tc>
          <w:tcPr>
            <w:tcW w:w="10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5.14%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60" w:type="dxa"/>
            <w:vAlign w:val="bottom"/>
            <w:gridSpan w:val="2"/>
          </w:tcPr>
          <w:p>
            <w:pPr>
              <w:spacing w:after="0"/>
              <w:rPr>
                <w:sz w:val="20"/>
                <w:szCs w:val="20"/>
                <w:color w:val="auto"/>
              </w:rPr>
            </w:pPr>
            <w:r>
              <w:rPr>
                <w:rFonts w:ascii="Arial" w:cs="Arial" w:eastAsia="Arial" w:hAnsi="Arial"/>
                <w:sz w:val="18"/>
                <w:szCs w:val="18"/>
                <w:b w:val="1"/>
                <w:bCs w:val="1"/>
                <w:color w:val="auto"/>
              </w:rPr>
              <w:t>Names executive officers and directors</w:t>
            </w:r>
          </w:p>
        </w:tc>
        <w:tc>
          <w:tcPr>
            <w:tcW w:w="9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Lou Panaccio</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1,648,564</w:t>
            </w:r>
          </w:p>
        </w:tc>
        <w:tc>
          <w:tcPr>
            <w:tcW w:w="2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ind w:left="580"/>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1,648,564</w:t>
            </w:r>
          </w:p>
        </w:tc>
        <w:tc>
          <w:tcPr>
            <w:tcW w:w="28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60" w:type="dxa"/>
            <w:vAlign w:val="bottom"/>
            <w:gridSpan w:val="2"/>
          </w:tcPr>
          <w:p>
            <w:pPr>
              <w:spacing w:after="0"/>
              <w:rPr>
                <w:sz w:val="20"/>
                <w:szCs w:val="20"/>
                <w:color w:val="auto"/>
              </w:rPr>
            </w:pPr>
            <w:r>
              <w:rPr>
                <w:rFonts w:ascii="Arial" w:cs="Arial" w:eastAsia="Arial" w:hAnsi="Arial"/>
                <w:sz w:val="18"/>
                <w:szCs w:val="18"/>
                <w:color w:val="auto"/>
              </w:rPr>
              <w:t>Dr. Michael Perry(4)</w:t>
            </w:r>
          </w:p>
        </w:tc>
        <w:tc>
          <w:tcPr>
            <w:tcW w:w="980" w:type="dxa"/>
            <w:vAlign w:val="bottom"/>
          </w:tcPr>
          <w:p>
            <w:pPr>
              <w:jc w:val="right"/>
              <w:spacing w:after="0"/>
              <w:rPr>
                <w:sz w:val="20"/>
                <w:szCs w:val="20"/>
                <w:color w:val="auto"/>
              </w:rPr>
            </w:pPr>
            <w:r>
              <w:rPr>
                <w:rFonts w:ascii="Arial" w:cs="Arial" w:eastAsia="Arial" w:hAnsi="Arial"/>
                <w:sz w:val="18"/>
                <w:szCs w:val="18"/>
                <w:color w:val="auto"/>
              </w:rPr>
              <w:t>61,654</w:t>
            </w:r>
          </w:p>
        </w:tc>
        <w:tc>
          <w:tcPr>
            <w:tcW w:w="2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w w:val="95"/>
              </w:rPr>
              <w:t>10,833,333</w:t>
            </w:r>
          </w:p>
        </w:tc>
        <w:tc>
          <w:tcPr>
            <w:tcW w:w="280" w:type="dxa"/>
            <w:vAlign w:val="bottom"/>
          </w:tcPr>
          <w:p>
            <w:pPr>
              <w:spacing w:after="0"/>
              <w:rPr>
                <w:sz w:val="18"/>
                <w:szCs w:val="18"/>
                <w:color w:val="auto"/>
              </w:rPr>
            </w:pPr>
          </w:p>
        </w:tc>
        <w:tc>
          <w:tcPr>
            <w:tcW w:w="860" w:type="dxa"/>
            <w:vAlign w:val="bottom"/>
          </w:tcPr>
          <w:p>
            <w:pPr>
              <w:ind w:left="60"/>
              <w:spacing w:after="0"/>
              <w:rPr>
                <w:sz w:val="20"/>
                <w:szCs w:val="20"/>
                <w:color w:val="auto"/>
              </w:rPr>
            </w:pPr>
            <w:r>
              <w:rPr>
                <w:rFonts w:ascii="Arial" w:cs="Arial" w:eastAsia="Arial" w:hAnsi="Arial"/>
                <w:sz w:val="18"/>
                <w:szCs w:val="18"/>
                <w:color w:val="auto"/>
                <w:w w:val="86"/>
              </w:rPr>
              <w:t>36,111,109</w:t>
            </w:r>
          </w:p>
        </w:tc>
        <w:tc>
          <w:tcPr>
            <w:tcW w:w="2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47,006,906</w:t>
            </w:r>
          </w:p>
        </w:tc>
        <w:tc>
          <w:tcPr>
            <w:tcW w:w="280" w:type="dxa"/>
            <w:vAlign w:val="bottom"/>
          </w:tcPr>
          <w:p>
            <w:pPr>
              <w:spacing w:after="0"/>
              <w:rPr>
                <w:sz w:val="18"/>
                <w:szCs w:val="18"/>
                <w:color w:val="auto"/>
              </w:rPr>
            </w:pPr>
          </w:p>
        </w:tc>
        <w:tc>
          <w:tcPr>
            <w:tcW w:w="1080" w:type="dxa"/>
            <w:vAlign w:val="bottom"/>
            <w:gridSpan w:val="2"/>
          </w:tcPr>
          <w:p>
            <w:pPr>
              <w:jc w:val="right"/>
              <w:ind w:right="80"/>
              <w:spacing w:after="0"/>
              <w:rPr>
                <w:sz w:val="20"/>
                <w:szCs w:val="20"/>
                <w:color w:val="auto"/>
              </w:rPr>
            </w:pPr>
            <w:r>
              <w:rPr>
                <w:rFonts w:ascii="Arial" w:cs="Arial" w:eastAsia="Arial" w:hAnsi="Arial"/>
                <w:sz w:val="18"/>
                <w:szCs w:val="18"/>
                <w:color w:val="auto"/>
              </w:rPr>
              <w:t>2.5%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Erin Liberto</w:t>
            </w:r>
          </w:p>
        </w:tc>
        <w:tc>
          <w:tcPr>
            <w:tcW w:w="1240" w:type="dxa"/>
            <w:vAlign w:val="bottom"/>
            <w:gridSpan w:val="2"/>
            <w:shd w:val="clear" w:color="auto" w:fill="CCEEFF"/>
          </w:tcPr>
          <w:p>
            <w:pPr>
              <w:ind w:left="700"/>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2,050,000</w:t>
            </w:r>
          </w:p>
        </w:tc>
        <w:tc>
          <w:tcPr>
            <w:tcW w:w="2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ind w:left="580"/>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2,050,000</w:t>
            </w:r>
          </w:p>
        </w:tc>
        <w:tc>
          <w:tcPr>
            <w:tcW w:w="28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60" w:type="dxa"/>
            <w:vAlign w:val="bottom"/>
            <w:gridSpan w:val="2"/>
          </w:tcPr>
          <w:p>
            <w:pPr>
              <w:spacing w:after="0"/>
              <w:rPr>
                <w:sz w:val="20"/>
                <w:szCs w:val="20"/>
                <w:color w:val="auto"/>
              </w:rPr>
            </w:pPr>
            <w:r>
              <w:rPr>
                <w:rFonts w:ascii="Arial" w:cs="Arial" w:eastAsia="Arial" w:hAnsi="Arial"/>
                <w:sz w:val="18"/>
                <w:szCs w:val="18"/>
                <w:color w:val="auto"/>
              </w:rPr>
              <w:t>Timothy Rooney</w:t>
            </w:r>
          </w:p>
        </w:tc>
        <w:tc>
          <w:tcPr>
            <w:tcW w:w="1240" w:type="dxa"/>
            <w:vAlign w:val="bottom"/>
            <w:gridSpan w:val="2"/>
          </w:tcPr>
          <w:p>
            <w:pPr>
              <w:ind w:left="700"/>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5,220,000</w:t>
            </w:r>
          </w:p>
        </w:tc>
        <w:tc>
          <w:tcPr>
            <w:tcW w:w="280" w:type="dxa"/>
            <w:vAlign w:val="bottom"/>
          </w:tcPr>
          <w:p>
            <w:pPr>
              <w:spacing w:after="0"/>
              <w:rPr>
                <w:sz w:val="18"/>
                <w:szCs w:val="18"/>
                <w:color w:val="auto"/>
              </w:rPr>
            </w:pPr>
          </w:p>
        </w:tc>
        <w:tc>
          <w:tcPr>
            <w:tcW w:w="1120" w:type="dxa"/>
            <w:vAlign w:val="bottom"/>
            <w:gridSpan w:val="2"/>
          </w:tcPr>
          <w:p>
            <w:pPr>
              <w:ind w:left="580"/>
              <w:spacing w:after="0"/>
              <w:rPr>
                <w:sz w:val="20"/>
                <w:szCs w:val="20"/>
                <w:color w:val="auto"/>
              </w:rPr>
            </w:pPr>
            <w:r>
              <w:rPr>
                <w:rFonts w:ascii="Arial" w:cs="Arial" w:eastAsia="Arial" w:hAnsi="Arial"/>
                <w:sz w:val="18"/>
                <w:szCs w:val="18"/>
                <w:color w:val="auto"/>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5,220,000</w:t>
            </w:r>
          </w:p>
        </w:tc>
        <w:tc>
          <w:tcPr>
            <w:tcW w:w="28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Andrew Quick</w:t>
            </w:r>
          </w:p>
        </w:tc>
        <w:tc>
          <w:tcPr>
            <w:tcW w:w="1240" w:type="dxa"/>
            <w:vAlign w:val="bottom"/>
            <w:gridSpan w:val="2"/>
            <w:shd w:val="clear" w:color="auto" w:fill="CCEEFF"/>
          </w:tcPr>
          <w:p>
            <w:pPr>
              <w:ind w:left="700"/>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3,307,500</w:t>
            </w:r>
          </w:p>
        </w:tc>
        <w:tc>
          <w:tcPr>
            <w:tcW w:w="2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ind w:left="580"/>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3,307,500</w:t>
            </w:r>
          </w:p>
        </w:tc>
        <w:tc>
          <w:tcPr>
            <w:tcW w:w="28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60" w:type="dxa"/>
            <w:vAlign w:val="bottom"/>
            <w:gridSpan w:val="2"/>
          </w:tcPr>
          <w:p>
            <w:pPr>
              <w:spacing w:after="0"/>
              <w:rPr>
                <w:sz w:val="20"/>
                <w:szCs w:val="20"/>
                <w:color w:val="auto"/>
              </w:rPr>
            </w:pPr>
            <w:r>
              <w:rPr>
                <w:rFonts w:ascii="Arial" w:cs="Arial" w:eastAsia="Arial" w:hAnsi="Arial"/>
                <w:sz w:val="18"/>
                <w:szCs w:val="18"/>
                <w:color w:val="auto"/>
              </w:rPr>
              <w:t>Donna Shiroma</w:t>
            </w:r>
          </w:p>
        </w:tc>
        <w:tc>
          <w:tcPr>
            <w:tcW w:w="1240" w:type="dxa"/>
            <w:vAlign w:val="bottom"/>
            <w:gridSpan w:val="2"/>
          </w:tcPr>
          <w:p>
            <w:pPr>
              <w:ind w:left="700"/>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1120" w:type="dxa"/>
            <w:vAlign w:val="bottom"/>
            <w:gridSpan w:val="2"/>
          </w:tcPr>
          <w:p>
            <w:pPr>
              <w:ind w:left="580"/>
              <w:spacing w:after="0"/>
              <w:rPr>
                <w:sz w:val="20"/>
                <w:szCs w:val="20"/>
                <w:color w:val="auto"/>
              </w:rPr>
            </w:pPr>
            <w:r>
              <w:rPr>
                <w:rFonts w:ascii="Arial" w:cs="Arial" w:eastAsia="Arial" w:hAnsi="Arial"/>
                <w:sz w:val="18"/>
                <w:szCs w:val="18"/>
                <w:color w:val="auto"/>
              </w:rPr>
              <w:t>—</w:t>
            </w:r>
          </w:p>
        </w:tc>
        <w:tc>
          <w:tcPr>
            <w:tcW w:w="1260" w:type="dxa"/>
            <w:vAlign w:val="bottom"/>
            <w:gridSpan w:val="2"/>
          </w:tcPr>
          <w:p>
            <w:pPr>
              <w:ind w:left="700"/>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Jeremy Curnock Cook(4)</w:t>
            </w:r>
          </w:p>
        </w:tc>
        <w:tc>
          <w:tcPr>
            <w:tcW w:w="1240" w:type="dxa"/>
            <w:vAlign w:val="bottom"/>
            <w:gridSpan w:val="2"/>
            <w:shd w:val="clear" w:color="auto" w:fill="CCEEFF"/>
          </w:tcPr>
          <w:p>
            <w:pPr>
              <w:ind w:left="700"/>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ind w:left="580"/>
              <w:spacing w:after="0"/>
              <w:rPr>
                <w:sz w:val="20"/>
                <w:szCs w:val="20"/>
                <w:color w:val="auto"/>
              </w:rPr>
            </w:pPr>
            <w:r>
              <w:rPr>
                <w:rFonts w:ascii="Arial" w:cs="Arial" w:eastAsia="Arial" w:hAnsi="Arial"/>
                <w:sz w:val="18"/>
                <w:szCs w:val="18"/>
                <w:color w:val="auto"/>
              </w:rPr>
              <w:t>—</w:t>
            </w:r>
          </w:p>
        </w:tc>
        <w:tc>
          <w:tcPr>
            <w:tcW w:w="1260" w:type="dxa"/>
            <w:vAlign w:val="bottom"/>
            <w:gridSpan w:val="2"/>
            <w:shd w:val="clear" w:color="auto" w:fill="CCEEFF"/>
          </w:tcPr>
          <w:p>
            <w:pPr>
              <w:ind w:left="700"/>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60" w:type="dxa"/>
            <w:vAlign w:val="bottom"/>
            <w:gridSpan w:val="2"/>
          </w:tcPr>
          <w:p>
            <w:pPr>
              <w:spacing w:after="0"/>
              <w:rPr>
                <w:sz w:val="20"/>
                <w:szCs w:val="20"/>
                <w:color w:val="auto"/>
              </w:rPr>
            </w:pPr>
            <w:r>
              <w:rPr>
                <w:rFonts w:ascii="Arial" w:cs="Arial" w:eastAsia="Arial" w:hAnsi="Arial"/>
                <w:sz w:val="18"/>
                <w:szCs w:val="18"/>
                <w:color w:val="auto"/>
              </w:rPr>
              <w:t>Louis Drapeau</w:t>
            </w:r>
          </w:p>
        </w:tc>
        <w:tc>
          <w:tcPr>
            <w:tcW w:w="980" w:type="dxa"/>
            <w:vAlign w:val="bottom"/>
          </w:tcPr>
          <w:p>
            <w:pPr>
              <w:jc w:val="right"/>
              <w:spacing w:after="0"/>
              <w:rPr>
                <w:sz w:val="20"/>
                <w:szCs w:val="20"/>
                <w:color w:val="auto"/>
              </w:rPr>
            </w:pPr>
            <w:r>
              <w:rPr>
                <w:rFonts w:ascii="Arial" w:cs="Arial" w:eastAsia="Arial" w:hAnsi="Arial"/>
                <w:sz w:val="18"/>
                <w:szCs w:val="18"/>
                <w:color w:val="auto"/>
              </w:rPr>
              <w:t>33,938</w:t>
            </w:r>
          </w:p>
        </w:tc>
        <w:tc>
          <w:tcPr>
            <w:tcW w:w="260" w:type="dxa"/>
            <w:vAlign w:val="bottom"/>
          </w:tcPr>
          <w:p>
            <w:pPr>
              <w:spacing w:after="0"/>
              <w:rPr>
                <w:sz w:val="18"/>
                <w:szCs w:val="18"/>
                <w:color w:val="auto"/>
              </w:rPr>
            </w:pPr>
          </w:p>
        </w:tc>
        <w:tc>
          <w:tcPr>
            <w:tcW w:w="116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1120" w:type="dxa"/>
            <w:vAlign w:val="bottom"/>
            <w:gridSpan w:val="2"/>
          </w:tcPr>
          <w:p>
            <w:pPr>
              <w:ind w:left="580"/>
              <w:spacing w:after="0"/>
              <w:rPr>
                <w:sz w:val="20"/>
                <w:szCs w:val="20"/>
                <w:color w:val="auto"/>
              </w:rPr>
            </w:pPr>
            <w:r>
              <w:rPr>
                <w:rFonts w:ascii="Arial" w:cs="Arial" w:eastAsia="Arial" w:hAnsi="Arial"/>
                <w:sz w:val="18"/>
                <w:szCs w:val="18"/>
                <w:color w:val="auto"/>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33,938</w:t>
            </w:r>
          </w:p>
        </w:tc>
        <w:tc>
          <w:tcPr>
            <w:tcW w:w="28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Damien McDonald</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578,402</w:t>
            </w:r>
          </w:p>
        </w:tc>
        <w:tc>
          <w:tcPr>
            <w:tcW w:w="2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ind w:left="580"/>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578,402</w:t>
            </w:r>
          </w:p>
        </w:tc>
        <w:tc>
          <w:tcPr>
            <w:tcW w:w="28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60" w:type="dxa"/>
            <w:vAlign w:val="bottom"/>
            <w:gridSpan w:val="2"/>
          </w:tcPr>
          <w:p>
            <w:pPr>
              <w:spacing w:after="0"/>
              <w:rPr>
                <w:sz w:val="20"/>
                <w:szCs w:val="20"/>
                <w:color w:val="auto"/>
              </w:rPr>
            </w:pPr>
            <w:r>
              <w:rPr>
                <w:rFonts w:ascii="Arial" w:cs="Arial" w:eastAsia="Arial" w:hAnsi="Arial"/>
                <w:sz w:val="18"/>
                <w:szCs w:val="18"/>
                <w:color w:val="auto"/>
              </w:rPr>
              <w:t>Professor Suzanne Crowe</w:t>
            </w:r>
          </w:p>
        </w:tc>
        <w:tc>
          <w:tcPr>
            <w:tcW w:w="980" w:type="dxa"/>
            <w:vAlign w:val="bottom"/>
          </w:tcPr>
          <w:p>
            <w:pPr>
              <w:jc w:val="right"/>
              <w:spacing w:after="0"/>
              <w:rPr>
                <w:sz w:val="20"/>
                <w:szCs w:val="20"/>
                <w:color w:val="auto"/>
              </w:rPr>
            </w:pPr>
            <w:r>
              <w:rPr>
                <w:rFonts w:ascii="Arial" w:cs="Arial" w:eastAsia="Arial" w:hAnsi="Arial"/>
                <w:sz w:val="18"/>
                <w:szCs w:val="18"/>
                <w:color w:val="auto"/>
              </w:rPr>
              <w:t>106,910</w:t>
            </w:r>
          </w:p>
        </w:tc>
        <w:tc>
          <w:tcPr>
            <w:tcW w:w="260" w:type="dxa"/>
            <w:vAlign w:val="bottom"/>
          </w:tcPr>
          <w:p>
            <w:pPr>
              <w:spacing w:after="0"/>
              <w:rPr>
                <w:sz w:val="18"/>
                <w:szCs w:val="18"/>
                <w:color w:val="auto"/>
              </w:rPr>
            </w:pPr>
          </w:p>
        </w:tc>
        <w:tc>
          <w:tcPr>
            <w:tcW w:w="116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1120" w:type="dxa"/>
            <w:vAlign w:val="bottom"/>
            <w:gridSpan w:val="2"/>
          </w:tcPr>
          <w:p>
            <w:pPr>
              <w:ind w:left="580"/>
              <w:spacing w:after="0"/>
              <w:rPr>
                <w:sz w:val="20"/>
                <w:szCs w:val="20"/>
                <w:color w:val="auto"/>
              </w:rPr>
            </w:pPr>
            <w:r>
              <w:rPr>
                <w:rFonts w:ascii="Arial" w:cs="Arial" w:eastAsia="Arial" w:hAnsi="Arial"/>
                <w:sz w:val="18"/>
                <w:szCs w:val="18"/>
                <w:color w:val="auto"/>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106,910</w:t>
            </w:r>
          </w:p>
        </w:tc>
        <w:tc>
          <w:tcPr>
            <w:tcW w:w="28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6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All executive officers and directors as a group (10 persons)</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2,429,468</w:t>
            </w:r>
          </w:p>
        </w:tc>
        <w:tc>
          <w:tcPr>
            <w:tcW w:w="26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23,174,583</w:t>
            </w:r>
          </w:p>
        </w:tc>
        <w:tc>
          <w:tcPr>
            <w:tcW w:w="280" w:type="dxa"/>
            <w:vAlign w:val="bottom"/>
            <w:shd w:val="clear" w:color="auto" w:fill="CCEEFF"/>
          </w:tcPr>
          <w:p>
            <w:pPr>
              <w:spacing w:after="0"/>
              <w:rPr>
                <w:sz w:val="18"/>
                <w:szCs w:val="18"/>
                <w:color w:val="auto"/>
              </w:rPr>
            </w:pPr>
          </w:p>
        </w:tc>
        <w:tc>
          <w:tcPr>
            <w:tcW w:w="860" w:type="dxa"/>
            <w:vAlign w:val="bottom"/>
            <w:shd w:val="clear" w:color="auto" w:fill="CCEEFF"/>
          </w:tcPr>
          <w:p>
            <w:pPr>
              <w:ind w:left="60"/>
              <w:spacing w:after="0"/>
              <w:rPr>
                <w:sz w:val="20"/>
                <w:szCs w:val="20"/>
                <w:color w:val="auto"/>
              </w:rPr>
            </w:pPr>
            <w:r>
              <w:rPr>
                <w:rFonts w:ascii="Arial" w:cs="Arial" w:eastAsia="Arial" w:hAnsi="Arial"/>
                <w:sz w:val="18"/>
                <w:szCs w:val="18"/>
                <w:color w:val="auto"/>
                <w:w w:val="86"/>
              </w:rPr>
              <w:t>36,111,109</w:t>
            </w:r>
          </w:p>
        </w:tc>
        <w:tc>
          <w:tcPr>
            <w:tcW w:w="26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61,715,160</w:t>
            </w:r>
          </w:p>
        </w:tc>
        <w:tc>
          <w:tcPr>
            <w:tcW w:w="2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3.3%</w:t>
            </w:r>
          </w:p>
        </w:tc>
        <w:tc>
          <w:tcPr>
            <w:tcW w:w="0" w:type="dxa"/>
            <w:vAlign w:val="bottom"/>
          </w:tcPr>
          <w:p>
            <w:pPr>
              <w:spacing w:after="0"/>
              <w:rPr>
                <w:sz w:val="1"/>
                <w:szCs w:val="1"/>
                <w:color w:val="auto"/>
              </w:rPr>
            </w:pPr>
          </w:p>
        </w:tc>
      </w:tr>
    </w:tbl>
    <w:p>
      <w:pPr>
        <w:spacing w:after="0" w:line="229" w:lineRule="exact"/>
        <w:rPr>
          <w:sz w:val="20"/>
          <w:szCs w:val="20"/>
          <w:color w:val="auto"/>
        </w:rPr>
      </w:pPr>
    </w:p>
    <w:p>
      <w:pPr>
        <w:ind w:left="640" w:hanging="436"/>
        <w:spacing w:after="0"/>
        <w:tabs>
          <w:tab w:leader="none" w:pos="640" w:val="left"/>
        </w:tabs>
        <w:numPr>
          <w:ilvl w:val="0"/>
          <w:numId w:val="44"/>
        </w:numPr>
        <w:rPr>
          <w:rFonts w:ascii="Arial" w:cs="Arial" w:eastAsia="Arial" w:hAnsi="Arial"/>
          <w:sz w:val="18"/>
          <w:szCs w:val="18"/>
          <w:color w:val="auto"/>
        </w:rPr>
      </w:pPr>
      <w:r>
        <w:rPr>
          <w:rFonts w:ascii="Arial" w:cs="Arial" w:eastAsia="Arial" w:hAnsi="Arial"/>
          <w:sz w:val="18"/>
          <w:szCs w:val="18"/>
          <w:color w:val="auto"/>
        </w:rPr>
        <w:t>Represents beneficial ownership of less than 1% of the outstanding ordinary shares.</w:t>
      </w:r>
    </w:p>
    <w:p>
      <w:pPr>
        <w:spacing w:after="0" w:line="23" w:lineRule="exact"/>
        <w:rPr>
          <w:sz w:val="20"/>
          <w:szCs w:val="20"/>
          <w:color w:val="auto"/>
        </w:rPr>
      </w:pPr>
    </w:p>
    <w:p>
      <w:pPr>
        <w:ind w:left="640" w:right="20" w:hanging="436"/>
        <w:spacing w:after="0" w:line="281" w:lineRule="auto"/>
        <w:tabs>
          <w:tab w:leader="none" w:pos="640" w:val="left"/>
        </w:tabs>
        <w:numPr>
          <w:ilvl w:val="0"/>
          <w:numId w:val="45"/>
        </w:numPr>
        <w:rPr>
          <w:rFonts w:ascii="Arial" w:cs="Arial" w:eastAsia="Arial" w:hAnsi="Arial"/>
          <w:sz w:val="16"/>
          <w:szCs w:val="16"/>
          <w:color w:val="auto"/>
        </w:rPr>
      </w:pPr>
      <w:r>
        <w:rPr>
          <w:rFonts w:ascii="Arial" w:cs="Arial" w:eastAsia="Arial" w:hAnsi="Arial"/>
          <w:sz w:val="16"/>
          <w:szCs w:val="16"/>
          <w:color w:val="auto"/>
        </w:rPr>
        <w:t>Consists of 122,918,007 ordinary shares held by Redmile Offshore II Master Fund Ltd. and 127,081,993 ordinary shares held by Redmile Strategic Master Fund LP. Redmile Group, LLC is the investment manager/adviser of Redmile Offshore II Master Fund Ltd. and Redmile Strategic Master Fund LP. Based solely on disclosures provided by Redmile Group, LLC to the ASX, these ordinary shares are owned by certain investment limited partnerships, pooled investment vehicle(s), separately managed accounts, etc. for which Redmile Group, LLC serves as the general partner and/or investment manager. Jeremy Green, as the majority managing member and owner of Redmile Group, LLC, may be deemed to beneficially own securities owned by such investment limited partnerships, pooled investment vehicle(s), separately managed accounts, etc. The principal business address of each of Redmile Group, LLC and Mr. Green is One Letterman Drive, Bldg D, Ste D3-300, San Francisco, CA 94129.</w:t>
      </w:r>
    </w:p>
    <w:p>
      <w:pPr>
        <w:spacing w:after="0" w:line="4" w:lineRule="exact"/>
        <w:rPr>
          <w:rFonts w:ascii="Arial" w:cs="Arial" w:eastAsia="Arial" w:hAnsi="Arial"/>
          <w:sz w:val="16"/>
          <w:szCs w:val="16"/>
          <w:color w:val="auto"/>
        </w:rPr>
      </w:pPr>
    </w:p>
    <w:p>
      <w:pPr>
        <w:ind w:left="640" w:right="20" w:hanging="436"/>
        <w:spacing w:after="0" w:line="253" w:lineRule="auto"/>
        <w:tabs>
          <w:tab w:leader="none" w:pos="640" w:val="left"/>
        </w:tabs>
        <w:numPr>
          <w:ilvl w:val="0"/>
          <w:numId w:val="45"/>
        </w:numPr>
        <w:rPr>
          <w:rFonts w:ascii="Arial" w:cs="Arial" w:eastAsia="Arial" w:hAnsi="Arial"/>
          <w:sz w:val="18"/>
          <w:szCs w:val="18"/>
          <w:color w:val="auto"/>
        </w:rPr>
      </w:pPr>
      <w:r>
        <w:rPr>
          <w:rFonts w:ascii="Arial" w:cs="Arial" w:eastAsia="Arial" w:hAnsi="Arial"/>
          <w:sz w:val="18"/>
          <w:szCs w:val="18"/>
          <w:color w:val="auto"/>
        </w:rPr>
        <w:t>Consists of 117,801,410 ordinary shares held by Karst Peak Asia Master Fund and 37,896,043 ordinary shares held by Vermilion Peak Fund. Karst Peak Capital Limited is the discretionary investment manager to Karst Peak Asia Master Fund and Vermilion Peak Fund. Based solely on disclosures provided by Karst Peak Capital Limited (KCPL) to the ASX, Adam Leitzes is the director of KPCL and may be deemed to have both voting power and disposal power over the shares. The address for KPCL is Kinwick Centre, Suite 1705, 32 Hollywood Road, Central, Hong Kong.</w:t>
      </w:r>
    </w:p>
    <w:p>
      <w:pPr>
        <w:spacing w:after="0" w:line="124"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68</w:t>
      </w:r>
    </w:p>
    <w:p>
      <w:pPr>
        <w:sectPr>
          <w:pgSz w:w="11900" w:h="16838" w:orient="portrait"/>
          <w:cols w:equalWidth="0" w:num="1">
            <w:col w:w="11240"/>
          </w:cols>
          <w:pgMar w:left="240" w:top="459" w:right="419" w:bottom="1440" w:gutter="0" w:footer="0" w:header="0"/>
        </w:sectPr>
      </w:pPr>
    </w:p>
    <w:bookmarkStart w:id="70" w:name="page71"/>
    <w:bookmarkEnd w:id="7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640" w:right="240" w:hanging="436"/>
        <w:spacing w:after="0" w:line="267" w:lineRule="auto"/>
        <w:tabs>
          <w:tab w:leader="none" w:pos="640" w:val="left"/>
        </w:tabs>
        <w:numPr>
          <w:ilvl w:val="0"/>
          <w:numId w:val="46"/>
        </w:numPr>
        <w:rPr>
          <w:rFonts w:ascii="Arial" w:cs="Arial" w:eastAsia="Arial" w:hAnsi="Arial"/>
          <w:sz w:val="17"/>
          <w:szCs w:val="17"/>
          <w:color w:val="auto"/>
        </w:rPr>
      </w:pPr>
      <w:r>
        <w:rPr>
          <w:rFonts w:ascii="Arial" w:cs="Arial" w:eastAsia="Arial" w:hAnsi="Arial"/>
          <w:sz w:val="17"/>
          <w:szCs w:val="17"/>
          <w:color w:val="auto"/>
        </w:rPr>
        <w:t>Consists of 59,445,952 ordinary shares and 3,244,982 ADSs, each ADS representing 20 ordinary shares or 64,899,640 ordinary shares in total underlying the ADSs. Blackcrane Capital, LLC holds 59,276,225 ordinary shares and 3,184,060 ADSs, with 63,681,200 ordinary shares underlying the ADSs. Blackcrane Overseas Alpha Fund, LLC holders 169,727 ordinary shares and 11,099 ADSs, with 221,980 ordinary shares underlying the ADSs. Blackcrane Capital, LLC is the discretionary investment manager of Blackcrane Overseas Alpha Fund, LLC. Daniel Kim holds 49,823 ADSs with 996,460 ordinary shares underlying the ADSs. Mr. Kim has a relevant interest in the securities held by Blackcrane Capital, LLC and Blackcrane Overseas Alpha Fund as he holds voting power of more than 20% in Blackcrane Capital, LLC. The address of Blackcrane Capital, LLC is 500 108th Avenue NE, STE 960, Bellevue, WA 98004.</w:t>
      </w:r>
    </w:p>
    <w:p>
      <w:pPr>
        <w:spacing w:after="0" w:line="4" w:lineRule="exact"/>
        <w:rPr>
          <w:rFonts w:ascii="Arial" w:cs="Arial" w:eastAsia="Arial" w:hAnsi="Arial"/>
          <w:sz w:val="17"/>
          <w:szCs w:val="17"/>
          <w:color w:val="auto"/>
        </w:rPr>
      </w:pPr>
    </w:p>
    <w:p>
      <w:pPr>
        <w:ind w:left="640" w:right="160" w:hanging="436"/>
        <w:spacing w:after="0" w:line="290" w:lineRule="auto"/>
        <w:tabs>
          <w:tab w:leader="none" w:pos="640" w:val="left"/>
        </w:tabs>
        <w:numPr>
          <w:ilvl w:val="0"/>
          <w:numId w:val="46"/>
        </w:numPr>
        <w:rPr>
          <w:rFonts w:ascii="Arial" w:cs="Arial" w:eastAsia="Arial" w:hAnsi="Arial"/>
          <w:sz w:val="17"/>
          <w:szCs w:val="17"/>
          <w:color w:val="auto"/>
        </w:rPr>
      </w:pPr>
      <w:r>
        <w:rPr>
          <w:rFonts w:ascii="Arial" w:cs="Arial" w:eastAsia="Arial" w:hAnsi="Arial"/>
          <w:sz w:val="17"/>
          <w:szCs w:val="17"/>
          <w:color w:val="auto"/>
        </w:rPr>
        <w:t>Excludes 81,747,669 ordinary shares held in the name of One Funds Management Limited (Asia Pac Health Fund II A/C) which is managed and beneficially owned by BioScience Managers Pty Ltd of which Mr. Curnock Cook is an officer and Dr. Perry is a Director.</w:t>
      </w:r>
    </w:p>
    <w:p>
      <w:pPr>
        <w:spacing w:after="0" w:line="162" w:lineRule="exact"/>
        <w:rPr>
          <w:sz w:val="20"/>
          <w:szCs w:val="20"/>
          <w:color w:val="auto"/>
        </w:rPr>
      </w:pPr>
    </w:p>
    <w:p>
      <w:pPr>
        <w:ind w:left="200" w:right="300" w:firstLine="441"/>
        <w:spacing w:after="0" w:line="277" w:lineRule="auto"/>
        <w:rPr>
          <w:sz w:val="20"/>
          <w:szCs w:val="20"/>
          <w:color w:val="auto"/>
        </w:rPr>
      </w:pPr>
      <w:r>
        <w:rPr>
          <w:rFonts w:ascii="Arial" w:cs="Arial" w:eastAsia="Arial" w:hAnsi="Arial"/>
          <w:sz w:val="18"/>
          <w:szCs w:val="18"/>
          <w:color w:val="auto"/>
        </w:rPr>
        <w:t>As of April 2, 2019, 38.2% of our ordinary shares were held in Australia, 16.4% of our ordinary shares were held in Hong Kong, 42.4% of our ordinary shares were held in the United States including ordinary shares underlying ADSs.</w:t>
      </w:r>
    </w:p>
    <w:p>
      <w:pPr>
        <w:spacing w:after="0" w:line="170" w:lineRule="exact"/>
        <w:rPr>
          <w:sz w:val="20"/>
          <w:szCs w:val="20"/>
          <w:color w:val="auto"/>
        </w:rPr>
      </w:pPr>
    </w:p>
    <w:p>
      <w:pPr>
        <w:ind w:left="200" w:right="120" w:firstLine="441"/>
        <w:spacing w:after="0" w:line="342" w:lineRule="auto"/>
        <w:rPr>
          <w:sz w:val="20"/>
          <w:szCs w:val="20"/>
          <w:color w:val="auto"/>
        </w:rPr>
      </w:pPr>
      <w:r>
        <w:rPr>
          <w:rFonts w:ascii="Arial" w:cs="Arial" w:eastAsia="Arial" w:hAnsi="Arial"/>
          <w:sz w:val="16"/>
          <w:szCs w:val="16"/>
          <w:color w:val="auto"/>
        </w:rPr>
        <w:t>The Company is not aware that it is directly owned or controlled by another corporation, any foreign government or any other natural or legal person(s) severally or jointly. The Company is not aware of any arrangement, the operation of which may result in a change of control of the Company.</w:t>
      </w:r>
    </w:p>
    <w:p>
      <w:pPr>
        <w:spacing w:after="0" w:line="228"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B. Related Party Transactions</w:t>
      </w:r>
    </w:p>
    <w:p>
      <w:pPr>
        <w:spacing w:after="0" w:line="121" w:lineRule="exact"/>
        <w:rPr>
          <w:sz w:val="20"/>
          <w:szCs w:val="20"/>
          <w:color w:val="auto"/>
        </w:rPr>
      </w:pPr>
    </w:p>
    <w:p>
      <w:pPr>
        <w:ind w:left="200" w:firstLine="441"/>
        <w:spacing w:after="0" w:line="255" w:lineRule="auto"/>
        <w:rPr>
          <w:sz w:val="20"/>
          <w:szCs w:val="20"/>
          <w:color w:val="auto"/>
        </w:rPr>
      </w:pPr>
      <w:r>
        <w:rPr>
          <w:rFonts w:ascii="Arial" w:cs="Arial" w:eastAsia="Arial" w:hAnsi="Arial"/>
          <w:sz w:val="18"/>
          <w:szCs w:val="18"/>
          <w:color w:val="auto"/>
        </w:rPr>
        <w:t>Other than employment matters and indemnification agreements between our directors and executive officers, related party transactions were limited to director fees, consultancy fees and travel reimbursements paid under normal terms and conditions to Bioscience Managers Pty Ltd of which Jeremy Curnock Cook is an officer and Dr. Michael Perry is a director. Consultancy services provided were assistance in product development, customer relations, recruitment and sales by Dr. Perry prior to becoming an officer of the Company in June 2017, as well as one other employee of Bioscience Managers Pty Ltd. Total fees paid to Bioscience Managers Pty Ltd were A$157,728, A$128,987 and A$59,675 for the years ended June 30, 2018, 2017 and 2016, respectively.</w:t>
      </w:r>
    </w:p>
    <w:p>
      <w:pPr>
        <w:spacing w:after="0" w:line="297"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C. Interests of Experts and Counsel</w:t>
      </w:r>
    </w:p>
    <w:p>
      <w:pPr>
        <w:spacing w:after="0" w:line="121" w:lineRule="exact"/>
        <w:rPr>
          <w:sz w:val="20"/>
          <w:szCs w:val="20"/>
          <w:color w:val="auto"/>
        </w:rPr>
      </w:pPr>
    </w:p>
    <w:p>
      <w:pPr>
        <w:ind w:left="640"/>
        <w:spacing w:after="0"/>
        <w:rPr>
          <w:sz w:val="20"/>
          <w:szCs w:val="20"/>
          <w:color w:val="auto"/>
        </w:rPr>
      </w:pPr>
      <w:r>
        <w:rPr>
          <w:rFonts w:ascii="Arial" w:cs="Arial" w:eastAsia="Arial" w:hAnsi="Arial"/>
          <w:sz w:val="18"/>
          <w:szCs w:val="18"/>
          <w:color w:val="auto"/>
        </w:rPr>
        <w:t>Not applicable.</w:t>
      </w:r>
    </w:p>
    <w:p>
      <w:pPr>
        <w:spacing w:after="0" w:line="329"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ITEM 8. FINANCIAL INFORMATION</w:t>
      </w:r>
    </w:p>
    <w:p>
      <w:pPr>
        <w:spacing w:after="0" w:line="117"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A. Consolidated Statements and Other Financial Information</w:t>
      </w:r>
    </w:p>
    <w:p>
      <w:pPr>
        <w:spacing w:after="0" w:line="121" w:lineRule="exact"/>
        <w:rPr>
          <w:sz w:val="20"/>
          <w:szCs w:val="20"/>
          <w:color w:val="auto"/>
        </w:rPr>
      </w:pPr>
    </w:p>
    <w:p>
      <w:pPr>
        <w:ind w:left="200" w:right="40" w:firstLine="441"/>
        <w:spacing w:after="0" w:line="277" w:lineRule="auto"/>
        <w:rPr>
          <w:sz w:val="20"/>
          <w:szCs w:val="20"/>
          <w:color w:val="auto"/>
        </w:rPr>
      </w:pPr>
      <w:r>
        <w:rPr>
          <w:rFonts w:ascii="Arial" w:cs="Arial" w:eastAsia="Arial" w:hAnsi="Arial"/>
          <w:sz w:val="18"/>
          <w:szCs w:val="18"/>
          <w:color w:val="auto"/>
        </w:rPr>
        <w:t>Our audited financial statements for the fiscal years ending June 30, 2018, 2017, and 2016 are included in Item 18 of this registration statement on Form 20-F.</w:t>
      </w:r>
    </w:p>
    <w:p>
      <w:pPr>
        <w:spacing w:after="0" w:line="27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Legal Proceedings</w:t>
      </w:r>
    </w:p>
    <w:p>
      <w:pPr>
        <w:spacing w:after="0" w:line="121" w:lineRule="exact"/>
        <w:rPr>
          <w:sz w:val="20"/>
          <w:szCs w:val="20"/>
          <w:color w:val="auto"/>
        </w:rPr>
      </w:pPr>
    </w:p>
    <w:p>
      <w:pPr>
        <w:ind w:left="200" w:right="740" w:firstLine="441"/>
        <w:spacing w:after="0" w:line="277" w:lineRule="auto"/>
        <w:rPr>
          <w:sz w:val="20"/>
          <w:szCs w:val="20"/>
          <w:color w:val="auto"/>
        </w:rPr>
      </w:pPr>
      <w:r>
        <w:rPr>
          <w:rFonts w:ascii="Arial" w:cs="Arial" w:eastAsia="Arial" w:hAnsi="Arial"/>
          <w:sz w:val="18"/>
          <w:szCs w:val="18"/>
          <w:color w:val="auto"/>
        </w:rPr>
        <w:t>We are not involved in any significant legal, arbitration or governmental proceedings. We are not aware of any pending significant legal, arbitration or governmental proceedings with respect to Avita.</w:t>
      </w:r>
    </w:p>
    <w:p>
      <w:pPr>
        <w:spacing w:after="0" w:line="27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Dividend Distribution Policy</w:t>
      </w:r>
    </w:p>
    <w:p>
      <w:pPr>
        <w:spacing w:after="0" w:line="121" w:lineRule="exact"/>
        <w:rPr>
          <w:sz w:val="20"/>
          <w:szCs w:val="20"/>
          <w:color w:val="auto"/>
        </w:rPr>
      </w:pPr>
    </w:p>
    <w:p>
      <w:pPr>
        <w:ind w:left="200" w:right="280" w:firstLine="441"/>
        <w:spacing w:after="0" w:line="259" w:lineRule="auto"/>
        <w:rPr>
          <w:sz w:val="20"/>
          <w:szCs w:val="20"/>
          <w:color w:val="auto"/>
        </w:rPr>
      </w:pPr>
      <w:r>
        <w:rPr>
          <w:rFonts w:ascii="Arial" w:cs="Arial" w:eastAsia="Arial" w:hAnsi="Arial"/>
          <w:sz w:val="18"/>
          <w:szCs w:val="18"/>
          <w:color w:val="auto"/>
        </w:rPr>
        <w:t>We have never paid cash dividends to our shareholders. We intend to retain future earnings for use in our business and do not anticipate paying cash dividends on our ordinary shares in the foreseeable future. Any future dividend policy will be determined by the Board of Directors and will be based upon various factors, including our results of operations, financial condition, current and anticipated cash needs, future prospects, contractual restrictions and other factors as the Board of Directors may deem relevant.</w:t>
      </w:r>
    </w:p>
    <w:p>
      <w:pPr>
        <w:spacing w:after="0" w:line="119"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69</w:t>
      </w:r>
    </w:p>
    <w:p>
      <w:pPr>
        <w:sectPr>
          <w:pgSz w:w="11900" w:h="16838" w:orient="portrait"/>
          <w:cols w:equalWidth="0" w:num="1">
            <w:col w:w="11220"/>
          </w:cols>
          <w:pgMar w:left="240" w:top="459" w:right="439" w:bottom="1440" w:gutter="0" w:footer="0" w:header="0"/>
        </w:sectPr>
      </w:pPr>
    </w:p>
    <w:bookmarkStart w:id="71" w:name="page72"/>
    <w:bookmarkEnd w:id="7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B. Significant Changes</w:t>
      </w:r>
    </w:p>
    <w:p>
      <w:pPr>
        <w:spacing w:after="0" w:line="121" w:lineRule="exact"/>
        <w:rPr>
          <w:sz w:val="20"/>
          <w:szCs w:val="20"/>
          <w:color w:val="auto"/>
        </w:rPr>
      </w:pPr>
    </w:p>
    <w:p>
      <w:pPr>
        <w:ind w:left="200" w:right="160" w:firstLine="441"/>
        <w:spacing w:after="0" w:line="277" w:lineRule="auto"/>
        <w:rPr>
          <w:sz w:val="20"/>
          <w:szCs w:val="20"/>
          <w:color w:val="auto"/>
        </w:rPr>
      </w:pPr>
      <w:r>
        <w:rPr>
          <w:rFonts w:ascii="Arial" w:cs="Arial" w:eastAsia="Arial" w:hAnsi="Arial"/>
          <w:sz w:val="18"/>
          <w:szCs w:val="18"/>
          <w:color w:val="auto"/>
        </w:rPr>
        <w:t>On September 20, 2018, the U.S. Food and Drug Administration (FDA) approved the Company’s application to market the RECELL System to treat patients with acute thermal burns in the U.S.</w:t>
      </w:r>
    </w:p>
    <w:p>
      <w:pPr>
        <w:spacing w:after="0" w:line="170" w:lineRule="exact"/>
        <w:rPr>
          <w:sz w:val="20"/>
          <w:szCs w:val="20"/>
          <w:color w:val="auto"/>
        </w:rPr>
      </w:pPr>
    </w:p>
    <w:p>
      <w:pPr>
        <w:ind w:left="200" w:firstLine="441"/>
        <w:spacing w:after="0" w:line="287" w:lineRule="auto"/>
        <w:rPr>
          <w:sz w:val="20"/>
          <w:szCs w:val="20"/>
          <w:color w:val="auto"/>
        </w:rPr>
      </w:pPr>
      <w:r>
        <w:rPr>
          <w:rFonts w:ascii="Arial" w:cs="Arial" w:eastAsia="Arial" w:hAnsi="Arial"/>
          <w:sz w:val="16"/>
          <w:szCs w:val="16"/>
          <w:color w:val="auto"/>
        </w:rPr>
        <w:t>Subsequent to June 30, 2018 the Company completed a series of equity transactions in in which the Company received a total of A$45,014,900 in gross proceeds. During the year ended June 30, 2018 the Company completed an institutional placement of shares to international and Australian institutional and sophisticated investors. The institutional placement included a second tranche totaling A$3.250 million of gross proceeds, contingent upon shareholder approval. Shareholder approval for Tranche 2 was received at an Extraordinary General Meeting held on July 23, 2018, and the net proceeds of A$3.041 million were received by the Company on July 26, 2018. Shareholder approval for Tranche 2 was received at an Extraordinary General Meeting held on July 23, 2018, and the Company issued 65 million shares at a price of A$0.050 per share and received gross proceeds of A$3,250,000 on July 26, 2018. Also subsequent to year end, on December 4, 2018 the Company completed the first tranche of an institutional placement of in which it issued 310,047,015 fully paid ordinary shares at a price of A$0.080 per share raising gross proceeds of A$24,803,761. The institutional placement included a second tranche totaling A$15.196 million of gross proceeds, contingent upon shareholder approval. Shareholder approval for Tranche 2 was received at an Extraordinary General Meeting held on January 14, 2019, and the Company issued 189,952,985 shares at a price of A$0.080 per share and received gross proceeds of A$15,196,239 on January 14, 2019. In addition, on January 11, 2019 the Company complete a Share Purchase Plan under which it issued 22,061,250 shares of stock at a price of A$0.080 per share and received gross proceeds of A$1,764,900.</w:t>
      </w:r>
    </w:p>
    <w:p>
      <w:pPr>
        <w:spacing w:after="0" w:line="169" w:lineRule="exact"/>
        <w:rPr>
          <w:sz w:val="20"/>
          <w:szCs w:val="20"/>
          <w:color w:val="auto"/>
        </w:rPr>
      </w:pPr>
    </w:p>
    <w:p>
      <w:pPr>
        <w:ind w:left="640"/>
        <w:spacing w:after="0"/>
        <w:rPr>
          <w:sz w:val="20"/>
          <w:szCs w:val="20"/>
          <w:color w:val="auto"/>
        </w:rPr>
      </w:pPr>
      <w:r>
        <w:rPr>
          <w:rFonts w:ascii="Arial" w:cs="Arial" w:eastAsia="Arial" w:hAnsi="Arial"/>
          <w:sz w:val="18"/>
          <w:szCs w:val="18"/>
          <w:color w:val="auto"/>
        </w:rPr>
        <w:t>See also Item 10A under the heading “</w:t>
      </w:r>
      <w:r>
        <w:rPr>
          <w:rFonts w:ascii="Arial" w:cs="Arial" w:eastAsia="Arial" w:hAnsi="Arial"/>
          <w:sz w:val="18"/>
          <w:szCs w:val="18"/>
          <w:i w:val="1"/>
          <w:iCs w:val="1"/>
          <w:color w:val="auto"/>
        </w:rPr>
        <w:t>History of Share Capital</w:t>
      </w:r>
      <w:r>
        <w:rPr>
          <w:rFonts w:ascii="Arial" w:cs="Arial" w:eastAsia="Arial" w:hAnsi="Arial"/>
          <w:sz w:val="18"/>
          <w:szCs w:val="18"/>
          <w:color w:val="auto"/>
        </w:rPr>
        <w:t>” for a listing of recent equity offerings.</w:t>
      </w:r>
    </w:p>
    <w:p>
      <w:pPr>
        <w:spacing w:after="0" w:line="158"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70</w:t>
      </w:r>
    </w:p>
    <w:p>
      <w:pPr>
        <w:sectPr>
          <w:pgSz w:w="11900" w:h="16838" w:orient="portrait"/>
          <w:cols w:equalWidth="0" w:num="1">
            <w:col w:w="11160"/>
          </w:cols>
          <w:pgMar w:left="240" w:top="459" w:right="499" w:bottom="1440" w:gutter="0" w:footer="0" w:header="0"/>
        </w:sectPr>
      </w:pPr>
    </w:p>
    <w:bookmarkStart w:id="72" w:name="page73"/>
    <w:bookmarkEnd w:id="7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ITEM 9. THE OFFER AND LISTING</w:t>
      </w:r>
    </w:p>
    <w:p>
      <w:pPr>
        <w:spacing w:after="0" w:line="117"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A. Offer and Listing Details</w:t>
      </w:r>
    </w:p>
    <w:p>
      <w:pPr>
        <w:spacing w:after="0" w:line="117"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Australian Securities Exchange</w:t>
      </w:r>
    </w:p>
    <w:p>
      <w:pPr>
        <w:spacing w:after="0" w:line="121" w:lineRule="exact"/>
        <w:rPr>
          <w:sz w:val="20"/>
          <w:szCs w:val="20"/>
          <w:color w:val="auto"/>
        </w:rPr>
      </w:pPr>
    </w:p>
    <w:p>
      <w:pPr>
        <w:ind w:left="200" w:firstLine="441"/>
        <w:spacing w:after="0" w:line="277" w:lineRule="auto"/>
        <w:rPr>
          <w:sz w:val="20"/>
          <w:szCs w:val="20"/>
          <w:color w:val="auto"/>
        </w:rPr>
      </w:pPr>
      <w:r>
        <w:rPr>
          <w:rFonts w:ascii="Arial" w:cs="Arial" w:eastAsia="Arial" w:hAnsi="Arial"/>
          <w:sz w:val="18"/>
          <w:szCs w:val="18"/>
          <w:color w:val="auto"/>
        </w:rPr>
        <w:t>Our ordinary shares have traded on the ASX under the ticker symbol “AVH” since our initial public offering on September 8, 1993. The following table sets forth, for the periods indicated, the high and low market quotations for our ordinary shares as quoted on the ASX:</w:t>
      </w:r>
    </w:p>
    <w:p>
      <w:pPr>
        <w:spacing w:after="0" w:line="189" w:lineRule="exact"/>
        <w:rPr>
          <w:sz w:val="20"/>
          <w:szCs w:val="20"/>
          <w:color w:val="auto"/>
        </w:rPr>
      </w:pPr>
    </w:p>
    <w:p>
      <w:pPr>
        <w:jc w:val="center"/>
        <w:ind w:left="6440"/>
        <w:spacing w:after="0"/>
        <w:rPr>
          <w:sz w:val="20"/>
          <w:szCs w:val="20"/>
          <w:color w:val="auto"/>
        </w:rPr>
      </w:pPr>
      <w:r>
        <w:rPr>
          <w:rFonts w:ascii="Arial" w:cs="Arial" w:eastAsia="Arial" w:hAnsi="Arial"/>
          <w:sz w:val="14"/>
          <w:szCs w:val="14"/>
          <w:b w:val="1"/>
          <w:bCs w:val="1"/>
          <w:color w:val="auto"/>
        </w:rPr>
        <w:t>Per Ordinary Share</w:t>
      </w:r>
    </w:p>
    <w:p>
      <w:pPr>
        <w:jc w:val="center"/>
        <w:ind w:left="6440"/>
        <w:spacing w:after="0" w:line="236" w:lineRule="auto"/>
        <w:rPr>
          <w:sz w:val="20"/>
          <w:szCs w:val="20"/>
          <w:color w:val="auto"/>
        </w:rPr>
      </w:pPr>
      <w:r>
        <w:rPr>
          <w:rFonts w:ascii="Arial" w:cs="Arial" w:eastAsia="Arial" w:hAnsi="Arial"/>
          <w:sz w:val="14"/>
          <w:szCs w:val="14"/>
          <w:b w:val="1"/>
          <w:bCs w:val="1"/>
          <w:color w:val="auto"/>
        </w:rPr>
        <w:t>(A$)</w:t>
      </w:r>
    </w:p>
    <w:p>
      <w:pPr>
        <w:spacing w:after="0" w:line="1" w:lineRule="exact"/>
        <w:rPr>
          <w:sz w:val="20"/>
          <w:szCs w:val="20"/>
          <w:color w:val="auto"/>
        </w:rPr>
      </w:pPr>
    </w:p>
    <w:tbl>
      <w:tblPr>
        <w:tblLayout w:type="fixed"/>
        <w:tblInd w:w="1520" w:type="dxa"/>
        <w:tblCellMar>
          <w:top w:w="0" w:type="dxa"/>
          <w:left w:w="0" w:type="dxa"/>
          <w:bottom w:w="0" w:type="dxa"/>
          <w:right w:w="0" w:type="dxa"/>
        </w:tblCellMar>
      </w:tblPr>
      <w:tr>
        <w:trPr>
          <w:trHeight w:val="142"/>
        </w:trPr>
        <w:tc>
          <w:tcPr>
            <w:tcW w:w="2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3940" w:type="dxa"/>
            <w:vAlign w:val="bottom"/>
          </w:tcPr>
          <w:p>
            <w:pPr>
              <w:spacing w:after="0"/>
              <w:rPr>
                <w:sz w:val="12"/>
                <w:szCs w:val="12"/>
                <w:color w:val="auto"/>
              </w:rPr>
            </w:pPr>
          </w:p>
        </w:tc>
        <w:tc>
          <w:tcPr>
            <w:tcW w:w="1260" w:type="dxa"/>
            <w:vAlign w:val="bottom"/>
            <w:tcBorders>
              <w:top w:val="single" w:sz="8" w:color="auto"/>
            </w:tcBorders>
            <w:gridSpan w:val="2"/>
          </w:tcPr>
          <w:p>
            <w:pPr>
              <w:ind w:left="140"/>
              <w:spacing w:after="0" w:line="142" w:lineRule="exact"/>
              <w:rPr>
                <w:sz w:val="20"/>
                <w:szCs w:val="20"/>
                <w:color w:val="auto"/>
              </w:rPr>
            </w:pPr>
            <w:r>
              <w:rPr>
                <w:rFonts w:ascii="Arial" w:cs="Arial" w:eastAsia="Arial" w:hAnsi="Arial"/>
                <w:sz w:val="14"/>
                <w:szCs w:val="14"/>
                <w:b w:val="1"/>
                <w:bCs w:val="1"/>
                <w:color w:val="auto"/>
              </w:rPr>
              <w:t>High</w:t>
            </w:r>
          </w:p>
        </w:tc>
        <w:tc>
          <w:tcPr>
            <w:tcW w:w="580" w:type="dxa"/>
            <w:vAlign w:val="bottom"/>
            <w:tcBorders>
              <w:top w:val="single" w:sz="8" w:color="auto"/>
            </w:tcBorders>
          </w:tcPr>
          <w:p>
            <w:pPr>
              <w:jc w:val="right"/>
              <w:ind w:right="71"/>
              <w:spacing w:after="0" w:line="142" w:lineRule="exact"/>
              <w:rPr>
                <w:sz w:val="20"/>
                <w:szCs w:val="20"/>
                <w:color w:val="auto"/>
              </w:rPr>
            </w:pPr>
            <w:r>
              <w:rPr>
                <w:rFonts w:ascii="Arial" w:cs="Arial" w:eastAsia="Arial" w:hAnsi="Arial"/>
                <w:sz w:val="14"/>
                <w:szCs w:val="14"/>
                <w:b w:val="1"/>
                <w:bCs w:val="1"/>
                <w:color w:val="auto"/>
              </w:rPr>
              <w:t>Low</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1120" w:type="dxa"/>
            <w:vAlign w:val="bottom"/>
            <w:tcBorders>
              <w:bottom w:val="single" w:sz="8" w:color="CCEEFF"/>
            </w:tcBorders>
          </w:tcPr>
          <w:p>
            <w:pPr>
              <w:spacing w:after="0"/>
              <w:rPr>
                <w:sz w:val="12"/>
                <w:szCs w:val="12"/>
                <w:color w:val="auto"/>
              </w:rPr>
            </w:pPr>
          </w:p>
        </w:tc>
        <w:tc>
          <w:tcPr>
            <w:tcW w:w="940" w:type="dxa"/>
            <w:vAlign w:val="bottom"/>
            <w:tcBorders>
              <w:bottom w:val="single" w:sz="8" w:color="CCEEFF"/>
            </w:tcBorders>
          </w:tcPr>
          <w:p>
            <w:pPr>
              <w:spacing w:after="0"/>
              <w:rPr>
                <w:sz w:val="12"/>
                <w:szCs w:val="12"/>
                <w:color w:val="auto"/>
              </w:rPr>
            </w:pPr>
          </w:p>
        </w:tc>
        <w:tc>
          <w:tcPr>
            <w:tcW w:w="480" w:type="dxa"/>
            <w:vAlign w:val="bottom"/>
            <w:tcBorders>
              <w:bottom w:val="single" w:sz="8" w:color="CCEEFF"/>
            </w:tcBorders>
          </w:tcPr>
          <w:p>
            <w:pPr>
              <w:spacing w:after="0"/>
              <w:rPr>
                <w:sz w:val="12"/>
                <w:szCs w:val="12"/>
                <w:color w:val="auto"/>
              </w:rPr>
            </w:pPr>
          </w:p>
        </w:tc>
        <w:tc>
          <w:tcPr>
            <w:tcW w:w="3940" w:type="dxa"/>
            <w:vAlign w:val="bottom"/>
            <w:tcBorders>
              <w:bottom w:val="single" w:sz="8" w:color="CCEEFF"/>
            </w:tcBorders>
          </w:tcPr>
          <w:p>
            <w:pPr>
              <w:spacing w:after="0"/>
              <w:rPr>
                <w:sz w:val="12"/>
                <w:szCs w:val="12"/>
                <w:color w:val="auto"/>
              </w:rPr>
            </w:pPr>
          </w:p>
        </w:tc>
        <w:tc>
          <w:tcPr>
            <w:tcW w:w="600" w:type="dxa"/>
            <w:vAlign w:val="bottom"/>
            <w:tcBorders>
              <w:top w:val="single" w:sz="8" w:color="auto"/>
              <w:bottom w:val="single" w:sz="8" w:color="auto"/>
            </w:tcBorders>
          </w:tcPr>
          <w:p>
            <w:pPr>
              <w:jc w:val="right"/>
              <w:ind w:right="131"/>
              <w:spacing w:after="0" w:line="142" w:lineRule="exact"/>
              <w:rPr>
                <w:sz w:val="20"/>
                <w:szCs w:val="20"/>
                <w:color w:val="auto"/>
              </w:rPr>
            </w:pPr>
            <w:r>
              <w:rPr>
                <w:rFonts w:ascii="Arial" w:cs="Arial" w:eastAsia="Arial" w:hAnsi="Arial"/>
                <w:sz w:val="14"/>
                <w:szCs w:val="14"/>
                <w:b w:val="1"/>
                <w:bCs w:val="1"/>
                <w:color w:val="auto"/>
              </w:rPr>
              <w:t>A$</w:t>
            </w:r>
          </w:p>
        </w:tc>
        <w:tc>
          <w:tcPr>
            <w:tcW w:w="660" w:type="dxa"/>
            <w:vAlign w:val="bottom"/>
            <w:tcBorders>
              <w:bottom w:val="single" w:sz="8" w:color="CCEEFF"/>
            </w:tcBorders>
          </w:tcPr>
          <w:p>
            <w:pPr>
              <w:spacing w:after="0"/>
              <w:rPr>
                <w:sz w:val="12"/>
                <w:szCs w:val="12"/>
                <w:color w:val="auto"/>
              </w:rPr>
            </w:pPr>
          </w:p>
        </w:tc>
        <w:tc>
          <w:tcPr>
            <w:tcW w:w="580" w:type="dxa"/>
            <w:vAlign w:val="bottom"/>
            <w:tcBorders>
              <w:top w:val="single" w:sz="8" w:color="auto"/>
              <w:bottom w:val="single" w:sz="8" w:color="auto"/>
            </w:tcBorders>
          </w:tcPr>
          <w:p>
            <w:pPr>
              <w:jc w:val="right"/>
              <w:ind w:right="111"/>
              <w:spacing w:after="0" w:line="142" w:lineRule="exact"/>
              <w:rPr>
                <w:sz w:val="20"/>
                <w:szCs w:val="20"/>
                <w:color w:val="auto"/>
              </w:rPr>
            </w:pPr>
            <w:r>
              <w:rPr>
                <w:rFonts w:ascii="Arial" w:cs="Arial" w:eastAsia="Arial" w:hAnsi="Arial"/>
                <w:sz w:val="14"/>
                <w:szCs w:val="14"/>
                <w:b w:val="1"/>
                <w:bCs w:val="1"/>
                <w:color w:val="auto"/>
              </w:rPr>
              <w:t>A$</w:t>
            </w:r>
          </w:p>
        </w:tc>
        <w:tc>
          <w:tcPr>
            <w:tcW w:w="4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6480" w:type="dxa"/>
            <w:vAlign w:val="bottom"/>
            <w:gridSpan w:val="4"/>
            <w:shd w:val="clear" w:color="auto" w:fill="CCEEFF"/>
          </w:tcPr>
          <w:p>
            <w:pPr>
              <w:spacing w:after="0" w:line="136" w:lineRule="exact"/>
              <w:rPr>
                <w:sz w:val="20"/>
                <w:szCs w:val="20"/>
                <w:color w:val="auto"/>
              </w:rPr>
            </w:pPr>
            <w:r>
              <w:rPr>
                <w:rFonts w:ascii="Arial" w:cs="Arial" w:eastAsia="Arial" w:hAnsi="Arial"/>
                <w:sz w:val="15"/>
                <w:szCs w:val="15"/>
                <w:b w:val="1"/>
                <w:bCs w:val="1"/>
                <w:color w:val="auto"/>
              </w:rPr>
              <w:t>Fiscal Year Ended June 30,</w:t>
            </w:r>
          </w:p>
        </w:tc>
        <w:tc>
          <w:tcPr>
            <w:tcW w:w="600" w:type="dxa"/>
            <w:vAlign w:val="bottom"/>
            <w:shd w:val="clear" w:color="auto" w:fill="CCEEFF"/>
          </w:tcPr>
          <w:p>
            <w:pPr>
              <w:ind w:left="140"/>
              <w:spacing w:after="0" w:line="142" w:lineRule="exact"/>
              <w:rPr>
                <w:sz w:val="20"/>
                <w:szCs w:val="20"/>
                <w:color w:val="auto"/>
              </w:rPr>
            </w:pPr>
            <w:r>
              <w:rPr>
                <w:rFonts w:ascii="Arial" w:cs="Arial" w:eastAsia="Arial" w:hAnsi="Arial"/>
                <w:sz w:val="16"/>
                <w:szCs w:val="16"/>
                <w:b w:val="1"/>
                <w:bCs w:val="1"/>
                <w:color w:val="auto"/>
              </w:rPr>
              <w:t>ASX</w:t>
            </w:r>
          </w:p>
        </w:tc>
        <w:tc>
          <w:tcPr>
            <w:tcW w:w="660" w:type="dxa"/>
            <w:vAlign w:val="bottom"/>
            <w:shd w:val="clear" w:color="auto" w:fill="CCEEFF"/>
          </w:tcPr>
          <w:p>
            <w:pPr>
              <w:spacing w:after="0"/>
              <w:rPr>
                <w:sz w:val="16"/>
                <w:szCs w:val="16"/>
                <w:color w:val="auto"/>
              </w:rPr>
            </w:pPr>
          </w:p>
        </w:tc>
        <w:tc>
          <w:tcPr>
            <w:tcW w:w="580" w:type="dxa"/>
            <w:vAlign w:val="bottom"/>
            <w:shd w:val="clear" w:color="auto" w:fill="CCEEFF"/>
          </w:tcPr>
          <w:p>
            <w:pPr>
              <w:jc w:val="right"/>
              <w:spacing w:after="0" w:line="142" w:lineRule="exact"/>
              <w:rPr>
                <w:sz w:val="20"/>
                <w:szCs w:val="20"/>
                <w:color w:val="auto"/>
              </w:rPr>
            </w:pPr>
            <w:r>
              <w:rPr>
                <w:rFonts w:ascii="Arial" w:cs="Arial" w:eastAsia="Arial" w:hAnsi="Arial"/>
                <w:sz w:val="16"/>
                <w:szCs w:val="16"/>
                <w:b w:val="1"/>
                <w:bCs w:val="1"/>
                <w:color w:val="auto"/>
              </w:rPr>
              <w:t>ASX</w:t>
            </w:r>
          </w:p>
        </w:tc>
        <w:tc>
          <w:tcPr>
            <w:tcW w:w="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0" w:type="dxa"/>
            <w:vAlign w:val="bottom"/>
            <w:tcBorders>
              <w:top w:val="single" w:sz="8" w:color="auto"/>
            </w:tcBorders>
          </w:tcPr>
          <w:p>
            <w:pPr>
              <w:spacing w:after="0"/>
              <w:rPr>
                <w:sz w:val="18"/>
                <w:szCs w:val="18"/>
                <w:color w:val="auto"/>
              </w:rPr>
            </w:pPr>
          </w:p>
        </w:tc>
        <w:tc>
          <w:tcPr>
            <w:tcW w:w="112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2014</w:t>
            </w:r>
          </w:p>
        </w:tc>
        <w:tc>
          <w:tcPr>
            <w:tcW w:w="940" w:type="dxa"/>
            <w:vAlign w:val="bottom"/>
            <w:tcBorders>
              <w:top w:val="single" w:sz="8" w:color="auto"/>
            </w:tcBorders>
          </w:tcPr>
          <w:p>
            <w:pPr>
              <w:spacing w:after="0"/>
              <w:rPr>
                <w:sz w:val="18"/>
                <w:szCs w:val="18"/>
                <w:color w:val="auto"/>
              </w:rPr>
            </w:pPr>
          </w:p>
        </w:tc>
        <w:tc>
          <w:tcPr>
            <w:tcW w:w="480" w:type="dxa"/>
            <w:vAlign w:val="bottom"/>
            <w:tcBorders>
              <w:top w:val="single" w:sz="8" w:color="CCEEFF"/>
            </w:tcBorders>
          </w:tcPr>
          <w:p>
            <w:pPr>
              <w:spacing w:after="0"/>
              <w:rPr>
                <w:sz w:val="18"/>
                <w:szCs w:val="18"/>
                <w:color w:val="auto"/>
              </w:rPr>
            </w:pPr>
          </w:p>
        </w:tc>
        <w:tc>
          <w:tcPr>
            <w:tcW w:w="3940" w:type="dxa"/>
            <w:vAlign w:val="bottom"/>
            <w:tcBorders>
              <w:top w:val="single" w:sz="8" w:color="CCEEFF"/>
            </w:tcBorders>
          </w:tcPr>
          <w:p>
            <w:pPr>
              <w:spacing w:after="0"/>
              <w:rPr>
                <w:sz w:val="18"/>
                <w:szCs w:val="18"/>
                <w:color w:val="auto"/>
              </w:rPr>
            </w:pPr>
          </w:p>
        </w:tc>
        <w:tc>
          <w:tcPr>
            <w:tcW w:w="600" w:type="dxa"/>
            <w:vAlign w:val="bottom"/>
            <w:tcBorders>
              <w:top w:val="single" w:sz="8" w:color="CCEEFF"/>
            </w:tcBorders>
          </w:tcPr>
          <w:p>
            <w:pPr>
              <w:jc w:val="right"/>
              <w:spacing w:after="0"/>
              <w:rPr>
                <w:sz w:val="20"/>
                <w:szCs w:val="20"/>
                <w:color w:val="auto"/>
              </w:rPr>
            </w:pPr>
            <w:r>
              <w:rPr>
                <w:rFonts w:ascii="Arial" w:cs="Arial" w:eastAsia="Arial" w:hAnsi="Arial"/>
                <w:sz w:val="18"/>
                <w:szCs w:val="18"/>
                <w:color w:val="auto"/>
              </w:rPr>
              <w:t>.128</w:t>
            </w:r>
          </w:p>
        </w:tc>
        <w:tc>
          <w:tcPr>
            <w:tcW w:w="660" w:type="dxa"/>
            <w:vAlign w:val="bottom"/>
            <w:tcBorders>
              <w:top w:val="single" w:sz="8" w:color="CCEEFF"/>
            </w:tcBorders>
          </w:tcPr>
          <w:p>
            <w:pPr>
              <w:spacing w:after="0"/>
              <w:rPr>
                <w:sz w:val="18"/>
                <w:szCs w:val="18"/>
                <w:color w:val="auto"/>
              </w:rPr>
            </w:pPr>
          </w:p>
        </w:tc>
        <w:tc>
          <w:tcPr>
            <w:tcW w:w="580" w:type="dxa"/>
            <w:vAlign w:val="bottom"/>
            <w:tcBorders>
              <w:top w:val="single" w:sz="8" w:color="CCEEFF"/>
            </w:tcBorders>
          </w:tcPr>
          <w:p>
            <w:pPr>
              <w:jc w:val="right"/>
              <w:spacing w:after="0"/>
              <w:rPr>
                <w:sz w:val="20"/>
                <w:szCs w:val="20"/>
                <w:color w:val="auto"/>
              </w:rPr>
            </w:pPr>
            <w:r>
              <w:rPr>
                <w:rFonts w:ascii="Arial" w:cs="Arial" w:eastAsia="Arial" w:hAnsi="Arial"/>
                <w:sz w:val="18"/>
                <w:szCs w:val="18"/>
                <w:color w:val="auto"/>
              </w:rPr>
              <w:t>.075</w:t>
            </w:r>
          </w:p>
        </w:tc>
        <w:tc>
          <w:tcPr>
            <w:tcW w:w="4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120" w:type="dxa"/>
            <w:vAlign w:val="bottom"/>
            <w:shd w:val="clear" w:color="auto" w:fill="CCEEFF"/>
          </w:tcPr>
          <w:p>
            <w:pPr>
              <w:spacing w:after="0"/>
              <w:rPr>
                <w:sz w:val="20"/>
                <w:szCs w:val="20"/>
                <w:color w:val="auto"/>
              </w:rPr>
            </w:pPr>
            <w:r>
              <w:rPr>
                <w:rFonts w:ascii="Arial" w:cs="Arial" w:eastAsia="Arial" w:hAnsi="Arial"/>
                <w:sz w:val="18"/>
                <w:szCs w:val="18"/>
                <w:color w:val="auto"/>
              </w:rPr>
              <w:t>2015</w:t>
            </w:r>
          </w:p>
        </w:tc>
        <w:tc>
          <w:tcPr>
            <w:tcW w:w="94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394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.106</w:t>
            </w:r>
          </w:p>
        </w:tc>
        <w:tc>
          <w:tcPr>
            <w:tcW w:w="66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.054</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120" w:type="dxa"/>
            <w:vAlign w:val="bottom"/>
          </w:tcPr>
          <w:p>
            <w:pPr>
              <w:spacing w:after="0"/>
              <w:rPr>
                <w:sz w:val="20"/>
                <w:szCs w:val="20"/>
                <w:color w:val="auto"/>
              </w:rPr>
            </w:pPr>
            <w:r>
              <w:rPr>
                <w:rFonts w:ascii="Arial" w:cs="Arial" w:eastAsia="Arial" w:hAnsi="Arial"/>
                <w:sz w:val="18"/>
                <w:szCs w:val="18"/>
                <w:color w:val="auto"/>
              </w:rPr>
              <w:t>2016</w:t>
            </w:r>
          </w:p>
        </w:tc>
        <w:tc>
          <w:tcPr>
            <w:tcW w:w="9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394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.137</w:t>
            </w:r>
          </w:p>
        </w:tc>
        <w:tc>
          <w:tcPr>
            <w:tcW w:w="66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.052</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120" w:type="dxa"/>
            <w:vAlign w:val="bottom"/>
            <w:shd w:val="clear" w:color="auto" w:fill="CCEEFF"/>
          </w:tcPr>
          <w:p>
            <w:pPr>
              <w:spacing w:after="0"/>
              <w:rPr>
                <w:sz w:val="20"/>
                <w:szCs w:val="20"/>
                <w:color w:val="auto"/>
              </w:rPr>
            </w:pPr>
            <w:r>
              <w:rPr>
                <w:rFonts w:ascii="Arial" w:cs="Arial" w:eastAsia="Arial" w:hAnsi="Arial"/>
                <w:sz w:val="18"/>
                <w:szCs w:val="18"/>
                <w:color w:val="auto"/>
              </w:rPr>
              <w:t>2017</w:t>
            </w:r>
          </w:p>
        </w:tc>
        <w:tc>
          <w:tcPr>
            <w:tcW w:w="94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394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.129</w:t>
            </w:r>
          </w:p>
        </w:tc>
        <w:tc>
          <w:tcPr>
            <w:tcW w:w="66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.065</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1120" w:type="dxa"/>
            <w:vAlign w:val="bottom"/>
          </w:tcPr>
          <w:p>
            <w:pPr>
              <w:spacing w:after="0"/>
              <w:rPr>
                <w:sz w:val="20"/>
                <w:szCs w:val="20"/>
                <w:color w:val="auto"/>
              </w:rPr>
            </w:pPr>
            <w:r>
              <w:rPr>
                <w:rFonts w:ascii="Arial" w:cs="Arial" w:eastAsia="Arial" w:hAnsi="Arial"/>
                <w:sz w:val="18"/>
                <w:szCs w:val="18"/>
                <w:color w:val="auto"/>
              </w:rPr>
              <w:t>2018</w:t>
            </w:r>
          </w:p>
        </w:tc>
        <w:tc>
          <w:tcPr>
            <w:tcW w:w="94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394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.080</w:t>
            </w:r>
          </w:p>
        </w:tc>
        <w:tc>
          <w:tcPr>
            <w:tcW w:w="660" w:type="dxa"/>
            <w:vAlign w:val="bottom"/>
          </w:tcPr>
          <w:p>
            <w:pPr>
              <w:spacing w:after="0"/>
              <w:rPr>
                <w:sz w:val="20"/>
                <w:szCs w:val="20"/>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.046</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94"/>
        </w:trPr>
        <w:tc>
          <w:tcPr>
            <w:tcW w:w="20" w:type="dxa"/>
            <w:vAlign w:val="bottom"/>
            <w:vMerge w:val="restart"/>
          </w:tcPr>
          <w:p>
            <w:pPr>
              <w:spacing w:after="0"/>
              <w:rPr>
                <w:sz w:val="8"/>
                <w:szCs w:val="8"/>
                <w:color w:val="auto"/>
              </w:rPr>
            </w:pPr>
          </w:p>
        </w:tc>
        <w:tc>
          <w:tcPr>
            <w:tcW w:w="1120" w:type="dxa"/>
            <w:vAlign w:val="bottom"/>
          </w:tcPr>
          <w:p>
            <w:pPr>
              <w:spacing w:after="0"/>
              <w:rPr>
                <w:sz w:val="8"/>
                <w:szCs w:val="8"/>
                <w:color w:val="auto"/>
              </w:rPr>
            </w:pPr>
          </w:p>
        </w:tc>
        <w:tc>
          <w:tcPr>
            <w:tcW w:w="940" w:type="dxa"/>
            <w:vAlign w:val="bottom"/>
          </w:tcPr>
          <w:p>
            <w:pPr>
              <w:spacing w:after="0"/>
              <w:rPr>
                <w:sz w:val="8"/>
                <w:szCs w:val="8"/>
                <w:color w:val="auto"/>
              </w:rPr>
            </w:pPr>
          </w:p>
        </w:tc>
        <w:tc>
          <w:tcPr>
            <w:tcW w:w="480" w:type="dxa"/>
            <w:vAlign w:val="bottom"/>
          </w:tcPr>
          <w:p>
            <w:pPr>
              <w:spacing w:after="0"/>
              <w:rPr>
                <w:sz w:val="8"/>
                <w:szCs w:val="8"/>
                <w:color w:val="auto"/>
              </w:rPr>
            </w:pPr>
          </w:p>
        </w:tc>
        <w:tc>
          <w:tcPr>
            <w:tcW w:w="3940" w:type="dxa"/>
            <w:vAlign w:val="bottom"/>
          </w:tcPr>
          <w:p>
            <w:pPr>
              <w:spacing w:after="0"/>
              <w:rPr>
                <w:sz w:val="8"/>
                <w:szCs w:val="8"/>
                <w:color w:val="auto"/>
              </w:rPr>
            </w:pPr>
          </w:p>
        </w:tc>
        <w:tc>
          <w:tcPr>
            <w:tcW w:w="600" w:type="dxa"/>
            <w:vAlign w:val="bottom"/>
          </w:tcPr>
          <w:p>
            <w:pPr>
              <w:spacing w:after="0"/>
              <w:rPr>
                <w:sz w:val="8"/>
                <w:szCs w:val="8"/>
                <w:color w:val="auto"/>
              </w:rPr>
            </w:pPr>
          </w:p>
        </w:tc>
        <w:tc>
          <w:tcPr>
            <w:tcW w:w="660" w:type="dxa"/>
            <w:vAlign w:val="bottom"/>
          </w:tcPr>
          <w:p>
            <w:pPr>
              <w:spacing w:after="0"/>
              <w:rPr>
                <w:sz w:val="8"/>
                <w:szCs w:val="8"/>
                <w:color w:val="auto"/>
              </w:rPr>
            </w:pPr>
          </w:p>
        </w:tc>
        <w:tc>
          <w:tcPr>
            <w:tcW w:w="580" w:type="dxa"/>
            <w:vAlign w:val="bottom"/>
          </w:tcPr>
          <w:p>
            <w:pPr>
              <w:spacing w:after="0"/>
              <w:rPr>
                <w:sz w:val="8"/>
                <w:szCs w:val="8"/>
                <w:color w:val="auto"/>
              </w:rPr>
            </w:pP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96"/>
        </w:trPr>
        <w:tc>
          <w:tcPr>
            <w:tcW w:w="20" w:type="dxa"/>
            <w:vAlign w:val="bottom"/>
            <w:tcBorders>
              <w:bottom w:val="single" w:sz="8" w:color="auto"/>
            </w:tcBorders>
            <w:vMerge w:val="continue"/>
          </w:tcPr>
          <w:p>
            <w:pPr>
              <w:spacing w:after="0"/>
              <w:rPr>
                <w:sz w:val="17"/>
                <w:szCs w:val="17"/>
                <w:color w:val="auto"/>
              </w:rPr>
            </w:pPr>
          </w:p>
        </w:tc>
        <w:tc>
          <w:tcPr>
            <w:tcW w:w="2540" w:type="dxa"/>
            <w:vAlign w:val="bottom"/>
            <w:tcBorders>
              <w:bottom w:val="single" w:sz="8" w:color="auto"/>
            </w:tcBorders>
            <w:gridSpan w:val="3"/>
            <w:shd w:val="clear" w:color="auto" w:fill="CCEEFF"/>
          </w:tcPr>
          <w:p>
            <w:pPr>
              <w:spacing w:after="0" w:line="176" w:lineRule="exact"/>
              <w:rPr>
                <w:sz w:val="20"/>
                <w:szCs w:val="20"/>
                <w:color w:val="auto"/>
              </w:rPr>
            </w:pPr>
            <w:r>
              <w:rPr>
                <w:rFonts w:ascii="Arial" w:cs="Arial" w:eastAsia="Arial" w:hAnsi="Arial"/>
                <w:sz w:val="18"/>
                <w:szCs w:val="18"/>
                <w:b w:val="1"/>
                <w:bCs w:val="1"/>
                <w:color w:val="auto"/>
                <w:w w:val="88"/>
              </w:rPr>
              <w:t>Fiscal Year Ended June 30, 2016:</w:t>
            </w:r>
          </w:p>
        </w:tc>
        <w:tc>
          <w:tcPr>
            <w:tcW w:w="3940" w:type="dxa"/>
            <w:vAlign w:val="bottom"/>
            <w:tcBorders>
              <w:bottom w:val="single" w:sz="8" w:color="CCEEFF"/>
            </w:tcBorders>
            <w:shd w:val="clear" w:color="auto" w:fill="CCEEFF"/>
          </w:tcPr>
          <w:p>
            <w:pPr>
              <w:spacing w:after="0"/>
              <w:rPr>
                <w:sz w:val="17"/>
                <w:szCs w:val="17"/>
                <w:color w:val="auto"/>
              </w:rPr>
            </w:pPr>
          </w:p>
        </w:tc>
        <w:tc>
          <w:tcPr>
            <w:tcW w:w="600" w:type="dxa"/>
            <w:vAlign w:val="bottom"/>
            <w:tcBorders>
              <w:bottom w:val="single" w:sz="8" w:color="CCEEFF"/>
            </w:tcBorders>
            <w:shd w:val="clear" w:color="auto" w:fill="CCEEFF"/>
          </w:tcPr>
          <w:p>
            <w:pPr>
              <w:spacing w:after="0"/>
              <w:rPr>
                <w:sz w:val="17"/>
                <w:szCs w:val="17"/>
                <w:color w:val="auto"/>
              </w:rPr>
            </w:pPr>
          </w:p>
        </w:tc>
        <w:tc>
          <w:tcPr>
            <w:tcW w:w="660" w:type="dxa"/>
            <w:vAlign w:val="bottom"/>
            <w:tcBorders>
              <w:bottom w:val="single" w:sz="8" w:color="CCEEFF"/>
            </w:tcBorders>
            <w:shd w:val="clear" w:color="auto" w:fill="CCEEFF"/>
          </w:tcPr>
          <w:p>
            <w:pPr>
              <w:spacing w:after="0"/>
              <w:rPr>
                <w:sz w:val="17"/>
                <w:szCs w:val="17"/>
                <w:color w:val="auto"/>
              </w:rPr>
            </w:pPr>
          </w:p>
        </w:tc>
        <w:tc>
          <w:tcPr>
            <w:tcW w:w="580" w:type="dxa"/>
            <w:vAlign w:val="bottom"/>
            <w:tcBorders>
              <w:bottom w:val="single" w:sz="8" w:color="CCEEFF"/>
            </w:tcBorders>
            <w:shd w:val="clear" w:color="auto" w:fill="CCEEFF"/>
          </w:tcPr>
          <w:p>
            <w:pPr>
              <w:spacing w:after="0"/>
              <w:rPr>
                <w:sz w:val="17"/>
                <w:szCs w:val="17"/>
                <w:color w:val="auto"/>
              </w:rPr>
            </w:pPr>
          </w:p>
        </w:tc>
        <w:tc>
          <w:tcPr>
            <w:tcW w:w="4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80" w:type="dxa"/>
            <w:vAlign w:val="bottom"/>
            <w:gridSpan w:val="4"/>
          </w:tcPr>
          <w:p>
            <w:pPr>
              <w:spacing w:after="0"/>
              <w:rPr>
                <w:sz w:val="20"/>
                <w:szCs w:val="20"/>
                <w:color w:val="auto"/>
              </w:rPr>
            </w:pPr>
            <w:r>
              <w:rPr>
                <w:rFonts w:ascii="Arial" w:cs="Arial" w:eastAsia="Arial" w:hAnsi="Arial"/>
                <w:sz w:val="18"/>
                <w:szCs w:val="18"/>
                <w:color w:val="auto"/>
              </w:rPr>
              <w:t>First Quarter</w:t>
            </w:r>
          </w:p>
        </w:tc>
        <w:tc>
          <w:tcPr>
            <w:tcW w:w="600" w:type="dxa"/>
            <w:vAlign w:val="bottom"/>
          </w:tcPr>
          <w:p>
            <w:pPr>
              <w:jc w:val="right"/>
              <w:spacing w:after="0"/>
              <w:rPr>
                <w:sz w:val="20"/>
                <w:szCs w:val="20"/>
                <w:color w:val="auto"/>
              </w:rPr>
            </w:pPr>
            <w:r>
              <w:rPr>
                <w:rFonts w:ascii="Arial" w:cs="Arial" w:eastAsia="Arial" w:hAnsi="Arial"/>
                <w:sz w:val="18"/>
                <w:szCs w:val="18"/>
                <w:color w:val="auto"/>
              </w:rPr>
              <w:t>.106</w:t>
            </w:r>
          </w:p>
        </w:tc>
        <w:tc>
          <w:tcPr>
            <w:tcW w:w="66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.052</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8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Second Quarter</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.101</w:t>
            </w:r>
          </w:p>
        </w:tc>
        <w:tc>
          <w:tcPr>
            <w:tcW w:w="66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.079</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80" w:type="dxa"/>
            <w:vAlign w:val="bottom"/>
            <w:gridSpan w:val="4"/>
          </w:tcPr>
          <w:p>
            <w:pPr>
              <w:spacing w:after="0"/>
              <w:rPr>
                <w:sz w:val="20"/>
                <w:szCs w:val="20"/>
                <w:color w:val="auto"/>
              </w:rPr>
            </w:pPr>
            <w:r>
              <w:rPr>
                <w:rFonts w:ascii="Arial" w:cs="Arial" w:eastAsia="Arial" w:hAnsi="Arial"/>
                <w:sz w:val="18"/>
                <w:szCs w:val="18"/>
                <w:color w:val="auto"/>
              </w:rPr>
              <w:t>Third Quarter</w:t>
            </w:r>
          </w:p>
        </w:tc>
        <w:tc>
          <w:tcPr>
            <w:tcW w:w="600" w:type="dxa"/>
            <w:vAlign w:val="bottom"/>
          </w:tcPr>
          <w:p>
            <w:pPr>
              <w:jc w:val="right"/>
              <w:spacing w:after="0"/>
              <w:rPr>
                <w:sz w:val="20"/>
                <w:szCs w:val="20"/>
                <w:color w:val="auto"/>
              </w:rPr>
            </w:pPr>
            <w:r>
              <w:rPr>
                <w:rFonts w:ascii="Arial" w:cs="Arial" w:eastAsia="Arial" w:hAnsi="Arial"/>
                <w:sz w:val="18"/>
                <w:szCs w:val="18"/>
                <w:color w:val="auto"/>
              </w:rPr>
              <w:t>.137</w:t>
            </w:r>
          </w:p>
        </w:tc>
        <w:tc>
          <w:tcPr>
            <w:tcW w:w="66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.082</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8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Fourth Quarter</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.124</w:t>
            </w:r>
          </w:p>
        </w:tc>
        <w:tc>
          <w:tcPr>
            <w:tcW w:w="66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.079</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84"/>
        </w:trPr>
        <w:tc>
          <w:tcPr>
            <w:tcW w:w="6500" w:type="dxa"/>
            <w:vAlign w:val="bottom"/>
            <w:gridSpan w:val="5"/>
          </w:tcPr>
          <w:p>
            <w:pPr>
              <w:spacing w:after="0"/>
              <w:rPr>
                <w:sz w:val="20"/>
                <w:szCs w:val="20"/>
                <w:color w:val="auto"/>
              </w:rPr>
            </w:pPr>
            <w:r>
              <w:rPr>
                <w:rFonts w:ascii="Arial" w:cs="Arial" w:eastAsia="Arial" w:hAnsi="Arial"/>
                <w:sz w:val="18"/>
                <w:szCs w:val="18"/>
                <w:b w:val="1"/>
                <w:bCs w:val="1"/>
                <w:color w:val="auto"/>
              </w:rPr>
              <w:t>Fiscal Year Ended June 30, 2017:</w:t>
            </w:r>
          </w:p>
        </w:tc>
        <w:tc>
          <w:tcPr>
            <w:tcW w:w="6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
        </w:trPr>
        <w:tc>
          <w:tcPr>
            <w:tcW w:w="20" w:type="dxa"/>
            <w:vAlign w:val="bottom"/>
            <w:tcBorders>
              <w:top w:val="single" w:sz="8" w:color="auto"/>
            </w:tcBorders>
            <w:vMerge w:val="restart"/>
          </w:tcPr>
          <w:p>
            <w:pPr>
              <w:spacing w:after="0" w:line="20" w:lineRule="exact"/>
              <w:rPr>
                <w:sz w:val="1"/>
                <w:szCs w:val="1"/>
                <w:color w:val="auto"/>
              </w:rPr>
            </w:pPr>
          </w:p>
        </w:tc>
        <w:tc>
          <w:tcPr>
            <w:tcW w:w="1120" w:type="dxa"/>
            <w:vAlign w:val="bottom"/>
            <w:tcBorders>
              <w:top w:val="single" w:sz="8" w:color="auto"/>
            </w:tcBorders>
          </w:tcPr>
          <w:p>
            <w:pPr>
              <w:spacing w:after="0" w:line="20" w:lineRule="exact"/>
              <w:rPr>
                <w:sz w:val="1"/>
                <w:szCs w:val="1"/>
                <w:color w:val="auto"/>
              </w:rPr>
            </w:pPr>
          </w:p>
        </w:tc>
        <w:tc>
          <w:tcPr>
            <w:tcW w:w="940" w:type="dxa"/>
            <w:vAlign w:val="bottom"/>
            <w:tcBorders>
              <w:top w:val="single" w:sz="8" w:color="auto"/>
            </w:tcBorders>
          </w:tcPr>
          <w:p>
            <w:pPr>
              <w:spacing w:after="0" w:line="20" w:lineRule="exact"/>
              <w:rPr>
                <w:sz w:val="1"/>
                <w:szCs w:val="1"/>
                <w:color w:val="auto"/>
              </w:rPr>
            </w:pPr>
          </w:p>
        </w:tc>
        <w:tc>
          <w:tcPr>
            <w:tcW w:w="480" w:type="dxa"/>
            <w:vAlign w:val="bottom"/>
            <w:tcBorders>
              <w:top w:val="single" w:sz="8" w:color="auto"/>
            </w:tcBorders>
          </w:tcPr>
          <w:p>
            <w:pPr>
              <w:spacing w:after="0" w:line="20" w:lineRule="exact"/>
              <w:rPr>
                <w:sz w:val="1"/>
                <w:szCs w:val="1"/>
                <w:color w:val="auto"/>
              </w:rPr>
            </w:pPr>
          </w:p>
        </w:tc>
        <w:tc>
          <w:tcPr>
            <w:tcW w:w="39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648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First Quarter</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.129</w:t>
            </w:r>
          </w:p>
        </w:tc>
        <w:tc>
          <w:tcPr>
            <w:tcW w:w="66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.079</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80" w:type="dxa"/>
            <w:vAlign w:val="bottom"/>
            <w:gridSpan w:val="4"/>
          </w:tcPr>
          <w:p>
            <w:pPr>
              <w:spacing w:after="0"/>
              <w:rPr>
                <w:sz w:val="20"/>
                <w:szCs w:val="20"/>
                <w:color w:val="auto"/>
              </w:rPr>
            </w:pPr>
            <w:r>
              <w:rPr>
                <w:rFonts w:ascii="Arial" w:cs="Arial" w:eastAsia="Arial" w:hAnsi="Arial"/>
                <w:sz w:val="18"/>
                <w:szCs w:val="18"/>
                <w:color w:val="auto"/>
              </w:rPr>
              <w:t>Second Quarter</w:t>
            </w:r>
          </w:p>
        </w:tc>
        <w:tc>
          <w:tcPr>
            <w:tcW w:w="600" w:type="dxa"/>
            <w:vAlign w:val="bottom"/>
          </w:tcPr>
          <w:p>
            <w:pPr>
              <w:jc w:val="right"/>
              <w:spacing w:after="0"/>
              <w:rPr>
                <w:sz w:val="20"/>
                <w:szCs w:val="20"/>
                <w:color w:val="auto"/>
              </w:rPr>
            </w:pPr>
            <w:r>
              <w:rPr>
                <w:rFonts w:ascii="Arial" w:cs="Arial" w:eastAsia="Arial" w:hAnsi="Arial"/>
                <w:sz w:val="18"/>
                <w:szCs w:val="18"/>
                <w:color w:val="auto"/>
              </w:rPr>
              <w:t>.121</w:t>
            </w:r>
          </w:p>
        </w:tc>
        <w:tc>
          <w:tcPr>
            <w:tcW w:w="66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.094</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8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Third Quarter</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.112</w:t>
            </w:r>
          </w:p>
        </w:tc>
        <w:tc>
          <w:tcPr>
            <w:tcW w:w="66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.077</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6480" w:type="dxa"/>
            <w:vAlign w:val="bottom"/>
            <w:gridSpan w:val="4"/>
          </w:tcPr>
          <w:p>
            <w:pPr>
              <w:spacing w:after="0"/>
              <w:rPr>
                <w:sz w:val="20"/>
                <w:szCs w:val="20"/>
                <w:color w:val="auto"/>
              </w:rPr>
            </w:pPr>
            <w:r>
              <w:rPr>
                <w:rFonts w:ascii="Arial" w:cs="Arial" w:eastAsia="Arial" w:hAnsi="Arial"/>
                <w:sz w:val="18"/>
                <w:szCs w:val="18"/>
                <w:color w:val="auto"/>
              </w:rPr>
              <w:t>Fourth Quarter</w:t>
            </w:r>
          </w:p>
        </w:tc>
        <w:tc>
          <w:tcPr>
            <w:tcW w:w="600" w:type="dxa"/>
            <w:vAlign w:val="bottom"/>
          </w:tcPr>
          <w:p>
            <w:pPr>
              <w:jc w:val="right"/>
              <w:spacing w:after="0"/>
              <w:rPr>
                <w:sz w:val="20"/>
                <w:szCs w:val="20"/>
                <w:color w:val="auto"/>
              </w:rPr>
            </w:pPr>
            <w:r>
              <w:rPr>
                <w:rFonts w:ascii="Arial" w:cs="Arial" w:eastAsia="Arial" w:hAnsi="Arial"/>
                <w:sz w:val="18"/>
                <w:szCs w:val="18"/>
                <w:color w:val="auto"/>
              </w:rPr>
              <w:t>.084</w:t>
            </w:r>
          </w:p>
        </w:tc>
        <w:tc>
          <w:tcPr>
            <w:tcW w:w="660" w:type="dxa"/>
            <w:vAlign w:val="bottom"/>
          </w:tcPr>
          <w:p>
            <w:pPr>
              <w:spacing w:after="0"/>
              <w:rPr>
                <w:sz w:val="20"/>
                <w:szCs w:val="20"/>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.065</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94"/>
        </w:trPr>
        <w:tc>
          <w:tcPr>
            <w:tcW w:w="20" w:type="dxa"/>
            <w:vAlign w:val="bottom"/>
            <w:vMerge w:val="restart"/>
          </w:tcPr>
          <w:p>
            <w:pPr>
              <w:spacing w:after="0"/>
              <w:rPr>
                <w:sz w:val="8"/>
                <w:szCs w:val="8"/>
                <w:color w:val="auto"/>
              </w:rPr>
            </w:pPr>
          </w:p>
        </w:tc>
        <w:tc>
          <w:tcPr>
            <w:tcW w:w="1120" w:type="dxa"/>
            <w:vAlign w:val="bottom"/>
          </w:tcPr>
          <w:p>
            <w:pPr>
              <w:spacing w:after="0"/>
              <w:rPr>
                <w:sz w:val="8"/>
                <w:szCs w:val="8"/>
                <w:color w:val="auto"/>
              </w:rPr>
            </w:pPr>
          </w:p>
        </w:tc>
        <w:tc>
          <w:tcPr>
            <w:tcW w:w="940" w:type="dxa"/>
            <w:vAlign w:val="bottom"/>
          </w:tcPr>
          <w:p>
            <w:pPr>
              <w:spacing w:after="0"/>
              <w:rPr>
                <w:sz w:val="8"/>
                <w:szCs w:val="8"/>
                <w:color w:val="auto"/>
              </w:rPr>
            </w:pPr>
          </w:p>
        </w:tc>
        <w:tc>
          <w:tcPr>
            <w:tcW w:w="480" w:type="dxa"/>
            <w:vAlign w:val="bottom"/>
          </w:tcPr>
          <w:p>
            <w:pPr>
              <w:spacing w:after="0"/>
              <w:rPr>
                <w:sz w:val="8"/>
                <w:szCs w:val="8"/>
                <w:color w:val="auto"/>
              </w:rPr>
            </w:pPr>
          </w:p>
        </w:tc>
        <w:tc>
          <w:tcPr>
            <w:tcW w:w="3940" w:type="dxa"/>
            <w:vAlign w:val="bottom"/>
          </w:tcPr>
          <w:p>
            <w:pPr>
              <w:spacing w:after="0"/>
              <w:rPr>
                <w:sz w:val="8"/>
                <w:szCs w:val="8"/>
                <w:color w:val="auto"/>
              </w:rPr>
            </w:pPr>
          </w:p>
        </w:tc>
        <w:tc>
          <w:tcPr>
            <w:tcW w:w="600" w:type="dxa"/>
            <w:vAlign w:val="bottom"/>
          </w:tcPr>
          <w:p>
            <w:pPr>
              <w:spacing w:after="0"/>
              <w:rPr>
                <w:sz w:val="8"/>
                <w:szCs w:val="8"/>
                <w:color w:val="auto"/>
              </w:rPr>
            </w:pPr>
          </w:p>
        </w:tc>
        <w:tc>
          <w:tcPr>
            <w:tcW w:w="660" w:type="dxa"/>
            <w:vAlign w:val="bottom"/>
          </w:tcPr>
          <w:p>
            <w:pPr>
              <w:spacing w:after="0"/>
              <w:rPr>
                <w:sz w:val="8"/>
                <w:szCs w:val="8"/>
                <w:color w:val="auto"/>
              </w:rPr>
            </w:pPr>
          </w:p>
        </w:tc>
        <w:tc>
          <w:tcPr>
            <w:tcW w:w="580" w:type="dxa"/>
            <w:vAlign w:val="bottom"/>
          </w:tcPr>
          <w:p>
            <w:pPr>
              <w:spacing w:after="0"/>
              <w:rPr>
                <w:sz w:val="8"/>
                <w:szCs w:val="8"/>
                <w:color w:val="auto"/>
              </w:rPr>
            </w:pP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96"/>
        </w:trPr>
        <w:tc>
          <w:tcPr>
            <w:tcW w:w="20" w:type="dxa"/>
            <w:vAlign w:val="bottom"/>
            <w:tcBorders>
              <w:bottom w:val="single" w:sz="8" w:color="auto"/>
            </w:tcBorders>
            <w:vMerge w:val="continue"/>
          </w:tcPr>
          <w:p>
            <w:pPr>
              <w:spacing w:after="0"/>
              <w:rPr>
                <w:sz w:val="17"/>
                <w:szCs w:val="17"/>
                <w:color w:val="auto"/>
              </w:rPr>
            </w:pPr>
          </w:p>
        </w:tc>
        <w:tc>
          <w:tcPr>
            <w:tcW w:w="2540" w:type="dxa"/>
            <w:vAlign w:val="bottom"/>
            <w:tcBorders>
              <w:bottom w:val="single" w:sz="8" w:color="auto"/>
            </w:tcBorders>
            <w:gridSpan w:val="3"/>
            <w:shd w:val="clear" w:color="auto" w:fill="CCEEFF"/>
          </w:tcPr>
          <w:p>
            <w:pPr>
              <w:spacing w:after="0" w:line="176" w:lineRule="exact"/>
              <w:rPr>
                <w:sz w:val="20"/>
                <w:szCs w:val="20"/>
                <w:color w:val="auto"/>
              </w:rPr>
            </w:pPr>
            <w:r>
              <w:rPr>
                <w:rFonts w:ascii="Arial" w:cs="Arial" w:eastAsia="Arial" w:hAnsi="Arial"/>
                <w:sz w:val="18"/>
                <w:szCs w:val="18"/>
                <w:b w:val="1"/>
                <w:bCs w:val="1"/>
                <w:color w:val="auto"/>
                <w:w w:val="88"/>
              </w:rPr>
              <w:t>Fiscal Year Ended June 30, 2018:</w:t>
            </w:r>
          </w:p>
        </w:tc>
        <w:tc>
          <w:tcPr>
            <w:tcW w:w="3940" w:type="dxa"/>
            <w:vAlign w:val="bottom"/>
            <w:tcBorders>
              <w:bottom w:val="single" w:sz="8" w:color="CCEEFF"/>
            </w:tcBorders>
            <w:shd w:val="clear" w:color="auto" w:fill="CCEEFF"/>
          </w:tcPr>
          <w:p>
            <w:pPr>
              <w:spacing w:after="0"/>
              <w:rPr>
                <w:sz w:val="17"/>
                <w:szCs w:val="17"/>
                <w:color w:val="auto"/>
              </w:rPr>
            </w:pPr>
          </w:p>
        </w:tc>
        <w:tc>
          <w:tcPr>
            <w:tcW w:w="600" w:type="dxa"/>
            <w:vAlign w:val="bottom"/>
            <w:tcBorders>
              <w:bottom w:val="single" w:sz="8" w:color="CCEEFF"/>
            </w:tcBorders>
            <w:shd w:val="clear" w:color="auto" w:fill="CCEEFF"/>
          </w:tcPr>
          <w:p>
            <w:pPr>
              <w:spacing w:after="0"/>
              <w:rPr>
                <w:sz w:val="17"/>
                <w:szCs w:val="17"/>
                <w:color w:val="auto"/>
              </w:rPr>
            </w:pPr>
          </w:p>
        </w:tc>
        <w:tc>
          <w:tcPr>
            <w:tcW w:w="660" w:type="dxa"/>
            <w:vAlign w:val="bottom"/>
            <w:tcBorders>
              <w:bottom w:val="single" w:sz="8" w:color="CCEEFF"/>
            </w:tcBorders>
            <w:shd w:val="clear" w:color="auto" w:fill="CCEEFF"/>
          </w:tcPr>
          <w:p>
            <w:pPr>
              <w:spacing w:after="0"/>
              <w:rPr>
                <w:sz w:val="17"/>
                <w:szCs w:val="17"/>
                <w:color w:val="auto"/>
              </w:rPr>
            </w:pPr>
          </w:p>
        </w:tc>
        <w:tc>
          <w:tcPr>
            <w:tcW w:w="580" w:type="dxa"/>
            <w:vAlign w:val="bottom"/>
            <w:tcBorders>
              <w:bottom w:val="single" w:sz="8" w:color="CCEEFF"/>
            </w:tcBorders>
            <w:shd w:val="clear" w:color="auto" w:fill="CCEEFF"/>
          </w:tcPr>
          <w:p>
            <w:pPr>
              <w:spacing w:after="0"/>
              <w:rPr>
                <w:sz w:val="17"/>
                <w:szCs w:val="17"/>
                <w:color w:val="auto"/>
              </w:rPr>
            </w:pPr>
          </w:p>
        </w:tc>
        <w:tc>
          <w:tcPr>
            <w:tcW w:w="4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80" w:type="dxa"/>
            <w:vAlign w:val="bottom"/>
            <w:gridSpan w:val="4"/>
          </w:tcPr>
          <w:p>
            <w:pPr>
              <w:spacing w:after="0"/>
              <w:rPr>
                <w:sz w:val="20"/>
                <w:szCs w:val="20"/>
                <w:color w:val="auto"/>
              </w:rPr>
            </w:pPr>
            <w:r>
              <w:rPr>
                <w:rFonts w:ascii="Arial" w:cs="Arial" w:eastAsia="Arial" w:hAnsi="Arial"/>
                <w:sz w:val="18"/>
                <w:szCs w:val="18"/>
                <w:color w:val="auto"/>
              </w:rPr>
              <w:t>First Quarter</w:t>
            </w:r>
          </w:p>
        </w:tc>
        <w:tc>
          <w:tcPr>
            <w:tcW w:w="600" w:type="dxa"/>
            <w:vAlign w:val="bottom"/>
          </w:tcPr>
          <w:p>
            <w:pPr>
              <w:jc w:val="right"/>
              <w:spacing w:after="0"/>
              <w:rPr>
                <w:sz w:val="20"/>
                <w:szCs w:val="20"/>
                <w:color w:val="auto"/>
              </w:rPr>
            </w:pPr>
            <w:r>
              <w:rPr>
                <w:rFonts w:ascii="Arial" w:cs="Arial" w:eastAsia="Arial" w:hAnsi="Arial"/>
                <w:sz w:val="18"/>
                <w:szCs w:val="18"/>
                <w:color w:val="auto"/>
              </w:rPr>
              <w:t>.080</w:t>
            </w:r>
          </w:p>
        </w:tc>
        <w:tc>
          <w:tcPr>
            <w:tcW w:w="66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.049</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8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Second Quarter</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.072</w:t>
            </w:r>
          </w:p>
        </w:tc>
        <w:tc>
          <w:tcPr>
            <w:tcW w:w="66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.049</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80" w:type="dxa"/>
            <w:vAlign w:val="bottom"/>
            <w:gridSpan w:val="4"/>
          </w:tcPr>
          <w:p>
            <w:pPr>
              <w:spacing w:after="0"/>
              <w:rPr>
                <w:sz w:val="20"/>
                <w:szCs w:val="20"/>
                <w:color w:val="auto"/>
              </w:rPr>
            </w:pPr>
            <w:r>
              <w:rPr>
                <w:rFonts w:ascii="Arial" w:cs="Arial" w:eastAsia="Arial" w:hAnsi="Arial"/>
                <w:sz w:val="18"/>
                <w:szCs w:val="18"/>
                <w:color w:val="auto"/>
              </w:rPr>
              <w:t>Third Quarter</w:t>
            </w:r>
          </w:p>
        </w:tc>
        <w:tc>
          <w:tcPr>
            <w:tcW w:w="600" w:type="dxa"/>
            <w:vAlign w:val="bottom"/>
          </w:tcPr>
          <w:p>
            <w:pPr>
              <w:jc w:val="right"/>
              <w:spacing w:after="0"/>
              <w:rPr>
                <w:sz w:val="20"/>
                <w:szCs w:val="20"/>
                <w:color w:val="auto"/>
              </w:rPr>
            </w:pPr>
            <w:r>
              <w:rPr>
                <w:rFonts w:ascii="Arial" w:cs="Arial" w:eastAsia="Arial" w:hAnsi="Arial"/>
                <w:sz w:val="18"/>
                <w:szCs w:val="18"/>
                <w:color w:val="auto"/>
              </w:rPr>
              <w:t>.067</w:t>
            </w:r>
          </w:p>
        </w:tc>
        <w:tc>
          <w:tcPr>
            <w:tcW w:w="66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.053</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8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Fourth Quarter</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.083</w:t>
            </w:r>
          </w:p>
        </w:tc>
        <w:tc>
          <w:tcPr>
            <w:tcW w:w="66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.048</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84"/>
        </w:trPr>
        <w:tc>
          <w:tcPr>
            <w:tcW w:w="6500" w:type="dxa"/>
            <w:vAlign w:val="bottom"/>
            <w:gridSpan w:val="5"/>
          </w:tcPr>
          <w:p>
            <w:pPr>
              <w:spacing w:after="0"/>
              <w:rPr>
                <w:sz w:val="20"/>
                <w:szCs w:val="20"/>
                <w:color w:val="auto"/>
              </w:rPr>
            </w:pPr>
            <w:r>
              <w:rPr>
                <w:rFonts w:ascii="Arial" w:cs="Arial" w:eastAsia="Arial" w:hAnsi="Arial"/>
                <w:sz w:val="18"/>
                <w:szCs w:val="18"/>
                <w:b w:val="1"/>
                <w:bCs w:val="1"/>
                <w:color w:val="auto"/>
              </w:rPr>
              <w:t>Month Ended:</w:t>
            </w:r>
          </w:p>
        </w:tc>
        <w:tc>
          <w:tcPr>
            <w:tcW w:w="6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
        </w:trPr>
        <w:tc>
          <w:tcPr>
            <w:tcW w:w="20" w:type="dxa"/>
            <w:vAlign w:val="bottom"/>
            <w:tcBorders>
              <w:top w:val="single" w:sz="8" w:color="auto"/>
            </w:tcBorders>
            <w:vMerge w:val="restart"/>
          </w:tcPr>
          <w:p>
            <w:pPr>
              <w:spacing w:after="0" w:line="20" w:lineRule="exact"/>
              <w:rPr>
                <w:sz w:val="1"/>
                <w:szCs w:val="1"/>
                <w:color w:val="auto"/>
              </w:rPr>
            </w:pPr>
          </w:p>
        </w:tc>
        <w:tc>
          <w:tcPr>
            <w:tcW w:w="1120" w:type="dxa"/>
            <w:vAlign w:val="bottom"/>
            <w:tcBorders>
              <w:top w:val="single" w:sz="8" w:color="auto"/>
            </w:tcBorders>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39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648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July 2018</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.105</w:t>
            </w:r>
          </w:p>
        </w:tc>
        <w:tc>
          <w:tcPr>
            <w:tcW w:w="66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.077</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80" w:type="dxa"/>
            <w:vAlign w:val="bottom"/>
            <w:gridSpan w:val="4"/>
          </w:tcPr>
          <w:p>
            <w:pPr>
              <w:spacing w:after="0"/>
              <w:rPr>
                <w:sz w:val="20"/>
                <w:szCs w:val="20"/>
                <w:color w:val="auto"/>
              </w:rPr>
            </w:pPr>
            <w:r>
              <w:rPr>
                <w:rFonts w:ascii="Arial" w:cs="Arial" w:eastAsia="Arial" w:hAnsi="Arial"/>
                <w:sz w:val="18"/>
                <w:szCs w:val="18"/>
                <w:color w:val="auto"/>
              </w:rPr>
              <w:t>August 2018</w:t>
            </w:r>
          </w:p>
        </w:tc>
        <w:tc>
          <w:tcPr>
            <w:tcW w:w="600" w:type="dxa"/>
            <w:vAlign w:val="bottom"/>
          </w:tcPr>
          <w:p>
            <w:pPr>
              <w:jc w:val="right"/>
              <w:spacing w:after="0"/>
              <w:rPr>
                <w:sz w:val="20"/>
                <w:szCs w:val="20"/>
                <w:color w:val="auto"/>
              </w:rPr>
            </w:pPr>
            <w:r>
              <w:rPr>
                <w:rFonts w:ascii="Arial" w:cs="Arial" w:eastAsia="Arial" w:hAnsi="Arial"/>
                <w:sz w:val="18"/>
                <w:szCs w:val="18"/>
                <w:color w:val="auto"/>
              </w:rPr>
              <w:t>.142</w:t>
            </w:r>
          </w:p>
        </w:tc>
        <w:tc>
          <w:tcPr>
            <w:tcW w:w="66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.086</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8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September 2018</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.140</w:t>
            </w:r>
          </w:p>
        </w:tc>
        <w:tc>
          <w:tcPr>
            <w:tcW w:w="66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.089</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80" w:type="dxa"/>
            <w:vAlign w:val="bottom"/>
            <w:gridSpan w:val="4"/>
          </w:tcPr>
          <w:p>
            <w:pPr>
              <w:spacing w:after="0"/>
              <w:rPr>
                <w:sz w:val="20"/>
                <w:szCs w:val="20"/>
                <w:color w:val="auto"/>
              </w:rPr>
            </w:pPr>
            <w:r>
              <w:rPr>
                <w:rFonts w:ascii="Arial" w:cs="Arial" w:eastAsia="Arial" w:hAnsi="Arial"/>
                <w:sz w:val="18"/>
                <w:szCs w:val="18"/>
                <w:color w:val="auto"/>
              </w:rPr>
              <w:t>October 2018</w:t>
            </w:r>
          </w:p>
        </w:tc>
        <w:tc>
          <w:tcPr>
            <w:tcW w:w="600" w:type="dxa"/>
            <w:vAlign w:val="bottom"/>
          </w:tcPr>
          <w:p>
            <w:pPr>
              <w:jc w:val="right"/>
              <w:spacing w:after="0"/>
              <w:rPr>
                <w:sz w:val="20"/>
                <w:szCs w:val="20"/>
                <w:color w:val="auto"/>
              </w:rPr>
            </w:pPr>
            <w:r>
              <w:rPr>
                <w:rFonts w:ascii="Arial" w:cs="Arial" w:eastAsia="Arial" w:hAnsi="Arial"/>
                <w:sz w:val="18"/>
                <w:szCs w:val="18"/>
                <w:color w:val="auto"/>
              </w:rPr>
              <w:t>.097</w:t>
            </w:r>
          </w:p>
        </w:tc>
        <w:tc>
          <w:tcPr>
            <w:tcW w:w="66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.070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8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November 2018</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.084</w:t>
            </w:r>
          </w:p>
        </w:tc>
        <w:tc>
          <w:tcPr>
            <w:tcW w:w="66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.077</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80" w:type="dxa"/>
            <w:vAlign w:val="bottom"/>
            <w:gridSpan w:val="4"/>
          </w:tcPr>
          <w:p>
            <w:pPr>
              <w:spacing w:after="0"/>
              <w:rPr>
                <w:sz w:val="20"/>
                <w:szCs w:val="20"/>
                <w:color w:val="auto"/>
              </w:rPr>
            </w:pPr>
            <w:r>
              <w:rPr>
                <w:rFonts w:ascii="Arial" w:cs="Arial" w:eastAsia="Arial" w:hAnsi="Arial"/>
                <w:sz w:val="18"/>
                <w:szCs w:val="18"/>
                <w:color w:val="auto"/>
              </w:rPr>
              <w:t>December 2018</w:t>
            </w:r>
          </w:p>
        </w:tc>
        <w:tc>
          <w:tcPr>
            <w:tcW w:w="600" w:type="dxa"/>
            <w:vAlign w:val="bottom"/>
          </w:tcPr>
          <w:p>
            <w:pPr>
              <w:jc w:val="right"/>
              <w:spacing w:after="0"/>
              <w:rPr>
                <w:sz w:val="20"/>
                <w:szCs w:val="20"/>
                <w:color w:val="auto"/>
              </w:rPr>
            </w:pPr>
            <w:r>
              <w:rPr>
                <w:rFonts w:ascii="Arial" w:cs="Arial" w:eastAsia="Arial" w:hAnsi="Arial"/>
                <w:sz w:val="18"/>
                <w:szCs w:val="18"/>
                <w:color w:val="auto"/>
              </w:rPr>
              <w:t>.135</w:t>
            </w:r>
          </w:p>
        </w:tc>
        <w:tc>
          <w:tcPr>
            <w:tcW w:w="66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.079</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8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January 2019</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.155</w:t>
            </w:r>
          </w:p>
        </w:tc>
        <w:tc>
          <w:tcPr>
            <w:tcW w:w="66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.125</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80" w:type="dxa"/>
            <w:vAlign w:val="bottom"/>
            <w:gridSpan w:val="4"/>
          </w:tcPr>
          <w:p>
            <w:pPr>
              <w:spacing w:after="0"/>
              <w:rPr>
                <w:sz w:val="20"/>
                <w:szCs w:val="20"/>
                <w:color w:val="auto"/>
              </w:rPr>
            </w:pPr>
            <w:r>
              <w:rPr>
                <w:rFonts w:ascii="Arial" w:cs="Arial" w:eastAsia="Arial" w:hAnsi="Arial"/>
                <w:sz w:val="18"/>
                <w:szCs w:val="18"/>
                <w:color w:val="auto"/>
              </w:rPr>
              <w:t>February 2019</w:t>
            </w:r>
          </w:p>
        </w:tc>
        <w:tc>
          <w:tcPr>
            <w:tcW w:w="600" w:type="dxa"/>
            <w:vAlign w:val="bottom"/>
          </w:tcPr>
          <w:p>
            <w:pPr>
              <w:jc w:val="right"/>
              <w:spacing w:after="0"/>
              <w:rPr>
                <w:sz w:val="20"/>
                <w:szCs w:val="20"/>
                <w:color w:val="auto"/>
              </w:rPr>
            </w:pPr>
            <w:r>
              <w:rPr>
                <w:rFonts w:ascii="Arial" w:cs="Arial" w:eastAsia="Arial" w:hAnsi="Arial"/>
                <w:sz w:val="18"/>
                <w:szCs w:val="18"/>
                <w:color w:val="auto"/>
              </w:rPr>
              <w:t>.295</w:t>
            </w:r>
          </w:p>
        </w:tc>
        <w:tc>
          <w:tcPr>
            <w:tcW w:w="66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.130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8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March 2019</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.540</w:t>
            </w:r>
          </w:p>
        </w:tc>
        <w:tc>
          <w:tcPr>
            <w:tcW w:w="66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.285</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80" w:type="dxa"/>
            <w:vAlign w:val="bottom"/>
            <w:gridSpan w:val="4"/>
          </w:tcPr>
          <w:p>
            <w:pPr>
              <w:spacing w:after="0"/>
              <w:rPr>
                <w:sz w:val="20"/>
                <w:szCs w:val="20"/>
                <w:color w:val="auto"/>
              </w:rPr>
            </w:pPr>
            <w:r>
              <w:rPr>
                <w:rFonts w:ascii="Arial" w:cs="Arial" w:eastAsia="Arial" w:hAnsi="Arial"/>
                <w:sz w:val="18"/>
                <w:szCs w:val="18"/>
                <w:color w:val="auto"/>
              </w:rPr>
              <w:t>April 2019</w:t>
            </w:r>
          </w:p>
        </w:tc>
        <w:tc>
          <w:tcPr>
            <w:tcW w:w="600" w:type="dxa"/>
            <w:vAlign w:val="bottom"/>
          </w:tcPr>
          <w:p>
            <w:pPr>
              <w:jc w:val="right"/>
              <w:spacing w:after="0"/>
              <w:rPr>
                <w:sz w:val="20"/>
                <w:szCs w:val="20"/>
                <w:color w:val="auto"/>
              </w:rPr>
            </w:pPr>
            <w:r>
              <w:rPr>
                <w:rFonts w:ascii="Arial" w:cs="Arial" w:eastAsia="Arial" w:hAnsi="Arial"/>
                <w:sz w:val="18"/>
                <w:szCs w:val="18"/>
                <w:color w:val="auto"/>
              </w:rPr>
              <w:t>.510</w:t>
            </w:r>
          </w:p>
        </w:tc>
        <w:tc>
          <w:tcPr>
            <w:tcW w:w="66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.325</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8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May 2019</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.490</w:t>
            </w:r>
          </w:p>
        </w:tc>
        <w:tc>
          <w:tcPr>
            <w:tcW w:w="66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.335</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80" w:type="dxa"/>
            <w:vAlign w:val="bottom"/>
            <w:gridSpan w:val="4"/>
          </w:tcPr>
          <w:p>
            <w:pPr>
              <w:spacing w:after="0"/>
              <w:rPr>
                <w:sz w:val="20"/>
                <w:szCs w:val="20"/>
                <w:color w:val="auto"/>
              </w:rPr>
            </w:pPr>
            <w:r>
              <w:rPr>
                <w:rFonts w:ascii="Arial" w:cs="Arial" w:eastAsia="Arial" w:hAnsi="Arial"/>
                <w:sz w:val="18"/>
                <w:szCs w:val="18"/>
                <w:color w:val="auto"/>
              </w:rPr>
              <w:t>June 2019</w:t>
            </w:r>
          </w:p>
        </w:tc>
        <w:tc>
          <w:tcPr>
            <w:tcW w:w="600" w:type="dxa"/>
            <w:vAlign w:val="bottom"/>
          </w:tcPr>
          <w:p>
            <w:pPr>
              <w:jc w:val="right"/>
              <w:spacing w:after="0"/>
              <w:rPr>
                <w:sz w:val="20"/>
                <w:szCs w:val="20"/>
                <w:color w:val="auto"/>
              </w:rPr>
            </w:pPr>
            <w:r>
              <w:rPr>
                <w:rFonts w:ascii="Arial" w:cs="Arial" w:eastAsia="Arial" w:hAnsi="Arial"/>
                <w:sz w:val="18"/>
                <w:szCs w:val="18"/>
                <w:color w:val="auto"/>
              </w:rPr>
              <w:t>.440</w:t>
            </w:r>
          </w:p>
        </w:tc>
        <w:tc>
          <w:tcPr>
            <w:tcW w:w="66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.340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8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July 2019</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.445</w:t>
            </w:r>
          </w:p>
        </w:tc>
        <w:tc>
          <w:tcPr>
            <w:tcW w:w="66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.375</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6480" w:type="dxa"/>
            <w:vAlign w:val="bottom"/>
            <w:gridSpan w:val="4"/>
          </w:tcPr>
          <w:p>
            <w:pPr>
              <w:spacing w:after="0"/>
              <w:rPr>
                <w:sz w:val="20"/>
                <w:szCs w:val="20"/>
                <w:color w:val="auto"/>
              </w:rPr>
            </w:pPr>
            <w:r>
              <w:rPr>
                <w:rFonts w:ascii="Arial" w:cs="Arial" w:eastAsia="Arial" w:hAnsi="Arial"/>
                <w:sz w:val="18"/>
                <w:szCs w:val="18"/>
                <w:color w:val="auto"/>
              </w:rPr>
              <w:t>August 2019</w:t>
            </w:r>
          </w:p>
        </w:tc>
        <w:tc>
          <w:tcPr>
            <w:tcW w:w="600" w:type="dxa"/>
            <w:vAlign w:val="bottom"/>
          </w:tcPr>
          <w:p>
            <w:pPr>
              <w:jc w:val="right"/>
              <w:spacing w:after="0"/>
              <w:rPr>
                <w:sz w:val="20"/>
                <w:szCs w:val="20"/>
                <w:color w:val="auto"/>
              </w:rPr>
            </w:pPr>
            <w:r>
              <w:rPr>
                <w:rFonts w:ascii="Arial" w:cs="Arial" w:eastAsia="Arial" w:hAnsi="Arial"/>
                <w:sz w:val="18"/>
                <w:szCs w:val="18"/>
                <w:color w:val="auto"/>
              </w:rPr>
              <w:t>.485</w:t>
            </w:r>
          </w:p>
        </w:tc>
        <w:tc>
          <w:tcPr>
            <w:tcW w:w="660" w:type="dxa"/>
            <w:vAlign w:val="bottom"/>
          </w:tcPr>
          <w:p>
            <w:pPr>
              <w:spacing w:after="0"/>
              <w:rPr>
                <w:sz w:val="20"/>
                <w:szCs w:val="20"/>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.370</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91"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OTCQX Market</w:t>
      </w:r>
    </w:p>
    <w:p>
      <w:pPr>
        <w:spacing w:after="0" w:line="121" w:lineRule="exact"/>
        <w:rPr>
          <w:sz w:val="20"/>
          <w:szCs w:val="20"/>
          <w:color w:val="auto"/>
        </w:rPr>
      </w:pPr>
    </w:p>
    <w:p>
      <w:pPr>
        <w:ind w:left="200" w:right="220" w:firstLine="441"/>
        <w:spacing w:after="0" w:line="277" w:lineRule="auto"/>
        <w:rPr>
          <w:sz w:val="20"/>
          <w:szCs w:val="20"/>
          <w:color w:val="auto"/>
        </w:rPr>
      </w:pPr>
      <w:r>
        <w:rPr>
          <w:rFonts w:ascii="Arial" w:cs="Arial" w:eastAsia="Arial" w:hAnsi="Arial"/>
          <w:sz w:val="18"/>
          <w:szCs w:val="18"/>
          <w:color w:val="auto"/>
        </w:rPr>
        <w:t>Our ADSs have traded over the counter in the U.S. on the OTCQX under the ticker symbol “AVMXY” since May 14, 2012. We intend to apply with the NASDAQ Capital Market to have our ADSs traded on the</w:t>
      </w:r>
    </w:p>
    <w:p>
      <w:pPr>
        <w:spacing w:after="0" w:line="103"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71</w:t>
      </w:r>
    </w:p>
    <w:p>
      <w:pPr>
        <w:sectPr>
          <w:pgSz w:w="11900" w:h="16838" w:orient="portrait"/>
          <w:cols w:equalWidth="0" w:num="1">
            <w:col w:w="11200"/>
          </w:cols>
          <w:pgMar w:left="240" w:top="459" w:right="459" w:bottom="1440" w:gutter="0" w:footer="0" w:header="0"/>
        </w:sectPr>
      </w:pPr>
    </w:p>
    <w:bookmarkStart w:id="73" w:name="page74"/>
    <w:bookmarkEnd w:id="7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spacing w:after="0"/>
        <w:rPr>
          <w:sz w:val="20"/>
          <w:szCs w:val="20"/>
          <w:color w:val="auto"/>
        </w:rPr>
      </w:pPr>
      <w:r>
        <w:rPr>
          <w:rFonts w:ascii="Arial" w:cs="Arial" w:eastAsia="Arial" w:hAnsi="Arial"/>
          <w:sz w:val="16"/>
          <w:szCs w:val="16"/>
          <w:color w:val="auto"/>
        </w:rPr>
        <w:t>NASDAQ Capital Market. The following table sets forth, for the periods indicated, the high and low market quotations for our ADSs as quoted on the</w:t>
      </w:r>
    </w:p>
    <w:p>
      <w:pPr>
        <w:spacing w:after="0" w:line="46" w:lineRule="exact"/>
        <w:rPr>
          <w:sz w:val="20"/>
          <w:szCs w:val="20"/>
          <w:color w:val="auto"/>
        </w:rPr>
      </w:pPr>
    </w:p>
    <w:p>
      <w:pPr>
        <w:ind w:left="200"/>
        <w:spacing w:after="0"/>
        <w:rPr>
          <w:sz w:val="20"/>
          <w:szCs w:val="20"/>
          <w:color w:val="auto"/>
        </w:rPr>
      </w:pPr>
      <w:r>
        <w:rPr>
          <w:rFonts w:ascii="Arial" w:cs="Arial" w:eastAsia="Arial" w:hAnsi="Arial"/>
          <w:sz w:val="18"/>
          <w:szCs w:val="18"/>
          <w:color w:val="auto"/>
        </w:rPr>
        <w:t>OTCQX:</w:t>
      </w:r>
    </w:p>
    <w:p>
      <w:pPr>
        <w:spacing w:after="0" w:line="229" w:lineRule="exact"/>
        <w:rPr>
          <w:sz w:val="20"/>
          <w:szCs w:val="20"/>
          <w:color w:val="auto"/>
        </w:rPr>
      </w:pPr>
    </w:p>
    <w:tbl>
      <w:tblPr>
        <w:tblLayout w:type="fixed"/>
        <w:tblInd w:w="152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4700" w:type="dxa"/>
            <w:vAlign w:val="bottom"/>
          </w:tcPr>
          <w:p>
            <w:pPr>
              <w:spacing w:after="0"/>
              <w:rPr>
                <w:sz w:val="14"/>
                <w:szCs w:val="14"/>
                <w:color w:val="auto"/>
              </w:rPr>
            </w:pPr>
          </w:p>
        </w:tc>
        <w:tc>
          <w:tcPr>
            <w:tcW w:w="1120" w:type="dxa"/>
            <w:vAlign w:val="bottom"/>
            <w:gridSpan w:val="4"/>
          </w:tcPr>
          <w:p>
            <w:pPr>
              <w:ind w:left="80"/>
              <w:spacing w:after="0"/>
              <w:rPr>
                <w:sz w:val="20"/>
                <w:szCs w:val="20"/>
                <w:color w:val="auto"/>
              </w:rPr>
            </w:pPr>
            <w:r>
              <w:rPr>
                <w:rFonts w:ascii="Arial" w:cs="Arial" w:eastAsia="Arial" w:hAnsi="Arial"/>
                <w:sz w:val="14"/>
                <w:szCs w:val="14"/>
                <w:b w:val="1"/>
                <w:bCs w:val="1"/>
                <w:color w:val="auto"/>
              </w:rPr>
              <w:t>Per ADS (US$)</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4700" w:type="dxa"/>
            <w:vAlign w:val="bottom"/>
          </w:tcPr>
          <w:p>
            <w:pPr>
              <w:spacing w:after="0"/>
              <w:rPr>
                <w:sz w:val="12"/>
                <w:szCs w:val="12"/>
                <w:color w:val="auto"/>
              </w:rPr>
            </w:pPr>
          </w:p>
        </w:tc>
        <w:tc>
          <w:tcPr>
            <w:tcW w:w="680" w:type="dxa"/>
            <w:vAlign w:val="bottom"/>
            <w:tcBorders>
              <w:top w:val="single" w:sz="8" w:color="auto"/>
            </w:tcBorders>
            <w:gridSpan w:val="2"/>
          </w:tcPr>
          <w:p>
            <w:pPr>
              <w:ind w:left="40"/>
              <w:spacing w:after="0" w:line="142" w:lineRule="exact"/>
              <w:rPr>
                <w:sz w:val="20"/>
                <w:szCs w:val="20"/>
                <w:color w:val="auto"/>
              </w:rPr>
            </w:pPr>
            <w:r>
              <w:rPr>
                <w:rFonts w:ascii="Arial" w:cs="Arial" w:eastAsia="Arial" w:hAnsi="Arial"/>
                <w:sz w:val="14"/>
                <w:szCs w:val="14"/>
                <w:b w:val="1"/>
                <w:bCs w:val="1"/>
                <w:color w:val="auto"/>
              </w:rPr>
              <w:t>High</w:t>
            </w:r>
          </w:p>
        </w:tc>
        <w:tc>
          <w:tcPr>
            <w:tcW w:w="400" w:type="dxa"/>
            <w:vAlign w:val="bottom"/>
            <w:tcBorders>
              <w:top w:val="single" w:sz="8" w:color="auto"/>
            </w:tcBorders>
          </w:tcPr>
          <w:p>
            <w:pPr>
              <w:ind w:left="60"/>
              <w:spacing w:after="0" w:line="142" w:lineRule="exact"/>
              <w:rPr>
                <w:sz w:val="20"/>
                <w:szCs w:val="20"/>
                <w:color w:val="auto"/>
              </w:rPr>
            </w:pPr>
            <w:r>
              <w:rPr>
                <w:rFonts w:ascii="Arial" w:cs="Arial" w:eastAsia="Arial" w:hAnsi="Arial"/>
                <w:sz w:val="14"/>
                <w:szCs w:val="14"/>
                <w:b w:val="1"/>
                <w:bCs w:val="1"/>
                <w:color w:val="auto"/>
              </w:rPr>
              <w:t>Low</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1120" w:type="dxa"/>
            <w:vAlign w:val="bottom"/>
            <w:tcBorders>
              <w:bottom w:val="single" w:sz="8" w:color="CCEEFF"/>
            </w:tcBorders>
          </w:tcPr>
          <w:p>
            <w:pPr>
              <w:spacing w:after="0"/>
              <w:rPr>
                <w:sz w:val="12"/>
                <w:szCs w:val="12"/>
                <w:color w:val="auto"/>
              </w:rPr>
            </w:pPr>
          </w:p>
        </w:tc>
        <w:tc>
          <w:tcPr>
            <w:tcW w:w="940" w:type="dxa"/>
            <w:vAlign w:val="bottom"/>
            <w:tcBorders>
              <w:bottom w:val="single" w:sz="8" w:color="CCEEFF"/>
            </w:tcBorders>
          </w:tcPr>
          <w:p>
            <w:pPr>
              <w:spacing w:after="0"/>
              <w:rPr>
                <w:sz w:val="12"/>
                <w:szCs w:val="12"/>
                <w:color w:val="auto"/>
              </w:rPr>
            </w:pPr>
          </w:p>
        </w:tc>
        <w:tc>
          <w:tcPr>
            <w:tcW w:w="480" w:type="dxa"/>
            <w:vAlign w:val="bottom"/>
            <w:tcBorders>
              <w:bottom w:val="single" w:sz="8" w:color="CCEEFF"/>
            </w:tcBorders>
          </w:tcPr>
          <w:p>
            <w:pPr>
              <w:spacing w:after="0"/>
              <w:rPr>
                <w:sz w:val="12"/>
                <w:szCs w:val="12"/>
                <w:color w:val="auto"/>
              </w:rPr>
            </w:pPr>
          </w:p>
        </w:tc>
        <w:tc>
          <w:tcPr>
            <w:tcW w:w="4700" w:type="dxa"/>
            <w:vAlign w:val="bottom"/>
            <w:tcBorders>
              <w:bottom w:val="single" w:sz="8" w:color="CCEEFF"/>
            </w:tcBorders>
          </w:tcPr>
          <w:p>
            <w:pPr>
              <w:spacing w:after="0"/>
              <w:rPr>
                <w:sz w:val="12"/>
                <w:szCs w:val="12"/>
                <w:color w:val="auto"/>
              </w:rPr>
            </w:pPr>
          </w:p>
        </w:tc>
        <w:tc>
          <w:tcPr>
            <w:tcW w:w="380" w:type="dxa"/>
            <w:vAlign w:val="bottom"/>
            <w:tcBorders>
              <w:top w:val="single" w:sz="8" w:color="auto"/>
              <w:bottom w:val="single" w:sz="8" w:color="auto"/>
            </w:tcBorders>
          </w:tcPr>
          <w:p>
            <w:pPr>
              <w:ind w:left="60"/>
              <w:spacing w:after="0" w:line="142" w:lineRule="exact"/>
              <w:rPr>
                <w:sz w:val="20"/>
                <w:szCs w:val="20"/>
                <w:color w:val="auto"/>
              </w:rPr>
            </w:pPr>
            <w:r>
              <w:rPr>
                <w:rFonts w:ascii="Arial" w:cs="Arial" w:eastAsia="Arial" w:hAnsi="Arial"/>
                <w:sz w:val="14"/>
                <w:szCs w:val="14"/>
                <w:b w:val="1"/>
                <w:bCs w:val="1"/>
                <w:color w:val="auto"/>
              </w:rPr>
              <w:t>US$</w:t>
            </w:r>
          </w:p>
        </w:tc>
        <w:tc>
          <w:tcPr>
            <w:tcW w:w="300" w:type="dxa"/>
            <w:vAlign w:val="bottom"/>
            <w:tcBorders>
              <w:bottom w:val="single" w:sz="8" w:color="CCEEFF"/>
            </w:tcBorders>
          </w:tcPr>
          <w:p>
            <w:pPr>
              <w:spacing w:after="0"/>
              <w:rPr>
                <w:sz w:val="12"/>
                <w:szCs w:val="12"/>
                <w:color w:val="auto"/>
              </w:rPr>
            </w:pPr>
          </w:p>
        </w:tc>
        <w:tc>
          <w:tcPr>
            <w:tcW w:w="400" w:type="dxa"/>
            <w:vAlign w:val="bottom"/>
            <w:tcBorders>
              <w:top w:val="single" w:sz="8" w:color="auto"/>
              <w:bottom w:val="single" w:sz="8" w:color="auto"/>
            </w:tcBorders>
          </w:tcPr>
          <w:p>
            <w:pPr>
              <w:ind w:left="60"/>
              <w:spacing w:after="0" w:line="142" w:lineRule="exact"/>
              <w:rPr>
                <w:sz w:val="20"/>
                <w:szCs w:val="20"/>
                <w:color w:val="auto"/>
              </w:rPr>
            </w:pPr>
            <w:r>
              <w:rPr>
                <w:rFonts w:ascii="Arial" w:cs="Arial" w:eastAsia="Arial" w:hAnsi="Arial"/>
                <w:sz w:val="14"/>
                <w:szCs w:val="14"/>
                <w:b w:val="1"/>
                <w:bCs w:val="1"/>
                <w:color w:val="auto"/>
              </w:rPr>
              <w:t>US$</w:t>
            </w:r>
          </w:p>
        </w:tc>
        <w:tc>
          <w:tcPr>
            <w:tcW w:w="4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7240" w:type="dxa"/>
            <w:vAlign w:val="bottom"/>
            <w:gridSpan w:val="4"/>
            <w:shd w:val="clear" w:color="auto" w:fill="CCEEFF"/>
          </w:tcPr>
          <w:p>
            <w:pPr>
              <w:spacing w:after="0" w:line="156" w:lineRule="exact"/>
              <w:rPr>
                <w:sz w:val="20"/>
                <w:szCs w:val="20"/>
                <w:color w:val="auto"/>
              </w:rPr>
            </w:pPr>
            <w:r>
              <w:rPr>
                <w:rFonts w:ascii="Arial" w:cs="Arial" w:eastAsia="Arial" w:hAnsi="Arial"/>
                <w:sz w:val="18"/>
                <w:szCs w:val="18"/>
                <w:b w:val="1"/>
                <w:bCs w:val="1"/>
                <w:color w:val="auto"/>
              </w:rPr>
              <w:t>Fiscal Year Ended June 30,</w:t>
            </w:r>
          </w:p>
        </w:tc>
        <w:tc>
          <w:tcPr>
            <w:tcW w:w="38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20" w:type="dxa"/>
            <w:vAlign w:val="bottom"/>
            <w:tcBorders>
              <w:top w:val="single" w:sz="8" w:color="auto"/>
            </w:tcBorders>
          </w:tcPr>
          <w:p>
            <w:pPr>
              <w:spacing w:after="0"/>
              <w:rPr>
                <w:sz w:val="18"/>
                <w:szCs w:val="18"/>
                <w:color w:val="auto"/>
              </w:rPr>
            </w:pPr>
          </w:p>
        </w:tc>
        <w:tc>
          <w:tcPr>
            <w:tcW w:w="112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2014</w:t>
            </w:r>
          </w:p>
        </w:tc>
        <w:tc>
          <w:tcPr>
            <w:tcW w:w="940" w:type="dxa"/>
            <w:vAlign w:val="bottom"/>
            <w:tcBorders>
              <w:top w:val="single" w:sz="8" w:color="auto"/>
            </w:tcBorders>
          </w:tcPr>
          <w:p>
            <w:pPr>
              <w:spacing w:after="0"/>
              <w:rPr>
                <w:sz w:val="18"/>
                <w:szCs w:val="18"/>
                <w:color w:val="auto"/>
              </w:rPr>
            </w:pPr>
          </w:p>
        </w:tc>
        <w:tc>
          <w:tcPr>
            <w:tcW w:w="480" w:type="dxa"/>
            <w:vAlign w:val="bottom"/>
            <w:tcBorders>
              <w:top w:val="single" w:sz="8" w:color="CCEEFF"/>
            </w:tcBorders>
          </w:tcPr>
          <w:p>
            <w:pPr>
              <w:spacing w:after="0"/>
              <w:rPr>
                <w:sz w:val="18"/>
                <w:szCs w:val="18"/>
                <w:color w:val="auto"/>
              </w:rPr>
            </w:pPr>
          </w:p>
        </w:tc>
        <w:tc>
          <w:tcPr>
            <w:tcW w:w="4700" w:type="dxa"/>
            <w:vAlign w:val="bottom"/>
            <w:tcBorders>
              <w:top w:val="single" w:sz="8" w:color="CCEEFF"/>
            </w:tcBorders>
          </w:tcPr>
          <w:p>
            <w:pPr>
              <w:spacing w:after="0"/>
              <w:rPr>
                <w:sz w:val="18"/>
                <w:szCs w:val="18"/>
                <w:color w:val="auto"/>
              </w:rPr>
            </w:pPr>
          </w:p>
        </w:tc>
        <w:tc>
          <w:tcPr>
            <w:tcW w:w="380" w:type="dxa"/>
            <w:vAlign w:val="bottom"/>
            <w:tcBorders>
              <w:top w:val="single" w:sz="8" w:color="CCEEFF"/>
            </w:tcBorders>
          </w:tcPr>
          <w:p>
            <w:pPr>
              <w:ind w:left="60"/>
              <w:spacing w:after="0"/>
              <w:rPr>
                <w:sz w:val="20"/>
                <w:szCs w:val="20"/>
                <w:color w:val="auto"/>
              </w:rPr>
            </w:pPr>
            <w:r>
              <w:rPr>
                <w:rFonts w:ascii="Arial" w:cs="Arial" w:eastAsia="Arial" w:hAnsi="Arial"/>
                <w:sz w:val="18"/>
                <w:szCs w:val="18"/>
                <w:color w:val="auto"/>
                <w:w w:val="85"/>
              </w:rPr>
              <w:t>2.74</w:t>
            </w:r>
          </w:p>
        </w:tc>
        <w:tc>
          <w:tcPr>
            <w:tcW w:w="300" w:type="dxa"/>
            <w:vAlign w:val="bottom"/>
            <w:tcBorders>
              <w:top w:val="single" w:sz="8" w:color="CCEEFF"/>
            </w:tcBorders>
          </w:tcPr>
          <w:p>
            <w:pPr>
              <w:spacing w:after="0"/>
              <w:rPr>
                <w:sz w:val="18"/>
                <w:szCs w:val="18"/>
                <w:color w:val="auto"/>
              </w:rPr>
            </w:pPr>
          </w:p>
        </w:tc>
        <w:tc>
          <w:tcPr>
            <w:tcW w:w="400" w:type="dxa"/>
            <w:vAlign w:val="bottom"/>
            <w:tcBorders>
              <w:top w:val="single" w:sz="8" w:color="CCEEFF"/>
            </w:tcBorders>
          </w:tcPr>
          <w:p>
            <w:pPr>
              <w:ind w:left="80"/>
              <w:spacing w:after="0"/>
              <w:rPr>
                <w:sz w:val="20"/>
                <w:szCs w:val="20"/>
                <w:color w:val="auto"/>
              </w:rPr>
            </w:pPr>
            <w:r>
              <w:rPr>
                <w:rFonts w:ascii="Arial" w:cs="Arial" w:eastAsia="Arial" w:hAnsi="Arial"/>
                <w:sz w:val="18"/>
                <w:szCs w:val="18"/>
                <w:color w:val="auto"/>
                <w:w w:val="85"/>
              </w:rPr>
              <w:t>1.47</w:t>
            </w:r>
          </w:p>
        </w:tc>
        <w:tc>
          <w:tcPr>
            <w:tcW w:w="4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120" w:type="dxa"/>
            <w:vAlign w:val="bottom"/>
            <w:shd w:val="clear" w:color="auto" w:fill="CCEEFF"/>
          </w:tcPr>
          <w:p>
            <w:pPr>
              <w:spacing w:after="0"/>
              <w:rPr>
                <w:sz w:val="20"/>
                <w:szCs w:val="20"/>
                <w:color w:val="auto"/>
              </w:rPr>
            </w:pPr>
            <w:r>
              <w:rPr>
                <w:rFonts w:ascii="Arial" w:cs="Arial" w:eastAsia="Arial" w:hAnsi="Arial"/>
                <w:sz w:val="18"/>
                <w:szCs w:val="18"/>
                <w:color w:val="auto"/>
              </w:rPr>
              <w:t>2015</w:t>
            </w:r>
          </w:p>
        </w:tc>
        <w:tc>
          <w:tcPr>
            <w:tcW w:w="94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4700" w:type="dxa"/>
            <w:vAlign w:val="bottom"/>
            <w:shd w:val="clear" w:color="auto" w:fill="CCEEFF"/>
          </w:tcPr>
          <w:p>
            <w:pPr>
              <w:spacing w:after="0"/>
              <w:rPr>
                <w:sz w:val="18"/>
                <w:szCs w:val="18"/>
                <w:color w:val="auto"/>
              </w:rPr>
            </w:pPr>
          </w:p>
        </w:tc>
        <w:tc>
          <w:tcPr>
            <w:tcW w:w="380" w:type="dxa"/>
            <w:vAlign w:val="bottom"/>
            <w:shd w:val="clear" w:color="auto" w:fill="CCEEFF"/>
          </w:tcPr>
          <w:p>
            <w:pPr>
              <w:ind w:left="60"/>
              <w:spacing w:after="0"/>
              <w:rPr>
                <w:sz w:val="20"/>
                <w:szCs w:val="20"/>
                <w:color w:val="auto"/>
              </w:rPr>
            </w:pPr>
            <w:r>
              <w:rPr>
                <w:rFonts w:ascii="Arial" w:cs="Arial" w:eastAsia="Arial" w:hAnsi="Arial"/>
                <w:sz w:val="18"/>
                <w:szCs w:val="18"/>
                <w:color w:val="auto"/>
                <w:w w:val="85"/>
              </w:rPr>
              <w:t>2.16</w:t>
            </w:r>
          </w:p>
        </w:tc>
        <w:tc>
          <w:tcPr>
            <w:tcW w:w="300" w:type="dxa"/>
            <w:vAlign w:val="bottom"/>
            <w:shd w:val="clear" w:color="auto" w:fill="CCEEFF"/>
          </w:tcPr>
          <w:p>
            <w:pPr>
              <w:spacing w:after="0"/>
              <w:rPr>
                <w:sz w:val="18"/>
                <w:szCs w:val="18"/>
                <w:color w:val="auto"/>
              </w:rPr>
            </w:pPr>
          </w:p>
        </w:tc>
        <w:tc>
          <w:tcPr>
            <w:tcW w:w="400" w:type="dxa"/>
            <w:vAlign w:val="bottom"/>
            <w:shd w:val="clear" w:color="auto" w:fill="CCEEFF"/>
          </w:tcPr>
          <w:p>
            <w:pPr>
              <w:ind w:left="80"/>
              <w:spacing w:after="0"/>
              <w:rPr>
                <w:sz w:val="20"/>
                <w:szCs w:val="20"/>
                <w:color w:val="auto"/>
              </w:rPr>
            </w:pPr>
            <w:r>
              <w:rPr>
                <w:rFonts w:ascii="Arial" w:cs="Arial" w:eastAsia="Arial" w:hAnsi="Arial"/>
                <w:sz w:val="18"/>
                <w:szCs w:val="18"/>
                <w:color w:val="auto"/>
                <w:w w:val="85"/>
              </w:rPr>
              <w:t>0.98</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120" w:type="dxa"/>
            <w:vAlign w:val="bottom"/>
          </w:tcPr>
          <w:p>
            <w:pPr>
              <w:spacing w:after="0"/>
              <w:rPr>
                <w:sz w:val="20"/>
                <w:szCs w:val="20"/>
                <w:color w:val="auto"/>
              </w:rPr>
            </w:pPr>
            <w:r>
              <w:rPr>
                <w:rFonts w:ascii="Arial" w:cs="Arial" w:eastAsia="Arial" w:hAnsi="Arial"/>
                <w:sz w:val="18"/>
                <w:szCs w:val="18"/>
                <w:color w:val="auto"/>
              </w:rPr>
              <w:t>2016</w:t>
            </w:r>
          </w:p>
        </w:tc>
        <w:tc>
          <w:tcPr>
            <w:tcW w:w="9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4700" w:type="dxa"/>
            <w:vAlign w:val="bottom"/>
          </w:tcPr>
          <w:p>
            <w:pPr>
              <w:spacing w:after="0"/>
              <w:rPr>
                <w:sz w:val="18"/>
                <w:szCs w:val="18"/>
                <w:color w:val="auto"/>
              </w:rPr>
            </w:pPr>
          </w:p>
        </w:tc>
        <w:tc>
          <w:tcPr>
            <w:tcW w:w="380" w:type="dxa"/>
            <w:vAlign w:val="bottom"/>
          </w:tcPr>
          <w:p>
            <w:pPr>
              <w:ind w:left="60"/>
              <w:spacing w:after="0"/>
              <w:rPr>
                <w:sz w:val="20"/>
                <w:szCs w:val="20"/>
                <w:color w:val="auto"/>
              </w:rPr>
            </w:pPr>
            <w:r>
              <w:rPr>
                <w:rFonts w:ascii="Arial" w:cs="Arial" w:eastAsia="Arial" w:hAnsi="Arial"/>
                <w:sz w:val="18"/>
                <w:szCs w:val="18"/>
                <w:color w:val="auto"/>
                <w:w w:val="85"/>
              </w:rPr>
              <w:t>2.46</w:t>
            </w:r>
          </w:p>
        </w:tc>
        <w:tc>
          <w:tcPr>
            <w:tcW w:w="300" w:type="dxa"/>
            <w:vAlign w:val="bottom"/>
          </w:tcPr>
          <w:p>
            <w:pPr>
              <w:spacing w:after="0"/>
              <w:rPr>
                <w:sz w:val="18"/>
                <w:szCs w:val="18"/>
                <w:color w:val="auto"/>
              </w:rPr>
            </w:pPr>
          </w:p>
        </w:tc>
        <w:tc>
          <w:tcPr>
            <w:tcW w:w="400" w:type="dxa"/>
            <w:vAlign w:val="bottom"/>
          </w:tcPr>
          <w:p>
            <w:pPr>
              <w:ind w:left="80"/>
              <w:spacing w:after="0"/>
              <w:rPr>
                <w:sz w:val="20"/>
                <w:szCs w:val="20"/>
                <w:color w:val="auto"/>
              </w:rPr>
            </w:pPr>
            <w:r>
              <w:rPr>
                <w:rFonts w:ascii="Arial" w:cs="Arial" w:eastAsia="Arial" w:hAnsi="Arial"/>
                <w:sz w:val="18"/>
                <w:szCs w:val="18"/>
                <w:color w:val="auto"/>
                <w:w w:val="85"/>
              </w:rPr>
              <w:t>0.93</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120" w:type="dxa"/>
            <w:vAlign w:val="bottom"/>
            <w:shd w:val="clear" w:color="auto" w:fill="CCEEFF"/>
          </w:tcPr>
          <w:p>
            <w:pPr>
              <w:spacing w:after="0"/>
              <w:rPr>
                <w:sz w:val="20"/>
                <w:szCs w:val="20"/>
                <w:color w:val="auto"/>
              </w:rPr>
            </w:pPr>
            <w:r>
              <w:rPr>
                <w:rFonts w:ascii="Arial" w:cs="Arial" w:eastAsia="Arial" w:hAnsi="Arial"/>
                <w:sz w:val="18"/>
                <w:szCs w:val="18"/>
                <w:color w:val="auto"/>
              </w:rPr>
              <w:t>2017</w:t>
            </w:r>
          </w:p>
        </w:tc>
        <w:tc>
          <w:tcPr>
            <w:tcW w:w="94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4700" w:type="dxa"/>
            <w:vAlign w:val="bottom"/>
            <w:shd w:val="clear" w:color="auto" w:fill="CCEEFF"/>
          </w:tcPr>
          <w:p>
            <w:pPr>
              <w:spacing w:after="0"/>
              <w:rPr>
                <w:sz w:val="18"/>
                <w:szCs w:val="18"/>
                <w:color w:val="auto"/>
              </w:rPr>
            </w:pPr>
          </w:p>
        </w:tc>
        <w:tc>
          <w:tcPr>
            <w:tcW w:w="380" w:type="dxa"/>
            <w:vAlign w:val="bottom"/>
            <w:shd w:val="clear" w:color="auto" w:fill="CCEEFF"/>
          </w:tcPr>
          <w:p>
            <w:pPr>
              <w:ind w:left="60"/>
              <w:spacing w:after="0"/>
              <w:rPr>
                <w:sz w:val="20"/>
                <w:szCs w:val="20"/>
                <w:color w:val="auto"/>
              </w:rPr>
            </w:pPr>
            <w:r>
              <w:rPr>
                <w:rFonts w:ascii="Arial" w:cs="Arial" w:eastAsia="Arial" w:hAnsi="Arial"/>
                <w:sz w:val="18"/>
                <w:szCs w:val="18"/>
                <w:color w:val="auto"/>
                <w:w w:val="85"/>
              </w:rPr>
              <w:t>2.24</w:t>
            </w:r>
          </w:p>
        </w:tc>
        <w:tc>
          <w:tcPr>
            <w:tcW w:w="300" w:type="dxa"/>
            <w:vAlign w:val="bottom"/>
            <w:shd w:val="clear" w:color="auto" w:fill="CCEEFF"/>
          </w:tcPr>
          <w:p>
            <w:pPr>
              <w:spacing w:after="0"/>
              <w:rPr>
                <w:sz w:val="18"/>
                <w:szCs w:val="18"/>
                <w:color w:val="auto"/>
              </w:rPr>
            </w:pPr>
          </w:p>
        </w:tc>
        <w:tc>
          <w:tcPr>
            <w:tcW w:w="400" w:type="dxa"/>
            <w:vAlign w:val="bottom"/>
            <w:shd w:val="clear" w:color="auto" w:fill="CCEEFF"/>
          </w:tcPr>
          <w:p>
            <w:pPr>
              <w:ind w:left="80"/>
              <w:spacing w:after="0"/>
              <w:rPr>
                <w:sz w:val="20"/>
                <w:szCs w:val="20"/>
                <w:color w:val="auto"/>
              </w:rPr>
            </w:pPr>
            <w:r>
              <w:rPr>
                <w:rFonts w:ascii="Arial" w:cs="Arial" w:eastAsia="Arial" w:hAnsi="Arial"/>
                <w:sz w:val="18"/>
                <w:szCs w:val="18"/>
                <w:color w:val="auto"/>
                <w:w w:val="85"/>
              </w:rPr>
              <w:t>1.15</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1120" w:type="dxa"/>
            <w:vAlign w:val="bottom"/>
          </w:tcPr>
          <w:p>
            <w:pPr>
              <w:spacing w:after="0"/>
              <w:rPr>
                <w:sz w:val="20"/>
                <w:szCs w:val="20"/>
                <w:color w:val="auto"/>
              </w:rPr>
            </w:pPr>
            <w:r>
              <w:rPr>
                <w:rFonts w:ascii="Arial" w:cs="Arial" w:eastAsia="Arial" w:hAnsi="Arial"/>
                <w:sz w:val="18"/>
                <w:szCs w:val="18"/>
                <w:color w:val="auto"/>
              </w:rPr>
              <w:t>2018</w:t>
            </w:r>
          </w:p>
        </w:tc>
        <w:tc>
          <w:tcPr>
            <w:tcW w:w="94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4700" w:type="dxa"/>
            <w:vAlign w:val="bottom"/>
          </w:tcPr>
          <w:p>
            <w:pPr>
              <w:spacing w:after="0"/>
              <w:rPr>
                <w:sz w:val="20"/>
                <w:szCs w:val="20"/>
                <w:color w:val="auto"/>
              </w:rPr>
            </w:pPr>
          </w:p>
        </w:tc>
        <w:tc>
          <w:tcPr>
            <w:tcW w:w="380" w:type="dxa"/>
            <w:vAlign w:val="bottom"/>
          </w:tcPr>
          <w:p>
            <w:pPr>
              <w:ind w:left="60"/>
              <w:spacing w:after="0"/>
              <w:rPr>
                <w:sz w:val="20"/>
                <w:szCs w:val="20"/>
                <w:color w:val="auto"/>
              </w:rPr>
            </w:pPr>
            <w:r>
              <w:rPr>
                <w:rFonts w:ascii="Arial" w:cs="Arial" w:eastAsia="Arial" w:hAnsi="Arial"/>
                <w:sz w:val="18"/>
                <w:szCs w:val="18"/>
                <w:color w:val="auto"/>
                <w:w w:val="85"/>
              </w:rPr>
              <w:t>1.47</w:t>
            </w:r>
          </w:p>
        </w:tc>
        <w:tc>
          <w:tcPr>
            <w:tcW w:w="300" w:type="dxa"/>
            <w:vAlign w:val="bottom"/>
          </w:tcPr>
          <w:p>
            <w:pPr>
              <w:spacing w:after="0"/>
              <w:rPr>
                <w:sz w:val="20"/>
                <w:szCs w:val="20"/>
                <w:color w:val="auto"/>
              </w:rPr>
            </w:pPr>
          </w:p>
        </w:tc>
        <w:tc>
          <w:tcPr>
            <w:tcW w:w="400" w:type="dxa"/>
            <w:vAlign w:val="bottom"/>
          </w:tcPr>
          <w:p>
            <w:pPr>
              <w:ind w:left="80"/>
              <w:spacing w:after="0"/>
              <w:rPr>
                <w:sz w:val="20"/>
                <w:szCs w:val="20"/>
                <w:color w:val="auto"/>
              </w:rPr>
            </w:pPr>
            <w:r>
              <w:rPr>
                <w:rFonts w:ascii="Arial" w:cs="Arial" w:eastAsia="Arial" w:hAnsi="Arial"/>
                <w:sz w:val="18"/>
                <w:szCs w:val="18"/>
                <w:color w:val="auto"/>
                <w:w w:val="85"/>
              </w:rPr>
              <w:t>0.75</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94"/>
        </w:trPr>
        <w:tc>
          <w:tcPr>
            <w:tcW w:w="20" w:type="dxa"/>
            <w:vAlign w:val="bottom"/>
            <w:vMerge w:val="restart"/>
          </w:tcPr>
          <w:p>
            <w:pPr>
              <w:spacing w:after="0"/>
              <w:rPr>
                <w:sz w:val="8"/>
                <w:szCs w:val="8"/>
                <w:color w:val="auto"/>
              </w:rPr>
            </w:pPr>
          </w:p>
        </w:tc>
        <w:tc>
          <w:tcPr>
            <w:tcW w:w="1120" w:type="dxa"/>
            <w:vAlign w:val="bottom"/>
          </w:tcPr>
          <w:p>
            <w:pPr>
              <w:spacing w:after="0"/>
              <w:rPr>
                <w:sz w:val="8"/>
                <w:szCs w:val="8"/>
                <w:color w:val="auto"/>
              </w:rPr>
            </w:pPr>
          </w:p>
        </w:tc>
        <w:tc>
          <w:tcPr>
            <w:tcW w:w="940" w:type="dxa"/>
            <w:vAlign w:val="bottom"/>
          </w:tcPr>
          <w:p>
            <w:pPr>
              <w:spacing w:after="0"/>
              <w:rPr>
                <w:sz w:val="8"/>
                <w:szCs w:val="8"/>
                <w:color w:val="auto"/>
              </w:rPr>
            </w:pPr>
          </w:p>
        </w:tc>
        <w:tc>
          <w:tcPr>
            <w:tcW w:w="480" w:type="dxa"/>
            <w:vAlign w:val="bottom"/>
          </w:tcPr>
          <w:p>
            <w:pPr>
              <w:spacing w:after="0"/>
              <w:rPr>
                <w:sz w:val="8"/>
                <w:szCs w:val="8"/>
                <w:color w:val="auto"/>
              </w:rPr>
            </w:pPr>
          </w:p>
        </w:tc>
        <w:tc>
          <w:tcPr>
            <w:tcW w:w="4700" w:type="dxa"/>
            <w:vAlign w:val="bottom"/>
          </w:tcPr>
          <w:p>
            <w:pPr>
              <w:spacing w:after="0"/>
              <w:rPr>
                <w:sz w:val="8"/>
                <w:szCs w:val="8"/>
                <w:color w:val="auto"/>
              </w:rPr>
            </w:pPr>
          </w:p>
        </w:tc>
        <w:tc>
          <w:tcPr>
            <w:tcW w:w="380" w:type="dxa"/>
            <w:vAlign w:val="bottom"/>
          </w:tcPr>
          <w:p>
            <w:pPr>
              <w:spacing w:after="0"/>
              <w:rPr>
                <w:sz w:val="8"/>
                <w:szCs w:val="8"/>
                <w:color w:val="auto"/>
              </w:rPr>
            </w:pPr>
          </w:p>
        </w:tc>
        <w:tc>
          <w:tcPr>
            <w:tcW w:w="300" w:type="dxa"/>
            <w:vAlign w:val="bottom"/>
          </w:tcPr>
          <w:p>
            <w:pPr>
              <w:spacing w:after="0"/>
              <w:rPr>
                <w:sz w:val="8"/>
                <w:szCs w:val="8"/>
                <w:color w:val="auto"/>
              </w:rPr>
            </w:pPr>
          </w:p>
        </w:tc>
        <w:tc>
          <w:tcPr>
            <w:tcW w:w="400" w:type="dxa"/>
            <w:vAlign w:val="bottom"/>
          </w:tcPr>
          <w:p>
            <w:pPr>
              <w:spacing w:after="0"/>
              <w:rPr>
                <w:sz w:val="8"/>
                <w:szCs w:val="8"/>
                <w:color w:val="auto"/>
              </w:rPr>
            </w:pP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96"/>
        </w:trPr>
        <w:tc>
          <w:tcPr>
            <w:tcW w:w="20" w:type="dxa"/>
            <w:vAlign w:val="bottom"/>
            <w:tcBorders>
              <w:bottom w:val="single" w:sz="8" w:color="auto"/>
            </w:tcBorders>
            <w:vMerge w:val="continue"/>
          </w:tcPr>
          <w:p>
            <w:pPr>
              <w:spacing w:after="0"/>
              <w:rPr>
                <w:sz w:val="17"/>
                <w:szCs w:val="17"/>
                <w:color w:val="auto"/>
              </w:rPr>
            </w:pPr>
          </w:p>
        </w:tc>
        <w:tc>
          <w:tcPr>
            <w:tcW w:w="2540" w:type="dxa"/>
            <w:vAlign w:val="bottom"/>
            <w:tcBorders>
              <w:bottom w:val="single" w:sz="8" w:color="auto"/>
            </w:tcBorders>
            <w:gridSpan w:val="3"/>
            <w:shd w:val="clear" w:color="auto" w:fill="CCEEFF"/>
          </w:tcPr>
          <w:p>
            <w:pPr>
              <w:spacing w:after="0" w:line="176" w:lineRule="exact"/>
              <w:rPr>
                <w:sz w:val="20"/>
                <w:szCs w:val="20"/>
                <w:color w:val="auto"/>
              </w:rPr>
            </w:pPr>
            <w:r>
              <w:rPr>
                <w:rFonts w:ascii="Arial" w:cs="Arial" w:eastAsia="Arial" w:hAnsi="Arial"/>
                <w:sz w:val="18"/>
                <w:szCs w:val="18"/>
                <w:b w:val="1"/>
                <w:bCs w:val="1"/>
                <w:color w:val="auto"/>
                <w:w w:val="88"/>
              </w:rPr>
              <w:t>Fiscal Year Ended June 30, 2016:</w:t>
            </w:r>
          </w:p>
        </w:tc>
        <w:tc>
          <w:tcPr>
            <w:tcW w:w="4700" w:type="dxa"/>
            <w:vAlign w:val="bottom"/>
            <w:tcBorders>
              <w:bottom w:val="single" w:sz="8" w:color="CCEEFF"/>
            </w:tcBorders>
            <w:shd w:val="clear" w:color="auto" w:fill="CCEEFF"/>
          </w:tcPr>
          <w:p>
            <w:pPr>
              <w:spacing w:after="0"/>
              <w:rPr>
                <w:sz w:val="17"/>
                <w:szCs w:val="17"/>
                <w:color w:val="auto"/>
              </w:rPr>
            </w:pPr>
          </w:p>
        </w:tc>
        <w:tc>
          <w:tcPr>
            <w:tcW w:w="380" w:type="dxa"/>
            <w:vAlign w:val="bottom"/>
            <w:tcBorders>
              <w:bottom w:val="single" w:sz="8" w:color="CCEEFF"/>
            </w:tcBorders>
            <w:shd w:val="clear" w:color="auto" w:fill="CCEEFF"/>
          </w:tcPr>
          <w:p>
            <w:pPr>
              <w:spacing w:after="0"/>
              <w:rPr>
                <w:sz w:val="17"/>
                <w:szCs w:val="17"/>
                <w:color w:val="auto"/>
              </w:rPr>
            </w:pPr>
          </w:p>
        </w:tc>
        <w:tc>
          <w:tcPr>
            <w:tcW w:w="300" w:type="dxa"/>
            <w:vAlign w:val="bottom"/>
            <w:tcBorders>
              <w:bottom w:val="single" w:sz="8" w:color="CCEEFF"/>
            </w:tcBorders>
            <w:shd w:val="clear" w:color="auto" w:fill="CCEEFF"/>
          </w:tcPr>
          <w:p>
            <w:pPr>
              <w:spacing w:after="0"/>
              <w:rPr>
                <w:sz w:val="17"/>
                <w:szCs w:val="17"/>
                <w:color w:val="auto"/>
              </w:rPr>
            </w:pPr>
          </w:p>
        </w:tc>
        <w:tc>
          <w:tcPr>
            <w:tcW w:w="400" w:type="dxa"/>
            <w:vAlign w:val="bottom"/>
            <w:tcBorders>
              <w:bottom w:val="single" w:sz="8" w:color="CCEEFF"/>
            </w:tcBorders>
            <w:shd w:val="clear" w:color="auto" w:fill="CCEEFF"/>
          </w:tcPr>
          <w:p>
            <w:pPr>
              <w:spacing w:after="0"/>
              <w:rPr>
                <w:sz w:val="17"/>
                <w:szCs w:val="17"/>
                <w:color w:val="auto"/>
              </w:rPr>
            </w:pPr>
          </w:p>
        </w:tc>
        <w:tc>
          <w:tcPr>
            <w:tcW w:w="4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40" w:type="dxa"/>
            <w:vAlign w:val="bottom"/>
            <w:gridSpan w:val="4"/>
          </w:tcPr>
          <w:p>
            <w:pPr>
              <w:spacing w:after="0"/>
              <w:rPr>
                <w:sz w:val="20"/>
                <w:szCs w:val="20"/>
                <w:color w:val="auto"/>
              </w:rPr>
            </w:pPr>
            <w:r>
              <w:rPr>
                <w:rFonts w:ascii="Arial" w:cs="Arial" w:eastAsia="Arial" w:hAnsi="Arial"/>
                <w:sz w:val="18"/>
                <w:szCs w:val="18"/>
                <w:color w:val="auto"/>
              </w:rPr>
              <w:t>First Quarter</w:t>
            </w:r>
          </w:p>
        </w:tc>
        <w:tc>
          <w:tcPr>
            <w:tcW w:w="380" w:type="dxa"/>
            <w:vAlign w:val="bottom"/>
          </w:tcPr>
          <w:p>
            <w:pPr>
              <w:ind w:left="60"/>
              <w:spacing w:after="0"/>
              <w:rPr>
                <w:sz w:val="20"/>
                <w:szCs w:val="20"/>
                <w:color w:val="auto"/>
              </w:rPr>
            </w:pPr>
            <w:r>
              <w:rPr>
                <w:rFonts w:ascii="Arial" w:cs="Arial" w:eastAsia="Arial" w:hAnsi="Arial"/>
                <w:sz w:val="18"/>
                <w:szCs w:val="18"/>
                <w:color w:val="auto"/>
                <w:w w:val="85"/>
              </w:rPr>
              <w:t>1.51</w:t>
            </w:r>
          </w:p>
        </w:tc>
        <w:tc>
          <w:tcPr>
            <w:tcW w:w="300" w:type="dxa"/>
            <w:vAlign w:val="bottom"/>
          </w:tcPr>
          <w:p>
            <w:pPr>
              <w:spacing w:after="0"/>
              <w:rPr>
                <w:sz w:val="18"/>
                <w:szCs w:val="18"/>
                <w:color w:val="auto"/>
              </w:rPr>
            </w:pPr>
          </w:p>
        </w:tc>
        <w:tc>
          <w:tcPr>
            <w:tcW w:w="400" w:type="dxa"/>
            <w:vAlign w:val="bottom"/>
          </w:tcPr>
          <w:p>
            <w:pPr>
              <w:ind w:left="80"/>
              <w:spacing w:after="0"/>
              <w:rPr>
                <w:sz w:val="20"/>
                <w:szCs w:val="20"/>
                <w:color w:val="auto"/>
              </w:rPr>
            </w:pPr>
            <w:r>
              <w:rPr>
                <w:rFonts w:ascii="Arial" w:cs="Arial" w:eastAsia="Arial" w:hAnsi="Arial"/>
                <w:sz w:val="18"/>
                <w:szCs w:val="18"/>
                <w:color w:val="auto"/>
                <w:w w:val="85"/>
              </w:rPr>
              <w:t>0.93</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4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Second Quarter</w:t>
            </w:r>
          </w:p>
        </w:tc>
        <w:tc>
          <w:tcPr>
            <w:tcW w:w="380" w:type="dxa"/>
            <w:vAlign w:val="bottom"/>
            <w:shd w:val="clear" w:color="auto" w:fill="CCEEFF"/>
          </w:tcPr>
          <w:p>
            <w:pPr>
              <w:ind w:left="60"/>
              <w:spacing w:after="0"/>
              <w:rPr>
                <w:sz w:val="20"/>
                <w:szCs w:val="20"/>
                <w:color w:val="auto"/>
              </w:rPr>
            </w:pPr>
            <w:r>
              <w:rPr>
                <w:rFonts w:ascii="Arial" w:cs="Arial" w:eastAsia="Arial" w:hAnsi="Arial"/>
                <w:sz w:val="18"/>
                <w:szCs w:val="18"/>
                <w:color w:val="auto"/>
                <w:w w:val="85"/>
              </w:rPr>
              <w:t>1.95</w:t>
            </w:r>
          </w:p>
        </w:tc>
        <w:tc>
          <w:tcPr>
            <w:tcW w:w="300" w:type="dxa"/>
            <w:vAlign w:val="bottom"/>
            <w:shd w:val="clear" w:color="auto" w:fill="CCEEFF"/>
          </w:tcPr>
          <w:p>
            <w:pPr>
              <w:spacing w:after="0"/>
              <w:rPr>
                <w:sz w:val="18"/>
                <w:szCs w:val="18"/>
                <w:color w:val="auto"/>
              </w:rPr>
            </w:pPr>
          </w:p>
        </w:tc>
        <w:tc>
          <w:tcPr>
            <w:tcW w:w="400" w:type="dxa"/>
            <w:vAlign w:val="bottom"/>
            <w:shd w:val="clear" w:color="auto" w:fill="CCEEFF"/>
          </w:tcPr>
          <w:p>
            <w:pPr>
              <w:ind w:left="80"/>
              <w:spacing w:after="0"/>
              <w:rPr>
                <w:sz w:val="20"/>
                <w:szCs w:val="20"/>
                <w:color w:val="auto"/>
              </w:rPr>
            </w:pPr>
            <w:r>
              <w:rPr>
                <w:rFonts w:ascii="Arial" w:cs="Arial" w:eastAsia="Arial" w:hAnsi="Arial"/>
                <w:sz w:val="18"/>
                <w:szCs w:val="18"/>
                <w:color w:val="auto"/>
                <w:w w:val="85"/>
              </w:rPr>
              <w:t>1.23</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40" w:type="dxa"/>
            <w:vAlign w:val="bottom"/>
            <w:gridSpan w:val="4"/>
          </w:tcPr>
          <w:p>
            <w:pPr>
              <w:spacing w:after="0"/>
              <w:rPr>
                <w:sz w:val="20"/>
                <w:szCs w:val="20"/>
                <w:color w:val="auto"/>
              </w:rPr>
            </w:pPr>
            <w:r>
              <w:rPr>
                <w:rFonts w:ascii="Arial" w:cs="Arial" w:eastAsia="Arial" w:hAnsi="Arial"/>
                <w:sz w:val="18"/>
                <w:szCs w:val="18"/>
                <w:color w:val="auto"/>
              </w:rPr>
              <w:t>Third Quarter</w:t>
            </w:r>
          </w:p>
        </w:tc>
        <w:tc>
          <w:tcPr>
            <w:tcW w:w="380" w:type="dxa"/>
            <w:vAlign w:val="bottom"/>
          </w:tcPr>
          <w:p>
            <w:pPr>
              <w:ind w:left="60"/>
              <w:spacing w:after="0"/>
              <w:rPr>
                <w:sz w:val="20"/>
                <w:szCs w:val="20"/>
                <w:color w:val="auto"/>
              </w:rPr>
            </w:pPr>
            <w:r>
              <w:rPr>
                <w:rFonts w:ascii="Arial" w:cs="Arial" w:eastAsia="Arial" w:hAnsi="Arial"/>
                <w:sz w:val="18"/>
                <w:szCs w:val="18"/>
                <w:color w:val="auto"/>
                <w:w w:val="85"/>
              </w:rPr>
              <w:t>1.89</w:t>
            </w:r>
          </w:p>
        </w:tc>
        <w:tc>
          <w:tcPr>
            <w:tcW w:w="300" w:type="dxa"/>
            <w:vAlign w:val="bottom"/>
          </w:tcPr>
          <w:p>
            <w:pPr>
              <w:spacing w:after="0"/>
              <w:rPr>
                <w:sz w:val="18"/>
                <w:szCs w:val="18"/>
                <w:color w:val="auto"/>
              </w:rPr>
            </w:pPr>
          </w:p>
        </w:tc>
        <w:tc>
          <w:tcPr>
            <w:tcW w:w="400" w:type="dxa"/>
            <w:vAlign w:val="bottom"/>
          </w:tcPr>
          <w:p>
            <w:pPr>
              <w:ind w:left="80"/>
              <w:spacing w:after="0"/>
              <w:rPr>
                <w:sz w:val="20"/>
                <w:szCs w:val="20"/>
                <w:color w:val="auto"/>
              </w:rPr>
            </w:pPr>
            <w:r>
              <w:rPr>
                <w:rFonts w:ascii="Arial" w:cs="Arial" w:eastAsia="Arial" w:hAnsi="Arial"/>
                <w:sz w:val="18"/>
                <w:szCs w:val="18"/>
                <w:color w:val="auto"/>
                <w:w w:val="85"/>
              </w:rPr>
              <w:t>1.35</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4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Fourth Quarter</w:t>
            </w:r>
          </w:p>
        </w:tc>
        <w:tc>
          <w:tcPr>
            <w:tcW w:w="380" w:type="dxa"/>
            <w:vAlign w:val="bottom"/>
            <w:shd w:val="clear" w:color="auto" w:fill="CCEEFF"/>
          </w:tcPr>
          <w:p>
            <w:pPr>
              <w:ind w:left="60"/>
              <w:spacing w:after="0"/>
              <w:rPr>
                <w:sz w:val="20"/>
                <w:szCs w:val="20"/>
                <w:color w:val="auto"/>
              </w:rPr>
            </w:pPr>
            <w:r>
              <w:rPr>
                <w:rFonts w:ascii="Arial" w:cs="Arial" w:eastAsia="Arial" w:hAnsi="Arial"/>
                <w:sz w:val="18"/>
                <w:szCs w:val="18"/>
                <w:color w:val="auto"/>
                <w:w w:val="85"/>
              </w:rPr>
              <w:t>2.46</w:t>
            </w:r>
          </w:p>
        </w:tc>
        <w:tc>
          <w:tcPr>
            <w:tcW w:w="300" w:type="dxa"/>
            <w:vAlign w:val="bottom"/>
            <w:shd w:val="clear" w:color="auto" w:fill="CCEEFF"/>
          </w:tcPr>
          <w:p>
            <w:pPr>
              <w:spacing w:after="0"/>
              <w:rPr>
                <w:sz w:val="18"/>
                <w:szCs w:val="18"/>
                <w:color w:val="auto"/>
              </w:rPr>
            </w:pPr>
          </w:p>
        </w:tc>
        <w:tc>
          <w:tcPr>
            <w:tcW w:w="400" w:type="dxa"/>
            <w:vAlign w:val="bottom"/>
            <w:shd w:val="clear" w:color="auto" w:fill="CCEEFF"/>
          </w:tcPr>
          <w:p>
            <w:pPr>
              <w:ind w:left="80"/>
              <w:spacing w:after="0"/>
              <w:rPr>
                <w:sz w:val="20"/>
                <w:szCs w:val="20"/>
                <w:color w:val="auto"/>
              </w:rPr>
            </w:pPr>
            <w:r>
              <w:rPr>
                <w:rFonts w:ascii="Arial" w:cs="Arial" w:eastAsia="Arial" w:hAnsi="Arial"/>
                <w:sz w:val="18"/>
                <w:szCs w:val="18"/>
                <w:color w:val="auto"/>
                <w:w w:val="85"/>
              </w:rPr>
              <w:t>1.42</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84"/>
        </w:trPr>
        <w:tc>
          <w:tcPr>
            <w:tcW w:w="7260" w:type="dxa"/>
            <w:vAlign w:val="bottom"/>
            <w:gridSpan w:val="5"/>
          </w:tcPr>
          <w:p>
            <w:pPr>
              <w:spacing w:after="0"/>
              <w:rPr>
                <w:sz w:val="20"/>
                <w:szCs w:val="20"/>
                <w:color w:val="auto"/>
              </w:rPr>
            </w:pPr>
            <w:r>
              <w:rPr>
                <w:rFonts w:ascii="Arial" w:cs="Arial" w:eastAsia="Arial" w:hAnsi="Arial"/>
                <w:sz w:val="18"/>
                <w:szCs w:val="18"/>
                <w:b w:val="1"/>
                <w:bCs w:val="1"/>
                <w:color w:val="auto"/>
              </w:rPr>
              <w:t>Fiscal Year Ended June 30, 2017:</w:t>
            </w:r>
          </w:p>
        </w:tc>
        <w:tc>
          <w:tcPr>
            <w:tcW w:w="3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
        </w:trPr>
        <w:tc>
          <w:tcPr>
            <w:tcW w:w="20" w:type="dxa"/>
            <w:vAlign w:val="bottom"/>
            <w:tcBorders>
              <w:top w:val="single" w:sz="8" w:color="auto"/>
            </w:tcBorders>
            <w:vMerge w:val="restart"/>
          </w:tcPr>
          <w:p>
            <w:pPr>
              <w:spacing w:after="0" w:line="20" w:lineRule="exact"/>
              <w:rPr>
                <w:sz w:val="1"/>
                <w:szCs w:val="1"/>
                <w:color w:val="auto"/>
              </w:rPr>
            </w:pPr>
          </w:p>
        </w:tc>
        <w:tc>
          <w:tcPr>
            <w:tcW w:w="1120" w:type="dxa"/>
            <w:vAlign w:val="bottom"/>
            <w:tcBorders>
              <w:top w:val="single" w:sz="8" w:color="auto"/>
            </w:tcBorders>
          </w:tcPr>
          <w:p>
            <w:pPr>
              <w:spacing w:after="0" w:line="20" w:lineRule="exact"/>
              <w:rPr>
                <w:sz w:val="1"/>
                <w:szCs w:val="1"/>
                <w:color w:val="auto"/>
              </w:rPr>
            </w:pPr>
          </w:p>
        </w:tc>
        <w:tc>
          <w:tcPr>
            <w:tcW w:w="940" w:type="dxa"/>
            <w:vAlign w:val="bottom"/>
            <w:tcBorders>
              <w:top w:val="single" w:sz="8" w:color="auto"/>
            </w:tcBorders>
          </w:tcPr>
          <w:p>
            <w:pPr>
              <w:spacing w:after="0" w:line="20" w:lineRule="exact"/>
              <w:rPr>
                <w:sz w:val="1"/>
                <w:szCs w:val="1"/>
                <w:color w:val="auto"/>
              </w:rPr>
            </w:pPr>
          </w:p>
        </w:tc>
        <w:tc>
          <w:tcPr>
            <w:tcW w:w="480" w:type="dxa"/>
            <w:vAlign w:val="bottom"/>
            <w:tcBorders>
              <w:top w:val="single" w:sz="8" w:color="auto"/>
            </w:tcBorders>
          </w:tcPr>
          <w:p>
            <w:pPr>
              <w:spacing w:after="0" w:line="20" w:lineRule="exact"/>
              <w:rPr>
                <w:sz w:val="1"/>
                <w:szCs w:val="1"/>
                <w:color w:val="auto"/>
              </w:rPr>
            </w:pPr>
          </w:p>
        </w:tc>
        <w:tc>
          <w:tcPr>
            <w:tcW w:w="47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724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First Quarter</w:t>
            </w:r>
          </w:p>
        </w:tc>
        <w:tc>
          <w:tcPr>
            <w:tcW w:w="380" w:type="dxa"/>
            <w:vAlign w:val="bottom"/>
            <w:shd w:val="clear" w:color="auto" w:fill="CCEEFF"/>
          </w:tcPr>
          <w:p>
            <w:pPr>
              <w:ind w:left="60"/>
              <w:spacing w:after="0"/>
              <w:rPr>
                <w:sz w:val="20"/>
                <w:szCs w:val="20"/>
                <w:color w:val="auto"/>
              </w:rPr>
            </w:pPr>
            <w:r>
              <w:rPr>
                <w:rFonts w:ascii="Arial" w:cs="Arial" w:eastAsia="Arial" w:hAnsi="Arial"/>
                <w:sz w:val="18"/>
                <w:szCs w:val="18"/>
                <w:color w:val="auto"/>
                <w:w w:val="85"/>
              </w:rPr>
              <w:t>1.95</w:t>
            </w:r>
          </w:p>
        </w:tc>
        <w:tc>
          <w:tcPr>
            <w:tcW w:w="300" w:type="dxa"/>
            <w:vAlign w:val="bottom"/>
            <w:shd w:val="clear" w:color="auto" w:fill="CCEEFF"/>
          </w:tcPr>
          <w:p>
            <w:pPr>
              <w:spacing w:after="0"/>
              <w:rPr>
                <w:sz w:val="18"/>
                <w:szCs w:val="18"/>
                <w:color w:val="auto"/>
              </w:rPr>
            </w:pPr>
          </w:p>
        </w:tc>
        <w:tc>
          <w:tcPr>
            <w:tcW w:w="400" w:type="dxa"/>
            <w:vAlign w:val="bottom"/>
            <w:shd w:val="clear" w:color="auto" w:fill="CCEEFF"/>
          </w:tcPr>
          <w:p>
            <w:pPr>
              <w:ind w:left="80"/>
              <w:spacing w:after="0"/>
              <w:rPr>
                <w:sz w:val="20"/>
                <w:szCs w:val="20"/>
                <w:color w:val="auto"/>
              </w:rPr>
            </w:pPr>
            <w:r>
              <w:rPr>
                <w:rFonts w:ascii="Arial" w:cs="Arial" w:eastAsia="Arial" w:hAnsi="Arial"/>
                <w:sz w:val="18"/>
                <w:szCs w:val="18"/>
                <w:color w:val="auto"/>
                <w:w w:val="85"/>
              </w:rPr>
              <w:t>1.35</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40" w:type="dxa"/>
            <w:vAlign w:val="bottom"/>
            <w:gridSpan w:val="4"/>
          </w:tcPr>
          <w:p>
            <w:pPr>
              <w:spacing w:after="0"/>
              <w:rPr>
                <w:sz w:val="20"/>
                <w:szCs w:val="20"/>
                <w:color w:val="auto"/>
              </w:rPr>
            </w:pPr>
            <w:r>
              <w:rPr>
                <w:rFonts w:ascii="Arial" w:cs="Arial" w:eastAsia="Arial" w:hAnsi="Arial"/>
                <w:sz w:val="18"/>
                <w:szCs w:val="18"/>
                <w:color w:val="auto"/>
              </w:rPr>
              <w:t>Second Quarter</w:t>
            </w:r>
          </w:p>
        </w:tc>
        <w:tc>
          <w:tcPr>
            <w:tcW w:w="380" w:type="dxa"/>
            <w:vAlign w:val="bottom"/>
          </w:tcPr>
          <w:p>
            <w:pPr>
              <w:ind w:left="60"/>
              <w:spacing w:after="0"/>
              <w:rPr>
                <w:sz w:val="20"/>
                <w:szCs w:val="20"/>
                <w:color w:val="auto"/>
              </w:rPr>
            </w:pPr>
            <w:r>
              <w:rPr>
                <w:rFonts w:ascii="Arial" w:cs="Arial" w:eastAsia="Arial" w:hAnsi="Arial"/>
                <w:sz w:val="18"/>
                <w:szCs w:val="18"/>
                <w:color w:val="auto"/>
                <w:w w:val="85"/>
              </w:rPr>
              <w:t>2.24</w:t>
            </w:r>
          </w:p>
        </w:tc>
        <w:tc>
          <w:tcPr>
            <w:tcW w:w="300" w:type="dxa"/>
            <w:vAlign w:val="bottom"/>
          </w:tcPr>
          <w:p>
            <w:pPr>
              <w:spacing w:after="0"/>
              <w:rPr>
                <w:sz w:val="18"/>
                <w:szCs w:val="18"/>
                <w:color w:val="auto"/>
              </w:rPr>
            </w:pPr>
          </w:p>
        </w:tc>
        <w:tc>
          <w:tcPr>
            <w:tcW w:w="400" w:type="dxa"/>
            <w:vAlign w:val="bottom"/>
          </w:tcPr>
          <w:p>
            <w:pPr>
              <w:ind w:left="80"/>
              <w:spacing w:after="0"/>
              <w:rPr>
                <w:sz w:val="20"/>
                <w:szCs w:val="20"/>
                <w:color w:val="auto"/>
              </w:rPr>
            </w:pPr>
            <w:r>
              <w:rPr>
                <w:rFonts w:ascii="Arial" w:cs="Arial" w:eastAsia="Arial" w:hAnsi="Arial"/>
                <w:sz w:val="18"/>
                <w:szCs w:val="18"/>
                <w:color w:val="auto"/>
                <w:w w:val="85"/>
              </w:rPr>
              <w:t>1.43</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4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Third Quarter</w:t>
            </w:r>
          </w:p>
        </w:tc>
        <w:tc>
          <w:tcPr>
            <w:tcW w:w="380" w:type="dxa"/>
            <w:vAlign w:val="bottom"/>
            <w:shd w:val="clear" w:color="auto" w:fill="CCEEFF"/>
          </w:tcPr>
          <w:p>
            <w:pPr>
              <w:ind w:left="60"/>
              <w:spacing w:after="0"/>
              <w:rPr>
                <w:sz w:val="20"/>
                <w:szCs w:val="20"/>
                <w:color w:val="auto"/>
              </w:rPr>
            </w:pPr>
            <w:r>
              <w:rPr>
                <w:rFonts w:ascii="Arial" w:cs="Arial" w:eastAsia="Arial" w:hAnsi="Arial"/>
                <w:sz w:val="18"/>
                <w:szCs w:val="18"/>
                <w:color w:val="auto"/>
                <w:w w:val="85"/>
              </w:rPr>
              <w:t>1.86</w:t>
            </w:r>
          </w:p>
        </w:tc>
        <w:tc>
          <w:tcPr>
            <w:tcW w:w="300" w:type="dxa"/>
            <w:vAlign w:val="bottom"/>
            <w:shd w:val="clear" w:color="auto" w:fill="CCEEFF"/>
          </w:tcPr>
          <w:p>
            <w:pPr>
              <w:spacing w:after="0"/>
              <w:rPr>
                <w:sz w:val="18"/>
                <w:szCs w:val="18"/>
                <w:color w:val="auto"/>
              </w:rPr>
            </w:pPr>
          </w:p>
        </w:tc>
        <w:tc>
          <w:tcPr>
            <w:tcW w:w="400" w:type="dxa"/>
            <w:vAlign w:val="bottom"/>
            <w:shd w:val="clear" w:color="auto" w:fill="CCEEFF"/>
          </w:tcPr>
          <w:p>
            <w:pPr>
              <w:ind w:left="80"/>
              <w:spacing w:after="0"/>
              <w:rPr>
                <w:sz w:val="20"/>
                <w:szCs w:val="20"/>
                <w:color w:val="auto"/>
              </w:rPr>
            </w:pPr>
            <w:r>
              <w:rPr>
                <w:rFonts w:ascii="Arial" w:cs="Arial" w:eastAsia="Arial" w:hAnsi="Arial"/>
                <w:sz w:val="18"/>
                <w:szCs w:val="18"/>
                <w:color w:val="auto"/>
                <w:w w:val="85"/>
              </w:rPr>
              <w:t>1.53</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7240" w:type="dxa"/>
            <w:vAlign w:val="bottom"/>
            <w:gridSpan w:val="4"/>
          </w:tcPr>
          <w:p>
            <w:pPr>
              <w:spacing w:after="0"/>
              <w:rPr>
                <w:sz w:val="20"/>
                <w:szCs w:val="20"/>
                <w:color w:val="auto"/>
              </w:rPr>
            </w:pPr>
            <w:r>
              <w:rPr>
                <w:rFonts w:ascii="Arial" w:cs="Arial" w:eastAsia="Arial" w:hAnsi="Arial"/>
                <w:sz w:val="18"/>
                <w:szCs w:val="18"/>
                <w:color w:val="auto"/>
              </w:rPr>
              <w:t>Fourth Quarter</w:t>
            </w:r>
          </w:p>
        </w:tc>
        <w:tc>
          <w:tcPr>
            <w:tcW w:w="380" w:type="dxa"/>
            <w:vAlign w:val="bottom"/>
          </w:tcPr>
          <w:p>
            <w:pPr>
              <w:ind w:left="60"/>
              <w:spacing w:after="0"/>
              <w:rPr>
                <w:sz w:val="20"/>
                <w:szCs w:val="20"/>
                <w:color w:val="auto"/>
              </w:rPr>
            </w:pPr>
            <w:r>
              <w:rPr>
                <w:rFonts w:ascii="Arial" w:cs="Arial" w:eastAsia="Arial" w:hAnsi="Arial"/>
                <w:sz w:val="18"/>
                <w:szCs w:val="18"/>
                <w:color w:val="auto"/>
                <w:w w:val="85"/>
              </w:rPr>
              <w:t>1.71</w:t>
            </w:r>
          </w:p>
        </w:tc>
        <w:tc>
          <w:tcPr>
            <w:tcW w:w="300" w:type="dxa"/>
            <w:vAlign w:val="bottom"/>
          </w:tcPr>
          <w:p>
            <w:pPr>
              <w:spacing w:after="0"/>
              <w:rPr>
                <w:sz w:val="20"/>
                <w:szCs w:val="20"/>
                <w:color w:val="auto"/>
              </w:rPr>
            </w:pPr>
          </w:p>
        </w:tc>
        <w:tc>
          <w:tcPr>
            <w:tcW w:w="400" w:type="dxa"/>
            <w:vAlign w:val="bottom"/>
          </w:tcPr>
          <w:p>
            <w:pPr>
              <w:ind w:left="80"/>
              <w:spacing w:after="0"/>
              <w:rPr>
                <w:sz w:val="20"/>
                <w:szCs w:val="20"/>
                <w:color w:val="auto"/>
              </w:rPr>
            </w:pPr>
            <w:r>
              <w:rPr>
                <w:rFonts w:ascii="Arial" w:cs="Arial" w:eastAsia="Arial" w:hAnsi="Arial"/>
                <w:sz w:val="18"/>
                <w:szCs w:val="18"/>
                <w:color w:val="auto"/>
                <w:w w:val="85"/>
              </w:rPr>
              <w:t>1.15</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94"/>
        </w:trPr>
        <w:tc>
          <w:tcPr>
            <w:tcW w:w="20" w:type="dxa"/>
            <w:vAlign w:val="bottom"/>
            <w:vMerge w:val="restart"/>
          </w:tcPr>
          <w:p>
            <w:pPr>
              <w:spacing w:after="0"/>
              <w:rPr>
                <w:sz w:val="8"/>
                <w:szCs w:val="8"/>
                <w:color w:val="auto"/>
              </w:rPr>
            </w:pPr>
          </w:p>
        </w:tc>
        <w:tc>
          <w:tcPr>
            <w:tcW w:w="1120" w:type="dxa"/>
            <w:vAlign w:val="bottom"/>
          </w:tcPr>
          <w:p>
            <w:pPr>
              <w:spacing w:after="0"/>
              <w:rPr>
                <w:sz w:val="8"/>
                <w:szCs w:val="8"/>
                <w:color w:val="auto"/>
              </w:rPr>
            </w:pPr>
          </w:p>
        </w:tc>
        <w:tc>
          <w:tcPr>
            <w:tcW w:w="940" w:type="dxa"/>
            <w:vAlign w:val="bottom"/>
          </w:tcPr>
          <w:p>
            <w:pPr>
              <w:spacing w:after="0"/>
              <w:rPr>
                <w:sz w:val="8"/>
                <w:szCs w:val="8"/>
                <w:color w:val="auto"/>
              </w:rPr>
            </w:pPr>
          </w:p>
        </w:tc>
        <w:tc>
          <w:tcPr>
            <w:tcW w:w="480" w:type="dxa"/>
            <w:vAlign w:val="bottom"/>
          </w:tcPr>
          <w:p>
            <w:pPr>
              <w:spacing w:after="0"/>
              <w:rPr>
                <w:sz w:val="8"/>
                <w:szCs w:val="8"/>
                <w:color w:val="auto"/>
              </w:rPr>
            </w:pPr>
          </w:p>
        </w:tc>
        <w:tc>
          <w:tcPr>
            <w:tcW w:w="4700" w:type="dxa"/>
            <w:vAlign w:val="bottom"/>
          </w:tcPr>
          <w:p>
            <w:pPr>
              <w:spacing w:after="0"/>
              <w:rPr>
                <w:sz w:val="8"/>
                <w:szCs w:val="8"/>
                <w:color w:val="auto"/>
              </w:rPr>
            </w:pPr>
          </w:p>
        </w:tc>
        <w:tc>
          <w:tcPr>
            <w:tcW w:w="380" w:type="dxa"/>
            <w:vAlign w:val="bottom"/>
          </w:tcPr>
          <w:p>
            <w:pPr>
              <w:spacing w:after="0"/>
              <w:rPr>
                <w:sz w:val="8"/>
                <w:szCs w:val="8"/>
                <w:color w:val="auto"/>
              </w:rPr>
            </w:pPr>
          </w:p>
        </w:tc>
        <w:tc>
          <w:tcPr>
            <w:tcW w:w="300" w:type="dxa"/>
            <w:vAlign w:val="bottom"/>
          </w:tcPr>
          <w:p>
            <w:pPr>
              <w:spacing w:after="0"/>
              <w:rPr>
                <w:sz w:val="8"/>
                <w:szCs w:val="8"/>
                <w:color w:val="auto"/>
              </w:rPr>
            </w:pPr>
          </w:p>
        </w:tc>
        <w:tc>
          <w:tcPr>
            <w:tcW w:w="400" w:type="dxa"/>
            <w:vAlign w:val="bottom"/>
          </w:tcPr>
          <w:p>
            <w:pPr>
              <w:spacing w:after="0"/>
              <w:rPr>
                <w:sz w:val="8"/>
                <w:szCs w:val="8"/>
                <w:color w:val="auto"/>
              </w:rPr>
            </w:pP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96"/>
        </w:trPr>
        <w:tc>
          <w:tcPr>
            <w:tcW w:w="20" w:type="dxa"/>
            <w:vAlign w:val="bottom"/>
            <w:tcBorders>
              <w:bottom w:val="single" w:sz="8" w:color="auto"/>
            </w:tcBorders>
            <w:vMerge w:val="continue"/>
          </w:tcPr>
          <w:p>
            <w:pPr>
              <w:spacing w:after="0"/>
              <w:rPr>
                <w:sz w:val="17"/>
                <w:szCs w:val="17"/>
                <w:color w:val="auto"/>
              </w:rPr>
            </w:pPr>
          </w:p>
        </w:tc>
        <w:tc>
          <w:tcPr>
            <w:tcW w:w="2540" w:type="dxa"/>
            <w:vAlign w:val="bottom"/>
            <w:tcBorders>
              <w:bottom w:val="single" w:sz="8" w:color="auto"/>
            </w:tcBorders>
            <w:gridSpan w:val="3"/>
            <w:shd w:val="clear" w:color="auto" w:fill="CCEEFF"/>
          </w:tcPr>
          <w:p>
            <w:pPr>
              <w:spacing w:after="0" w:line="176" w:lineRule="exact"/>
              <w:rPr>
                <w:sz w:val="20"/>
                <w:szCs w:val="20"/>
                <w:color w:val="auto"/>
              </w:rPr>
            </w:pPr>
            <w:r>
              <w:rPr>
                <w:rFonts w:ascii="Arial" w:cs="Arial" w:eastAsia="Arial" w:hAnsi="Arial"/>
                <w:sz w:val="18"/>
                <w:szCs w:val="18"/>
                <w:b w:val="1"/>
                <w:bCs w:val="1"/>
                <w:color w:val="auto"/>
                <w:w w:val="88"/>
              </w:rPr>
              <w:t>Fiscal Year Ended June 30, 2018:</w:t>
            </w:r>
          </w:p>
        </w:tc>
        <w:tc>
          <w:tcPr>
            <w:tcW w:w="4700" w:type="dxa"/>
            <w:vAlign w:val="bottom"/>
            <w:tcBorders>
              <w:bottom w:val="single" w:sz="8" w:color="CCEEFF"/>
            </w:tcBorders>
            <w:shd w:val="clear" w:color="auto" w:fill="CCEEFF"/>
          </w:tcPr>
          <w:p>
            <w:pPr>
              <w:spacing w:after="0"/>
              <w:rPr>
                <w:sz w:val="17"/>
                <w:szCs w:val="17"/>
                <w:color w:val="auto"/>
              </w:rPr>
            </w:pPr>
          </w:p>
        </w:tc>
        <w:tc>
          <w:tcPr>
            <w:tcW w:w="380" w:type="dxa"/>
            <w:vAlign w:val="bottom"/>
            <w:tcBorders>
              <w:bottom w:val="single" w:sz="8" w:color="CCEEFF"/>
            </w:tcBorders>
            <w:shd w:val="clear" w:color="auto" w:fill="CCEEFF"/>
          </w:tcPr>
          <w:p>
            <w:pPr>
              <w:spacing w:after="0"/>
              <w:rPr>
                <w:sz w:val="17"/>
                <w:szCs w:val="17"/>
                <w:color w:val="auto"/>
              </w:rPr>
            </w:pPr>
          </w:p>
        </w:tc>
        <w:tc>
          <w:tcPr>
            <w:tcW w:w="300" w:type="dxa"/>
            <w:vAlign w:val="bottom"/>
            <w:tcBorders>
              <w:bottom w:val="single" w:sz="8" w:color="CCEEFF"/>
            </w:tcBorders>
            <w:shd w:val="clear" w:color="auto" w:fill="CCEEFF"/>
          </w:tcPr>
          <w:p>
            <w:pPr>
              <w:spacing w:after="0"/>
              <w:rPr>
                <w:sz w:val="17"/>
                <w:szCs w:val="17"/>
                <w:color w:val="auto"/>
              </w:rPr>
            </w:pPr>
          </w:p>
        </w:tc>
        <w:tc>
          <w:tcPr>
            <w:tcW w:w="400" w:type="dxa"/>
            <w:vAlign w:val="bottom"/>
            <w:tcBorders>
              <w:bottom w:val="single" w:sz="8" w:color="CCEEFF"/>
            </w:tcBorders>
            <w:shd w:val="clear" w:color="auto" w:fill="CCEEFF"/>
          </w:tcPr>
          <w:p>
            <w:pPr>
              <w:spacing w:after="0"/>
              <w:rPr>
                <w:sz w:val="17"/>
                <w:szCs w:val="17"/>
                <w:color w:val="auto"/>
              </w:rPr>
            </w:pPr>
          </w:p>
        </w:tc>
        <w:tc>
          <w:tcPr>
            <w:tcW w:w="4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40" w:type="dxa"/>
            <w:vAlign w:val="bottom"/>
            <w:gridSpan w:val="4"/>
          </w:tcPr>
          <w:p>
            <w:pPr>
              <w:spacing w:after="0"/>
              <w:rPr>
                <w:sz w:val="20"/>
                <w:szCs w:val="20"/>
                <w:color w:val="auto"/>
              </w:rPr>
            </w:pPr>
            <w:r>
              <w:rPr>
                <w:rFonts w:ascii="Arial" w:cs="Arial" w:eastAsia="Arial" w:hAnsi="Arial"/>
                <w:sz w:val="18"/>
                <w:szCs w:val="18"/>
                <w:color w:val="auto"/>
              </w:rPr>
              <w:t>First Quarter</w:t>
            </w:r>
          </w:p>
        </w:tc>
        <w:tc>
          <w:tcPr>
            <w:tcW w:w="380" w:type="dxa"/>
            <w:vAlign w:val="bottom"/>
          </w:tcPr>
          <w:p>
            <w:pPr>
              <w:ind w:left="60"/>
              <w:spacing w:after="0"/>
              <w:rPr>
                <w:sz w:val="20"/>
                <w:szCs w:val="20"/>
                <w:color w:val="auto"/>
              </w:rPr>
            </w:pPr>
            <w:r>
              <w:rPr>
                <w:rFonts w:ascii="Arial" w:cs="Arial" w:eastAsia="Arial" w:hAnsi="Arial"/>
                <w:sz w:val="18"/>
                <w:szCs w:val="18"/>
                <w:color w:val="auto"/>
                <w:w w:val="85"/>
              </w:rPr>
              <w:t>1.47</w:t>
            </w:r>
          </w:p>
        </w:tc>
        <w:tc>
          <w:tcPr>
            <w:tcW w:w="300" w:type="dxa"/>
            <w:vAlign w:val="bottom"/>
          </w:tcPr>
          <w:p>
            <w:pPr>
              <w:spacing w:after="0"/>
              <w:rPr>
                <w:sz w:val="18"/>
                <w:szCs w:val="18"/>
                <w:color w:val="auto"/>
              </w:rPr>
            </w:pPr>
          </w:p>
        </w:tc>
        <w:tc>
          <w:tcPr>
            <w:tcW w:w="400" w:type="dxa"/>
            <w:vAlign w:val="bottom"/>
          </w:tcPr>
          <w:p>
            <w:pPr>
              <w:ind w:left="80"/>
              <w:spacing w:after="0"/>
              <w:rPr>
                <w:sz w:val="20"/>
                <w:szCs w:val="20"/>
                <w:color w:val="auto"/>
              </w:rPr>
            </w:pPr>
            <w:r>
              <w:rPr>
                <w:rFonts w:ascii="Arial" w:cs="Arial" w:eastAsia="Arial" w:hAnsi="Arial"/>
                <w:sz w:val="18"/>
                <w:szCs w:val="18"/>
                <w:color w:val="auto"/>
                <w:w w:val="85"/>
              </w:rPr>
              <w:t>0.79</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4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Second Quarter</w:t>
            </w:r>
          </w:p>
        </w:tc>
        <w:tc>
          <w:tcPr>
            <w:tcW w:w="380" w:type="dxa"/>
            <w:vAlign w:val="bottom"/>
            <w:shd w:val="clear" w:color="auto" w:fill="CCEEFF"/>
          </w:tcPr>
          <w:p>
            <w:pPr>
              <w:ind w:left="60"/>
              <w:spacing w:after="0"/>
              <w:rPr>
                <w:sz w:val="20"/>
                <w:szCs w:val="20"/>
                <w:color w:val="auto"/>
              </w:rPr>
            </w:pPr>
            <w:r>
              <w:rPr>
                <w:rFonts w:ascii="Arial" w:cs="Arial" w:eastAsia="Arial" w:hAnsi="Arial"/>
                <w:sz w:val="18"/>
                <w:szCs w:val="18"/>
                <w:color w:val="auto"/>
                <w:w w:val="85"/>
              </w:rPr>
              <w:t>1.43</w:t>
            </w:r>
          </w:p>
        </w:tc>
        <w:tc>
          <w:tcPr>
            <w:tcW w:w="300" w:type="dxa"/>
            <w:vAlign w:val="bottom"/>
            <w:shd w:val="clear" w:color="auto" w:fill="CCEEFF"/>
          </w:tcPr>
          <w:p>
            <w:pPr>
              <w:spacing w:after="0"/>
              <w:rPr>
                <w:sz w:val="18"/>
                <w:szCs w:val="18"/>
                <w:color w:val="auto"/>
              </w:rPr>
            </w:pPr>
          </w:p>
        </w:tc>
        <w:tc>
          <w:tcPr>
            <w:tcW w:w="400" w:type="dxa"/>
            <w:vAlign w:val="bottom"/>
            <w:shd w:val="clear" w:color="auto" w:fill="CCEEFF"/>
          </w:tcPr>
          <w:p>
            <w:pPr>
              <w:ind w:left="80"/>
              <w:spacing w:after="0"/>
              <w:rPr>
                <w:sz w:val="20"/>
                <w:szCs w:val="20"/>
                <w:color w:val="auto"/>
              </w:rPr>
            </w:pPr>
            <w:r>
              <w:rPr>
                <w:rFonts w:ascii="Arial" w:cs="Arial" w:eastAsia="Arial" w:hAnsi="Arial"/>
                <w:sz w:val="18"/>
                <w:szCs w:val="18"/>
                <w:color w:val="auto"/>
                <w:w w:val="85"/>
              </w:rPr>
              <w:t>0.75</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40" w:type="dxa"/>
            <w:vAlign w:val="bottom"/>
            <w:gridSpan w:val="4"/>
          </w:tcPr>
          <w:p>
            <w:pPr>
              <w:spacing w:after="0"/>
              <w:rPr>
                <w:sz w:val="20"/>
                <w:szCs w:val="20"/>
                <w:color w:val="auto"/>
              </w:rPr>
            </w:pPr>
            <w:r>
              <w:rPr>
                <w:rFonts w:ascii="Arial" w:cs="Arial" w:eastAsia="Arial" w:hAnsi="Arial"/>
                <w:sz w:val="18"/>
                <w:szCs w:val="18"/>
                <w:color w:val="auto"/>
              </w:rPr>
              <w:t>Third Quarter</w:t>
            </w:r>
          </w:p>
        </w:tc>
        <w:tc>
          <w:tcPr>
            <w:tcW w:w="380" w:type="dxa"/>
            <w:vAlign w:val="bottom"/>
          </w:tcPr>
          <w:p>
            <w:pPr>
              <w:ind w:left="60"/>
              <w:spacing w:after="0"/>
              <w:rPr>
                <w:sz w:val="20"/>
                <w:szCs w:val="20"/>
                <w:color w:val="auto"/>
              </w:rPr>
            </w:pPr>
            <w:r>
              <w:rPr>
                <w:rFonts w:ascii="Arial" w:cs="Arial" w:eastAsia="Arial" w:hAnsi="Arial"/>
                <w:sz w:val="18"/>
                <w:szCs w:val="18"/>
                <w:color w:val="auto"/>
                <w:w w:val="85"/>
              </w:rPr>
              <w:t>1.25</w:t>
            </w:r>
          </w:p>
        </w:tc>
        <w:tc>
          <w:tcPr>
            <w:tcW w:w="300" w:type="dxa"/>
            <w:vAlign w:val="bottom"/>
          </w:tcPr>
          <w:p>
            <w:pPr>
              <w:spacing w:after="0"/>
              <w:rPr>
                <w:sz w:val="18"/>
                <w:szCs w:val="18"/>
                <w:color w:val="auto"/>
              </w:rPr>
            </w:pPr>
          </w:p>
        </w:tc>
        <w:tc>
          <w:tcPr>
            <w:tcW w:w="400" w:type="dxa"/>
            <w:vAlign w:val="bottom"/>
          </w:tcPr>
          <w:p>
            <w:pPr>
              <w:ind w:left="80"/>
              <w:spacing w:after="0"/>
              <w:rPr>
                <w:sz w:val="20"/>
                <w:szCs w:val="20"/>
                <w:color w:val="auto"/>
              </w:rPr>
            </w:pPr>
            <w:r>
              <w:rPr>
                <w:rFonts w:ascii="Arial" w:cs="Arial" w:eastAsia="Arial" w:hAnsi="Arial"/>
                <w:sz w:val="18"/>
                <w:szCs w:val="18"/>
                <w:color w:val="auto"/>
                <w:w w:val="85"/>
              </w:rPr>
              <w:t>0.88</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4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Fourth Quarter</w:t>
            </w:r>
          </w:p>
        </w:tc>
        <w:tc>
          <w:tcPr>
            <w:tcW w:w="380" w:type="dxa"/>
            <w:vAlign w:val="bottom"/>
            <w:shd w:val="clear" w:color="auto" w:fill="CCEEFF"/>
          </w:tcPr>
          <w:p>
            <w:pPr>
              <w:ind w:left="60"/>
              <w:spacing w:after="0"/>
              <w:rPr>
                <w:sz w:val="20"/>
                <w:szCs w:val="20"/>
                <w:color w:val="auto"/>
              </w:rPr>
            </w:pPr>
            <w:r>
              <w:rPr>
                <w:rFonts w:ascii="Arial" w:cs="Arial" w:eastAsia="Arial" w:hAnsi="Arial"/>
                <w:sz w:val="18"/>
                <w:szCs w:val="18"/>
                <w:color w:val="auto"/>
                <w:w w:val="85"/>
              </w:rPr>
              <w:t>1.09</w:t>
            </w:r>
          </w:p>
        </w:tc>
        <w:tc>
          <w:tcPr>
            <w:tcW w:w="300" w:type="dxa"/>
            <w:vAlign w:val="bottom"/>
            <w:shd w:val="clear" w:color="auto" w:fill="CCEEFF"/>
          </w:tcPr>
          <w:p>
            <w:pPr>
              <w:spacing w:after="0"/>
              <w:rPr>
                <w:sz w:val="18"/>
                <w:szCs w:val="18"/>
                <w:color w:val="auto"/>
              </w:rPr>
            </w:pPr>
          </w:p>
        </w:tc>
        <w:tc>
          <w:tcPr>
            <w:tcW w:w="400" w:type="dxa"/>
            <w:vAlign w:val="bottom"/>
            <w:shd w:val="clear" w:color="auto" w:fill="CCEEFF"/>
          </w:tcPr>
          <w:p>
            <w:pPr>
              <w:ind w:left="80"/>
              <w:spacing w:after="0"/>
              <w:rPr>
                <w:sz w:val="20"/>
                <w:szCs w:val="20"/>
                <w:color w:val="auto"/>
              </w:rPr>
            </w:pPr>
            <w:r>
              <w:rPr>
                <w:rFonts w:ascii="Arial" w:cs="Arial" w:eastAsia="Arial" w:hAnsi="Arial"/>
                <w:sz w:val="18"/>
                <w:szCs w:val="18"/>
                <w:color w:val="auto"/>
                <w:w w:val="85"/>
              </w:rPr>
              <w:t>0.77</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84"/>
        </w:trPr>
        <w:tc>
          <w:tcPr>
            <w:tcW w:w="7260" w:type="dxa"/>
            <w:vAlign w:val="bottom"/>
            <w:gridSpan w:val="5"/>
          </w:tcPr>
          <w:p>
            <w:pPr>
              <w:spacing w:after="0"/>
              <w:rPr>
                <w:sz w:val="20"/>
                <w:szCs w:val="20"/>
                <w:color w:val="auto"/>
              </w:rPr>
            </w:pPr>
            <w:r>
              <w:rPr>
                <w:rFonts w:ascii="Arial" w:cs="Arial" w:eastAsia="Arial" w:hAnsi="Arial"/>
                <w:sz w:val="18"/>
                <w:szCs w:val="18"/>
                <w:b w:val="1"/>
                <w:bCs w:val="1"/>
                <w:color w:val="auto"/>
              </w:rPr>
              <w:t>Month Ended:</w:t>
            </w:r>
          </w:p>
        </w:tc>
        <w:tc>
          <w:tcPr>
            <w:tcW w:w="3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
        </w:trPr>
        <w:tc>
          <w:tcPr>
            <w:tcW w:w="20" w:type="dxa"/>
            <w:vAlign w:val="bottom"/>
            <w:tcBorders>
              <w:top w:val="single" w:sz="8" w:color="auto"/>
            </w:tcBorders>
            <w:vMerge w:val="restart"/>
          </w:tcPr>
          <w:p>
            <w:pPr>
              <w:spacing w:after="0" w:line="20" w:lineRule="exact"/>
              <w:rPr>
                <w:sz w:val="1"/>
                <w:szCs w:val="1"/>
                <w:color w:val="auto"/>
              </w:rPr>
            </w:pPr>
          </w:p>
        </w:tc>
        <w:tc>
          <w:tcPr>
            <w:tcW w:w="1120" w:type="dxa"/>
            <w:vAlign w:val="bottom"/>
            <w:tcBorders>
              <w:top w:val="single" w:sz="8" w:color="auto"/>
            </w:tcBorders>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7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724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July 2018</w:t>
            </w:r>
          </w:p>
        </w:tc>
        <w:tc>
          <w:tcPr>
            <w:tcW w:w="380" w:type="dxa"/>
            <w:vAlign w:val="bottom"/>
            <w:shd w:val="clear" w:color="auto" w:fill="CCEEFF"/>
          </w:tcPr>
          <w:p>
            <w:pPr>
              <w:ind w:left="60"/>
              <w:spacing w:after="0"/>
              <w:rPr>
                <w:sz w:val="20"/>
                <w:szCs w:val="20"/>
                <w:color w:val="auto"/>
              </w:rPr>
            </w:pPr>
            <w:r>
              <w:rPr>
                <w:rFonts w:ascii="Arial" w:cs="Arial" w:eastAsia="Arial" w:hAnsi="Arial"/>
                <w:sz w:val="18"/>
                <w:szCs w:val="18"/>
                <w:color w:val="auto"/>
                <w:w w:val="85"/>
              </w:rPr>
              <w:t>1.28</w:t>
            </w:r>
          </w:p>
        </w:tc>
        <w:tc>
          <w:tcPr>
            <w:tcW w:w="300" w:type="dxa"/>
            <w:vAlign w:val="bottom"/>
            <w:shd w:val="clear" w:color="auto" w:fill="CCEEFF"/>
          </w:tcPr>
          <w:p>
            <w:pPr>
              <w:spacing w:after="0"/>
              <w:rPr>
                <w:sz w:val="18"/>
                <w:szCs w:val="18"/>
                <w:color w:val="auto"/>
              </w:rPr>
            </w:pPr>
          </w:p>
        </w:tc>
        <w:tc>
          <w:tcPr>
            <w:tcW w:w="400" w:type="dxa"/>
            <w:vAlign w:val="bottom"/>
            <w:shd w:val="clear" w:color="auto" w:fill="CCEEFF"/>
          </w:tcPr>
          <w:p>
            <w:pPr>
              <w:ind w:left="80"/>
              <w:spacing w:after="0"/>
              <w:rPr>
                <w:sz w:val="20"/>
                <w:szCs w:val="20"/>
                <w:color w:val="auto"/>
              </w:rPr>
            </w:pPr>
            <w:r>
              <w:rPr>
                <w:rFonts w:ascii="Arial" w:cs="Arial" w:eastAsia="Arial" w:hAnsi="Arial"/>
                <w:sz w:val="18"/>
                <w:szCs w:val="18"/>
                <w:color w:val="auto"/>
                <w:w w:val="85"/>
              </w:rPr>
              <w:t>0.92</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40" w:type="dxa"/>
            <w:vAlign w:val="bottom"/>
            <w:gridSpan w:val="4"/>
          </w:tcPr>
          <w:p>
            <w:pPr>
              <w:spacing w:after="0"/>
              <w:rPr>
                <w:sz w:val="20"/>
                <w:szCs w:val="20"/>
                <w:color w:val="auto"/>
              </w:rPr>
            </w:pPr>
            <w:r>
              <w:rPr>
                <w:rFonts w:ascii="Arial" w:cs="Arial" w:eastAsia="Arial" w:hAnsi="Arial"/>
                <w:sz w:val="18"/>
                <w:szCs w:val="18"/>
                <w:color w:val="auto"/>
              </w:rPr>
              <w:t>August 2018</w:t>
            </w:r>
          </w:p>
        </w:tc>
        <w:tc>
          <w:tcPr>
            <w:tcW w:w="380" w:type="dxa"/>
            <w:vAlign w:val="bottom"/>
          </w:tcPr>
          <w:p>
            <w:pPr>
              <w:ind w:left="60"/>
              <w:spacing w:after="0"/>
              <w:rPr>
                <w:sz w:val="20"/>
                <w:szCs w:val="20"/>
                <w:color w:val="auto"/>
              </w:rPr>
            </w:pPr>
            <w:r>
              <w:rPr>
                <w:rFonts w:ascii="Arial" w:cs="Arial" w:eastAsia="Arial" w:hAnsi="Arial"/>
                <w:sz w:val="18"/>
                <w:szCs w:val="18"/>
                <w:color w:val="auto"/>
                <w:w w:val="85"/>
              </w:rPr>
              <w:t>1.65</w:t>
            </w:r>
          </w:p>
        </w:tc>
        <w:tc>
          <w:tcPr>
            <w:tcW w:w="300" w:type="dxa"/>
            <w:vAlign w:val="bottom"/>
          </w:tcPr>
          <w:p>
            <w:pPr>
              <w:spacing w:after="0"/>
              <w:rPr>
                <w:sz w:val="18"/>
                <w:szCs w:val="18"/>
                <w:color w:val="auto"/>
              </w:rPr>
            </w:pPr>
          </w:p>
        </w:tc>
        <w:tc>
          <w:tcPr>
            <w:tcW w:w="400" w:type="dxa"/>
            <w:vAlign w:val="bottom"/>
          </w:tcPr>
          <w:p>
            <w:pPr>
              <w:ind w:left="80"/>
              <w:spacing w:after="0"/>
              <w:rPr>
                <w:sz w:val="20"/>
                <w:szCs w:val="20"/>
                <w:color w:val="auto"/>
              </w:rPr>
            </w:pPr>
            <w:r>
              <w:rPr>
                <w:rFonts w:ascii="Arial" w:cs="Arial" w:eastAsia="Arial" w:hAnsi="Arial"/>
                <w:sz w:val="18"/>
                <w:szCs w:val="18"/>
                <w:color w:val="auto"/>
                <w:w w:val="85"/>
              </w:rPr>
              <w:t>1.21</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4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September 2018</w:t>
            </w:r>
          </w:p>
        </w:tc>
        <w:tc>
          <w:tcPr>
            <w:tcW w:w="380" w:type="dxa"/>
            <w:vAlign w:val="bottom"/>
            <w:shd w:val="clear" w:color="auto" w:fill="CCEEFF"/>
          </w:tcPr>
          <w:p>
            <w:pPr>
              <w:ind w:left="60"/>
              <w:spacing w:after="0"/>
              <w:rPr>
                <w:sz w:val="20"/>
                <w:szCs w:val="20"/>
                <w:color w:val="auto"/>
              </w:rPr>
            </w:pPr>
            <w:r>
              <w:rPr>
                <w:rFonts w:ascii="Arial" w:cs="Arial" w:eastAsia="Arial" w:hAnsi="Arial"/>
                <w:sz w:val="18"/>
                <w:szCs w:val="18"/>
                <w:color w:val="auto"/>
                <w:w w:val="85"/>
              </w:rPr>
              <w:t>2.15</w:t>
            </w:r>
          </w:p>
        </w:tc>
        <w:tc>
          <w:tcPr>
            <w:tcW w:w="300" w:type="dxa"/>
            <w:vAlign w:val="bottom"/>
            <w:shd w:val="clear" w:color="auto" w:fill="CCEEFF"/>
          </w:tcPr>
          <w:p>
            <w:pPr>
              <w:spacing w:after="0"/>
              <w:rPr>
                <w:sz w:val="18"/>
                <w:szCs w:val="18"/>
                <w:color w:val="auto"/>
              </w:rPr>
            </w:pPr>
          </w:p>
        </w:tc>
        <w:tc>
          <w:tcPr>
            <w:tcW w:w="400" w:type="dxa"/>
            <w:vAlign w:val="bottom"/>
            <w:shd w:val="clear" w:color="auto" w:fill="CCEEFF"/>
          </w:tcPr>
          <w:p>
            <w:pPr>
              <w:ind w:left="80"/>
              <w:spacing w:after="0"/>
              <w:rPr>
                <w:sz w:val="20"/>
                <w:szCs w:val="20"/>
                <w:color w:val="auto"/>
              </w:rPr>
            </w:pPr>
            <w:r>
              <w:rPr>
                <w:rFonts w:ascii="Arial" w:cs="Arial" w:eastAsia="Arial" w:hAnsi="Arial"/>
                <w:sz w:val="18"/>
                <w:szCs w:val="18"/>
                <w:color w:val="auto"/>
                <w:w w:val="85"/>
              </w:rPr>
              <w:t>1.20</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40" w:type="dxa"/>
            <w:vAlign w:val="bottom"/>
            <w:gridSpan w:val="4"/>
          </w:tcPr>
          <w:p>
            <w:pPr>
              <w:spacing w:after="0"/>
              <w:rPr>
                <w:sz w:val="20"/>
                <w:szCs w:val="20"/>
                <w:color w:val="auto"/>
              </w:rPr>
            </w:pPr>
            <w:r>
              <w:rPr>
                <w:rFonts w:ascii="Arial" w:cs="Arial" w:eastAsia="Arial" w:hAnsi="Arial"/>
                <w:sz w:val="18"/>
                <w:szCs w:val="18"/>
                <w:color w:val="auto"/>
              </w:rPr>
              <w:t>October 2018</w:t>
            </w:r>
          </w:p>
        </w:tc>
        <w:tc>
          <w:tcPr>
            <w:tcW w:w="380" w:type="dxa"/>
            <w:vAlign w:val="bottom"/>
          </w:tcPr>
          <w:p>
            <w:pPr>
              <w:ind w:left="60"/>
              <w:spacing w:after="0"/>
              <w:rPr>
                <w:sz w:val="20"/>
                <w:szCs w:val="20"/>
                <w:color w:val="auto"/>
              </w:rPr>
            </w:pPr>
            <w:r>
              <w:rPr>
                <w:rFonts w:ascii="Arial" w:cs="Arial" w:eastAsia="Arial" w:hAnsi="Arial"/>
                <w:sz w:val="18"/>
                <w:szCs w:val="18"/>
                <w:color w:val="auto"/>
                <w:w w:val="85"/>
              </w:rPr>
              <w:t>1.92</w:t>
            </w:r>
          </w:p>
        </w:tc>
        <w:tc>
          <w:tcPr>
            <w:tcW w:w="300" w:type="dxa"/>
            <w:vAlign w:val="bottom"/>
          </w:tcPr>
          <w:p>
            <w:pPr>
              <w:spacing w:after="0"/>
              <w:rPr>
                <w:sz w:val="18"/>
                <w:szCs w:val="18"/>
                <w:color w:val="auto"/>
              </w:rPr>
            </w:pPr>
          </w:p>
        </w:tc>
        <w:tc>
          <w:tcPr>
            <w:tcW w:w="400" w:type="dxa"/>
            <w:vAlign w:val="bottom"/>
          </w:tcPr>
          <w:p>
            <w:pPr>
              <w:ind w:left="80"/>
              <w:spacing w:after="0"/>
              <w:rPr>
                <w:sz w:val="20"/>
                <w:szCs w:val="20"/>
                <w:color w:val="auto"/>
              </w:rPr>
            </w:pPr>
            <w:r>
              <w:rPr>
                <w:rFonts w:ascii="Arial" w:cs="Arial" w:eastAsia="Arial" w:hAnsi="Arial"/>
                <w:sz w:val="18"/>
                <w:szCs w:val="18"/>
                <w:color w:val="auto"/>
                <w:w w:val="85"/>
              </w:rPr>
              <w:t>1.31</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4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November 2018</w:t>
            </w:r>
          </w:p>
        </w:tc>
        <w:tc>
          <w:tcPr>
            <w:tcW w:w="380" w:type="dxa"/>
            <w:vAlign w:val="bottom"/>
            <w:shd w:val="clear" w:color="auto" w:fill="CCEEFF"/>
          </w:tcPr>
          <w:p>
            <w:pPr>
              <w:ind w:left="60"/>
              <w:spacing w:after="0"/>
              <w:rPr>
                <w:sz w:val="20"/>
                <w:szCs w:val="20"/>
                <w:color w:val="auto"/>
              </w:rPr>
            </w:pPr>
            <w:r>
              <w:rPr>
                <w:rFonts w:ascii="Arial" w:cs="Arial" w:eastAsia="Arial" w:hAnsi="Arial"/>
                <w:sz w:val="18"/>
                <w:szCs w:val="18"/>
                <w:color w:val="auto"/>
                <w:w w:val="85"/>
              </w:rPr>
              <w:t>1.75</w:t>
            </w:r>
          </w:p>
        </w:tc>
        <w:tc>
          <w:tcPr>
            <w:tcW w:w="300" w:type="dxa"/>
            <w:vAlign w:val="bottom"/>
            <w:shd w:val="clear" w:color="auto" w:fill="CCEEFF"/>
          </w:tcPr>
          <w:p>
            <w:pPr>
              <w:spacing w:after="0"/>
              <w:rPr>
                <w:sz w:val="18"/>
                <w:szCs w:val="18"/>
                <w:color w:val="auto"/>
              </w:rPr>
            </w:pPr>
          </w:p>
        </w:tc>
        <w:tc>
          <w:tcPr>
            <w:tcW w:w="400" w:type="dxa"/>
            <w:vAlign w:val="bottom"/>
            <w:shd w:val="clear" w:color="auto" w:fill="CCEEFF"/>
          </w:tcPr>
          <w:p>
            <w:pPr>
              <w:ind w:left="80"/>
              <w:spacing w:after="0"/>
              <w:rPr>
                <w:sz w:val="20"/>
                <w:szCs w:val="20"/>
                <w:color w:val="auto"/>
              </w:rPr>
            </w:pPr>
            <w:r>
              <w:rPr>
                <w:rFonts w:ascii="Arial" w:cs="Arial" w:eastAsia="Arial" w:hAnsi="Arial"/>
                <w:sz w:val="18"/>
                <w:szCs w:val="18"/>
                <w:color w:val="auto"/>
                <w:w w:val="85"/>
              </w:rPr>
              <w:t>1.17</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40" w:type="dxa"/>
            <w:vAlign w:val="bottom"/>
            <w:gridSpan w:val="4"/>
          </w:tcPr>
          <w:p>
            <w:pPr>
              <w:spacing w:after="0"/>
              <w:rPr>
                <w:sz w:val="20"/>
                <w:szCs w:val="20"/>
                <w:color w:val="auto"/>
              </w:rPr>
            </w:pPr>
            <w:r>
              <w:rPr>
                <w:rFonts w:ascii="Arial" w:cs="Arial" w:eastAsia="Arial" w:hAnsi="Arial"/>
                <w:sz w:val="18"/>
                <w:szCs w:val="18"/>
                <w:color w:val="auto"/>
              </w:rPr>
              <w:t>December 2018</w:t>
            </w:r>
          </w:p>
        </w:tc>
        <w:tc>
          <w:tcPr>
            <w:tcW w:w="380" w:type="dxa"/>
            <w:vAlign w:val="bottom"/>
          </w:tcPr>
          <w:p>
            <w:pPr>
              <w:ind w:left="60"/>
              <w:spacing w:after="0"/>
              <w:rPr>
                <w:sz w:val="20"/>
                <w:szCs w:val="20"/>
                <w:color w:val="auto"/>
              </w:rPr>
            </w:pPr>
            <w:r>
              <w:rPr>
                <w:rFonts w:ascii="Arial" w:cs="Arial" w:eastAsia="Arial" w:hAnsi="Arial"/>
                <w:sz w:val="18"/>
                <w:szCs w:val="18"/>
                <w:color w:val="auto"/>
                <w:w w:val="85"/>
              </w:rPr>
              <w:t>1.31</w:t>
            </w:r>
          </w:p>
        </w:tc>
        <w:tc>
          <w:tcPr>
            <w:tcW w:w="300" w:type="dxa"/>
            <w:vAlign w:val="bottom"/>
          </w:tcPr>
          <w:p>
            <w:pPr>
              <w:spacing w:after="0"/>
              <w:rPr>
                <w:sz w:val="18"/>
                <w:szCs w:val="18"/>
                <w:color w:val="auto"/>
              </w:rPr>
            </w:pPr>
          </w:p>
        </w:tc>
        <w:tc>
          <w:tcPr>
            <w:tcW w:w="400" w:type="dxa"/>
            <w:vAlign w:val="bottom"/>
          </w:tcPr>
          <w:p>
            <w:pPr>
              <w:ind w:left="80"/>
              <w:spacing w:after="0"/>
              <w:rPr>
                <w:sz w:val="20"/>
                <w:szCs w:val="20"/>
                <w:color w:val="auto"/>
              </w:rPr>
            </w:pPr>
            <w:r>
              <w:rPr>
                <w:rFonts w:ascii="Arial" w:cs="Arial" w:eastAsia="Arial" w:hAnsi="Arial"/>
                <w:sz w:val="18"/>
                <w:szCs w:val="18"/>
                <w:color w:val="auto"/>
                <w:w w:val="85"/>
              </w:rPr>
              <w:t>1.06</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4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January 2019</w:t>
            </w:r>
          </w:p>
        </w:tc>
        <w:tc>
          <w:tcPr>
            <w:tcW w:w="380" w:type="dxa"/>
            <w:vAlign w:val="bottom"/>
            <w:shd w:val="clear" w:color="auto" w:fill="CCEEFF"/>
          </w:tcPr>
          <w:p>
            <w:pPr>
              <w:ind w:left="60"/>
              <w:spacing w:after="0"/>
              <w:rPr>
                <w:sz w:val="20"/>
                <w:szCs w:val="20"/>
                <w:color w:val="auto"/>
              </w:rPr>
            </w:pPr>
            <w:r>
              <w:rPr>
                <w:rFonts w:ascii="Arial" w:cs="Arial" w:eastAsia="Arial" w:hAnsi="Arial"/>
                <w:sz w:val="18"/>
                <w:szCs w:val="18"/>
                <w:color w:val="auto"/>
                <w:w w:val="85"/>
              </w:rPr>
              <w:t>1.92</w:t>
            </w:r>
          </w:p>
        </w:tc>
        <w:tc>
          <w:tcPr>
            <w:tcW w:w="300" w:type="dxa"/>
            <w:vAlign w:val="bottom"/>
            <w:shd w:val="clear" w:color="auto" w:fill="CCEEFF"/>
          </w:tcPr>
          <w:p>
            <w:pPr>
              <w:spacing w:after="0"/>
              <w:rPr>
                <w:sz w:val="18"/>
                <w:szCs w:val="18"/>
                <w:color w:val="auto"/>
              </w:rPr>
            </w:pPr>
          </w:p>
        </w:tc>
        <w:tc>
          <w:tcPr>
            <w:tcW w:w="400" w:type="dxa"/>
            <w:vAlign w:val="bottom"/>
            <w:shd w:val="clear" w:color="auto" w:fill="CCEEFF"/>
          </w:tcPr>
          <w:p>
            <w:pPr>
              <w:ind w:left="80"/>
              <w:spacing w:after="0"/>
              <w:rPr>
                <w:sz w:val="20"/>
                <w:szCs w:val="20"/>
                <w:color w:val="auto"/>
              </w:rPr>
            </w:pPr>
            <w:r>
              <w:rPr>
                <w:rFonts w:ascii="Arial" w:cs="Arial" w:eastAsia="Arial" w:hAnsi="Arial"/>
                <w:sz w:val="18"/>
                <w:szCs w:val="18"/>
                <w:color w:val="auto"/>
                <w:w w:val="85"/>
              </w:rPr>
              <w:t>1.09</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40" w:type="dxa"/>
            <w:vAlign w:val="bottom"/>
            <w:gridSpan w:val="4"/>
          </w:tcPr>
          <w:p>
            <w:pPr>
              <w:spacing w:after="0"/>
              <w:rPr>
                <w:sz w:val="20"/>
                <w:szCs w:val="20"/>
                <w:color w:val="auto"/>
              </w:rPr>
            </w:pPr>
            <w:r>
              <w:rPr>
                <w:rFonts w:ascii="Arial" w:cs="Arial" w:eastAsia="Arial" w:hAnsi="Arial"/>
                <w:sz w:val="18"/>
                <w:szCs w:val="18"/>
                <w:color w:val="auto"/>
              </w:rPr>
              <w:t>February 2019</w:t>
            </w:r>
          </w:p>
        </w:tc>
        <w:tc>
          <w:tcPr>
            <w:tcW w:w="380" w:type="dxa"/>
            <w:vAlign w:val="bottom"/>
          </w:tcPr>
          <w:p>
            <w:pPr>
              <w:ind w:left="60"/>
              <w:spacing w:after="0"/>
              <w:rPr>
                <w:sz w:val="20"/>
                <w:szCs w:val="20"/>
                <w:color w:val="auto"/>
              </w:rPr>
            </w:pPr>
            <w:r>
              <w:rPr>
                <w:rFonts w:ascii="Arial" w:cs="Arial" w:eastAsia="Arial" w:hAnsi="Arial"/>
                <w:sz w:val="18"/>
                <w:szCs w:val="18"/>
                <w:color w:val="auto"/>
                <w:w w:val="85"/>
              </w:rPr>
              <w:t>2.25</w:t>
            </w:r>
          </w:p>
        </w:tc>
        <w:tc>
          <w:tcPr>
            <w:tcW w:w="300" w:type="dxa"/>
            <w:vAlign w:val="bottom"/>
          </w:tcPr>
          <w:p>
            <w:pPr>
              <w:spacing w:after="0"/>
              <w:rPr>
                <w:sz w:val="18"/>
                <w:szCs w:val="18"/>
                <w:color w:val="auto"/>
              </w:rPr>
            </w:pPr>
          </w:p>
        </w:tc>
        <w:tc>
          <w:tcPr>
            <w:tcW w:w="400" w:type="dxa"/>
            <w:vAlign w:val="bottom"/>
          </w:tcPr>
          <w:p>
            <w:pPr>
              <w:ind w:left="80"/>
              <w:spacing w:after="0"/>
              <w:rPr>
                <w:sz w:val="20"/>
                <w:szCs w:val="20"/>
                <w:color w:val="auto"/>
              </w:rPr>
            </w:pPr>
            <w:r>
              <w:rPr>
                <w:rFonts w:ascii="Arial" w:cs="Arial" w:eastAsia="Arial" w:hAnsi="Arial"/>
                <w:sz w:val="18"/>
                <w:szCs w:val="18"/>
                <w:color w:val="auto"/>
                <w:w w:val="85"/>
              </w:rPr>
              <w:t>1.84</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4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March 2019</w:t>
            </w:r>
          </w:p>
        </w:tc>
        <w:tc>
          <w:tcPr>
            <w:tcW w:w="380" w:type="dxa"/>
            <w:vAlign w:val="bottom"/>
            <w:shd w:val="clear" w:color="auto" w:fill="CCEEFF"/>
          </w:tcPr>
          <w:p>
            <w:pPr>
              <w:ind w:left="60"/>
              <w:spacing w:after="0"/>
              <w:rPr>
                <w:sz w:val="20"/>
                <w:szCs w:val="20"/>
                <w:color w:val="auto"/>
              </w:rPr>
            </w:pPr>
            <w:r>
              <w:rPr>
                <w:rFonts w:ascii="Arial" w:cs="Arial" w:eastAsia="Arial" w:hAnsi="Arial"/>
                <w:sz w:val="18"/>
                <w:szCs w:val="18"/>
                <w:color w:val="auto"/>
                <w:w w:val="85"/>
              </w:rPr>
              <w:t>4.37</w:t>
            </w:r>
          </w:p>
        </w:tc>
        <w:tc>
          <w:tcPr>
            <w:tcW w:w="300" w:type="dxa"/>
            <w:vAlign w:val="bottom"/>
            <w:shd w:val="clear" w:color="auto" w:fill="CCEEFF"/>
          </w:tcPr>
          <w:p>
            <w:pPr>
              <w:spacing w:after="0"/>
              <w:rPr>
                <w:sz w:val="18"/>
                <w:szCs w:val="18"/>
                <w:color w:val="auto"/>
              </w:rPr>
            </w:pPr>
          </w:p>
        </w:tc>
        <w:tc>
          <w:tcPr>
            <w:tcW w:w="400" w:type="dxa"/>
            <w:vAlign w:val="bottom"/>
            <w:shd w:val="clear" w:color="auto" w:fill="CCEEFF"/>
          </w:tcPr>
          <w:p>
            <w:pPr>
              <w:ind w:left="80"/>
              <w:spacing w:after="0"/>
              <w:rPr>
                <w:sz w:val="20"/>
                <w:szCs w:val="20"/>
                <w:color w:val="auto"/>
              </w:rPr>
            </w:pPr>
            <w:r>
              <w:rPr>
                <w:rFonts w:ascii="Arial" w:cs="Arial" w:eastAsia="Arial" w:hAnsi="Arial"/>
                <w:sz w:val="18"/>
                <w:szCs w:val="18"/>
                <w:color w:val="auto"/>
                <w:w w:val="85"/>
              </w:rPr>
              <w:t>1.87</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40" w:type="dxa"/>
            <w:vAlign w:val="bottom"/>
            <w:gridSpan w:val="4"/>
          </w:tcPr>
          <w:p>
            <w:pPr>
              <w:spacing w:after="0"/>
              <w:rPr>
                <w:sz w:val="20"/>
                <w:szCs w:val="20"/>
                <w:color w:val="auto"/>
              </w:rPr>
            </w:pPr>
            <w:r>
              <w:rPr>
                <w:rFonts w:ascii="Arial" w:cs="Arial" w:eastAsia="Arial" w:hAnsi="Arial"/>
                <w:sz w:val="18"/>
                <w:szCs w:val="18"/>
                <w:color w:val="auto"/>
              </w:rPr>
              <w:t>April 2019</w:t>
            </w:r>
          </w:p>
        </w:tc>
        <w:tc>
          <w:tcPr>
            <w:tcW w:w="380" w:type="dxa"/>
            <w:vAlign w:val="bottom"/>
          </w:tcPr>
          <w:p>
            <w:pPr>
              <w:ind w:left="60"/>
              <w:spacing w:after="0"/>
              <w:rPr>
                <w:sz w:val="20"/>
                <w:szCs w:val="20"/>
                <w:color w:val="auto"/>
              </w:rPr>
            </w:pPr>
            <w:r>
              <w:rPr>
                <w:rFonts w:ascii="Arial" w:cs="Arial" w:eastAsia="Arial" w:hAnsi="Arial"/>
                <w:sz w:val="18"/>
                <w:szCs w:val="18"/>
                <w:color w:val="auto"/>
                <w:w w:val="85"/>
              </w:rPr>
              <w:t>7.67</w:t>
            </w:r>
          </w:p>
        </w:tc>
        <w:tc>
          <w:tcPr>
            <w:tcW w:w="300" w:type="dxa"/>
            <w:vAlign w:val="bottom"/>
          </w:tcPr>
          <w:p>
            <w:pPr>
              <w:spacing w:after="0"/>
              <w:rPr>
                <w:sz w:val="18"/>
                <w:szCs w:val="18"/>
                <w:color w:val="auto"/>
              </w:rPr>
            </w:pPr>
          </w:p>
        </w:tc>
        <w:tc>
          <w:tcPr>
            <w:tcW w:w="400" w:type="dxa"/>
            <w:vAlign w:val="bottom"/>
          </w:tcPr>
          <w:p>
            <w:pPr>
              <w:ind w:left="80"/>
              <w:spacing w:after="0"/>
              <w:rPr>
                <w:sz w:val="20"/>
                <w:szCs w:val="20"/>
                <w:color w:val="auto"/>
              </w:rPr>
            </w:pPr>
            <w:r>
              <w:rPr>
                <w:rFonts w:ascii="Arial" w:cs="Arial" w:eastAsia="Arial" w:hAnsi="Arial"/>
                <w:sz w:val="18"/>
                <w:szCs w:val="18"/>
                <w:color w:val="auto"/>
                <w:w w:val="85"/>
              </w:rPr>
              <w:t>4.26</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4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May 2019</w:t>
            </w:r>
          </w:p>
        </w:tc>
        <w:tc>
          <w:tcPr>
            <w:tcW w:w="380" w:type="dxa"/>
            <w:vAlign w:val="bottom"/>
            <w:shd w:val="clear" w:color="auto" w:fill="CCEEFF"/>
          </w:tcPr>
          <w:p>
            <w:pPr>
              <w:ind w:left="60"/>
              <w:spacing w:after="0"/>
              <w:rPr>
                <w:sz w:val="20"/>
                <w:szCs w:val="20"/>
                <w:color w:val="auto"/>
              </w:rPr>
            </w:pPr>
            <w:r>
              <w:rPr>
                <w:rFonts w:ascii="Arial" w:cs="Arial" w:eastAsia="Arial" w:hAnsi="Arial"/>
                <w:sz w:val="18"/>
                <w:szCs w:val="18"/>
                <w:color w:val="auto"/>
                <w:w w:val="85"/>
              </w:rPr>
              <w:t>7.17</w:t>
            </w:r>
          </w:p>
        </w:tc>
        <w:tc>
          <w:tcPr>
            <w:tcW w:w="300" w:type="dxa"/>
            <w:vAlign w:val="bottom"/>
            <w:shd w:val="clear" w:color="auto" w:fill="CCEEFF"/>
          </w:tcPr>
          <w:p>
            <w:pPr>
              <w:spacing w:after="0"/>
              <w:rPr>
                <w:sz w:val="18"/>
                <w:szCs w:val="18"/>
                <w:color w:val="auto"/>
              </w:rPr>
            </w:pPr>
          </w:p>
        </w:tc>
        <w:tc>
          <w:tcPr>
            <w:tcW w:w="400" w:type="dxa"/>
            <w:vAlign w:val="bottom"/>
            <w:shd w:val="clear" w:color="auto" w:fill="CCEEFF"/>
          </w:tcPr>
          <w:p>
            <w:pPr>
              <w:ind w:left="80"/>
              <w:spacing w:after="0"/>
              <w:rPr>
                <w:sz w:val="20"/>
                <w:szCs w:val="20"/>
                <w:color w:val="auto"/>
              </w:rPr>
            </w:pPr>
            <w:r>
              <w:rPr>
                <w:rFonts w:ascii="Arial" w:cs="Arial" w:eastAsia="Arial" w:hAnsi="Arial"/>
                <w:sz w:val="18"/>
                <w:szCs w:val="18"/>
                <w:color w:val="auto"/>
                <w:w w:val="85"/>
              </w:rPr>
              <w:t>4.99</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40" w:type="dxa"/>
            <w:vAlign w:val="bottom"/>
            <w:gridSpan w:val="4"/>
          </w:tcPr>
          <w:p>
            <w:pPr>
              <w:spacing w:after="0"/>
              <w:rPr>
                <w:sz w:val="20"/>
                <w:szCs w:val="20"/>
                <w:color w:val="auto"/>
              </w:rPr>
            </w:pPr>
            <w:r>
              <w:rPr>
                <w:rFonts w:ascii="Arial" w:cs="Arial" w:eastAsia="Arial" w:hAnsi="Arial"/>
                <w:sz w:val="18"/>
                <w:szCs w:val="18"/>
                <w:color w:val="auto"/>
              </w:rPr>
              <w:t>June 2019</w:t>
            </w:r>
          </w:p>
        </w:tc>
        <w:tc>
          <w:tcPr>
            <w:tcW w:w="380" w:type="dxa"/>
            <w:vAlign w:val="bottom"/>
          </w:tcPr>
          <w:p>
            <w:pPr>
              <w:ind w:left="60"/>
              <w:spacing w:after="0"/>
              <w:rPr>
                <w:sz w:val="20"/>
                <w:szCs w:val="20"/>
                <w:color w:val="auto"/>
              </w:rPr>
            </w:pPr>
            <w:r>
              <w:rPr>
                <w:rFonts w:ascii="Arial" w:cs="Arial" w:eastAsia="Arial" w:hAnsi="Arial"/>
                <w:sz w:val="18"/>
                <w:szCs w:val="18"/>
                <w:color w:val="auto"/>
                <w:w w:val="85"/>
              </w:rPr>
              <w:t>6.23</w:t>
            </w:r>
          </w:p>
        </w:tc>
        <w:tc>
          <w:tcPr>
            <w:tcW w:w="300" w:type="dxa"/>
            <w:vAlign w:val="bottom"/>
          </w:tcPr>
          <w:p>
            <w:pPr>
              <w:spacing w:after="0"/>
              <w:rPr>
                <w:sz w:val="18"/>
                <w:szCs w:val="18"/>
                <w:color w:val="auto"/>
              </w:rPr>
            </w:pPr>
          </w:p>
        </w:tc>
        <w:tc>
          <w:tcPr>
            <w:tcW w:w="400" w:type="dxa"/>
            <w:vAlign w:val="bottom"/>
          </w:tcPr>
          <w:p>
            <w:pPr>
              <w:ind w:left="80"/>
              <w:spacing w:after="0"/>
              <w:rPr>
                <w:sz w:val="20"/>
                <w:szCs w:val="20"/>
                <w:color w:val="auto"/>
              </w:rPr>
            </w:pPr>
            <w:r>
              <w:rPr>
                <w:rFonts w:ascii="Arial" w:cs="Arial" w:eastAsia="Arial" w:hAnsi="Arial"/>
                <w:sz w:val="18"/>
                <w:szCs w:val="18"/>
                <w:color w:val="auto"/>
                <w:w w:val="85"/>
              </w:rPr>
              <w:t>4.69</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4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July 2019</w:t>
            </w:r>
          </w:p>
        </w:tc>
        <w:tc>
          <w:tcPr>
            <w:tcW w:w="380" w:type="dxa"/>
            <w:vAlign w:val="bottom"/>
            <w:shd w:val="clear" w:color="auto" w:fill="CCEEFF"/>
          </w:tcPr>
          <w:p>
            <w:pPr>
              <w:ind w:left="60"/>
              <w:spacing w:after="0"/>
              <w:rPr>
                <w:sz w:val="20"/>
                <w:szCs w:val="20"/>
                <w:color w:val="auto"/>
              </w:rPr>
            </w:pPr>
            <w:r>
              <w:rPr>
                <w:rFonts w:ascii="Arial" w:cs="Arial" w:eastAsia="Arial" w:hAnsi="Arial"/>
                <w:sz w:val="18"/>
                <w:szCs w:val="18"/>
                <w:color w:val="auto"/>
                <w:w w:val="85"/>
              </w:rPr>
              <w:t>6.51</w:t>
            </w:r>
          </w:p>
        </w:tc>
        <w:tc>
          <w:tcPr>
            <w:tcW w:w="300" w:type="dxa"/>
            <w:vAlign w:val="bottom"/>
            <w:shd w:val="clear" w:color="auto" w:fill="CCEEFF"/>
          </w:tcPr>
          <w:p>
            <w:pPr>
              <w:spacing w:after="0"/>
              <w:rPr>
                <w:sz w:val="18"/>
                <w:szCs w:val="18"/>
                <w:color w:val="auto"/>
              </w:rPr>
            </w:pPr>
          </w:p>
        </w:tc>
        <w:tc>
          <w:tcPr>
            <w:tcW w:w="400" w:type="dxa"/>
            <w:vAlign w:val="bottom"/>
            <w:shd w:val="clear" w:color="auto" w:fill="CCEEFF"/>
          </w:tcPr>
          <w:p>
            <w:pPr>
              <w:ind w:left="80"/>
              <w:spacing w:after="0"/>
              <w:rPr>
                <w:sz w:val="20"/>
                <w:szCs w:val="20"/>
                <w:color w:val="auto"/>
              </w:rPr>
            </w:pPr>
            <w:r>
              <w:rPr>
                <w:rFonts w:ascii="Arial" w:cs="Arial" w:eastAsia="Arial" w:hAnsi="Arial"/>
                <w:sz w:val="18"/>
                <w:szCs w:val="18"/>
                <w:color w:val="auto"/>
                <w:w w:val="85"/>
              </w:rPr>
              <w:t>5.25</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7240" w:type="dxa"/>
            <w:vAlign w:val="bottom"/>
            <w:gridSpan w:val="4"/>
          </w:tcPr>
          <w:p>
            <w:pPr>
              <w:spacing w:after="0"/>
              <w:rPr>
                <w:sz w:val="20"/>
                <w:szCs w:val="20"/>
                <w:color w:val="auto"/>
              </w:rPr>
            </w:pPr>
            <w:r>
              <w:rPr>
                <w:rFonts w:ascii="Arial" w:cs="Arial" w:eastAsia="Arial" w:hAnsi="Arial"/>
                <w:sz w:val="18"/>
                <w:szCs w:val="18"/>
                <w:color w:val="auto"/>
              </w:rPr>
              <w:t>August 2019</w:t>
            </w:r>
          </w:p>
        </w:tc>
        <w:tc>
          <w:tcPr>
            <w:tcW w:w="380" w:type="dxa"/>
            <w:vAlign w:val="bottom"/>
          </w:tcPr>
          <w:p>
            <w:pPr>
              <w:ind w:left="60"/>
              <w:spacing w:after="0"/>
              <w:rPr>
                <w:sz w:val="20"/>
                <w:szCs w:val="20"/>
                <w:color w:val="auto"/>
              </w:rPr>
            </w:pPr>
            <w:r>
              <w:rPr>
                <w:rFonts w:ascii="Arial" w:cs="Arial" w:eastAsia="Arial" w:hAnsi="Arial"/>
                <w:sz w:val="18"/>
                <w:szCs w:val="18"/>
                <w:color w:val="auto"/>
                <w:w w:val="85"/>
              </w:rPr>
              <w:t>6.50</w:t>
            </w:r>
          </w:p>
        </w:tc>
        <w:tc>
          <w:tcPr>
            <w:tcW w:w="300" w:type="dxa"/>
            <w:vAlign w:val="bottom"/>
          </w:tcPr>
          <w:p>
            <w:pPr>
              <w:spacing w:after="0"/>
              <w:rPr>
                <w:sz w:val="20"/>
                <w:szCs w:val="20"/>
                <w:color w:val="auto"/>
              </w:rPr>
            </w:pPr>
          </w:p>
        </w:tc>
        <w:tc>
          <w:tcPr>
            <w:tcW w:w="400" w:type="dxa"/>
            <w:vAlign w:val="bottom"/>
          </w:tcPr>
          <w:p>
            <w:pPr>
              <w:ind w:left="80"/>
              <w:spacing w:after="0"/>
              <w:rPr>
                <w:sz w:val="20"/>
                <w:szCs w:val="20"/>
                <w:color w:val="auto"/>
              </w:rPr>
            </w:pPr>
            <w:r>
              <w:rPr>
                <w:rFonts w:ascii="Arial" w:cs="Arial" w:eastAsia="Arial" w:hAnsi="Arial"/>
                <w:sz w:val="18"/>
                <w:szCs w:val="18"/>
                <w:color w:val="auto"/>
                <w:w w:val="85"/>
              </w:rPr>
              <w:t>4.51</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91"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B. Plan of Distribution</w:t>
      </w:r>
    </w:p>
    <w:p>
      <w:pPr>
        <w:spacing w:after="0" w:line="121" w:lineRule="exact"/>
        <w:rPr>
          <w:sz w:val="20"/>
          <w:szCs w:val="20"/>
          <w:color w:val="auto"/>
        </w:rPr>
      </w:pPr>
    </w:p>
    <w:p>
      <w:pPr>
        <w:ind w:left="640"/>
        <w:spacing w:after="0"/>
        <w:rPr>
          <w:sz w:val="20"/>
          <w:szCs w:val="20"/>
          <w:color w:val="auto"/>
        </w:rPr>
      </w:pPr>
      <w:r>
        <w:rPr>
          <w:rFonts w:ascii="Arial" w:cs="Arial" w:eastAsia="Arial" w:hAnsi="Arial"/>
          <w:sz w:val="18"/>
          <w:szCs w:val="18"/>
          <w:color w:val="auto"/>
        </w:rPr>
        <w:t>Not applicable.</w:t>
      </w:r>
    </w:p>
    <w:p>
      <w:pPr>
        <w:spacing w:after="0" w:line="329"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C. Markets</w:t>
      </w:r>
    </w:p>
    <w:p>
      <w:pPr>
        <w:spacing w:after="0" w:line="121" w:lineRule="exact"/>
        <w:rPr>
          <w:sz w:val="20"/>
          <w:szCs w:val="20"/>
          <w:color w:val="auto"/>
        </w:rPr>
      </w:pPr>
    </w:p>
    <w:p>
      <w:pPr>
        <w:jc w:val="both"/>
        <w:ind w:left="200" w:right="60" w:firstLine="441"/>
        <w:spacing w:after="0" w:line="264" w:lineRule="auto"/>
        <w:rPr>
          <w:sz w:val="20"/>
          <w:szCs w:val="20"/>
          <w:color w:val="auto"/>
        </w:rPr>
      </w:pPr>
      <w:r>
        <w:rPr>
          <w:rFonts w:ascii="Arial" w:cs="Arial" w:eastAsia="Arial" w:hAnsi="Arial"/>
          <w:sz w:val="18"/>
          <w:szCs w:val="18"/>
          <w:color w:val="auto"/>
        </w:rPr>
        <w:t>Our ordinary shares are listed and traded on the Australian Securities Exchange Ltd., or ASX. Although our ADSs are currently quoted on the OTCQX, we intend to be listed on the NASDAQ Capital Market in the first half of 2019. There is no assurance that our NASDAQ listing application will be approved or that an active public market for our ADSs will further develop or be sustained.</w:t>
      </w:r>
    </w:p>
    <w:p>
      <w:pPr>
        <w:spacing w:after="0" w:line="114" w:lineRule="exact"/>
        <w:rPr>
          <w:sz w:val="20"/>
          <w:szCs w:val="20"/>
          <w:color w:val="auto"/>
        </w:rPr>
      </w:pPr>
    </w:p>
    <w:p>
      <w:pPr>
        <w:jc w:val="center"/>
        <w:ind w:right="-419"/>
        <w:spacing w:after="0"/>
        <w:rPr>
          <w:sz w:val="20"/>
          <w:szCs w:val="20"/>
          <w:color w:val="auto"/>
        </w:rPr>
      </w:pPr>
      <w:r>
        <w:rPr>
          <w:rFonts w:ascii="Arial" w:cs="Arial" w:eastAsia="Arial" w:hAnsi="Arial"/>
          <w:sz w:val="18"/>
          <w:szCs w:val="18"/>
          <w:color w:val="auto"/>
        </w:rPr>
        <w:t>72</w:t>
      </w:r>
    </w:p>
    <w:p>
      <w:pPr>
        <w:sectPr>
          <w:pgSz w:w="11900" w:h="16838" w:orient="portrait"/>
          <w:cols w:equalWidth="0" w:num="1">
            <w:col w:w="11020"/>
          </w:cols>
          <w:pgMar w:left="240" w:top="459" w:right="639" w:bottom="1440" w:gutter="0" w:footer="0" w:header="0"/>
        </w:sectPr>
      </w:pPr>
    </w:p>
    <w:bookmarkStart w:id="74" w:name="page75"/>
    <w:bookmarkEnd w:id="7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D. Selling Shareholders</w:t>
      </w:r>
    </w:p>
    <w:p>
      <w:pPr>
        <w:spacing w:after="0" w:line="121" w:lineRule="exact"/>
        <w:rPr>
          <w:sz w:val="20"/>
          <w:szCs w:val="20"/>
          <w:color w:val="auto"/>
        </w:rPr>
      </w:pPr>
    </w:p>
    <w:p>
      <w:pPr>
        <w:ind w:left="640"/>
        <w:spacing w:after="0"/>
        <w:rPr>
          <w:sz w:val="20"/>
          <w:szCs w:val="20"/>
          <w:color w:val="auto"/>
        </w:rPr>
      </w:pPr>
      <w:r>
        <w:rPr>
          <w:rFonts w:ascii="Arial" w:cs="Arial" w:eastAsia="Arial" w:hAnsi="Arial"/>
          <w:sz w:val="18"/>
          <w:szCs w:val="18"/>
          <w:color w:val="auto"/>
        </w:rPr>
        <w:t>Not Applicable.</w:t>
      </w:r>
    </w:p>
    <w:p>
      <w:pPr>
        <w:spacing w:after="0" w:line="329"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E. Dilution</w:t>
      </w:r>
    </w:p>
    <w:p>
      <w:pPr>
        <w:spacing w:after="0" w:line="121" w:lineRule="exact"/>
        <w:rPr>
          <w:sz w:val="20"/>
          <w:szCs w:val="20"/>
          <w:color w:val="auto"/>
        </w:rPr>
      </w:pPr>
    </w:p>
    <w:p>
      <w:pPr>
        <w:ind w:left="640"/>
        <w:spacing w:after="0"/>
        <w:rPr>
          <w:sz w:val="20"/>
          <w:szCs w:val="20"/>
          <w:color w:val="auto"/>
        </w:rPr>
      </w:pPr>
      <w:r>
        <w:rPr>
          <w:rFonts w:ascii="Arial" w:cs="Arial" w:eastAsia="Arial" w:hAnsi="Arial"/>
          <w:sz w:val="18"/>
          <w:szCs w:val="18"/>
          <w:color w:val="auto"/>
        </w:rPr>
        <w:t>Not Applicable.</w:t>
      </w:r>
    </w:p>
    <w:p>
      <w:pPr>
        <w:spacing w:after="0" w:line="329"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F. Expenses of the Issue.</w:t>
      </w:r>
    </w:p>
    <w:p>
      <w:pPr>
        <w:spacing w:after="0" w:line="121" w:lineRule="exact"/>
        <w:rPr>
          <w:sz w:val="20"/>
          <w:szCs w:val="20"/>
          <w:color w:val="auto"/>
        </w:rPr>
      </w:pPr>
    </w:p>
    <w:p>
      <w:pPr>
        <w:ind w:left="640"/>
        <w:spacing w:after="0"/>
        <w:rPr>
          <w:sz w:val="20"/>
          <w:szCs w:val="20"/>
          <w:color w:val="auto"/>
        </w:rPr>
      </w:pPr>
      <w:r>
        <w:rPr>
          <w:rFonts w:ascii="Arial" w:cs="Arial" w:eastAsia="Arial" w:hAnsi="Arial"/>
          <w:sz w:val="18"/>
          <w:szCs w:val="18"/>
          <w:color w:val="auto"/>
        </w:rPr>
        <w:t>Not Applicable.</w:t>
      </w:r>
    </w:p>
    <w:p>
      <w:pPr>
        <w:spacing w:after="0" w:line="329"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ITEM 10. ADDITIONAL INFORMATION</w:t>
      </w:r>
    </w:p>
    <w:p>
      <w:pPr>
        <w:spacing w:after="0" w:line="117"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A. Share Capital</w:t>
      </w:r>
    </w:p>
    <w:p>
      <w:pPr>
        <w:spacing w:after="0" w:line="121" w:lineRule="exact"/>
        <w:rPr>
          <w:sz w:val="20"/>
          <w:szCs w:val="20"/>
          <w:color w:val="auto"/>
        </w:rPr>
      </w:pPr>
    </w:p>
    <w:p>
      <w:pPr>
        <w:ind w:left="640"/>
        <w:spacing w:after="0"/>
        <w:rPr>
          <w:sz w:val="20"/>
          <w:szCs w:val="20"/>
          <w:color w:val="auto"/>
        </w:rPr>
      </w:pPr>
      <w:r>
        <w:rPr>
          <w:rFonts w:ascii="Arial" w:cs="Arial" w:eastAsia="Arial" w:hAnsi="Arial"/>
          <w:sz w:val="16"/>
          <w:szCs w:val="16"/>
          <w:color w:val="auto"/>
        </w:rPr>
        <w:t>As at the date of this Registration Statement, there is no concept of authorized share capital and par value for companies incorporated in Australia.</w:t>
      </w:r>
    </w:p>
    <w:p>
      <w:pPr>
        <w:spacing w:after="0" w:line="46" w:lineRule="exact"/>
        <w:rPr>
          <w:sz w:val="20"/>
          <w:szCs w:val="20"/>
          <w:color w:val="auto"/>
        </w:rPr>
      </w:pPr>
    </w:p>
    <w:p>
      <w:pPr>
        <w:ind w:left="200"/>
        <w:spacing w:after="0"/>
        <w:rPr>
          <w:sz w:val="20"/>
          <w:szCs w:val="20"/>
          <w:color w:val="auto"/>
        </w:rPr>
      </w:pPr>
      <w:r>
        <w:rPr>
          <w:rFonts w:ascii="Arial" w:cs="Arial" w:eastAsia="Arial" w:hAnsi="Arial"/>
          <w:sz w:val="18"/>
          <w:szCs w:val="18"/>
          <w:color w:val="auto"/>
        </w:rPr>
        <w:t>The Company can issue unlimited number of Ordinary Shares without par value. The Company only has one class of Ordinary Shares.</w:t>
      </w:r>
    </w:p>
    <w:p>
      <w:pPr>
        <w:spacing w:after="0" w:line="211" w:lineRule="exact"/>
        <w:rPr>
          <w:sz w:val="20"/>
          <w:szCs w:val="20"/>
          <w:color w:val="auto"/>
        </w:rPr>
      </w:pPr>
    </w:p>
    <w:p>
      <w:pPr>
        <w:ind w:left="640"/>
        <w:spacing w:after="0"/>
        <w:rPr>
          <w:sz w:val="20"/>
          <w:szCs w:val="20"/>
          <w:color w:val="auto"/>
        </w:rPr>
      </w:pPr>
      <w:r>
        <w:rPr>
          <w:rFonts w:ascii="Arial" w:cs="Arial" w:eastAsia="Arial" w:hAnsi="Arial"/>
          <w:sz w:val="17"/>
          <w:szCs w:val="17"/>
          <w:color w:val="auto"/>
        </w:rPr>
        <w:t>As at June 30, 2017 and 2018, we had 669,930,538 and 934,312,458 Ordinary Shares issued, outstanding and fully paid, respectively.</w:t>
      </w:r>
    </w:p>
    <w:p>
      <w:pPr>
        <w:spacing w:after="0" w:line="341"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Ordinary Shares</w:t>
      </w:r>
    </w:p>
    <w:p>
      <w:pPr>
        <w:spacing w:after="0" w:line="121" w:lineRule="exact"/>
        <w:rPr>
          <w:sz w:val="20"/>
          <w:szCs w:val="20"/>
          <w:color w:val="auto"/>
        </w:rPr>
      </w:pPr>
    </w:p>
    <w:p>
      <w:pPr>
        <w:ind w:left="200" w:firstLine="441"/>
        <w:spacing w:after="0" w:line="312" w:lineRule="auto"/>
        <w:rPr>
          <w:sz w:val="20"/>
          <w:szCs w:val="20"/>
          <w:color w:val="auto"/>
        </w:rPr>
      </w:pPr>
      <w:r>
        <w:rPr>
          <w:rFonts w:ascii="Arial" w:cs="Arial" w:eastAsia="Arial" w:hAnsi="Arial"/>
          <w:sz w:val="16"/>
          <w:szCs w:val="16"/>
          <w:color w:val="auto"/>
        </w:rPr>
        <w:t>Each of our Ordinary Share entitles the holder thereof to one vote at any meeting of Avita’s shareholders. The holder of Ordinary Shares are entitled to receive if, as and when declared by the Board, dividends in such amount as shall be determined by the Board. The holders of Ordinary Shares have the right to receive the Company’s remaining property in the event of a liquidation, dissolution or winding up, whether voluntary or involuntary.</w:t>
      </w:r>
    </w:p>
    <w:p>
      <w:pPr>
        <w:spacing w:after="0" w:line="251"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Options</w:t>
      </w:r>
    </w:p>
    <w:p>
      <w:pPr>
        <w:spacing w:after="0" w:line="121" w:lineRule="exact"/>
        <w:rPr>
          <w:sz w:val="20"/>
          <w:szCs w:val="20"/>
          <w:color w:val="auto"/>
        </w:rPr>
      </w:pPr>
    </w:p>
    <w:p>
      <w:pPr>
        <w:ind w:left="200" w:right="320" w:firstLine="441"/>
        <w:spacing w:after="0" w:line="277" w:lineRule="auto"/>
        <w:rPr>
          <w:sz w:val="20"/>
          <w:szCs w:val="20"/>
          <w:color w:val="auto"/>
        </w:rPr>
      </w:pPr>
      <w:r>
        <w:rPr>
          <w:rFonts w:ascii="Arial" w:cs="Arial" w:eastAsia="Arial" w:hAnsi="Arial"/>
          <w:sz w:val="18"/>
          <w:szCs w:val="18"/>
          <w:color w:val="auto"/>
        </w:rPr>
        <w:t>The Company has 111,639,164 share options outstanding at the date of this Registration Statement and 43,193,804 share options available for future grant.</w:t>
      </w:r>
    </w:p>
    <w:p>
      <w:pPr>
        <w:spacing w:after="0" w:line="27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History of Share Capital</w:t>
      </w:r>
    </w:p>
    <w:p>
      <w:pPr>
        <w:spacing w:after="0" w:line="121" w:lineRule="exact"/>
        <w:rPr>
          <w:sz w:val="20"/>
          <w:szCs w:val="20"/>
          <w:color w:val="auto"/>
        </w:rPr>
      </w:pPr>
    </w:p>
    <w:p>
      <w:pPr>
        <w:ind w:left="640"/>
        <w:spacing w:after="0"/>
        <w:rPr>
          <w:sz w:val="20"/>
          <w:szCs w:val="20"/>
          <w:color w:val="auto"/>
        </w:rPr>
      </w:pPr>
      <w:r>
        <w:rPr>
          <w:rFonts w:ascii="Arial" w:cs="Arial" w:eastAsia="Arial" w:hAnsi="Arial"/>
          <w:sz w:val="18"/>
          <w:szCs w:val="18"/>
          <w:color w:val="auto"/>
        </w:rPr>
        <w:t>For the dates described below, the Company issued Ordinary Shares as follows:</w:t>
      </w:r>
    </w:p>
    <w:p>
      <w:pPr>
        <w:spacing w:after="0" w:line="231" w:lineRule="exact"/>
        <w:rPr>
          <w:sz w:val="20"/>
          <w:szCs w:val="20"/>
          <w:color w:val="auto"/>
        </w:rPr>
      </w:pPr>
    </w:p>
    <w:tbl>
      <w:tblPr>
        <w:tblLayout w:type="fixed"/>
        <w:tblInd w:w="200" w:type="dxa"/>
        <w:tblCellMar>
          <w:top w:w="0" w:type="dxa"/>
          <w:left w:w="0" w:type="dxa"/>
          <w:bottom w:w="0" w:type="dxa"/>
          <w:right w:w="0" w:type="dxa"/>
        </w:tblCellMar>
      </w:tblPr>
      <w:tr>
        <w:trPr>
          <w:trHeight w:val="161"/>
        </w:trPr>
        <w:tc>
          <w:tcPr>
            <w:tcW w:w="1780" w:type="dxa"/>
            <w:vAlign w:val="bottom"/>
          </w:tcPr>
          <w:p>
            <w:pPr>
              <w:spacing w:after="0"/>
              <w:rPr>
                <w:sz w:val="14"/>
                <w:szCs w:val="14"/>
                <w:color w:val="auto"/>
              </w:rPr>
            </w:pPr>
          </w:p>
        </w:tc>
        <w:tc>
          <w:tcPr>
            <w:tcW w:w="6540" w:type="dxa"/>
            <w:vAlign w:val="bottom"/>
          </w:tcPr>
          <w:p>
            <w:pPr>
              <w:spacing w:after="0"/>
              <w:rPr>
                <w:sz w:val="14"/>
                <w:szCs w:val="14"/>
                <w:color w:val="auto"/>
              </w:rPr>
            </w:pPr>
          </w:p>
        </w:tc>
        <w:tc>
          <w:tcPr>
            <w:tcW w:w="1260" w:type="dxa"/>
            <w:vAlign w:val="bottom"/>
          </w:tcPr>
          <w:p>
            <w:pPr>
              <w:jc w:val="center"/>
              <w:ind w:left="78"/>
              <w:spacing w:after="0"/>
              <w:rPr>
                <w:sz w:val="20"/>
                <w:szCs w:val="20"/>
                <w:color w:val="auto"/>
              </w:rPr>
            </w:pPr>
            <w:r>
              <w:rPr>
                <w:rFonts w:ascii="Arial" w:cs="Arial" w:eastAsia="Arial" w:hAnsi="Arial"/>
                <w:sz w:val="14"/>
                <w:szCs w:val="14"/>
                <w:b w:val="1"/>
                <w:bCs w:val="1"/>
                <w:color w:val="auto"/>
                <w:w w:val="94"/>
              </w:rPr>
              <w:t>Number of</w:t>
            </w:r>
          </w:p>
        </w:tc>
        <w:tc>
          <w:tcPr>
            <w:tcW w:w="1160" w:type="dxa"/>
            <w:vAlign w:val="bottom"/>
            <w:vMerge w:val="restart"/>
          </w:tcPr>
          <w:p>
            <w:pPr>
              <w:ind w:left="62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44"/>
        </w:trPr>
        <w:tc>
          <w:tcPr>
            <w:tcW w:w="1780" w:type="dxa"/>
            <w:vAlign w:val="bottom"/>
            <w:vMerge w:val="restart"/>
          </w:tcPr>
          <w:p>
            <w:pPr>
              <w:ind w:left="840"/>
              <w:spacing w:after="0"/>
              <w:rPr>
                <w:sz w:val="20"/>
                <w:szCs w:val="20"/>
                <w:color w:val="auto"/>
              </w:rPr>
            </w:pPr>
            <w:r>
              <w:rPr>
                <w:rFonts w:ascii="Arial" w:cs="Arial" w:eastAsia="Arial" w:hAnsi="Arial"/>
                <w:sz w:val="14"/>
                <w:szCs w:val="14"/>
                <w:b w:val="1"/>
                <w:bCs w:val="1"/>
                <w:color w:val="auto"/>
              </w:rPr>
              <w:t>Date</w:t>
            </w:r>
          </w:p>
        </w:tc>
        <w:tc>
          <w:tcPr>
            <w:tcW w:w="6540" w:type="dxa"/>
            <w:vAlign w:val="bottom"/>
            <w:vMerge w:val="restart"/>
          </w:tcPr>
          <w:p>
            <w:pPr>
              <w:ind w:left="2720"/>
              <w:spacing w:after="0"/>
              <w:rPr>
                <w:sz w:val="20"/>
                <w:szCs w:val="20"/>
                <w:color w:val="auto"/>
              </w:rPr>
            </w:pPr>
            <w:r>
              <w:rPr>
                <w:rFonts w:ascii="Arial" w:cs="Arial" w:eastAsia="Arial" w:hAnsi="Arial"/>
                <w:sz w:val="14"/>
                <w:szCs w:val="14"/>
                <w:b w:val="1"/>
                <w:bCs w:val="1"/>
                <w:color w:val="auto"/>
              </w:rPr>
              <w:t>Description of Issuance</w:t>
            </w:r>
          </w:p>
        </w:tc>
        <w:tc>
          <w:tcPr>
            <w:tcW w:w="1260" w:type="dxa"/>
            <w:vAlign w:val="bottom"/>
          </w:tcPr>
          <w:p>
            <w:pPr>
              <w:jc w:val="center"/>
              <w:ind w:left="78"/>
              <w:spacing w:after="0" w:line="145" w:lineRule="exact"/>
              <w:rPr>
                <w:sz w:val="20"/>
                <w:szCs w:val="20"/>
                <w:color w:val="auto"/>
              </w:rPr>
            </w:pPr>
            <w:r>
              <w:rPr>
                <w:rFonts w:ascii="Arial" w:cs="Arial" w:eastAsia="Arial" w:hAnsi="Arial"/>
                <w:sz w:val="14"/>
                <w:szCs w:val="14"/>
                <w:b w:val="1"/>
                <w:bCs w:val="1"/>
                <w:color w:val="auto"/>
                <w:w w:val="99"/>
              </w:rPr>
              <w:t>Ordinary</w:t>
            </w:r>
          </w:p>
        </w:tc>
        <w:tc>
          <w:tcPr>
            <w:tcW w:w="116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61"/>
        </w:trPr>
        <w:tc>
          <w:tcPr>
            <w:tcW w:w="1780" w:type="dxa"/>
            <w:vAlign w:val="bottom"/>
            <w:vMerge w:val="continue"/>
          </w:tcPr>
          <w:p>
            <w:pPr>
              <w:spacing w:after="0"/>
              <w:rPr>
                <w:sz w:val="14"/>
                <w:szCs w:val="14"/>
                <w:color w:val="auto"/>
              </w:rPr>
            </w:pPr>
          </w:p>
        </w:tc>
        <w:tc>
          <w:tcPr>
            <w:tcW w:w="6540" w:type="dxa"/>
            <w:vAlign w:val="bottom"/>
            <w:vMerge w:val="continue"/>
          </w:tcPr>
          <w:p>
            <w:pPr>
              <w:spacing w:after="0"/>
              <w:rPr>
                <w:sz w:val="14"/>
                <w:szCs w:val="14"/>
                <w:color w:val="auto"/>
              </w:rPr>
            </w:pPr>
          </w:p>
        </w:tc>
        <w:tc>
          <w:tcPr>
            <w:tcW w:w="1260" w:type="dxa"/>
            <w:vAlign w:val="bottom"/>
          </w:tcPr>
          <w:p>
            <w:pPr>
              <w:jc w:val="center"/>
              <w:ind w:left="58"/>
              <w:spacing w:after="0"/>
              <w:rPr>
                <w:sz w:val="20"/>
                <w:szCs w:val="20"/>
                <w:color w:val="auto"/>
              </w:rPr>
            </w:pPr>
            <w:r>
              <w:rPr>
                <w:rFonts w:ascii="Arial" w:cs="Arial" w:eastAsia="Arial" w:hAnsi="Arial"/>
                <w:sz w:val="14"/>
                <w:szCs w:val="14"/>
                <w:b w:val="1"/>
                <w:bCs w:val="1"/>
                <w:color w:val="auto"/>
                <w:w w:val="88"/>
              </w:rPr>
              <w:t>Shares Issued</w:t>
            </w:r>
          </w:p>
        </w:tc>
        <w:tc>
          <w:tcPr>
            <w:tcW w:w="1160" w:type="dxa"/>
            <w:vAlign w:val="bottom"/>
          </w:tcPr>
          <w:p>
            <w:pPr>
              <w:ind w:left="640"/>
              <w:spacing w:after="0"/>
              <w:rPr>
                <w:sz w:val="20"/>
                <w:szCs w:val="20"/>
                <w:color w:val="auto"/>
              </w:rPr>
            </w:pPr>
            <w:r>
              <w:rPr>
                <w:rFonts w:ascii="Arial" w:cs="Arial" w:eastAsia="Arial" w:hAnsi="Arial"/>
                <w:sz w:val="14"/>
                <w:szCs w:val="14"/>
                <w:b w:val="1"/>
                <w:bCs w:val="1"/>
                <w:color w:val="auto"/>
              </w:rPr>
              <w:t>(A$)</w:t>
            </w:r>
          </w:p>
        </w:tc>
        <w:tc>
          <w:tcPr>
            <w:tcW w:w="0" w:type="dxa"/>
            <w:vAlign w:val="bottom"/>
          </w:tcPr>
          <w:p>
            <w:pPr>
              <w:spacing w:after="0"/>
              <w:rPr>
                <w:sz w:val="1"/>
                <w:szCs w:val="1"/>
                <w:color w:val="auto"/>
              </w:rPr>
            </w:pPr>
          </w:p>
        </w:tc>
      </w:tr>
      <w:tr>
        <w:trPr>
          <w:trHeight w:val="216"/>
        </w:trPr>
        <w:tc>
          <w:tcPr>
            <w:tcW w:w="1780" w:type="dxa"/>
            <w:vAlign w:val="bottom"/>
          </w:tcPr>
          <w:p>
            <w:pPr>
              <w:spacing w:after="0"/>
              <w:rPr>
                <w:sz w:val="20"/>
                <w:szCs w:val="20"/>
                <w:color w:val="auto"/>
              </w:rPr>
            </w:pPr>
            <w:r>
              <w:rPr>
                <w:rFonts w:ascii="Arial" w:cs="Arial" w:eastAsia="Arial" w:hAnsi="Arial"/>
                <w:sz w:val="18"/>
                <w:szCs w:val="18"/>
                <w:color w:val="auto"/>
              </w:rPr>
              <w:t>January 11, 2019</w:t>
            </w:r>
          </w:p>
        </w:tc>
        <w:tc>
          <w:tcPr>
            <w:tcW w:w="6540" w:type="dxa"/>
            <w:vAlign w:val="bottom"/>
          </w:tcPr>
          <w:p>
            <w:pPr>
              <w:ind w:left="420"/>
              <w:spacing w:after="0"/>
              <w:rPr>
                <w:sz w:val="20"/>
                <w:szCs w:val="20"/>
                <w:color w:val="auto"/>
              </w:rPr>
            </w:pPr>
            <w:r>
              <w:rPr>
                <w:rFonts w:ascii="Arial" w:cs="Arial" w:eastAsia="Arial" w:hAnsi="Arial"/>
                <w:sz w:val="18"/>
                <w:szCs w:val="18"/>
                <w:color w:val="auto"/>
                <w:w w:val="95"/>
              </w:rPr>
              <w:t>We sold 22,061,250 Ordinary Shares under a Share Purchase Plan at a price of</w:t>
            </w:r>
          </w:p>
        </w:tc>
        <w:tc>
          <w:tcPr>
            <w:tcW w:w="1260" w:type="dxa"/>
            <w:vAlign w:val="bottom"/>
          </w:tcPr>
          <w:p>
            <w:pPr>
              <w:ind w:left="140"/>
              <w:spacing w:after="0"/>
              <w:rPr>
                <w:sz w:val="20"/>
                <w:szCs w:val="20"/>
                <w:color w:val="auto"/>
              </w:rPr>
            </w:pPr>
            <w:r>
              <w:rPr>
                <w:rFonts w:ascii="Arial" w:cs="Arial" w:eastAsia="Arial" w:hAnsi="Arial"/>
                <w:sz w:val="18"/>
                <w:szCs w:val="18"/>
                <w:color w:val="auto"/>
              </w:rPr>
              <w:t>22,061,250</w:t>
            </w:r>
          </w:p>
        </w:tc>
        <w:tc>
          <w:tcPr>
            <w:tcW w:w="1160" w:type="dxa"/>
            <w:vAlign w:val="bottom"/>
          </w:tcPr>
          <w:p>
            <w:pPr>
              <w:ind w:left="120"/>
              <w:spacing w:after="0"/>
              <w:rPr>
                <w:sz w:val="20"/>
                <w:szCs w:val="20"/>
                <w:color w:val="auto"/>
              </w:rPr>
            </w:pPr>
            <w:r>
              <w:rPr>
                <w:rFonts w:ascii="Arial" w:cs="Arial" w:eastAsia="Arial" w:hAnsi="Arial"/>
                <w:sz w:val="18"/>
                <w:szCs w:val="18"/>
                <w:color w:val="auto"/>
                <w:w w:val="99"/>
              </w:rPr>
              <w:t>A$1,764,900</w:t>
            </w:r>
          </w:p>
        </w:tc>
        <w:tc>
          <w:tcPr>
            <w:tcW w:w="0" w:type="dxa"/>
            <w:vAlign w:val="bottom"/>
          </w:tcPr>
          <w:p>
            <w:pPr>
              <w:spacing w:after="0"/>
              <w:rPr>
                <w:sz w:val="1"/>
                <w:szCs w:val="1"/>
                <w:color w:val="auto"/>
              </w:rPr>
            </w:pPr>
          </w:p>
        </w:tc>
      </w:tr>
      <w:tr>
        <w:trPr>
          <w:trHeight w:val="216"/>
        </w:trPr>
        <w:tc>
          <w:tcPr>
            <w:tcW w:w="1780" w:type="dxa"/>
            <w:vAlign w:val="bottom"/>
          </w:tcPr>
          <w:p>
            <w:pPr>
              <w:spacing w:after="0"/>
              <w:rPr>
                <w:sz w:val="18"/>
                <w:szCs w:val="18"/>
                <w:color w:val="auto"/>
              </w:rPr>
            </w:pPr>
          </w:p>
        </w:tc>
        <w:tc>
          <w:tcPr>
            <w:tcW w:w="6540" w:type="dxa"/>
            <w:vAlign w:val="bottom"/>
          </w:tcPr>
          <w:p>
            <w:pPr>
              <w:ind w:left="420"/>
              <w:spacing w:after="0"/>
              <w:rPr>
                <w:sz w:val="20"/>
                <w:szCs w:val="20"/>
                <w:color w:val="auto"/>
              </w:rPr>
            </w:pPr>
            <w:r>
              <w:rPr>
                <w:rFonts w:ascii="Arial" w:cs="Arial" w:eastAsia="Arial" w:hAnsi="Arial"/>
                <w:sz w:val="18"/>
                <w:szCs w:val="18"/>
                <w:color w:val="auto"/>
              </w:rPr>
              <w:t>A$0.080 per share, raising gross proceeds of A$1,764,900.</w:t>
            </w:r>
          </w:p>
        </w:tc>
        <w:tc>
          <w:tcPr>
            <w:tcW w:w="12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80" w:type="dxa"/>
            <w:vAlign w:val="bottom"/>
          </w:tcPr>
          <w:p>
            <w:pPr>
              <w:spacing w:after="0"/>
              <w:rPr>
                <w:sz w:val="20"/>
                <w:szCs w:val="20"/>
                <w:color w:val="auto"/>
              </w:rPr>
            </w:pPr>
            <w:r>
              <w:rPr>
                <w:rFonts w:ascii="Arial" w:cs="Arial" w:eastAsia="Arial" w:hAnsi="Arial"/>
                <w:sz w:val="18"/>
                <w:szCs w:val="18"/>
                <w:color w:val="auto"/>
              </w:rPr>
              <w:t>December 4, 2018</w:t>
            </w:r>
          </w:p>
        </w:tc>
        <w:tc>
          <w:tcPr>
            <w:tcW w:w="6540" w:type="dxa"/>
            <w:vAlign w:val="bottom"/>
          </w:tcPr>
          <w:p>
            <w:pPr>
              <w:ind w:left="420"/>
              <w:spacing w:after="0"/>
              <w:rPr>
                <w:sz w:val="20"/>
                <w:szCs w:val="20"/>
                <w:color w:val="auto"/>
              </w:rPr>
            </w:pPr>
            <w:r>
              <w:rPr>
                <w:rFonts w:ascii="Arial" w:cs="Arial" w:eastAsia="Arial" w:hAnsi="Arial"/>
                <w:sz w:val="18"/>
                <w:szCs w:val="18"/>
                <w:color w:val="auto"/>
              </w:rPr>
              <w:t>We sold 500,000,000 Ordinary Shares to institutional investors at a price of</w:t>
            </w:r>
          </w:p>
        </w:tc>
        <w:tc>
          <w:tcPr>
            <w:tcW w:w="1260" w:type="dxa"/>
            <w:vAlign w:val="bottom"/>
          </w:tcPr>
          <w:p>
            <w:pPr>
              <w:ind w:left="140"/>
              <w:spacing w:after="0"/>
              <w:rPr>
                <w:sz w:val="20"/>
                <w:szCs w:val="20"/>
                <w:color w:val="auto"/>
              </w:rPr>
            </w:pPr>
            <w:r>
              <w:rPr>
                <w:rFonts w:ascii="Arial" w:cs="Arial" w:eastAsia="Arial" w:hAnsi="Arial"/>
                <w:sz w:val="18"/>
                <w:szCs w:val="18"/>
                <w:color w:val="auto"/>
              </w:rPr>
              <w:t>500,000,000</w:t>
            </w:r>
          </w:p>
        </w:tc>
        <w:tc>
          <w:tcPr>
            <w:tcW w:w="1160" w:type="dxa"/>
            <w:vAlign w:val="bottom"/>
          </w:tcPr>
          <w:p>
            <w:pPr>
              <w:ind w:left="120"/>
              <w:spacing w:after="0"/>
              <w:rPr>
                <w:sz w:val="20"/>
                <w:szCs w:val="20"/>
                <w:color w:val="auto"/>
              </w:rPr>
            </w:pPr>
            <w:r>
              <w:rPr>
                <w:rFonts w:ascii="Arial" w:cs="Arial" w:eastAsia="Arial" w:hAnsi="Arial"/>
                <w:sz w:val="18"/>
                <w:szCs w:val="18"/>
                <w:color w:val="auto"/>
                <w:w w:val="90"/>
              </w:rPr>
              <w:t>A$40,000,000</w:t>
            </w:r>
          </w:p>
        </w:tc>
        <w:tc>
          <w:tcPr>
            <w:tcW w:w="0" w:type="dxa"/>
            <w:vAlign w:val="bottom"/>
          </w:tcPr>
          <w:p>
            <w:pPr>
              <w:spacing w:after="0"/>
              <w:rPr>
                <w:sz w:val="1"/>
                <w:szCs w:val="1"/>
                <w:color w:val="auto"/>
              </w:rPr>
            </w:pPr>
          </w:p>
        </w:tc>
      </w:tr>
      <w:tr>
        <w:trPr>
          <w:trHeight w:val="216"/>
        </w:trPr>
        <w:tc>
          <w:tcPr>
            <w:tcW w:w="1780" w:type="dxa"/>
            <w:vAlign w:val="bottom"/>
          </w:tcPr>
          <w:p>
            <w:pPr>
              <w:spacing w:after="0"/>
              <w:rPr>
                <w:sz w:val="18"/>
                <w:szCs w:val="18"/>
                <w:color w:val="auto"/>
              </w:rPr>
            </w:pPr>
          </w:p>
        </w:tc>
        <w:tc>
          <w:tcPr>
            <w:tcW w:w="6540" w:type="dxa"/>
            <w:vAlign w:val="bottom"/>
          </w:tcPr>
          <w:p>
            <w:pPr>
              <w:ind w:left="420"/>
              <w:spacing w:after="0"/>
              <w:rPr>
                <w:sz w:val="20"/>
                <w:szCs w:val="20"/>
                <w:color w:val="auto"/>
              </w:rPr>
            </w:pPr>
            <w:r>
              <w:rPr>
                <w:rFonts w:ascii="Arial" w:cs="Arial" w:eastAsia="Arial" w:hAnsi="Arial"/>
                <w:sz w:val="18"/>
                <w:szCs w:val="18"/>
                <w:color w:val="auto"/>
              </w:rPr>
              <w:t>A$0.080 per share, raising gross proceeds of A$40,000,000 and incurring</w:t>
            </w:r>
          </w:p>
        </w:tc>
        <w:tc>
          <w:tcPr>
            <w:tcW w:w="12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80" w:type="dxa"/>
            <w:vAlign w:val="bottom"/>
          </w:tcPr>
          <w:p>
            <w:pPr>
              <w:spacing w:after="0"/>
              <w:rPr>
                <w:sz w:val="18"/>
                <w:szCs w:val="18"/>
                <w:color w:val="auto"/>
              </w:rPr>
            </w:pPr>
          </w:p>
        </w:tc>
        <w:tc>
          <w:tcPr>
            <w:tcW w:w="6540" w:type="dxa"/>
            <w:vAlign w:val="bottom"/>
          </w:tcPr>
          <w:p>
            <w:pPr>
              <w:ind w:left="420"/>
              <w:spacing w:after="0"/>
              <w:rPr>
                <w:sz w:val="20"/>
                <w:szCs w:val="20"/>
                <w:color w:val="auto"/>
              </w:rPr>
            </w:pPr>
            <w:r>
              <w:rPr>
                <w:rFonts w:ascii="Arial" w:cs="Arial" w:eastAsia="Arial" w:hAnsi="Arial"/>
                <w:sz w:val="18"/>
                <w:szCs w:val="18"/>
                <w:color w:val="auto"/>
              </w:rPr>
              <w:t>A$2,923,858 in expenses.</w:t>
            </w:r>
          </w:p>
        </w:tc>
        <w:tc>
          <w:tcPr>
            <w:tcW w:w="12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80" w:type="dxa"/>
            <w:vAlign w:val="bottom"/>
          </w:tcPr>
          <w:p>
            <w:pPr>
              <w:spacing w:after="0"/>
              <w:rPr>
                <w:sz w:val="20"/>
                <w:szCs w:val="20"/>
                <w:color w:val="auto"/>
              </w:rPr>
            </w:pPr>
            <w:r>
              <w:rPr>
                <w:rFonts w:ascii="Arial" w:cs="Arial" w:eastAsia="Arial" w:hAnsi="Arial"/>
                <w:sz w:val="18"/>
                <w:szCs w:val="18"/>
                <w:color w:val="auto"/>
              </w:rPr>
              <w:t>June 6, 2018</w:t>
            </w:r>
          </w:p>
        </w:tc>
        <w:tc>
          <w:tcPr>
            <w:tcW w:w="6540" w:type="dxa"/>
            <w:vAlign w:val="bottom"/>
          </w:tcPr>
          <w:p>
            <w:pPr>
              <w:ind w:left="420"/>
              <w:spacing w:after="0"/>
              <w:rPr>
                <w:sz w:val="20"/>
                <w:szCs w:val="20"/>
                <w:color w:val="auto"/>
              </w:rPr>
            </w:pPr>
            <w:r>
              <w:rPr>
                <w:rFonts w:ascii="Arial" w:cs="Arial" w:eastAsia="Arial" w:hAnsi="Arial"/>
                <w:sz w:val="18"/>
                <w:szCs w:val="18"/>
                <w:color w:val="auto"/>
              </w:rPr>
              <w:t>We sold 320,475,665 Ordinary Shares to institutional investors at a price of</w:t>
            </w:r>
          </w:p>
        </w:tc>
        <w:tc>
          <w:tcPr>
            <w:tcW w:w="1260" w:type="dxa"/>
            <w:vAlign w:val="bottom"/>
          </w:tcPr>
          <w:p>
            <w:pPr>
              <w:ind w:left="140"/>
              <w:spacing w:after="0"/>
              <w:rPr>
                <w:sz w:val="20"/>
                <w:szCs w:val="20"/>
                <w:color w:val="auto"/>
              </w:rPr>
            </w:pPr>
            <w:r>
              <w:rPr>
                <w:rFonts w:ascii="Arial" w:cs="Arial" w:eastAsia="Arial" w:hAnsi="Arial"/>
                <w:sz w:val="18"/>
                <w:szCs w:val="18"/>
                <w:color w:val="auto"/>
              </w:rPr>
              <w:t>320,475,665</w:t>
            </w:r>
          </w:p>
        </w:tc>
        <w:tc>
          <w:tcPr>
            <w:tcW w:w="1160" w:type="dxa"/>
            <w:vAlign w:val="bottom"/>
          </w:tcPr>
          <w:p>
            <w:pPr>
              <w:ind w:left="120"/>
              <w:spacing w:after="0"/>
              <w:rPr>
                <w:sz w:val="20"/>
                <w:szCs w:val="20"/>
                <w:color w:val="auto"/>
              </w:rPr>
            </w:pPr>
            <w:r>
              <w:rPr>
                <w:rFonts w:ascii="Arial" w:cs="Arial" w:eastAsia="Arial" w:hAnsi="Arial"/>
                <w:sz w:val="18"/>
                <w:szCs w:val="18"/>
                <w:color w:val="auto"/>
                <w:w w:val="90"/>
              </w:rPr>
              <w:t>A$16,023,783</w:t>
            </w:r>
          </w:p>
        </w:tc>
        <w:tc>
          <w:tcPr>
            <w:tcW w:w="0" w:type="dxa"/>
            <w:vAlign w:val="bottom"/>
          </w:tcPr>
          <w:p>
            <w:pPr>
              <w:spacing w:after="0"/>
              <w:rPr>
                <w:sz w:val="1"/>
                <w:szCs w:val="1"/>
                <w:color w:val="auto"/>
              </w:rPr>
            </w:pPr>
          </w:p>
        </w:tc>
      </w:tr>
      <w:tr>
        <w:trPr>
          <w:trHeight w:val="216"/>
        </w:trPr>
        <w:tc>
          <w:tcPr>
            <w:tcW w:w="1780" w:type="dxa"/>
            <w:vAlign w:val="bottom"/>
          </w:tcPr>
          <w:p>
            <w:pPr>
              <w:spacing w:after="0"/>
              <w:rPr>
                <w:sz w:val="18"/>
                <w:szCs w:val="18"/>
                <w:color w:val="auto"/>
              </w:rPr>
            </w:pPr>
          </w:p>
        </w:tc>
        <w:tc>
          <w:tcPr>
            <w:tcW w:w="6540" w:type="dxa"/>
            <w:vAlign w:val="bottom"/>
          </w:tcPr>
          <w:p>
            <w:pPr>
              <w:ind w:left="420"/>
              <w:spacing w:after="0"/>
              <w:rPr>
                <w:sz w:val="20"/>
                <w:szCs w:val="20"/>
                <w:color w:val="auto"/>
              </w:rPr>
            </w:pPr>
            <w:r>
              <w:rPr>
                <w:rFonts w:ascii="Arial" w:cs="Arial" w:eastAsia="Arial" w:hAnsi="Arial"/>
                <w:sz w:val="18"/>
                <w:szCs w:val="18"/>
                <w:color w:val="auto"/>
              </w:rPr>
              <w:t>A$0.050 per share, raising gross proceeds of A$16,023,783 and incurring</w:t>
            </w:r>
          </w:p>
        </w:tc>
        <w:tc>
          <w:tcPr>
            <w:tcW w:w="12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80" w:type="dxa"/>
            <w:vAlign w:val="bottom"/>
          </w:tcPr>
          <w:p>
            <w:pPr>
              <w:spacing w:after="0"/>
              <w:rPr>
                <w:sz w:val="18"/>
                <w:szCs w:val="18"/>
                <w:color w:val="auto"/>
              </w:rPr>
            </w:pPr>
          </w:p>
        </w:tc>
        <w:tc>
          <w:tcPr>
            <w:tcW w:w="6540" w:type="dxa"/>
            <w:vAlign w:val="bottom"/>
          </w:tcPr>
          <w:p>
            <w:pPr>
              <w:ind w:left="420"/>
              <w:spacing w:after="0"/>
              <w:rPr>
                <w:sz w:val="20"/>
                <w:szCs w:val="20"/>
                <w:color w:val="auto"/>
              </w:rPr>
            </w:pPr>
            <w:r>
              <w:rPr>
                <w:rFonts w:ascii="Arial" w:cs="Arial" w:eastAsia="Arial" w:hAnsi="Arial"/>
                <w:sz w:val="18"/>
                <w:szCs w:val="18"/>
                <w:color w:val="auto"/>
              </w:rPr>
              <w:t>A$1,042,720 in expenses.</w:t>
            </w:r>
          </w:p>
        </w:tc>
        <w:tc>
          <w:tcPr>
            <w:tcW w:w="12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80" w:type="dxa"/>
            <w:vAlign w:val="bottom"/>
          </w:tcPr>
          <w:p>
            <w:pPr>
              <w:spacing w:after="0"/>
              <w:rPr>
                <w:sz w:val="20"/>
                <w:szCs w:val="20"/>
                <w:color w:val="auto"/>
              </w:rPr>
            </w:pPr>
            <w:r>
              <w:rPr>
                <w:rFonts w:ascii="Arial" w:cs="Arial" w:eastAsia="Arial" w:hAnsi="Arial"/>
                <w:sz w:val="18"/>
                <w:szCs w:val="18"/>
                <w:color w:val="auto"/>
              </w:rPr>
              <w:t>November 7, 2017</w:t>
            </w:r>
          </w:p>
        </w:tc>
        <w:tc>
          <w:tcPr>
            <w:tcW w:w="6540" w:type="dxa"/>
            <w:vAlign w:val="bottom"/>
          </w:tcPr>
          <w:p>
            <w:pPr>
              <w:ind w:left="420"/>
              <w:spacing w:after="0"/>
              <w:rPr>
                <w:sz w:val="20"/>
                <w:szCs w:val="20"/>
                <w:color w:val="auto"/>
              </w:rPr>
            </w:pPr>
            <w:r>
              <w:rPr>
                <w:rFonts w:ascii="Arial" w:cs="Arial" w:eastAsia="Arial" w:hAnsi="Arial"/>
                <w:sz w:val="18"/>
                <w:szCs w:val="18"/>
                <w:color w:val="auto"/>
                <w:w w:val="92"/>
              </w:rPr>
              <w:t>We sold 276,502,853 Ordinary Shares in a rights offering at a price of A$0.045 per</w:t>
            </w:r>
          </w:p>
        </w:tc>
        <w:tc>
          <w:tcPr>
            <w:tcW w:w="1260" w:type="dxa"/>
            <w:vAlign w:val="bottom"/>
          </w:tcPr>
          <w:p>
            <w:pPr>
              <w:ind w:left="140"/>
              <w:spacing w:after="0"/>
              <w:rPr>
                <w:sz w:val="20"/>
                <w:szCs w:val="20"/>
                <w:color w:val="auto"/>
              </w:rPr>
            </w:pPr>
            <w:r>
              <w:rPr>
                <w:rFonts w:ascii="Arial" w:cs="Arial" w:eastAsia="Arial" w:hAnsi="Arial"/>
                <w:sz w:val="18"/>
                <w:szCs w:val="18"/>
                <w:color w:val="auto"/>
              </w:rPr>
              <w:t>276,502,853</w:t>
            </w:r>
          </w:p>
        </w:tc>
        <w:tc>
          <w:tcPr>
            <w:tcW w:w="1160" w:type="dxa"/>
            <w:vAlign w:val="bottom"/>
          </w:tcPr>
          <w:p>
            <w:pPr>
              <w:ind w:left="120"/>
              <w:spacing w:after="0"/>
              <w:rPr>
                <w:sz w:val="20"/>
                <w:szCs w:val="20"/>
                <w:color w:val="auto"/>
              </w:rPr>
            </w:pPr>
            <w:r>
              <w:rPr>
                <w:rFonts w:ascii="Arial" w:cs="Arial" w:eastAsia="Arial" w:hAnsi="Arial"/>
                <w:sz w:val="18"/>
                <w:szCs w:val="18"/>
                <w:color w:val="auto"/>
                <w:w w:val="90"/>
              </w:rPr>
              <w:t>A$12,442,628</w:t>
            </w:r>
          </w:p>
        </w:tc>
        <w:tc>
          <w:tcPr>
            <w:tcW w:w="0" w:type="dxa"/>
            <w:vAlign w:val="bottom"/>
          </w:tcPr>
          <w:p>
            <w:pPr>
              <w:spacing w:after="0"/>
              <w:rPr>
                <w:sz w:val="1"/>
                <w:szCs w:val="1"/>
                <w:color w:val="auto"/>
              </w:rPr>
            </w:pPr>
          </w:p>
        </w:tc>
      </w:tr>
      <w:tr>
        <w:trPr>
          <w:trHeight w:val="216"/>
        </w:trPr>
        <w:tc>
          <w:tcPr>
            <w:tcW w:w="1780" w:type="dxa"/>
            <w:vAlign w:val="bottom"/>
          </w:tcPr>
          <w:p>
            <w:pPr>
              <w:spacing w:after="0"/>
              <w:rPr>
                <w:sz w:val="18"/>
                <w:szCs w:val="18"/>
                <w:color w:val="auto"/>
              </w:rPr>
            </w:pPr>
          </w:p>
        </w:tc>
        <w:tc>
          <w:tcPr>
            <w:tcW w:w="6540" w:type="dxa"/>
            <w:vAlign w:val="bottom"/>
          </w:tcPr>
          <w:p>
            <w:pPr>
              <w:ind w:left="420"/>
              <w:spacing w:after="0"/>
              <w:rPr>
                <w:sz w:val="20"/>
                <w:szCs w:val="20"/>
                <w:color w:val="auto"/>
              </w:rPr>
            </w:pPr>
            <w:r>
              <w:rPr>
                <w:rFonts w:ascii="Arial" w:cs="Arial" w:eastAsia="Arial" w:hAnsi="Arial"/>
                <w:sz w:val="18"/>
                <w:szCs w:val="18"/>
                <w:color w:val="auto"/>
              </w:rPr>
              <w:t>share raising gross proceeds of A$12,442,628 and incurring A$636,067 in</w:t>
            </w:r>
          </w:p>
        </w:tc>
        <w:tc>
          <w:tcPr>
            <w:tcW w:w="12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780" w:type="dxa"/>
            <w:vAlign w:val="bottom"/>
          </w:tcPr>
          <w:p>
            <w:pPr>
              <w:spacing w:after="0"/>
              <w:rPr>
                <w:sz w:val="20"/>
                <w:szCs w:val="20"/>
                <w:color w:val="auto"/>
              </w:rPr>
            </w:pPr>
          </w:p>
        </w:tc>
        <w:tc>
          <w:tcPr>
            <w:tcW w:w="6540" w:type="dxa"/>
            <w:vAlign w:val="bottom"/>
          </w:tcPr>
          <w:p>
            <w:pPr>
              <w:ind w:left="420"/>
              <w:spacing w:after="0"/>
              <w:rPr>
                <w:sz w:val="20"/>
                <w:szCs w:val="20"/>
                <w:color w:val="auto"/>
              </w:rPr>
            </w:pPr>
            <w:r>
              <w:rPr>
                <w:rFonts w:ascii="Arial" w:cs="Arial" w:eastAsia="Arial" w:hAnsi="Arial"/>
                <w:sz w:val="18"/>
                <w:szCs w:val="18"/>
                <w:color w:val="auto"/>
              </w:rPr>
              <w:t>expenses.</w:t>
            </w:r>
          </w:p>
        </w:tc>
        <w:tc>
          <w:tcPr>
            <w:tcW w:w="126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65"/>
        </w:trPr>
        <w:tc>
          <w:tcPr>
            <w:tcW w:w="1780" w:type="dxa"/>
            <w:vAlign w:val="bottom"/>
          </w:tcPr>
          <w:p>
            <w:pPr>
              <w:spacing w:after="0"/>
              <w:rPr>
                <w:sz w:val="24"/>
                <w:szCs w:val="24"/>
                <w:color w:val="auto"/>
              </w:rPr>
            </w:pPr>
          </w:p>
        </w:tc>
        <w:tc>
          <w:tcPr>
            <w:tcW w:w="6540" w:type="dxa"/>
            <w:vAlign w:val="bottom"/>
          </w:tcPr>
          <w:p>
            <w:pPr>
              <w:ind w:left="3640"/>
              <w:spacing w:after="0"/>
              <w:rPr>
                <w:sz w:val="20"/>
                <w:szCs w:val="20"/>
                <w:color w:val="auto"/>
              </w:rPr>
            </w:pPr>
            <w:r>
              <w:rPr>
                <w:rFonts w:ascii="Arial" w:cs="Arial" w:eastAsia="Arial" w:hAnsi="Arial"/>
                <w:sz w:val="18"/>
                <w:szCs w:val="18"/>
                <w:color w:val="auto"/>
              </w:rPr>
              <w:t>73</w:t>
            </w:r>
          </w:p>
        </w:tc>
        <w:tc>
          <w:tcPr>
            <w:tcW w:w="12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180"/>
          </w:cols>
          <w:pgMar w:left="240" w:top="459" w:right="479" w:bottom="1440" w:gutter="0" w:footer="0" w:header="0"/>
        </w:sectPr>
      </w:pPr>
    </w:p>
    <w:bookmarkStart w:id="75" w:name="page76"/>
    <w:bookmarkEnd w:id="7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89" w:lineRule="exact"/>
        <w:rPr>
          <w:sz w:val="20"/>
          <w:szCs w:val="20"/>
          <w:color w:val="auto"/>
        </w:rPr>
      </w:pPr>
    </w:p>
    <w:tbl>
      <w:tblPr>
        <w:tblLayout w:type="fixed"/>
        <w:tblInd w:w="200" w:type="dxa"/>
        <w:tblCellMar>
          <w:top w:w="0" w:type="dxa"/>
          <w:left w:w="0" w:type="dxa"/>
          <w:bottom w:w="0" w:type="dxa"/>
          <w:right w:w="0" w:type="dxa"/>
        </w:tblCellMar>
      </w:tblPr>
      <w:tr>
        <w:trPr>
          <w:trHeight w:val="161"/>
        </w:trPr>
        <w:tc>
          <w:tcPr>
            <w:tcW w:w="1720" w:type="dxa"/>
            <w:vAlign w:val="bottom"/>
          </w:tcPr>
          <w:p>
            <w:pPr>
              <w:spacing w:after="0"/>
              <w:rPr>
                <w:sz w:val="14"/>
                <w:szCs w:val="14"/>
                <w:color w:val="auto"/>
              </w:rPr>
            </w:pPr>
          </w:p>
        </w:tc>
        <w:tc>
          <w:tcPr>
            <w:tcW w:w="2020" w:type="dxa"/>
            <w:vAlign w:val="bottom"/>
          </w:tcPr>
          <w:p>
            <w:pPr>
              <w:spacing w:after="0"/>
              <w:rPr>
                <w:sz w:val="14"/>
                <w:szCs w:val="14"/>
                <w:color w:val="auto"/>
              </w:rPr>
            </w:pPr>
          </w:p>
        </w:tc>
        <w:tc>
          <w:tcPr>
            <w:tcW w:w="4680" w:type="dxa"/>
            <w:vAlign w:val="bottom"/>
          </w:tcPr>
          <w:p>
            <w:pPr>
              <w:spacing w:after="0"/>
              <w:rPr>
                <w:sz w:val="14"/>
                <w:szCs w:val="14"/>
                <w:color w:val="auto"/>
              </w:rPr>
            </w:pPr>
          </w:p>
        </w:tc>
        <w:tc>
          <w:tcPr>
            <w:tcW w:w="1340" w:type="dxa"/>
            <w:vAlign w:val="bottom"/>
          </w:tcPr>
          <w:p>
            <w:pPr>
              <w:jc w:val="center"/>
              <w:ind w:left="201"/>
              <w:spacing w:after="0"/>
              <w:rPr>
                <w:sz w:val="20"/>
                <w:szCs w:val="20"/>
                <w:color w:val="auto"/>
              </w:rPr>
            </w:pPr>
            <w:r>
              <w:rPr>
                <w:rFonts w:ascii="Arial" w:cs="Arial" w:eastAsia="Arial" w:hAnsi="Arial"/>
                <w:sz w:val="14"/>
                <w:szCs w:val="14"/>
                <w:b w:val="1"/>
                <w:bCs w:val="1"/>
                <w:color w:val="auto"/>
                <w:w w:val="94"/>
              </w:rPr>
              <w:t>Number of</w:t>
            </w:r>
          </w:p>
        </w:tc>
        <w:tc>
          <w:tcPr>
            <w:tcW w:w="1060" w:type="dxa"/>
            <w:vAlign w:val="bottom"/>
            <w:vMerge w:val="restart"/>
          </w:tcPr>
          <w:p>
            <w:pPr>
              <w:ind w:left="54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44"/>
        </w:trPr>
        <w:tc>
          <w:tcPr>
            <w:tcW w:w="1720" w:type="dxa"/>
            <w:vAlign w:val="bottom"/>
            <w:vMerge w:val="restart"/>
          </w:tcPr>
          <w:p>
            <w:pPr>
              <w:ind w:left="840"/>
              <w:spacing w:after="0"/>
              <w:rPr>
                <w:sz w:val="20"/>
                <w:szCs w:val="20"/>
                <w:color w:val="auto"/>
              </w:rPr>
            </w:pPr>
            <w:r>
              <w:rPr>
                <w:rFonts w:ascii="Arial" w:cs="Arial" w:eastAsia="Arial" w:hAnsi="Arial"/>
                <w:sz w:val="14"/>
                <w:szCs w:val="14"/>
                <w:b w:val="1"/>
                <w:bCs w:val="1"/>
                <w:color w:val="auto"/>
              </w:rPr>
              <w:t>Date</w:t>
            </w:r>
          </w:p>
        </w:tc>
        <w:tc>
          <w:tcPr>
            <w:tcW w:w="2020" w:type="dxa"/>
            <w:vAlign w:val="bottom"/>
          </w:tcPr>
          <w:p>
            <w:pPr>
              <w:spacing w:after="0"/>
              <w:rPr>
                <w:sz w:val="12"/>
                <w:szCs w:val="12"/>
                <w:color w:val="auto"/>
              </w:rPr>
            </w:pPr>
          </w:p>
        </w:tc>
        <w:tc>
          <w:tcPr>
            <w:tcW w:w="4680" w:type="dxa"/>
            <w:vAlign w:val="bottom"/>
            <w:vMerge w:val="restart"/>
          </w:tcPr>
          <w:p>
            <w:pPr>
              <w:ind w:left="880"/>
              <w:spacing w:after="0"/>
              <w:rPr>
                <w:sz w:val="20"/>
                <w:szCs w:val="20"/>
                <w:color w:val="auto"/>
              </w:rPr>
            </w:pPr>
            <w:r>
              <w:rPr>
                <w:rFonts w:ascii="Arial" w:cs="Arial" w:eastAsia="Arial" w:hAnsi="Arial"/>
                <w:sz w:val="14"/>
                <w:szCs w:val="14"/>
                <w:b w:val="1"/>
                <w:bCs w:val="1"/>
                <w:color w:val="auto"/>
              </w:rPr>
              <w:t>Description of Issuance</w:t>
            </w:r>
          </w:p>
        </w:tc>
        <w:tc>
          <w:tcPr>
            <w:tcW w:w="1340" w:type="dxa"/>
            <w:vAlign w:val="bottom"/>
          </w:tcPr>
          <w:p>
            <w:pPr>
              <w:jc w:val="center"/>
              <w:ind w:left="201"/>
              <w:spacing w:after="0" w:line="145" w:lineRule="exact"/>
              <w:rPr>
                <w:sz w:val="20"/>
                <w:szCs w:val="20"/>
                <w:color w:val="auto"/>
              </w:rPr>
            </w:pPr>
            <w:r>
              <w:rPr>
                <w:rFonts w:ascii="Arial" w:cs="Arial" w:eastAsia="Arial" w:hAnsi="Arial"/>
                <w:sz w:val="14"/>
                <w:szCs w:val="14"/>
                <w:b w:val="1"/>
                <w:bCs w:val="1"/>
                <w:color w:val="auto"/>
                <w:w w:val="99"/>
              </w:rPr>
              <w:t>Ordinary</w:t>
            </w:r>
          </w:p>
        </w:tc>
        <w:tc>
          <w:tcPr>
            <w:tcW w:w="106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61"/>
        </w:trPr>
        <w:tc>
          <w:tcPr>
            <w:tcW w:w="1720" w:type="dxa"/>
            <w:vAlign w:val="bottom"/>
            <w:vMerge w:val="continue"/>
          </w:tcPr>
          <w:p>
            <w:pPr>
              <w:spacing w:after="0"/>
              <w:rPr>
                <w:sz w:val="14"/>
                <w:szCs w:val="14"/>
                <w:color w:val="auto"/>
              </w:rPr>
            </w:pPr>
          </w:p>
        </w:tc>
        <w:tc>
          <w:tcPr>
            <w:tcW w:w="2020" w:type="dxa"/>
            <w:vAlign w:val="bottom"/>
          </w:tcPr>
          <w:p>
            <w:pPr>
              <w:spacing w:after="0"/>
              <w:rPr>
                <w:sz w:val="14"/>
                <w:szCs w:val="14"/>
                <w:color w:val="auto"/>
              </w:rPr>
            </w:pPr>
          </w:p>
        </w:tc>
        <w:tc>
          <w:tcPr>
            <w:tcW w:w="4680" w:type="dxa"/>
            <w:vAlign w:val="bottom"/>
            <w:vMerge w:val="continue"/>
          </w:tcPr>
          <w:p>
            <w:pPr>
              <w:spacing w:after="0"/>
              <w:rPr>
                <w:sz w:val="14"/>
                <w:szCs w:val="14"/>
                <w:color w:val="auto"/>
              </w:rPr>
            </w:pPr>
          </w:p>
        </w:tc>
        <w:tc>
          <w:tcPr>
            <w:tcW w:w="1340" w:type="dxa"/>
            <w:vAlign w:val="bottom"/>
          </w:tcPr>
          <w:p>
            <w:pPr>
              <w:jc w:val="center"/>
              <w:ind w:left="181"/>
              <w:spacing w:after="0"/>
              <w:rPr>
                <w:sz w:val="20"/>
                <w:szCs w:val="20"/>
                <w:color w:val="auto"/>
              </w:rPr>
            </w:pPr>
            <w:r>
              <w:rPr>
                <w:rFonts w:ascii="Arial" w:cs="Arial" w:eastAsia="Arial" w:hAnsi="Arial"/>
                <w:sz w:val="14"/>
                <w:szCs w:val="14"/>
                <w:b w:val="1"/>
                <w:bCs w:val="1"/>
                <w:color w:val="auto"/>
                <w:w w:val="88"/>
              </w:rPr>
              <w:t>Shares Issued</w:t>
            </w:r>
          </w:p>
        </w:tc>
        <w:tc>
          <w:tcPr>
            <w:tcW w:w="1060" w:type="dxa"/>
            <w:vAlign w:val="bottom"/>
          </w:tcPr>
          <w:p>
            <w:pPr>
              <w:ind w:left="560"/>
              <w:spacing w:after="0"/>
              <w:rPr>
                <w:sz w:val="20"/>
                <w:szCs w:val="20"/>
                <w:color w:val="auto"/>
              </w:rPr>
            </w:pPr>
            <w:r>
              <w:rPr>
                <w:rFonts w:ascii="Arial" w:cs="Arial" w:eastAsia="Arial" w:hAnsi="Arial"/>
                <w:sz w:val="14"/>
                <w:szCs w:val="14"/>
                <w:b w:val="1"/>
                <w:bCs w:val="1"/>
                <w:color w:val="auto"/>
              </w:rPr>
              <w:t>(A$)</w:t>
            </w:r>
          </w:p>
        </w:tc>
        <w:tc>
          <w:tcPr>
            <w:tcW w:w="0" w:type="dxa"/>
            <w:vAlign w:val="bottom"/>
          </w:tcPr>
          <w:p>
            <w:pPr>
              <w:spacing w:after="0"/>
              <w:rPr>
                <w:sz w:val="1"/>
                <w:szCs w:val="1"/>
                <w:color w:val="auto"/>
              </w:rPr>
            </w:pPr>
          </w:p>
        </w:tc>
      </w:tr>
      <w:tr>
        <w:trPr>
          <w:trHeight w:val="216"/>
        </w:trPr>
        <w:tc>
          <w:tcPr>
            <w:tcW w:w="1720" w:type="dxa"/>
            <w:vAlign w:val="bottom"/>
          </w:tcPr>
          <w:p>
            <w:pPr>
              <w:spacing w:after="0"/>
              <w:rPr>
                <w:sz w:val="20"/>
                <w:szCs w:val="20"/>
                <w:color w:val="auto"/>
              </w:rPr>
            </w:pPr>
            <w:r>
              <w:rPr>
                <w:rFonts w:ascii="Arial" w:cs="Arial" w:eastAsia="Arial" w:hAnsi="Arial"/>
                <w:sz w:val="18"/>
                <w:szCs w:val="18"/>
                <w:color w:val="auto"/>
              </w:rPr>
              <w:t>October 11, 2017</w:t>
            </w:r>
          </w:p>
        </w:tc>
        <w:tc>
          <w:tcPr>
            <w:tcW w:w="2020" w:type="dxa"/>
            <w:vAlign w:val="bottom"/>
          </w:tcPr>
          <w:p>
            <w:pPr>
              <w:ind w:left="480"/>
              <w:spacing w:after="0"/>
              <w:rPr>
                <w:sz w:val="20"/>
                <w:szCs w:val="20"/>
                <w:color w:val="auto"/>
              </w:rPr>
            </w:pPr>
            <w:r>
              <w:rPr>
                <w:rFonts w:ascii="Arial" w:cs="Arial" w:eastAsia="Arial" w:hAnsi="Arial"/>
                <w:sz w:val="18"/>
                <w:szCs w:val="18"/>
                <w:color w:val="auto"/>
                <w:w w:val="89"/>
              </w:rPr>
              <w:t>We sold 100,982,978</w:t>
            </w:r>
          </w:p>
        </w:tc>
        <w:tc>
          <w:tcPr>
            <w:tcW w:w="4680" w:type="dxa"/>
            <w:vAlign w:val="bottom"/>
          </w:tcPr>
          <w:p>
            <w:pPr>
              <w:ind w:left="20"/>
              <w:spacing w:after="0"/>
              <w:rPr>
                <w:sz w:val="20"/>
                <w:szCs w:val="20"/>
                <w:color w:val="auto"/>
              </w:rPr>
            </w:pPr>
            <w:r>
              <w:rPr>
                <w:rFonts w:ascii="Arial" w:cs="Arial" w:eastAsia="Arial" w:hAnsi="Arial"/>
                <w:sz w:val="18"/>
                <w:szCs w:val="18"/>
                <w:color w:val="auto"/>
                <w:w w:val="94"/>
              </w:rPr>
              <w:t>Ordinary Shares at a price of A$0.045 per share raising gross</w:t>
            </w:r>
          </w:p>
        </w:tc>
        <w:tc>
          <w:tcPr>
            <w:tcW w:w="1340" w:type="dxa"/>
            <w:vAlign w:val="bottom"/>
          </w:tcPr>
          <w:p>
            <w:pPr>
              <w:jc w:val="right"/>
              <w:ind w:right="101"/>
              <w:spacing w:after="0"/>
              <w:rPr>
                <w:sz w:val="20"/>
                <w:szCs w:val="20"/>
                <w:color w:val="auto"/>
              </w:rPr>
            </w:pPr>
            <w:r>
              <w:rPr>
                <w:rFonts w:ascii="Arial" w:cs="Arial" w:eastAsia="Arial" w:hAnsi="Arial"/>
                <w:sz w:val="18"/>
                <w:szCs w:val="18"/>
                <w:color w:val="auto"/>
              </w:rPr>
              <w:t>100,982,978</w:t>
            </w:r>
          </w:p>
        </w:tc>
        <w:tc>
          <w:tcPr>
            <w:tcW w:w="1060" w:type="dxa"/>
            <w:vAlign w:val="bottom"/>
          </w:tcPr>
          <w:p>
            <w:pPr>
              <w:ind w:left="120"/>
              <w:spacing w:after="0"/>
              <w:rPr>
                <w:sz w:val="20"/>
                <w:szCs w:val="20"/>
                <w:color w:val="auto"/>
              </w:rPr>
            </w:pPr>
            <w:r>
              <w:rPr>
                <w:rFonts w:ascii="Arial" w:cs="Arial" w:eastAsia="Arial" w:hAnsi="Arial"/>
                <w:sz w:val="18"/>
                <w:szCs w:val="18"/>
                <w:color w:val="auto"/>
                <w:w w:val="90"/>
              </w:rPr>
              <w:t>A$4,544,234</w:t>
            </w:r>
          </w:p>
        </w:tc>
        <w:tc>
          <w:tcPr>
            <w:tcW w:w="0" w:type="dxa"/>
            <w:vAlign w:val="bottom"/>
          </w:tcPr>
          <w:p>
            <w:pPr>
              <w:spacing w:after="0"/>
              <w:rPr>
                <w:sz w:val="1"/>
                <w:szCs w:val="1"/>
                <w:color w:val="auto"/>
              </w:rPr>
            </w:pPr>
          </w:p>
        </w:tc>
      </w:tr>
      <w:tr>
        <w:trPr>
          <w:trHeight w:val="216"/>
        </w:trPr>
        <w:tc>
          <w:tcPr>
            <w:tcW w:w="1720" w:type="dxa"/>
            <w:vAlign w:val="bottom"/>
          </w:tcPr>
          <w:p>
            <w:pPr>
              <w:spacing w:after="0"/>
              <w:rPr>
                <w:sz w:val="18"/>
                <w:szCs w:val="18"/>
                <w:color w:val="auto"/>
              </w:rPr>
            </w:pPr>
          </w:p>
        </w:tc>
        <w:tc>
          <w:tcPr>
            <w:tcW w:w="6700" w:type="dxa"/>
            <w:vAlign w:val="bottom"/>
            <w:gridSpan w:val="2"/>
          </w:tcPr>
          <w:p>
            <w:pPr>
              <w:ind w:left="480"/>
              <w:spacing w:after="0"/>
              <w:rPr>
                <w:sz w:val="20"/>
                <w:szCs w:val="20"/>
                <w:color w:val="auto"/>
              </w:rPr>
            </w:pPr>
            <w:r>
              <w:rPr>
                <w:rFonts w:ascii="Arial" w:cs="Arial" w:eastAsia="Arial" w:hAnsi="Arial"/>
                <w:sz w:val="18"/>
                <w:szCs w:val="18"/>
                <w:color w:val="auto"/>
              </w:rPr>
              <w:t>proceeds of A$4,544,234 and incurring A$248,720 in expenses.</w:t>
            </w:r>
          </w:p>
        </w:tc>
        <w:tc>
          <w:tcPr>
            <w:tcW w:w="13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20" w:type="dxa"/>
            <w:vAlign w:val="bottom"/>
          </w:tcPr>
          <w:p>
            <w:pPr>
              <w:spacing w:after="0"/>
              <w:rPr>
                <w:sz w:val="20"/>
                <w:szCs w:val="20"/>
                <w:color w:val="auto"/>
              </w:rPr>
            </w:pPr>
            <w:r>
              <w:rPr>
                <w:rFonts w:ascii="Arial" w:cs="Arial" w:eastAsia="Arial" w:hAnsi="Arial"/>
                <w:sz w:val="18"/>
                <w:szCs w:val="18"/>
                <w:color w:val="auto"/>
              </w:rPr>
              <w:t>July 11, 2016</w:t>
            </w:r>
          </w:p>
        </w:tc>
        <w:tc>
          <w:tcPr>
            <w:tcW w:w="2020" w:type="dxa"/>
            <w:vAlign w:val="bottom"/>
          </w:tcPr>
          <w:p>
            <w:pPr>
              <w:ind w:left="480"/>
              <w:spacing w:after="0"/>
              <w:rPr>
                <w:sz w:val="20"/>
                <w:szCs w:val="20"/>
                <w:color w:val="auto"/>
              </w:rPr>
            </w:pPr>
            <w:r>
              <w:rPr>
                <w:rFonts w:ascii="Arial" w:cs="Arial" w:eastAsia="Arial" w:hAnsi="Arial"/>
                <w:sz w:val="18"/>
                <w:szCs w:val="18"/>
                <w:color w:val="auto"/>
                <w:w w:val="89"/>
              </w:rPr>
              <w:t>We sold 100,164,831</w:t>
            </w:r>
          </w:p>
        </w:tc>
        <w:tc>
          <w:tcPr>
            <w:tcW w:w="4680" w:type="dxa"/>
            <w:vAlign w:val="bottom"/>
          </w:tcPr>
          <w:p>
            <w:pPr>
              <w:ind w:left="20"/>
              <w:spacing w:after="0"/>
              <w:rPr>
                <w:sz w:val="20"/>
                <w:szCs w:val="20"/>
                <w:color w:val="auto"/>
              </w:rPr>
            </w:pPr>
            <w:r>
              <w:rPr>
                <w:rFonts w:ascii="Arial" w:cs="Arial" w:eastAsia="Arial" w:hAnsi="Arial"/>
                <w:sz w:val="18"/>
                <w:szCs w:val="18"/>
                <w:color w:val="auto"/>
                <w:w w:val="96"/>
              </w:rPr>
              <w:t>Ordinary Shares at a price of A$0.09 per share raising gross</w:t>
            </w:r>
          </w:p>
        </w:tc>
        <w:tc>
          <w:tcPr>
            <w:tcW w:w="1340" w:type="dxa"/>
            <w:vAlign w:val="bottom"/>
          </w:tcPr>
          <w:p>
            <w:pPr>
              <w:jc w:val="right"/>
              <w:ind w:right="101"/>
              <w:spacing w:after="0"/>
              <w:rPr>
                <w:sz w:val="20"/>
                <w:szCs w:val="20"/>
                <w:color w:val="auto"/>
              </w:rPr>
            </w:pPr>
            <w:r>
              <w:rPr>
                <w:rFonts w:ascii="Arial" w:cs="Arial" w:eastAsia="Arial" w:hAnsi="Arial"/>
                <w:sz w:val="18"/>
                <w:szCs w:val="18"/>
                <w:color w:val="auto"/>
              </w:rPr>
              <w:t>100,164,831</w:t>
            </w:r>
          </w:p>
        </w:tc>
        <w:tc>
          <w:tcPr>
            <w:tcW w:w="1060" w:type="dxa"/>
            <w:vAlign w:val="bottom"/>
          </w:tcPr>
          <w:p>
            <w:pPr>
              <w:ind w:left="120"/>
              <w:spacing w:after="0"/>
              <w:rPr>
                <w:sz w:val="20"/>
                <w:szCs w:val="20"/>
                <w:color w:val="auto"/>
              </w:rPr>
            </w:pPr>
            <w:r>
              <w:rPr>
                <w:rFonts w:ascii="Arial" w:cs="Arial" w:eastAsia="Arial" w:hAnsi="Arial"/>
                <w:sz w:val="18"/>
                <w:szCs w:val="18"/>
                <w:color w:val="auto"/>
                <w:w w:val="90"/>
              </w:rPr>
              <w:t>A$9,048,102</w:t>
            </w:r>
          </w:p>
        </w:tc>
        <w:tc>
          <w:tcPr>
            <w:tcW w:w="0" w:type="dxa"/>
            <w:vAlign w:val="bottom"/>
          </w:tcPr>
          <w:p>
            <w:pPr>
              <w:spacing w:after="0"/>
              <w:rPr>
                <w:sz w:val="1"/>
                <w:szCs w:val="1"/>
                <w:color w:val="auto"/>
              </w:rPr>
            </w:pPr>
          </w:p>
        </w:tc>
      </w:tr>
      <w:tr>
        <w:trPr>
          <w:trHeight w:val="230"/>
        </w:trPr>
        <w:tc>
          <w:tcPr>
            <w:tcW w:w="1720" w:type="dxa"/>
            <w:vAlign w:val="bottom"/>
          </w:tcPr>
          <w:p>
            <w:pPr>
              <w:spacing w:after="0"/>
              <w:rPr>
                <w:sz w:val="20"/>
                <w:szCs w:val="20"/>
                <w:color w:val="auto"/>
              </w:rPr>
            </w:pPr>
          </w:p>
        </w:tc>
        <w:tc>
          <w:tcPr>
            <w:tcW w:w="6700" w:type="dxa"/>
            <w:vAlign w:val="bottom"/>
            <w:gridSpan w:val="2"/>
          </w:tcPr>
          <w:p>
            <w:pPr>
              <w:ind w:left="480"/>
              <w:spacing w:after="0"/>
              <w:rPr>
                <w:sz w:val="20"/>
                <w:szCs w:val="20"/>
                <w:color w:val="auto"/>
              </w:rPr>
            </w:pPr>
            <w:r>
              <w:rPr>
                <w:rFonts w:ascii="Arial" w:cs="Arial" w:eastAsia="Arial" w:hAnsi="Arial"/>
                <w:sz w:val="18"/>
                <w:szCs w:val="18"/>
                <w:color w:val="auto"/>
              </w:rPr>
              <w:t>proceeds of A$9,048,102 and incurring A A$506,452 in expenses.</w:t>
            </w:r>
          </w:p>
        </w:tc>
        <w:tc>
          <w:tcPr>
            <w:tcW w:w="134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306"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B. Memorandum and Articles of Association</w:t>
      </w:r>
    </w:p>
    <w:p>
      <w:pPr>
        <w:spacing w:after="0" w:line="117"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General</w:t>
      </w:r>
    </w:p>
    <w:p>
      <w:pPr>
        <w:spacing w:after="0" w:line="121" w:lineRule="exact"/>
        <w:rPr>
          <w:sz w:val="20"/>
          <w:szCs w:val="20"/>
          <w:color w:val="auto"/>
        </w:rPr>
      </w:pPr>
    </w:p>
    <w:p>
      <w:pPr>
        <w:ind w:left="200" w:right="220" w:firstLine="441"/>
        <w:spacing w:after="0" w:line="264" w:lineRule="auto"/>
        <w:rPr>
          <w:sz w:val="20"/>
          <w:szCs w:val="20"/>
          <w:color w:val="auto"/>
        </w:rPr>
      </w:pPr>
      <w:r>
        <w:rPr>
          <w:rFonts w:ascii="Arial" w:cs="Arial" w:eastAsia="Arial" w:hAnsi="Arial"/>
          <w:sz w:val="18"/>
          <w:szCs w:val="18"/>
          <w:color w:val="auto"/>
        </w:rPr>
        <w:t>Our constituent document is entitled the Company’s “Constitution”. The Constitution is subject to the Listing Rules of the Australian Securities Exchange (“Listing Rules”) and the Australian Corporations Act 2001 (Cth) (“Corporations Act”). The Company may modify or replace its Constitution, or a provision of the Constitution, by special resolution of shareholders.</w:t>
      </w:r>
    </w:p>
    <w:p>
      <w:pPr>
        <w:spacing w:after="0" w:line="28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Objects and Purposes</w:t>
      </w:r>
    </w:p>
    <w:p>
      <w:pPr>
        <w:spacing w:after="0" w:line="121" w:lineRule="exact"/>
        <w:rPr>
          <w:sz w:val="20"/>
          <w:szCs w:val="20"/>
          <w:color w:val="auto"/>
        </w:rPr>
      </w:pPr>
    </w:p>
    <w:p>
      <w:pPr>
        <w:ind w:left="200" w:right="120" w:firstLine="441"/>
        <w:spacing w:after="0" w:line="277" w:lineRule="auto"/>
        <w:rPr>
          <w:sz w:val="20"/>
          <w:szCs w:val="20"/>
          <w:color w:val="auto"/>
        </w:rPr>
      </w:pPr>
      <w:r>
        <w:rPr>
          <w:rFonts w:ascii="Arial" w:cs="Arial" w:eastAsia="Arial" w:hAnsi="Arial"/>
          <w:sz w:val="18"/>
          <w:szCs w:val="18"/>
          <w:color w:val="auto"/>
        </w:rPr>
        <w:t>As a public company we have all the rights, powers and privileges of a natural person. Our Constitution, which is not required to have an objects or purposes clause, does not provide for or prescribe any specific objects or purposes.</w:t>
      </w:r>
    </w:p>
    <w:p>
      <w:pPr>
        <w:spacing w:after="0" w:line="27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The Powers of the Directors</w:t>
      </w:r>
    </w:p>
    <w:p>
      <w:pPr>
        <w:spacing w:after="0" w:line="121" w:lineRule="exact"/>
        <w:rPr>
          <w:sz w:val="20"/>
          <w:szCs w:val="20"/>
          <w:color w:val="auto"/>
        </w:rPr>
      </w:pPr>
    </w:p>
    <w:p>
      <w:pPr>
        <w:ind w:left="640"/>
        <w:spacing w:after="0"/>
        <w:rPr>
          <w:sz w:val="20"/>
          <w:szCs w:val="20"/>
          <w:color w:val="auto"/>
        </w:rPr>
      </w:pPr>
      <w:r>
        <w:rPr>
          <w:rFonts w:ascii="Arial" w:cs="Arial" w:eastAsia="Arial" w:hAnsi="Arial"/>
          <w:sz w:val="18"/>
          <w:szCs w:val="18"/>
          <w:color w:val="auto"/>
        </w:rPr>
        <w:t>Under the provisions of our Constitution, our directors may exercise all the powers of our company in relation to:</w:t>
      </w:r>
    </w:p>
    <w:p>
      <w:pPr>
        <w:spacing w:after="0" w:line="333" w:lineRule="exact"/>
        <w:rPr>
          <w:sz w:val="20"/>
          <w:szCs w:val="20"/>
          <w:color w:val="auto"/>
        </w:rPr>
      </w:pPr>
    </w:p>
    <w:p>
      <w:pPr>
        <w:ind w:left="200"/>
        <w:spacing w:after="0"/>
        <w:rPr>
          <w:sz w:val="20"/>
          <w:szCs w:val="20"/>
          <w:color w:val="auto"/>
        </w:rPr>
      </w:pPr>
      <w:r>
        <w:rPr>
          <w:rFonts w:ascii="Arial" w:cs="Arial" w:eastAsia="Arial" w:hAnsi="Arial"/>
          <w:sz w:val="18"/>
          <w:szCs w:val="18"/>
          <w:i w:val="1"/>
          <w:iCs w:val="1"/>
          <w:color w:val="auto"/>
        </w:rPr>
        <w:t>Management of Company</w:t>
      </w:r>
    </w:p>
    <w:p>
      <w:pPr>
        <w:spacing w:after="0" w:line="117" w:lineRule="exact"/>
        <w:rPr>
          <w:sz w:val="20"/>
          <w:szCs w:val="20"/>
          <w:color w:val="auto"/>
        </w:rPr>
      </w:pPr>
    </w:p>
    <w:p>
      <w:pPr>
        <w:ind w:left="640"/>
        <w:spacing w:after="0"/>
        <w:rPr>
          <w:sz w:val="20"/>
          <w:szCs w:val="20"/>
          <w:color w:val="auto"/>
        </w:rPr>
      </w:pPr>
      <w:r>
        <w:rPr>
          <w:rFonts w:ascii="Arial" w:cs="Arial" w:eastAsia="Arial" w:hAnsi="Arial"/>
          <w:sz w:val="16"/>
          <w:szCs w:val="16"/>
          <w:color w:val="auto"/>
        </w:rPr>
        <w:t>The business of our Company is managed by the directors who may exercise all the powers of our Company that are not by the Corporations Act.</w:t>
      </w:r>
    </w:p>
    <w:p>
      <w:pPr>
        <w:spacing w:after="0" w:line="46" w:lineRule="exact"/>
        <w:rPr>
          <w:sz w:val="20"/>
          <w:szCs w:val="20"/>
          <w:color w:val="auto"/>
        </w:rPr>
      </w:pPr>
    </w:p>
    <w:p>
      <w:pPr>
        <w:ind w:left="200"/>
        <w:spacing w:after="0"/>
        <w:rPr>
          <w:sz w:val="20"/>
          <w:szCs w:val="20"/>
          <w:color w:val="auto"/>
        </w:rPr>
      </w:pPr>
      <w:r>
        <w:rPr>
          <w:rFonts w:ascii="Arial" w:cs="Arial" w:eastAsia="Arial" w:hAnsi="Arial"/>
          <w:sz w:val="18"/>
          <w:szCs w:val="18"/>
          <w:color w:val="auto"/>
        </w:rPr>
        <w:t>by the Listing Rules or by the Constitution, required to be exercised by the shareholders in general meeting.</w:t>
      </w:r>
    </w:p>
    <w:p>
      <w:pPr>
        <w:spacing w:after="0" w:line="319" w:lineRule="exact"/>
        <w:rPr>
          <w:sz w:val="20"/>
          <w:szCs w:val="20"/>
          <w:color w:val="auto"/>
        </w:rPr>
      </w:pPr>
    </w:p>
    <w:p>
      <w:pPr>
        <w:ind w:left="200"/>
        <w:spacing w:after="0"/>
        <w:rPr>
          <w:sz w:val="20"/>
          <w:szCs w:val="20"/>
          <w:color w:val="auto"/>
        </w:rPr>
      </w:pPr>
      <w:r>
        <w:rPr>
          <w:rFonts w:ascii="Arial" w:cs="Arial" w:eastAsia="Arial" w:hAnsi="Arial"/>
          <w:sz w:val="18"/>
          <w:szCs w:val="18"/>
          <w:i w:val="1"/>
          <w:iCs w:val="1"/>
          <w:color w:val="auto"/>
        </w:rPr>
        <w:t>Specific powers of Directors</w:t>
      </w:r>
    </w:p>
    <w:p>
      <w:pPr>
        <w:spacing w:after="0" w:line="117" w:lineRule="exact"/>
        <w:rPr>
          <w:sz w:val="20"/>
          <w:szCs w:val="20"/>
          <w:color w:val="auto"/>
        </w:rPr>
      </w:pPr>
    </w:p>
    <w:p>
      <w:pPr>
        <w:ind w:left="200" w:right="420" w:firstLine="441"/>
        <w:spacing w:after="0" w:line="264" w:lineRule="auto"/>
        <w:rPr>
          <w:sz w:val="20"/>
          <w:szCs w:val="20"/>
          <w:color w:val="auto"/>
        </w:rPr>
      </w:pPr>
      <w:r>
        <w:rPr>
          <w:rFonts w:ascii="Arial" w:cs="Arial" w:eastAsia="Arial" w:hAnsi="Arial"/>
          <w:sz w:val="18"/>
          <w:szCs w:val="18"/>
          <w:color w:val="auto"/>
        </w:rPr>
        <w:t>Without limiting the generality of the above paragraph, the directors may exercise all the powers of the Company to borrow or raise money through equity or debt offerings and to issue debentures or give any other security for a debt, liability or obligation of the Company or of any other person.</w:t>
      </w:r>
    </w:p>
    <w:p>
      <w:pPr>
        <w:spacing w:after="0" w:line="28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Other Provisions in the Constitution with Respect to the Directors</w:t>
      </w:r>
    </w:p>
    <w:p>
      <w:pPr>
        <w:spacing w:after="0" w:line="121" w:lineRule="exact"/>
        <w:rPr>
          <w:sz w:val="20"/>
          <w:szCs w:val="20"/>
          <w:color w:val="auto"/>
        </w:rPr>
      </w:pPr>
    </w:p>
    <w:p>
      <w:pPr>
        <w:ind w:left="200" w:firstLine="441"/>
        <w:spacing w:after="0" w:line="259" w:lineRule="auto"/>
        <w:rPr>
          <w:sz w:val="20"/>
          <w:szCs w:val="20"/>
          <w:color w:val="auto"/>
        </w:rPr>
      </w:pPr>
      <w:r>
        <w:rPr>
          <w:rFonts w:ascii="Arial" w:cs="Arial" w:eastAsia="Arial" w:hAnsi="Arial"/>
          <w:sz w:val="18"/>
          <w:szCs w:val="18"/>
          <w:color w:val="auto"/>
        </w:rPr>
        <w:t>Subject to complying with the Corporations Act and the Listing Rules regarding disclosure of and voting on matters involving material personal interests of the directors, their associates and their related or controlled entities, under the provisions of our Constitution, a director may participate in, vote on and be counted in a quorum for any meeting, resolution or decision of the directors and may be present at any meeting where any matter is being considered by the directors.</w:t>
      </w:r>
    </w:p>
    <w:p>
      <w:pPr>
        <w:spacing w:after="0" w:line="187" w:lineRule="exact"/>
        <w:rPr>
          <w:sz w:val="20"/>
          <w:szCs w:val="20"/>
          <w:color w:val="auto"/>
        </w:rPr>
      </w:pPr>
    </w:p>
    <w:p>
      <w:pPr>
        <w:ind w:left="200" w:right="20" w:firstLine="441"/>
        <w:spacing w:after="0" w:line="264" w:lineRule="auto"/>
        <w:rPr>
          <w:sz w:val="20"/>
          <w:szCs w:val="20"/>
          <w:color w:val="auto"/>
        </w:rPr>
      </w:pPr>
      <w:r>
        <w:rPr>
          <w:rFonts w:ascii="Arial" w:cs="Arial" w:eastAsia="Arial" w:hAnsi="Arial"/>
          <w:sz w:val="18"/>
          <w:szCs w:val="18"/>
          <w:color w:val="auto"/>
        </w:rPr>
        <w:t>Under the provisions of our Constitution, the non-executive directors may be remunerated for their services as directors (up to a maximum aggregate amount as determined approved by the Shareholders in general meeting) in individual amounts as determined by the Board. The remuneration of both non-executive and</w:t>
      </w:r>
    </w:p>
    <w:p>
      <w:pPr>
        <w:spacing w:after="0" w:line="114"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74</w:t>
      </w:r>
    </w:p>
    <w:p>
      <w:pPr>
        <w:sectPr>
          <w:pgSz w:w="11900" w:h="16838" w:orient="portrait"/>
          <w:cols w:equalWidth="0" w:num="1">
            <w:col w:w="11200"/>
          </w:cols>
          <w:pgMar w:left="240" w:top="459" w:right="459" w:bottom="1440" w:gutter="0" w:footer="0" w:header="0"/>
        </w:sectPr>
      </w:pPr>
    </w:p>
    <w:bookmarkStart w:id="76" w:name="page77"/>
    <w:bookmarkEnd w:id="7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80"/>
        <w:spacing w:after="0" w:line="312" w:lineRule="auto"/>
        <w:rPr>
          <w:sz w:val="20"/>
          <w:szCs w:val="20"/>
          <w:color w:val="auto"/>
        </w:rPr>
      </w:pPr>
      <w:r>
        <w:rPr>
          <w:rFonts w:ascii="Arial" w:cs="Arial" w:eastAsia="Arial" w:hAnsi="Arial"/>
          <w:sz w:val="16"/>
          <w:szCs w:val="16"/>
          <w:color w:val="auto"/>
        </w:rPr>
        <w:t>executive directors must comply with the Corporations Act and the Listing Rules. The Listing Rules provide that a company must not increase the total amount of non-executive directors’ fees payable by it without the approval of its shareholders. The Corporations Act places a limit upon the level of termination benefits that can be paid to a person who holds a managerial or executive office upon that person’s retirement from that office or position.</w:t>
      </w:r>
    </w:p>
    <w:p>
      <w:pPr>
        <w:spacing w:after="0" w:line="147" w:lineRule="exact"/>
        <w:rPr>
          <w:sz w:val="20"/>
          <w:szCs w:val="20"/>
          <w:color w:val="auto"/>
        </w:rPr>
      </w:pPr>
    </w:p>
    <w:p>
      <w:pPr>
        <w:ind w:left="200" w:right="40" w:firstLine="441"/>
        <w:spacing w:after="0" w:line="286" w:lineRule="auto"/>
        <w:rPr>
          <w:sz w:val="20"/>
          <w:szCs w:val="20"/>
          <w:color w:val="auto"/>
        </w:rPr>
      </w:pPr>
      <w:r>
        <w:rPr>
          <w:rFonts w:ascii="Arial" w:cs="Arial" w:eastAsia="Arial" w:hAnsi="Arial"/>
          <w:sz w:val="17"/>
          <w:szCs w:val="17"/>
          <w:color w:val="auto"/>
        </w:rPr>
        <w:t>Subject to the Corporations Act, the Listing Rules and our Constitution, a director must retire from office by no later than the third annual general meeting following his or her appointment or election or 3 years, whichever is longer. If eligible, that retiring director may also seek re-election at the annual general meeting at which that director retires. This requirement for resignation does not apply to the Managing Director.</w:t>
      </w:r>
    </w:p>
    <w:p>
      <w:pPr>
        <w:spacing w:after="0" w:line="166" w:lineRule="exact"/>
        <w:rPr>
          <w:sz w:val="20"/>
          <w:szCs w:val="20"/>
          <w:color w:val="auto"/>
        </w:rPr>
      </w:pPr>
    </w:p>
    <w:p>
      <w:pPr>
        <w:ind w:left="640"/>
        <w:spacing w:after="0"/>
        <w:rPr>
          <w:sz w:val="20"/>
          <w:szCs w:val="20"/>
          <w:color w:val="auto"/>
        </w:rPr>
      </w:pPr>
      <w:r>
        <w:rPr>
          <w:rFonts w:ascii="Arial" w:cs="Arial" w:eastAsia="Arial" w:hAnsi="Arial"/>
          <w:sz w:val="18"/>
          <w:szCs w:val="18"/>
          <w:color w:val="auto"/>
        </w:rPr>
        <w:t>A candidate for election as a director is not required to hold any ordinary shares to be eligible for election.</w:t>
      </w:r>
    </w:p>
    <w:p>
      <w:pPr>
        <w:spacing w:after="0" w:line="329"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Members to Approve Significant Changes to Company Activities</w:t>
      </w:r>
    </w:p>
    <w:p>
      <w:pPr>
        <w:spacing w:after="0" w:line="121" w:lineRule="exact"/>
        <w:rPr>
          <w:sz w:val="20"/>
          <w:szCs w:val="20"/>
          <w:color w:val="auto"/>
        </w:rPr>
      </w:pPr>
    </w:p>
    <w:p>
      <w:pPr>
        <w:ind w:left="200" w:right="120" w:firstLine="441"/>
        <w:spacing w:after="0" w:line="264" w:lineRule="auto"/>
        <w:rPr>
          <w:sz w:val="20"/>
          <w:szCs w:val="20"/>
          <w:color w:val="auto"/>
        </w:rPr>
      </w:pPr>
      <w:r>
        <w:rPr>
          <w:rFonts w:ascii="Arial" w:cs="Arial" w:eastAsia="Arial" w:hAnsi="Arial"/>
          <w:sz w:val="18"/>
          <w:szCs w:val="18"/>
          <w:color w:val="auto"/>
        </w:rPr>
        <w:t>The Listing Rules stipulate that the directors must not make a significant change to the nature or scale of a company’s activities or sell or otherwise dispose of the main undertaking of a listed entity without the prior approval of the Australian Securities Exchange and of the shareholders in general meeting.</w:t>
      </w:r>
    </w:p>
    <w:p>
      <w:pPr>
        <w:spacing w:after="0" w:line="28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Rights, Preferences and Restrictions Attached to Our Ordinary Shares</w:t>
      </w:r>
    </w:p>
    <w:p>
      <w:pPr>
        <w:spacing w:after="0" w:line="121" w:lineRule="exact"/>
        <w:rPr>
          <w:sz w:val="20"/>
          <w:szCs w:val="20"/>
          <w:color w:val="auto"/>
        </w:rPr>
      </w:pPr>
    </w:p>
    <w:p>
      <w:pPr>
        <w:ind w:left="200" w:right="80" w:firstLine="441"/>
        <w:spacing w:after="0" w:line="264" w:lineRule="auto"/>
        <w:rPr>
          <w:sz w:val="20"/>
          <w:szCs w:val="20"/>
          <w:color w:val="auto"/>
        </w:rPr>
      </w:pPr>
      <w:r>
        <w:rPr>
          <w:rFonts w:ascii="Arial" w:cs="Arial" w:eastAsia="Arial" w:hAnsi="Arial"/>
          <w:sz w:val="18"/>
          <w:szCs w:val="18"/>
          <w:color w:val="auto"/>
        </w:rPr>
        <w:t>The concept of authorized share capital no longer exists in Australia and as a result, our “authorized share capital” is unlimited. All our outstanding ordinary shares are validly issued and fully paid. Our ordinary shares have no redemption provisions or sinking fund provisions. The rights attached to our ordinary shares include:</w:t>
      </w:r>
    </w:p>
    <w:p>
      <w:pPr>
        <w:spacing w:after="0" w:line="181" w:lineRule="exact"/>
        <w:rPr>
          <w:sz w:val="20"/>
          <w:szCs w:val="20"/>
          <w:color w:val="auto"/>
        </w:rPr>
      </w:pPr>
    </w:p>
    <w:p>
      <w:pPr>
        <w:ind w:left="200" w:right="60" w:firstLine="441"/>
        <w:spacing w:after="0" w:line="276" w:lineRule="auto"/>
        <w:rPr>
          <w:sz w:val="20"/>
          <w:szCs w:val="20"/>
          <w:color w:val="auto"/>
        </w:rPr>
      </w:pPr>
      <w:r>
        <w:rPr>
          <w:rFonts w:ascii="Arial" w:cs="Arial" w:eastAsia="Arial" w:hAnsi="Arial"/>
          <w:sz w:val="17"/>
          <w:szCs w:val="17"/>
          <w:i w:val="1"/>
          <w:iCs w:val="1"/>
          <w:color w:val="auto"/>
        </w:rPr>
        <w:t xml:space="preserve">Dividend Rights. </w:t>
      </w:r>
      <w:r>
        <w:rPr>
          <w:rFonts w:ascii="Arial" w:cs="Arial" w:eastAsia="Arial" w:hAnsi="Arial"/>
          <w:sz w:val="17"/>
          <w:szCs w:val="17"/>
          <w:color w:val="auto"/>
        </w:rPr>
        <w:t>Our shareholders have the right to share in our profits distributed as a dividend and any other permitted distribution. Subject to</w:t>
      </w:r>
      <w:r>
        <w:rPr>
          <w:rFonts w:ascii="Arial" w:cs="Arial" w:eastAsia="Arial" w:hAnsi="Arial"/>
          <w:sz w:val="17"/>
          <w:szCs w:val="17"/>
          <w:i w:val="1"/>
          <w:iCs w:val="1"/>
          <w:color w:val="auto"/>
        </w:rPr>
        <w:t xml:space="preserve"> </w:t>
      </w:r>
      <w:r>
        <w:rPr>
          <w:rFonts w:ascii="Arial" w:cs="Arial" w:eastAsia="Arial" w:hAnsi="Arial"/>
          <w:sz w:val="17"/>
          <w:szCs w:val="17"/>
          <w:color w:val="auto"/>
        </w:rPr>
        <w:t>the Corporations Act, our Constitution and the rights of persons entitled to shares with special rights to a dividend (at present there are none), the directors may determine that a dividend is payable, fix the amount and the time for payment and authorize the payment or crediting by the Company to, or at the direction of, each member entitled to that dividend. No dividend is payable except in accordance with the Corporations Act (as amended from time to time) and no dividend carries interest as against the Company.</w:t>
      </w:r>
    </w:p>
    <w:p>
      <w:pPr>
        <w:spacing w:after="0" w:line="173" w:lineRule="exact"/>
        <w:rPr>
          <w:sz w:val="20"/>
          <w:szCs w:val="20"/>
          <w:color w:val="auto"/>
        </w:rPr>
      </w:pPr>
    </w:p>
    <w:p>
      <w:pPr>
        <w:ind w:left="200" w:firstLine="441"/>
        <w:spacing w:after="0" w:line="302" w:lineRule="auto"/>
        <w:rPr>
          <w:sz w:val="20"/>
          <w:szCs w:val="20"/>
          <w:color w:val="auto"/>
        </w:rPr>
      </w:pPr>
      <w:r>
        <w:rPr>
          <w:rFonts w:ascii="Arial" w:cs="Arial" w:eastAsia="Arial" w:hAnsi="Arial"/>
          <w:sz w:val="16"/>
          <w:szCs w:val="16"/>
          <w:i w:val="1"/>
          <w:iCs w:val="1"/>
          <w:color w:val="auto"/>
        </w:rPr>
        <w:t xml:space="preserve">Voting Rights. </w:t>
      </w:r>
      <w:r>
        <w:rPr>
          <w:rFonts w:ascii="Arial" w:cs="Arial" w:eastAsia="Arial" w:hAnsi="Arial"/>
          <w:sz w:val="16"/>
          <w:szCs w:val="16"/>
          <w:color w:val="auto"/>
        </w:rPr>
        <w:t>At any general meeting of shareholders a resolution put to the vote of the meeting must be decided on a show of hands unless a poll</w:t>
      </w:r>
      <w:r>
        <w:rPr>
          <w:rFonts w:ascii="Arial" w:cs="Arial" w:eastAsia="Arial" w:hAnsi="Arial"/>
          <w:sz w:val="16"/>
          <w:szCs w:val="16"/>
          <w:i w:val="1"/>
          <w:iCs w:val="1"/>
          <w:color w:val="auto"/>
        </w:rPr>
        <w:t xml:space="preserve"> </w:t>
      </w:r>
      <w:r>
        <w:rPr>
          <w:rFonts w:ascii="Arial" w:cs="Arial" w:eastAsia="Arial" w:hAnsi="Arial"/>
          <w:sz w:val="16"/>
          <w:szCs w:val="16"/>
          <w:color w:val="auto"/>
        </w:rPr>
        <w:t>is effectively demanded, and the demand is not withdrawn. On a show of hands, each member present in person and each other person present as a proxy, attorney or representative of a member has one vote. On a poll, each member present in person has one vote for each share held by the member and each person present as proxy, attorney or representative of a member has one vote for each share held by such member that the person represents.</w:t>
      </w:r>
    </w:p>
    <w:p>
      <w:pPr>
        <w:spacing w:after="0" w:line="154" w:lineRule="exact"/>
        <w:rPr>
          <w:sz w:val="20"/>
          <w:szCs w:val="20"/>
          <w:color w:val="auto"/>
        </w:rPr>
      </w:pPr>
    </w:p>
    <w:p>
      <w:pPr>
        <w:ind w:left="200" w:firstLine="441"/>
        <w:spacing w:after="0" w:line="259" w:lineRule="auto"/>
        <w:rPr>
          <w:sz w:val="20"/>
          <w:szCs w:val="20"/>
          <w:color w:val="auto"/>
        </w:rPr>
      </w:pPr>
      <w:r>
        <w:rPr>
          <w:rFonts w:ascii="Arial" w:cs="Arial" w:eastAsia="Arial" w:hAnsi="Arial"/>
          <w:sz w:val="18"/>
          <w:szCs w:val="18"/>
          <w:color w:val="auto"/>
        </w:rPr>
        <w:t>The quorum required for an ordinary meeting of shareholders consists of at least three shareholders present in person, or by proxy, attorney or representative appointed pursuant to our Constitution. A meeting adjourned for lack of a quorum generally is adjourned to the same day in the following week at the same time and place. At the reconvened meeting, the required quorum consists of any two members present in person, or by proxy, attorney or representative appointed pursuant to our Constitution.</w:t>
      </w:r>
    </w:p>
    <w:p>
      <w:pPr>
        <w:spacing w:after="0" w:line="187" w:lineRule="exact"/>
        <w:rPr>
          <w:sz w:val="20"/>
          <w:szCs w:val="20"/>
          <w:color w:val="auto"/>
        </w:rPr>
      </w:pPr>
    </w:p>
    <w:p>
      <w:pPr>
        <w:ind w:left="200" w:right="60" w:firstLine="441"/>
        <w:spacing w:after="0" w:line="279" w:lineRule="auto"/>
        <w:rPr>
          <w:sz w:val="20"/>
          <w:szCs w:val="20"/>
          <w:color w:val="auto"/>
        </w:rPr>
      </w:pPr>
      <w:r>
        <w:rPr>
          <w:rFonts w:ascii="Arial" w:cs="Arial" w:eastAsia="Arial" w:hAnsi="Arial"/>
          <w:sz w:val="17"/>
          <w:szCs w:val="17"/>
          <w:color w:val="auto"/>
        </w:rPr>
        <w:t>An ordinary resolution requires approval by the holders of a majority of the voting rights represented at the meeting, in person, by proxy, or by written ballot and voting thereon. Under the Corporations Act, a special resolution, such as amending our Constitution ,winding-up, or other changes as specified in our Constitution, requires approval of a special majority, representing the holders of no less than 75% of the voting rights represented at the meeting in person, by proxy or by written ballet, entitled to vote and voting thereon.</w:t>
      </w:r>
    </w:p>
    <w:p>
      <w:pPr>
        <w:spacing w:after="0" w:line="171" w:lineRule="exact"/>
        <w:rPr>
          <w:sz w:val="20"/>
          <w:szCs w:val="20"/>
          <w:color w:val="auto"/>
        </w:rPr>
      </w:pPr>
    </w:p>
    <w:p>
      <w:pPr>
        <w:ind w:left="200" w:right="200" w:firstLine="441"/>
        <w:spacing w:after="0" w:line="264" w:lineRule="auto"/>
        <w:rPr>
          <w:sz w:val="20"/>
          <w:szCs w:val="20"/>
          <w:color w:val="auto"/>
        </w:rPr>
      </w:pPr>
      <w:r>
        <w:rPr>
          <w:rFonts w:ascii="Arial" w:cs="Arial" w:eastAsia="Arial" w:hAnsi="Arial"/>
          <w:sz w:val="18"/>
          <w:szCs w:val="18"/>
          <w:i w:val="1"/>
          <w:iCs w:val="1"/>
          <w:color w:val="auto"/>
        </w:rPr>
        <w:t xml:space="preserve">Rights in the Event of Liquidation. </w:t>
      </w:r>
      <w:r>
        <w:rPr>
          <w:rFonts w:ascii="Arial" w:cs="Arial" w:eastAsia="Arial" w:hAnsi="Arial"/>
          <w:sz w:val="18"/>
          <w:szCs w:val="18"/>
          <w:color w:val="auto"/>
        </w:rPr>
        <w:t>If the Company is wound up, after satisfaction of all liabilities to creditors, the Shareholders are entitled to</w:t>
      </w:r>
      <w:r>
        <w:rPr>
          <w:rFonts w:ascii="Arial" w:cs="Arial" w:eastAsia="Arial" w:hAnsi="Arial"/>
          <w:sz w:val="18"/>
          <w:szCs w:val="18"/>
          <w:i w:val="1"/>
          <w:iCs w:val="1"/>
          <w:color w:val="auto"/>
        </w:rPr>
        <w:t xml:space="preserve"> </w:t>
      </w:r>
      <w:r>
        <w:rPr>
          <w:rFonts w:ascii="Arial" w:cs="Arial" w:eastAsia="Arial" w:hAnsi="Arial"/>
          <w:sz w:val="18"/>
          <w:szCs w:val="18"/>
          <w:color w:val="auto"/>
        </w:rPr>
        <w:t>participate equally pro-rata (per Share owned) in the distribution of the assets of the Company (both capital and surplus), subject only to any amounts unpaid (if any) on their Shares.</w:t>
      </w:r>
    </w:p>
    <w:p>
      <w:pPr>
        <w:spacing w:after="0" w:line="114"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75</w:t>
      </w:r>
    </w:p>
    <w:p>
      <w:pPr>
        <w:sectPr>
          <w:pgSz w:w="11900" w:h="16838" w:orient="portrait"/>
          <w:cols w:equalWidth="0" w:num="1">
            <w:col w:w="11180"/>
          </w:cols>
          <w:pgMar w:left="240" w:top="459" w:right="479" w:bottom="1440" w:gutter="0" w:footer="0" w:header="0"/>
        </w:sectPr>
      </w:pPr>
    </w:p>
    <w:bookmarkStart w:id="77" w:name="page78"/>
    <w:bookmarkEnd w:id="7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Changing Rights Attached to Shares</w:t>
      </w:r>
    </w:p>
    <w:p>
      <w:pPr>
        <w:spacing w:after="0" w:line="121" w:lineRule="exact"/>
        <w:rPr>
          <w:sz w:val="20"/>
          <w:szCs w:val="20"/>
          <w:color w:val="auto"/>
        </w:rPr>
      </w:pPr>
    </w:p>
    <w:p>
      <w:pPr>
        <w:ind w:left="200" w:right="60" w:firstLine="441"/>
        <w:spacing w:after="0" w:line="259" w:lineRule="auto"/>
        <w:rPr>
          <w:sz w:val="20"/>
          <w:szCs w:val="20"/>
          <w:color w:val="auto"/>
        </w:rPr>
      </w:pPr>
      <w:r>
        <w:rPr>
          <w:rFonts w:ascii="Arial" w:cs="Arial" w:eastAsia="Arial" w:hAnsi="Arial"/>
          <w:sz w:val="18"/>
          <w:szCs w:val="18"/>
          <w:color w:val="auto"/>
        </w:rPr>
        <w:t>Our Constitution does not set out a procedure for varying rights attached to our ordinary shares. The Corporations Act provides that if a company has a constitution that does not set out the procedure for varying or cancelling rights attached to shares in a class of shares of a company with share capital, those rights may be varied or cancelled only by a special resolution of the shareholders of the company and a special resolution of the relevant class; or with the written consent of members with at least 75 per cent of the votes in the class.</w:t>
      </w:r>
    </w:p>
    <w:p>
      <w:pPr>
        <w:spacing w:after="0" w:line="291"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Annual and Extraordinary General Meetings</w:t>
      </w:r>
    </w:p>
    <w:p>
      <w:pPr>
        <w:spacing w:after="0" w:line="121" w:lineRule="exact"/>
        <w:rPr>
          <w:sz w:val="20"/>
          <w:szCs w:val="20"/>
          <w:color w:val="auto"/>
        </w:rPr>
      </w:pPr>
    </w:p>
    <w:p>
      <w:pPr>
        <w:ind w:left="200" w:right="20" w:firstLine="441"/>
        <w:spacing w:after="0" w:line="273" w:lineRule="auto"/>
        <w:rPr>
          <w:sz w:val="20"/>
          <w:szCs w:val="20"/>
          <w:color w:val="auto"/>
        </w:rPr>
      </w:pPr>
      <w:r>
        <w:rPr>
          <w:rFonts w:ascii="Arial" w:cs="Arial" w:eastAsia="Arial" w:hAnsi="Arial"/>
          <w:sz w:val="17"/>
          <w:szCs w:val="17"/>
          <w:color w:val="auto"/>
        </w:rPr>
        <w:t>Our directors must convene an annual meeting of shareholders at least once every calendar year, within five months of our last fiscal year-end balance date (the fiscal year end date currently being June 30,). Notice of at least 28 calendar days prior to the date of every general meeting is required. The directors or a director may also convene and arrange to hold a general meeting of the Company whenever they think fit. In addition, a general meeting may be convened by one or more shareholders holding in the aggregate at least 5% of the votes that may be cast at the general meeting. A general meeting must be called not more than 21 calendar days after the request is made by the requesting shareholders and must be held not later than two months after the shareholder request is given to the Company.</w:t>
      </w:r>
    </w:p>
    <w:p>
      <w:pPr>
        <w:spacing w:after="0" w:line="283"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Limitations on the Rights to Own Securities in Our Company</w:t>
      </w:r>
    </w:p>
    <w:p>
      <w:pPr>
        <w:spacing w:after="0" w:line="121" w:lineRule="exact"/>
        <w:rPr>
          <w:sz w:val="20"/>
          <w:szCs w:val="20"/>
          <w:color w:val="auto"/>
        </w:rPr>
      </w:pPr>
    </w:p>
    <w:p>
      <w:pPr>
        <w:ind w:left="200" w:right="80" w:firstLine="441"/>
        <w:spacing w:after="0" w:line="257" w:lineRule="auto"/>
        <w:rPr>
          <w:sz w:val="20"/>
          <w:szCs w:val="20"/>
          <w:color w:val="auto"/>
        </w:rPr>
      </w:pPr>
      <w:r>
        <w:rPr>
          <w:rFonts w:ascii="Arial" w:cs="Arial" w:eastAsia="Arial" w:hAnsi="Arial"/>
          <w:sz w:val="18"/>
          <w:szCs w:val="18"/>
          <w:color w:val="auto"/>
        </w:rPr>
        <w:t>The Corporations Act takeovers provisions apply to acquisitions of ASX-listed Australian companies. A person cannot acquire a relevant interest (i.e. a controlling interest) in voting securities of an entity that is subject to the takeovers provisions if that would result in any person’s voting power exceeding 20% (or the voting power increasing, if it is already over 20%), except via a specified exception (such as a takeover bid or scheme of arrangement or an incremental increase of up to 3% every 6 calendar months). The most common takeover structures in Australia are an off-market takeover bid and a scheme of arrangement.</w:t>
      </w:r>
    </w:p>
    <w:p>
      <w:pPr>
        <w:spacing w:after="0" w:line="292"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Ownership Threshold Above Which Shareholder Ownership Must be Disclosed</w:t>
      </w:r>
    </w:p>
    <w:p>
      <w:pPr>
        <w:spacing w:after="0" w:line="121" w:lineRule="exact"/>
        <w:rPr>
          <w:sz w:val="20"/>
          <w:szCs w:val="20"/>
          <w:color w:val="auto"/>
        </w:rPr>
      </w:pPr>
    </w:p>
    <w:p>
      <w:pPr>
        <w:ind w:left="200" w:firstLine="441"/>
        <w:spacing w:after="0" w:line="264" w:lineRule="auto"/>
        <w:rPr>
          <w:sz w:val="20"/>
          <w:szCs w:val="20"/>
          <w:color w:val="auto"/>
        </w:rPr>
      </w:pPr>
      <w:r>
        <w:rPr>
          <w:rFonts w:ascii="Arial" w:cs="Arial" w:eastAsia="Arial" w:hAnsi="Arial"/>
          <w:sz w:val="18"/>
          <w:szCs w:val="18"/>
          <w:color w:val="auto"/>
        </w:rPr>
        <w:t>Under the Corporations Act, any person who increases their voting power from below to above 5% (or already has voting power of 5% or more and increases or decreases that power by at least 1%) needs to publicly disclose that fact within two business days of that change occurring via the filing of a substantial holding notice with the ASX and upon the Company.</w:t>
      </w:r>
    </w:p>
    <w:p>
      <w:pPr>
        <w:spacing w:after="0" w:line="28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Changes in Our Capital</w:t>
      </w:r>
    </w:p>
    <w:p>
      <w:pPr>
        <w:spacing w:after="0" w:line="121" w:lineRule="exact"/>
        <w:rPr>
          <w:sz w:val="20"/>
          <w:szCs w:val="20"/>
          <w:color w:val="auto"/>
        </w:rPr>
      </w:pPr>
    </w:p>
    <w:p>
      <w:pPr>
        <w:ind w:left="200" w:right="20" w:firstLine="441"/>
        <w:spacing w:after="0" w:line="272" w:lineRule="auto"/>
        <w:rPr>
          <w:sz w:val="20"/>
          <w:szCs w:val="20"/>
          <w:color w:val="auto"/>
        </w:rPr>
      </w:pPr>
      <w:r>
        <w:rPr>
          <w:rFonts w:ascii="Arial" w:cs="Arial" w:eastAsia="Arial" w:hAnsi="Arial"/>
          <w:sz w:val="17"/>
          <w:szCs w:val="17"/>
          <w:color w:val="auto"/>
        </w:rPr>
        <w:t>Subject to the Listing Rules and the Corporations Act, the powers of the Company to issue and cancel shares in the Company and grant options over unissued shares in the Company are vested in the directors. Listing Rule 7.1 provides that (subject to certain exceptions) prior approval of shareholders is required for an issue of securities if the issue of those securities will, when aggregated with all the securities issued by the Company during the previous 12 months without prior shareholder approval, exceed 15% of the number of shares on issue at the commencement of that 12 month period. In addition, Listing Rule 7.1A permits eligible entities that have obtained shareholder approval (by special resolution at its most recent annual general meeting) to issue an additional 10% of the entity’s issued ordinary securities. The ability to issue securities under listing rule 7.1A is in addition to the Company’s ability to issue 15% of its fully paid ordinary shares under Listing Rule 7.1</w:t>
      </w:r>
    </w:p>
    <w:p>
      <w:pPr>
        <w:spacing w:after="0" w:line="110" w:lineRule="exact"/>
        <w:rPr>
          <w:sz w:val="20"/>
          <w:szCs w:val="20"/>
          <w:color w:val="auto"/>
        </w:rPr>
      </w:pPr>
    </w:p>
    <w:p>
      <w:pPr>
        <w:jc w:val="center"/>
        <w:ind w:right="-259"/>
        <w:spacing w:after="0"/>
        <w:rPr>
          <w:sz w:val="20"/>
          <w:szCs w:val="20"/>
          <w:color w:val="auto"/>
        </w:rPr>
      </w:pPr>
      <w:r>
        <w:rPr>
          <w:rFonts w:ascii="Arial" w:cs="Arial" w:eastAsia="Arial" w:hAnsi="Arial"/>
          <w:sz w:val="18"/>
          <w:szCs w:val="18"/>
          <w:color w:val="auto"/>
        </w:rPr>
        <w:t>76</w:t>
      </w:r>
    </w:p>
    <w:p>
      <w:pPr>
        <w:sectPr>
          <w:pgSz w:w="11900" w:h="16838" w:orient="portrait"/>
          <w:cols w:equalWidth="0" w:num="1">
            <w:col w:w="11180"/>
          </w:cols>
          <w:pgMar w:left="240" w:top="459" w:right="479" w:bottom="1440" w:gutter="0" w:footer="0" w:header="0"/>
        </w:sectPr>
      </w:pPr>
    </w:p>
    <w:bookmarkStart w:id="78" w:name="page79"/>
    <w:bookmarkEnd w:id="7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C. Material Contracts</w:t>
      </w:r>
    </w:p>
    <w:p>
      <w:pPr>
        <w:spacing w:after="0" w:line="121" w:lineRule="exact"/>
        <w:rPr>
          <w:sz w:val="20"/>
          <w:szCs w:val="20"/>
          <w:color w:val="auto"/>
        </w:rPr>
      </w:pPr>
    </w:p>
    <w:p>
      <w:pPr>
        <w:ind w:left="200" w:right="620" w:firstLine="441"/>
        <w:spacing w:after="0" w:line="277" w:lineRule="auto"/>
        <w:rPr>
          <w:sz w:val="20"/>
          <w:szCs w:val="20"/>
          <w:color w:val="auto"/>
        </w:rPr>
      </w:pPr>
      <w:r>
        <w:rPr>
          <w:rFonts w:ascii="Arial" w:cs="Arial" w:eastAsia="Arial" w:hAnsi="Arial"/>
          <w:sz w:val="18"/>
          <w:szCs w:val="18"/>
          <w:color w:val="auto"/>
        </w:rPr>
        <w:t>Except for contracts entered into in the ordinary course of business, the only contracts entered into by Avita within two years immediately preceding this Registration Statement that are still in effect, which may be regarded as material are as follows:</w:t>
      </w:r>
    </w:p>
    <w:p>
      <w:pPr>
        <w:spacing w:after="0" w:line="279" w:lineRule="exact"/>
        <w:rPr>
          <w:sz w:val="20"/>
          <w:szCs w:val="20"/>
          <w:color w:val="auto"/>
        </w:rPr>
      </w:pPr>
    </w:p>
    <w:p>
      <w:pPr>
        <w:ind w:left="200"/>
        <w:spacing w:after="0"/>
        <w:rPr>
          <w:sz w:val="20"/>
          <w:szCs w:val="20"/>
          <w:color w:val="auto"/>
        </w:rPr>
      </w:pPr>
      <w:r>
        <w:rPr>
          <w:rFonts w:ascii="Arial" w:cs="Arial" w:eastAsia="Arial" w:hAnsi="Arial"/>
          <w:sz w:val="18"/>
          <w:szCs w:val="18"/>
          <w:u w:val="single" w:color="auto"/>
          <w:color w:val="auto"/>
        </w:rPr>
        <w:t>BARDA Contract</w:t>
      </w:r>
    </w:p>
    <w:p>
      <w:pPr>
        <w:spacing w:after="0" w:line="117" w:lineRule="exact"/>
        <w:rPr>
          <w:sz w:val="20"/>
          <w:szCs w:val="20"/>
          <w:color w:val="auto"/>
        </w:rPr>
      </w:pPr>
    </w:p>
    <w:p>
      <w:pPr>
        <w:ind w:left="200" w:right="40" w:firstLine="441"/>
        <w:spacing w:after="0" w:line="255" w:lineRule="auto"/>
        <w:rPr>
          <w:sz w:val="20"/>
          <w:szCs w:val="20"/>
          <w:color w:val="auto"/>
        </w:rPr>
      </w:pPr>
      <w:r>
        <w:rPr>
          <w:rFonts w:ascii="Arial" w:cs="Arial" w:eastAsia="Arial" w:hAnsi="Arial"/>
          <w:sz w:val="18"/>
          <w:szCs w:val="18"/>
          <w:color w:val="auto"/>
        </w:rPr>
        <w:t>We have a contract with Biomedical Advanced Research and Development Authority (BARDA), under the Assistant Secretary for Preparedness and Response, within the U.S. Department of Health and Human Services, valued at least US$50.4 million (approximately A$68.14 million). The contract provides funding for the development of the RECELL System and future use of the product to assist disaster preparedness and response in the U.S. for mass casualties involving burn injuries. We entered into the contract on September 29, 2015, and the scope was expanded as a result of amendments entered into as of June 24, 2016 and September 18, 2017. The contract terminates September 28, 2022 and may be terminated earlier at the option of BARDA.</w:t>
      </w:r>
    </w:p>
    <w:p>
      <w:pPr>
        <w:spacing w:after="0" w:line="193" w:lineRule="exact"/>
        <w:rPr>
          <w:sz w:val="20"/>
          <w:szCs w:val="20"/>
          <w:color w:val="auto"/>
        </w:rPr>
      </w:pPr>
    </w:p>
    <w:p>
      <w:pPr>
        <w:ind w:left="200" w:right="80" w:firstLine="441"/>
        <w:spacing w:after="0" w:line="255" w:lineRule="auto"/>
        <w:rPr>
          <w:sz w:val="20"/>
          <w:szCs w:val="20"/>
          <w:color w:val="auto"/>
        </w:rPr>
      </w:pPr>
      <w:r>
        <w:rPr>
          <w:rFonts w:ascii="Arial" w:cs="Arial" w:eastAsia="Arial" w:hAnsi="Arial"/>
          <w:sz w:val="18"/>
          <w:szCs w:val="18"/>
          <w:color w:val="auto"/>
        </w:rPr>
        <w:t>Under the contract, we have agreed to undertake, and BARDA have agreed to fund and provide technical support for, the development of the RECELL System including two randomized, controlled pivotal clinical trials, Compassionate Use and Continued Access programs, development of the health economic model demonstrating the cost savings associated with the RECELL System, and two randomized, controlled clinical trials in pediatric burn patients. Also included in the BARDA contract is provision for the future procurement of the RECELL System by BARDA under a vendor-managed inventory system to bolster disaster preparedness in the amount of US$7.6 million (approximately A$10.3 million), although BARDA has the option of increasing the amount of the procurement. As of December 31, 2018, we had received cumulative payments of A$22.6 million under the BARDA contract.</w:t>
      </w:r>
    </w:p>
    <w:p>
      <w:pPr>
        <w:spacing w:after="0" w:line="293"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D. Exchange Controls and Australian Tax Matters</w:t>
      </w:r>
    </w:p>
    <w:p>
      <w:pPr>
        <w:spacing w:after="0" w:line="117"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Exchange Controls</w:t>
      </w:r>
    </w:p>
    <w:p>
      <w:pPr>
        <w:spacing w:after="0" w:line="121" w:lineRule="exact"/>
        <w:rPr>
          <w:sz w:val="20"/>
          <w:szCs w:val="20"/>
          <w:color w:val="auto"/>
        </w:rPr>
      </w:pPr>
    </w:p>
    <w:p>
      <w:pPr>
        <w:ind w:left="200" w:firstLine="441"/>
        <w:spacing w:after="0" w:line="271" w:lineRule="auto"/>
        <w:rPr>
          <w:sz w:val="20"/>
          <w:szCs w:val="20"/>
          <w:color w:val="auto"/>
        </w:rPr>
      </w:pPr>
      <w:r>
        <w:rPr>
          <w:rFonts w:ascii="Arial" w:cs="Arial" w:eastAsia="Arial" w:hAnsi="Arial"/>
          <w:sz w:val="17"/>
          <w:szCs w:val="17"/>
          <w:color w:val="auto"/>
        </w:rPr>
        <w:t>Australia has largely abolished exchange controls on investment transactions. The Australian dollar is freely convertible into U.S. dollars. In addition, there are currently no specific rules or limitations regarding the export from Australia of profits, dividends, capital or similar funds belonging to foreign investors, except that certain payments to nonresidents must be reported to the Australian Transaction Reports and Analysis Centre, which monitors such transaction, and amounts on account of potential Australian tax liabilities which may be required to be withheld unless a relevant taxation treaty can be shown to apply. Article 11.8 of the free trade agreement between Australia and the US provides that all transfers relating to a covered investment is to be made freely and without delay into and out of each territory. Such transfers include inter alia contributions to capital, including the initial contribution; profits, dividends (subject to any applicable withholding tax deduction), capital gains and proceeds from the sale of all or any part of the covered investment or from the partial or complete liquidation of the covered investment.</w:t>
      </w:r>
    </w:p>
    <w:p>
      <w:pPr>
        <w:spacing w:after="0" w:line="283"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The Foreign Acquisitions and Takeovers Act 1975</w:t>
      </w:r>
    </w:p>
    <w:p>
      <w:pPr>
        <w:spacing w:after="0" w:line="121" w:lineRule="exact"/>
        <w:rPr>
          <w:sz w:val="20"/>
          <w:szCs w:val="20"/>
          <w:color w:val="auto"/>
        </w:rPr>
      </w:pPr>
    </w:p>
    <w:p>
      <w:pPr>
        <w:ind w:left="200" w:right="240" w:firstLine="441"/>
        <w:spacing w:after="0" w:line="264" w:lineRule="auto"/>
        <w:rPr>
          <w:sz w:val="20"/>
          <w:szCs w:val="20"/>
          <w:color w:val="auto"/>
        </w:rPr>
      </w:pPr>
      <w:r>
        <w:rPr>
          <w:rFonts w:ascii="Arial" w:cs="Arial" w:eastAsia="Arial" w:hAnsi="Arial"/>
          <w:sz w:val="18"/>
          <w:szCs w:val="18"/>
          <w:color w:val="auto"/>
        </w:rPr>
        <w:t>Under Australian law, in certain circumstances foreign persons are prohibited from acquiring more than a limited percentage of the shares in an Australian company without approval from the Australian Treasurer. These limitations are set forth in the Australian Foreign Acquisitions and Takeovers Act, or the Takeovers Act.</w:t>
      </w:r>
    </w:p>
    <w:p>
      <w:pPr>
        <w:spacing w:after="0" w:line="181" w:lineRule="exact"/>
        <w:rPr>
          <w:sz w:val="20"/>
          <w:szCs w:val="20"/>
          <w:color w:val="auto"/>
        </w:rPr>
      </w:pPr>
    </w:p>
    <w:p>
      <w:pPr>
        <w:ind w:left="200" w:right="280" w:firstLine="441"/>
        <w:spacing w:after="0" w:line="264" w:lineRule="auto"/>
        <w:rPr>
          <w:sz w:val="20"/>
          <w:szCs w:val="20"/>
          <w:color w:val="auto"/>
        </w:rPr>
      </w:pPr>
      <w:r>
        <w:rPr>
          <w:rFonts w:ascii="Arial" w:cs="Arial" w:eastAsia="Arial" w:hAnsi="Arial"/>
          <w:sz w:val="18"/>
          <w:szCs w:val="18"/>
          <w:color w:val="auto"/>
        </w:rPr>
        <w:t>Under the Takeovers Act, as currently in effect, any foreign person, together with associates, or parties acting in concert, is prohibited (without approval) from acquiring 20% or more of the shares (or voting / disposal rights attaching to shares) in any ASX listed company. “Associates” is a broadly defined term under the Takeovers Act and includes:</w:t>
      </w:r>
    </w:p>
    <w:p>
      <w:pPr>
        <w:spacing w:after="0" w:line="87" w:lineRule="exact"/>
        <w:rPr>
          <w:sz w:val="20"/>
          <w:szCs w:val="20"/>
          <w:color w:val="auto"/>
        </w:rPr>
      </w:pPr>
    </w:p>
    <w:p>
      <w:pPr>
        <w:ind w:left="1180" w:hanging="436"/>
        <w:spacing w:after="0"/>
        <w:tabs>
          <w:tab w:leader="none" w:pos="1180" w:val="left"/>
        </w:tabs>
        <w:numPr>
          <w:ilvl w:val="0"/>
          <w:numId w:val="47"/>
        </w:numPr>
        <w:rPr>
          <w:rFonts w:ascii="Arial" w:cs="Arial" w:eastAsia="Arial" w:hAnsi="Arial"/>
          <w:sz w:val="18"/>
          <w:szCs w:val="18"/>
          <w:color w:val="auto"/>
        </w:rPr>
      </w:pPr>
      <w:r>
        <w:rPr>
          <w:rFonts w:ascii="Arial" w:cs="Arial" w:eastAsia="Arial" w:hAnsi="Arial"/>
          <w:sz w:val="18"/>
          <w:szCs w:val="18"/>
          <w:color w:val="auto"/>
        </w:rPr>
        <w:t>spouses, lineal ancestors and descendants, and siblings;</w:t>
      </w:r>
    </w:p>
    <w:p>
      <w:pPr>
        <w:spacing w:after="0" w:line="158"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77</w:t>
      </w:r>
    </w:p>
    <w:p>
      <w:pPr>
        <w:sectPr>
          <w:pgSz w:w="11900" w:h="16838" w:orient="portrait"/>
          <w:cols w:equalWidth="0" w:num="1">
            <w:col w:w="11200"/>
          </w:cols>
          <w:pgMar w:left="240" w:top="459" w:right="459" w:bottom="1440" w:gutter="0" w:footer="0" w:header="0"/>
        </w:sectPr>
      </w:pPr>
    </w:p>
    <w:bookmarkStart w:id="79" w:name="page80"/>
    <w:bookmarkEnd w:id="7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1180" w:hanging="436"/>
        <w:spacing w:after="0"/>
        <w:tabs>
          <w:tab w:leader="none" w:pos="1180" w:val="left"/>
        </w:tabs>
        <w:numPr>
          <w:ilvl w:val="0"/>
          <w:numId w:val="48"/>
        </w:numPr>
        <w:rPr>
          <w:rFonts w:ascii="Arial" w:cs="Arial" w:eastAsia="Arial" w:hAnsi="Arial"/>
          <w:sz w:val="18"/>
          <w:szCs w:val="18"/>
          <w:color w:val="auto"/>
        </w:rPr>
      </w:pPr>
      <w:r>
        <w:rPr>
          <w:rFonts w:ascii="Arial" w:cs="Arial" w:eastAsia="Arial" w:hAnsi="Arial"/>
          <w:sz w:val="18"/>
          <w:szCs w:val="18"/>
          <w:color w:val="auto"/>
        </w:rPr>
        <w:t>any person with whom the person is acting, or proposes to act, in concert;</w:t>
      </w:r>
    </w:p>
    <w:p>
      <w:pPr>
        <w:spacing w:after="0" w:line="130" w:lineRule="exact"/>
        <w:rPr>
          <w:rFonts w:ascii="Arial" w:cs="Arial" w:eastAsia="Arial" w:hAnsi="Arial"/>
          <w:sz w:val="18"/>
          <w:szCs w:val="18"/>
          <w:color w:val="auto"/>
        </w:rPr>
      </w:pPr>
    </w:p>
    <w:p>
      <w:pPr>
        <w:ind w:left="1180" w:hanging="436"/>
        <w:spacing w:after="0"/>
        <w:tabs>
          <w:tab w:leader="none" w:pos="1180" w:val="left"/>
        </w:tabs>
        <w:numPr>
          <w:ilvl w:val="0"/>
          <w:numId w:val="48"/>
        </w:numPr>
        <w:rPr>
          <w:rFonts w:ascii="Arial" w:cs="Arial" w:eastAsia="Arial" w:hAnsi="Arial"/>
          <w:sz w:val="18"/>
          <w:szCs w:val="18"/>
          <w:color w:val="auto"/>
        </w:rPr>
      </w:pPr>
      <w:r>
        <w:rPr>
          <w:rFonts w:ascii="Arial" w:cs="Arial" w:eastAsia="Arial" w:hAnsi="Arial"/>
          <w:sz w:val="18"/>
          <w:szCs w:val="18"/>
          <w:color w:val="auto"/>
        </w:rPr>
        <w:t>partners, officers of companies, the company, employers and employees, and corporations;</w:t>
      </w:r>
    </w:p>
    <w:p>
      <w:pPr>
        <w:spacing w:after="0" w:line="130" w:lineRule="exact"/>
        <w:rPr>
          <w:rFonts w:ascii="Arial" w:cs="Arial" w:eastAsia="Arial" w:hAnsi="Arial"/>
          <w:sz w:val="18"/>
          <w:szCs w:val="18"/>
          <w:color w:val="auto"/>
        </w:rPr>
      </w:pPr>
    </w:p>
    <w:p>
      <w:pPr>
        <w:ind w:left="1180" w:hanging="436"/>
        <w:spacing w:after="0"/>
        <w:tabs>
          <w:tab w:leader="none" w:pos="1180" w:val="left"/>
        </w:tabs>
        <w:numPr>
          <w:ilvl w:val="0"/>
          <w:numId w:val="48"/>
        </w:numPr>
        <w:rPr>
          <w:rFonts w:ascii="Arial" w:cs="Arial" w:eastAsia="Arial" w:hAnsi="Arial"/>
          <w:sz w:val="18"/>
          <w:szCs w:val="18"/>
          <w:color w:val="auto"/>
        </w:rPr>
      </w:pPr>
      <w:r>
        <w:rPr>
          <w:rFonts w:ascii="Arial" w:cs="Arial" w:eastAsia="Arial" w:hAnsi="Arial"/>
          <w:sz w:val="18"/>
          <w:szCs w:val="18"/>
          <w:color w:val="auto"/>
        </w:rPr>
        <w:t>their shareholders related through substantial shareholdings or voting power;</w:t>
      </w:r>
    </w:p>
    <w:p>
      <w:pPr>
        <w:spacing w:after="0" w:line="130" w:lineRule="exact"/>
        <w:rPr>
          <w:rFonts w:ascii="Arial" w:cs="Arial" w:eastAsia="Arial" w:hAnsi="Arial"/>
          <w:sz w:val="18"/>
          <w:szCs w:val="18"/>
          <w:color w:val="auto"/>
        </w:rPr>
      </w:pPr>
    </w:p>
    <w:p>
      <w:pPr>
        <w:ind w:left="1180" w:hanging="436"/>
        <w:spacing w:after="0"/>
        <w:tabs>
          <w:tab w:leader="none" w:pos="1180" w:val="left"/>
        </w:tabs>
        <w:numPr>
          <w:ilvl w:val="0"/>
          <w:numId w:val="48"/>
        </w:numPr>
        <w:rPr>
          <w:rFonts w:ascii="Arial" w:cs="Arial" w:eastAsia="Arial" w:hAnsi="Arial"/>
          <w:sz w:val="18"/>
          <w:szCs w:val="18"/>
          <w:color w:val="auto"/>
        </w:rPr>
      </w:pPr>
      <w:r>
        <w:rPr>
          <w:rFonts w:ascii="Arial" w:cs="Arial" w:eastAsia="Arial" w:hAnsi="Arial"/>
          <w:sz w:val="18"/>
          <w:szCs w:val="18"/>
          <w:color w:val="auto"/>
        </w:rPr>
        <w:t>corporations whose directors are controlled by the person, or who control a person; and</w:t>
      </w:r>
    </w:p>
    <w:p>
      <w:pPr>
        <w:spacing w:after="0" w:line="130" w:lineRule="exact"/>
        <w:rPr>
          <w:rFonts w:ascii="Arial" w:cs="Arial" w:eastAsia="Arial" w:hAnsi="Arial"/>
          <w:sz w:val="18"/>
          <w:szCs w:val="18"/>
          <w:color w:val="auto"/>
        </w:rPr>
      </w:pPr>
    </w:p>
    <w:p>
      <w:pPr>
        <w:ind w:left="1180" w:hanging="436"/>
        <w:spacing w:after="0"/>
        <w:tabs>
          <w:tab w:leader="none" w:pos="1180" w:val="left"/>
        </w:tabs>
        <w:numPr>
          <w:ilvl w:val="0"/>
          <w:numId w:val="48"/>
        </w:numPr>
        <w:rPr>
          <w:rFonts w:ascii="Arial" w:cs="Arial" w:eastAsia="Arial" w:hAnsi="Arial"/>
          <w:sz w:val="18"/>
          <w:szCs w:val="18"/>
          <w:color w:val="auto"/>
        </w:rPr>
      </w:pPr>
      <w:r>
        <w:rPr>
          <w:rFonts w:ascii="Arial" w:cs="Arial" w:eastAsia="Arial" w:hAnsi="Arial"/>
          <w:sz w:val="18"/>
          <w:szCs w:val="18"/>
          <w:color w:val="auto"/>
        </w:rPr>
        <w:t>associations between trustees and substantial beneficiaries of trust estates.</w:t>
      </w:r>
    </w:p>
    <w:p>
      <w:pPr>
        <w:spacing w:after="0" w:line="225" w:lineRule="exact"/>
        <w:rPr>
          <w:sz w:val="20"/>
          <w:szCs w:val="20"/>
          <w:color w:val="auto"/>
        </w:rPr>
      </w:pPr>
    </w:p>
    <w:p>
      <w:pPr>
        <w:ind w:left="200" w:firstLine="441"/>
        <w:spacing w:after="0" w:line="264" w:lineRule="auto"/>
        <w:rPr>
          <w:sz w:val="20"/>
          <w:szCs w:val="20"/>
          <w:color w:val="auto"/>
        </w:rPr>
      </w:pPr>
      <w:r>
        <w:rPr>
          <w:rFonts w:ascii="Arial" w:cs="Arial" w:eastAsia="Arial" w:hAnsi="Arial"/>
          <w:sz w:val="18"/>
          <w:szCs w:val="18"/>
          <w:color w:val="auto"/>
        </w:rPr>
        <w:t>In addition, a foreign person may not acquire shares in a company having total assets of A$266 million or more (or A$1,154 million or more in case of non sensitive companies where it is a private (non-government) U.S. investor(s)) if, as a result of that acquisition, the total holdings of all foreign persons and their associates will exceed 40% in aggregate without the approval of the Australian Treasurer.</w:t>
      </w:r>
    </w:p>
    <w:p>
      <w:pPr>
        <w:spacing w:after="0" w:line="181" w:lineRule="exact"/>
        <w:rPr>
          <w:sz w:val="20"/>
          <w:szCs w:val="20"/>
          <w:color w:val="auto"/>
        </w:rPr>
      </w:pPr>
    </w:p>
    <w:p>
      <w:pPr>
        <w:ind w:left="200" w:right="20" w:firstLine="441"/>
        <w:spacing w:after="0" w:line="257" w:lineRule="auto"/>
        <w:rPr>
          <w:sz w:val="20"/>
          <w:szCs w:val="20"/>
          <w:color w:val="auto"/>
        </w:rPr>
      </w:pPr>
      <w:r>
        <w:rPr>
          <w:rFonts w:ascii="Arial" w:cs="Arial" w:eastAsia="Arial" w:hAnsi="Arial"/>
          <w:sz w:val="18"/>
          <w:szCs w:val="18"/>
          <w:color w:val="auto"/>
        </w:rPr>
        <w:t>If the necessary approvals are not obtained, the Treasurer may make an order requiring the acquirer to dispose of the shares it has acquired within a specified period of time. At present, we do not have total assets of A$266 million or more. At this time, our total assets do not exceed any of the above thresholds and therefore no approval would be required from the Australian Treasurer. Nonetheless, should our total assets exceed the threshold in the future, we will be mindful to monitor the holdings for foreign persons (together with the associates) to ensure that the thresholds will not be exceeded without the Australian Treasurer’s approval.</w:t>
      </w:r>
    </w:p>
    <w:p>
      <w:pPr>
        <w:spacing w:after="0" w:line="188" w:lineRule="exact"/>
        <w:rPr>
          <w:sz w:val="20"/>
          <w:szCs w:val="20"/>
          <w:color w:val="auto"/>
        </w:rPr>
      </w:pPr>
    </w:p>
    <w:p>
      <w:pPr>
        <w:ind w:left="200" w:right="20" w:firstLine="441"/>
        <w:spacing w:after="0" w:line="297" w:lineRule="auto"/>
        <w:rPr>
          <w:sz w:val="20"/>
          <w:szCs w:val="20"/>
          <w:color w:val="auto"/>
        </w:rPr>
      </w:pPr>
      <w:r>
        <w:rPr>
          <w:rFonts w:ascii="Arial" w:cs="Arial" w:eastAsia="Arial" w:hAnsi="Arial"/>
          <w:sz w:val="16"/>
          <w:szCs w:val="16"/>
          <w:color w:val="auto"/>
        </w:rPr>
        <w:t>Each foreign person seeking to acquire holdings in excess of the above caps (including their associates, as the case may be) would need to complete an application form setting out the proposal and relevant particulars of the acquisition/shareholding. The Australian Treasurer then has 30 days to consider the application and make a decision. However, the Australian Treasurer may extend the period by up to a further 90 days by publishing an interim order. The Australian Treasurer has issued a guideline titled Australia’s Foreign Investment Policy which provides an outline of the policy. As for the risk associated with seeking approval, the policy provides that the Treasurer will reject an application if it is contrary to the national interest.</w:t>
      </w:r>
    </w:p>
    <w:p>
      <w:pPr>
        <w:spacing w:after="0" w:line="158" w:lineRule="exact"/>
        <w:rPr>
          <w:sz w:val="20"/>
          <w:szCs w:val="20"/>
          <w:color w:val="auto"/>
        </w:rPr>
      </w:pPr>
    </w:p>
    <w:p>
      <w:pPr>
        <w:ind w:left="200" w:right="20" w:firstLine="441"/>
        <w:spacing w:after="0" w:line="257" w:lineRule="auto"/>
        <w:rPr>
          <w:sz w:val="20"/>
          <w:szCs w:val="20"/>
          <w:color w:val="auto"/>
        </w:rPr>
      </w:pPr>
      <w:r>
        <w:rPr>
          <w:rFonts w:ascii="Arial" w:cs="Arial" w:eastAsia="Arial" w:hAnsi="Arial"/>
          <w:sz w:val="18"/>
          <w:szCs w:val="18"/>
          <w:color w:val="auto"/>
        </w:rPr>
        <w:t>If the level of foreign ownership exceeds 40% at any time (or if one individual not ordinarily resident in Australia, a foreign corporation or a foreign government holds at least 20%), we would be considered a foreign person under the Takeovers Act. In such event, we would be required to obtain the approval of the Australian Treasurer for our company, together with our associates, to acquire (i) more than 20% of an Australian company or business with assets totaling over A$266 million (or A$1,154 million if we were considered a private US investor); or (ii) any direct or indirect ownership in certain real estate interests.</w:t>
      </w:r>
    </w:p>
    <w:p>
      <w:pPr>
        <w:spacing w:after="0" w:line="188" w:lineRule="exact"/>
        <w:rPr>
          <w:sz w:val="20"/>
          <w:szCs w:val="20"/>
          <w:color w:val="auto"/>
        </w:rPr>
      </w:pPr>
    </w:p>
    <w:p>
      <w:pPr>
        <w:ind w:left="200" w:right="100" w:firstLine="441"/>
        <w:spacing w:after="0" w:line="259" w:lineRule="auto"/>
        <w:rPr>
          <w:sz w:val="20"/>
          <w:szCs w:val="20"/>
          <w:color w:val="auto"/>
        </w:rPr>
      </w:pPr>
      <w:r>
        <w:rPr>
          <w:rFonts w:ascii="Arial" w:cs="Arial" w:eastAsia="Arial" w:hAnsi="Arial"/>
          <w:sz w:val="18"/>
          <w:szCs w:val="18"/>
          <w:color w:val="auto"/>
        </w:rPr>
        <w:t>The percentage of foreign ownership in our company would also be included in determining the foreign ownership of any Australian company or business in which we may choose to invest. Since we have no current plans for any such investments or acquisitions and do not currently own any relevant real estate interests, any such approvals required to be obtained by us as a foreign person under the Takeovers Act will not affect our current or future ownership or lease of real estate interests in Australia.</w:t>
      </w:r>
    </w:p>
    <w:p>
      <w:pPr>
        <w:spacing w:after="0" w:line="187" w:lineRule="exact"/>
        <w:rPr>
          <w:sz w:val="20"/>
          <w:szCs w:val="20"/>
          <w:color w:val="auto"/>
        </w:rPr>
      </w:pPr>
    </w:p>
    <w:p>
      <w:pPr>
        <w:jc w:val="both"/>
        <w:ind w:left="200" w:right="340" w:firstLine="441"/>
        <w:spacing w:after="0" w:line="264" w:lineRule="auto"/>
        <w:rPr>
          <w:sz w:val="20"/>
          <w:szCs w:val="20"/>
          <w:color w:val="auto"/>
        </w:rPr>
      </w:pPr>
      <w:r>
        <w:rPr>
          <w:rFonts w:ascii="Arial" w:cs="Arial" w:eastAsia="Arial" w:hAnsi="Arial"/>
          <w:sz w:val="18"/>
          <w:szCs w:val="18"/>
          <w:color w:val="auto"/>
        </w:rPr>
        <w:t>Our Constitution does not contain any additional limitations on a nonresident’s right to hold or vote our securities. Australian law requires the transfer of shares in our company to be made in writing. No stamp duty will be payable in Australia on the transfer of ordinary shares quoted on the NASDAQ.</w:t>
      </w:r>
    </w:p>
    <w:p>
      <w:pPr>
        <w:spacing w:after="0" w:line="28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The Financial Transactions Reports Act 1988</w:t>
      </w:r>
    </w:p>
    <w:p>
      <w:pPr>
        <w:spacing w:after="0" w:line="121" w:lineRule="exact"/>
        <w:rPr>
          <w:sz w:val="20"/>
          <w:szCs w:val="20"/>
          <w:color w:val="auto"/>
        </w:rPr>
      </w:pPr>
    </w:p>
    <w:p>
      <w:pPr>
        <w:ind w:left="200" w:right="280" w:firstLine="441"/>
        <w:spacing w:after="0" w:line="264" w:lineRule="auto"/>
        <w:rPr>
          <w:sz w:val="20"/>
          <w:szCs w:val="20"/>
          <w:color w:val="auto"/>
        </w:rPr>
      </w:pPr>
      <w:r>
        <w:rPr>
          <w:rFonts w:ascii="Arial" w:cs="Arial" w:eastAsia="Arial" w:hAnsi="Arial"/>
          <w:sz w:val="18"/>
          <w:szCs w:val="18"/>
          <w:color w:val="auto"/>
        </w:rPr>
        <w:t>The Financial Transactions Reports Act 1988 is an act of the Parliament of the Commonwealth of Australia, designed to facilitate the administration and enforcement of Australia’s taxation laws. It provides for the reporting of certain financial transactions and transfers, including the export or import of currency exceeding $10,000 to Australian Transaction Reports and Analysis Centre.</w:t>
      </w:r>
    </w:p>
    <w:p>
      <w:pPr>
        <w:spacing w:after="0" w:line="114"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78</w:t>
      </w:r>
    </w:p>
    <w:p>
      <w:pPr>
        <w:sectPr>
          <w:pgSz w:w="11900" w:h="16838" w:orient="portrait"/>
          <w:cols w:equalWidth="0" w:num="1">
            <w:col w:w="11200"/>
          </w:cols>
          <w:pgMar w:left="240" w:top="459" w:right="459" w:bottom="1440" w:gutter="0" w:footer="0" w:header="0"/>
        </w:sectPr>
      </w:pPr>
    </w:p>
    <w:bookmarkStart w:id="80" w:name="page81"/>
    <w:bookmarkEnd w:id="8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The Income Tax Assessment Act of 1936 and the Income Tax Assessment Act of 1997 (collectively, the “Tax Act”)</w:t>
      </w:r>
    </w:p>
    <w:p>
      <w:pPr>
        <w:spacing w:after="0" w:line="121" w:lineRule="exact"/>
        <w:rPr>
          <w:sz w:val="20"/>
          <w:szCs w:val="20"/>
          <w:color w:val="auto"/>
        </w:rPr>
      </w:pPr>
    </w:p>
    <w:p>
      <w:pPr>
        <w:ind w:left="200" w:right="160" w:firstLine="441"/>
        <w:spacing w:after="0" w:line="342" w:lineRule="auto"/>
        <w:rPr>
          <w:sz w:val="20"/>
          <w:szCs w:val="20"/>
          <w:color w:val="auto"/>
        </w:rPr>
      </w:pPr>
      <w:r>
        <w:rPr>
          <w:rFonts w:ascii="Arial" w:cs="Arial" w:eastAsia="Arial" w:hAnsi="Arial"/>
          <w:sz w:val="16"/>
          <w:szCs w:val="16"/>
          <w:color w:val="auto"/>
        </w:rPr>
        <w:t>The Income Tax Assessment Act 1936 and the Income Tax Assessment Act 1997 (collectively, the “Tax Act”) is the principal law governing the imposition of Federal taxes in Australia (except goods and services tax and a number of specific taxes such as fringe benefits tax and stamp duties).</w:t>
      </w:r>
    </w:p>
    <w:p>
      <w:pPr>
        <w:spacing w:after="0" w:line="124" w:lineRule="exact"/>
        <w:rPr>
          <w:sz w:val="20"/>
          <w:szCs w:val="20"/>
          <w:color w:val="auto"/>
        </w:rPr>
      </w:pPr>
    </w:p>
    <w:p>
      <w:pPr>
        <w:ind w:left="200" w:right="520" w:firstLine="441"/>
        <w:spacing w:after="0" w:line="277" w:lineRule="auto"/>
        <w:rPr>
          <w:sz w:val="20"/>
          <w:szCs w:val="20"/>
          <w:color w:val="auto"/>
        </w:rPr>
      </w:pPr>
      <w:r>
        <w:rPr>
          <w:rFonts w:ascii="Arial" w:cs="Arial" w:eastAsia="Arial" w:hAnsi="Arial"/>
          <w:sz w:val="18"/>
          <w:szCs w:val="18"/>
          <w:color w:val="auto"/>
        </w:rPr>
        <w:t>Under the Tax Act, in some circumstances overseas residents are obliged to pay income tax in Australia on income derived from Australian sources or property.</w:t>
      </w:r>
    </w:p>
    <w:p>
      <w:pPr>
        <w:spacing w:after="0" w:line="27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Taxation of Dividends for Non-Australian Resident Shareholders</w:t>
      </w:r>
    </w:p>
    <w:p>
      <w:pPr>
        <w:spacing w:after="0" w:line="121" w:lineRule="exact"/>
        <w:rPr>
          <w:sz w:val="20"/>
          <w:szCs w:val="20"/>
          <w:color w:val="auto"/>
        </w:rPr>
      </w:pPr>
    </w:p>
    <w:p>
      <w:pPr>
        <w:ind w:left="200" w:firstLine="441"/>
        <w:spacing w:after="0" w:line="255" w:lineRule="auto"/>
        <w:rPr>
          <w:sz w:val="20"/>
          <w:szCs w:val="20"/>
          <w:color w:val="auto"/>
        </w:rPr>
      </w:pPr>
      <w:r>
        <w:rPr>
          <w:rFonts w:ascii="Arial" w:cs="Arial" w:eastAsia="Arial" w:hAnsi="Arial"/>
          <w:sz w:val="18"/>
          <w:szCs w:val="18"/>
          <w:color w:val="auto"/>
        </w:rPr>
        <w:t>Non-Australian residents may be liable to pay Australian tax on income derived from Australian sources. One mechanism by which that tax is paid (for nonresidents who have no permanent establishment or fixed base in Australia or where the income is not connected with a permanent establishment or fixed base) is known as withholding tax. Dividends paid by a resident Australian company to a resident of the United States of America who; (a) is entitled to the benefits of the Australia/US Double Tax Agreement (“DTA”); and (b) is beneficially entitled to the dividends; and (c) holds less than 10% of the voting power in the relevant Australian company, are subject to withholding tax at the rate of 15% to the extent the dividends are ‘unfranked’.</w:t>
      </w:r>
    </w:p>
    <w:p>
      <w:pPr>
        <w:spacing w:after="0" w:line="193" w:lineRule="exact"/>
        <w:rPr>
          <w:sz w:val="20"/>
          <w:szCs w:val="20"/>
          <w:color w:val="auto"/>
        </w:rPr>
      </w:pPr>
    </w:p>
    <w:p>
      <w:pPr>
        <w:ind w:left="200" w:right="140" w:firstLine="441"/>
        <w:spacing w:after="0" w:line="277" w:lineRule="auto"/>
        <w:rPr>
          <w:sz w:val="20"/>
          <w:szCs w:val="20"/>
          <w:color w:val="auto"/>
        </w:rPr>
      </w:pPr>
      <w:r>
        <w:rPr>
          <w:rFonts w:ascii="Arial" w:cs="Arial" w:eastAsia="Arial" w:hAnsi="Arial"/>
          <w:sz w:val="18"/>
          <w:szCs w:val="18"/>
          <w:color w:val="auto"/>
        </w:rPr>
        <w:t>The rate of withholding tax is 5% if, the shareholder, is resident of the United State and is a company that holds at least 10% of the voting power in the company paying the dividend.</w:t>
      </w:r>
    </w:p>
    <w:p>
      <w:pPr>
        <w:spacing w:after="0" w:line="170" w:lineRule="exact"/>
        <w:rPr>
          <w:sz w:val="20"/>
          <w:szCs w:val="20"/>
          <w:color w:val="auto"/>
        </w:rPr>
      </w:pPr>
    </w:p>
    <w:p>
      <w:pPr>
        <w:ind w:left="200" w:right="40" w:firstLine="441"/>
        <w:spacing w:after="0" w:line="277" w:lineRule="auto"/>
        <w:rPr>
          <w:sz w:val="20"/>
          <w:szCs w:val="20"/>
          <w:color w:val="auto"/>
        </w:rPr>
      </w:pPr>
      <w:r>
        <w:rPr>
          <w:rFonts w:ascii="Arial" w:cs="Arial" w:eastAsia="Arial" w:hAnsi="Arial"/>
          <w:sz w:val="18"/>
          <w:szCs w:val="18"/>
          <w:color w:val="auto"/>
        </w:rPr>
        <w:t>The rate of withholding tax on dividends is normally 30%, but in accordance with the DTA, the rate may be reduced in the circumstances outlined above.</w:t>
      </w:r>
    </w:p>
    <w:p>
      <w:pPr>
        <w:spacing w:after="0" w:line="170" w:lineRule="exact"/>
        <w:rPr>
          <w:sz w:val="20"/>
          <w:szCs w:val="20"/>
          <w:color w:val="auto"/>
        </w:rPr>
      </w:pPr>
    </w:p>
    <w:p>
      <w:pPr>
        <w:ind w:left="200" w:firstLine="441"/>
        <w:spacing w:after="0" w:line="291" w:lineRule="auto"/>
        <w:rPr>
          <w:sz w:val="20"/>
          <w:szCs w:val="20"/>
          <w:color w:val="auto"/>
        </w:rPr>
      </w:pPr>
      <w:r>
        <w:rPr>
          <w:rFonts w:ascii="Arial" w:cs="Arial" w:eastAsia="Arial" w:hAnsi="Arial"/>
          <w:sz w:val="16"/>
          <w:szCs w:val="16"/>
          <w:color w:val="auto"/>
        </w:rPr>
        <w:t>Under Section 128B(3) of the Income Tax Assessment Act 1936, to the extent that dividends paid to nonresidents have been franked, such dividends are exempt from withholding tax. “Franked dividends” is the expression given to dividends when the profits out of which those dividends are paid have been taxed at company level and such tax is allocated or imputed to the dividend. Accordingly, an Australian company paying fully franked dividends to a nonresident is not required to deduct any withholding tax. Dividends on which withholding tax has been paid are generally not subject to any further Australian tax. In other words, the withholding tax should represent the final Australian tax liability in relation to those dividends. Where the dividend is paid out of foreign sourced income (such as foreign branch income and capital gains) that is declared to be conduit foreign income, no withholding tax is payable. Distributions of conduit foreign income are treated as non assessable nonexempt income of the foreign resident.</w:t>
      </w:r>
    </w:p>
    <w:p>
      <w:pPr>
        <w:spacing w:after="0" w:line="167" w:lineRule="exact"/>
        <w:rPr>
          <w:sz w:val="20"/>
          <w:szCs w:val="20"/>
          <w:color w:val="auto"/>
        </w:rPr>
      </w:pPr>
    </w:p>
    <w:p>
      <w:pPr>
        <w:ind w:left="640"/>
        <w:spacing w:after="0"/>
        <w:rPr>
          <w:sz w:val="20"/>
          <w:szCs w:val="20"/>
          <w:color w:val="auto"/>
        </w:rPr>
      </w:pPr>
      <w:r>
        <w:rPr>
          <w:rFonts w:ascii="Arial" w:cs="Arial" w:eastAsia="Arial" w:hAnsi="Arial"/>
          <w:sz w:val="18"/>
          <w:szCs w:val="18"/>
          <w:color w:val="auto"/>
        </w:rPr>
        <w:t>Dividends paid to Australian resident shareholders are subject to a different taxation regime.</w:t>
      </w:r>
    </w:p>
    <w:p>
      <w:pPr>
        <w:spacing w:after="0" w:line="225" w:lineRule="exact"/>
        <w:rPr>
          <w:sz w:val="20"/>
          <w:szCs w:val="20"/>
          <w:color w:val="auto"/>
        </w:rPr>
      </w:pPr>
    </w:p>
    <w:p>
      <w:pPr>
        <w:ind w:left="200" w:right="300" w:firstLine="441"/>
        <w:spacing w:after="0" w:line="277" w:lineRule="auto"/>
        <w:rPr>
          <w:sz w:val="20"/>
          <w:szCs w:val="20"/>
          <w:color w:val="auto"/>
        </w:rPr>
      </w:pPr>
      <w:r>
        <w:rPr>
          <w:rFonts w:ascii="Arial" w:cs="Arial" w:eastAsia="Arial" w:hAnsi="Arial"/>
          <w:sz w:val="18"/>
          <w:szCs w:val="18"/>
          <w:color w:val="auto"/>
        </w:rPr>
        <w:t>We have not paid any cash dividends since our inception and we do not anticipate the payment of cash dividends in the foreseeable future. See Item 8.A. “Financial Statements and Other Financial Information–Dividend Distribution Policy.”</w:t>
      </w:r>
    </w:p>
    <w:p>
      <w:pPr>
        <w:spacing w:after="0" w:line="27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Capital Gains Tax</w:t>
      </w:r>
    </w:p>
    <w:p>
      <w:pPr>
        <w:spacing w:after="0" w:line="121" w:lineRule="exact"/>
        <w:rPr>
          <w:sz w:val="20"/>
          <w:szCs w:val="20"/>
          <w:color w:val="auto"/>
        </w:rPr>
      </w:pPr>
    </w:p>
    <w:p>
      <w:pPr>
        <w:ind w:left="200" w:right="140" w:firstLine="441"/>
        <w:spacing w:after="0" w:line="257" w:lineRule="auto"/>
        <w:rPr>
          <w:sz w:val="20"/>
          <w:szCs w:val="20"/>
          <w:color w:val="auto"/>
        </w:rPr>
      </w:pPr>
      <w:r>
        <w:rPr>
          <w:rFonts w:ascii="Arial" w:cs="Arial" w:eastAsia="Arial" w:hAnsi="Arial"/>
          <w:sz w:val="18"/>
          <w:szCs w:val="18"/>
          <w:color w:val="auto"/>
        </w:rPr>
        <w:t>Capital gains tax in Australia is payable on net assessable ‘real gains’ over the period in which the shares have been held, that is, the difference between the selling price and the total cost price calculated under Australian tax law. Nonresident shareholders will not be subject to Australian capital gains tax on any gain made on a sale or other disposal of ordinary shares in an Australian resident company, unless the nonresident shareholders, together with their associates, hold 10% or more of the total paid up share capital at (a) the time of disposal, or (b) any 12 month period in the 2 years prior to disposal.</w:t>
      </w:r>
    </w:p>
    <w:p>
      <w:pPr>
        <w:spacing w:after="0" w:line="121"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79</w:t>
      </w:r>
    </w:p>
    <w:p>
      <w:pPr>
        <w:sectPr>
          <w:pgSz w:w="11900" w:h="16838" w:orient="portrait"/>
          <w:cols w:equalWidth="0" w:num="1">
            <w:col w:w="11200"/>
          </w:cols>
          <w:pgMar w:left="240" w:top="459" w:right="459" w:bottom="1440" w:gutter="0" w:footer="0" w:header="0"/>
        </w:sectPr>
      </w:pPr>
    </w:p>
    <w:bookmarkStart w:id="81" w:name="page82"/>
    <w:bookmarkEnd w:id="8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both"/>
        <w:ind w:left="200" w:firstLine="441"/>
        <w:spacing w:after="0" w:line="264" w:lineRule="auto"/>
        <w:rPr>
          <w:sz w:val="20"/>
          <w:szCs w:val="20"/>
          <w:color w:val="auto"/>
        </w:rPr>
      </w:pPr>
      <w:r>
        <w:rPr>
          <w:rFonts w:ascii="Arial" w:cs="Arial" w:eastAsia="Arial" w:hAnsi="Arial"/>
          <w:sz w:val="18"/>
          <w:szCs w:val="18"/>
          <w:color w:val="auto"/>
        </w:rPr>
        <w:t>Nonresident shareholders who own 10% or more of the paid up share capital will be subject to Australian capital gains tax if more than 50% of the assets held by the company directly or indirectly (based on market value), consists of real property situated in Australia (including land and lease holder interests) or Australian mining, quarrying or prospecting rights.</w:t>
      </w:r>
    </w:p>
    <w:p>
      <w:pPr>
        <w:spacing w:after="0" w:line="181" w:lineRule="exact"/>
        <w:rPr>
          <w:sz w:val="20"/>
          <w:szCs w:val="20"/>
          <w:color w:val="auto"/>
        </w:rPr>
      </w:pPr>
    </w:p>
    <w:p>
      <w:pPr>
        <w:jc w:val="both"/>
        <w:ind w:left="200" w:right="160" w:firstLine="441"/>
        <w:spacing w:after="0" w:line="264" w:lineRule="auto"/>
        <w:rPr>
          <w:sz w:val="20"/>
          <w:szCs w:val="20"/>
          <w:color w:val="auto"/>
        </w:rPr>
      </w:pPr>
      <w:r>
        <w:rPr>
          <w:rFonts w:ascii="Arial" w:cs="Arial" w:eastAsia="Arial" w:hAnsi="Arial"/>
          <w:sz w:val="18"/>
          <w:szCs w:val="18"/>
          <w:color w:val="auto"/>
        </w:rPr>
        <w:t>In some cases, if the shares have been held for more than 12 months, certain Australian resident taxpayers who have made a capital gain may be eligible for a discount of up to 50% of the gross gain. Capital losses may be available to offset capital gains. The capital gains discount is not available to non resident individuals on gains accrued after 8 May 2012.</w:t>
      </w:r>
    </w:p>
    <w:p>
      <w:pPr>
        <w:spacing w:after="0" w:line="28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Stamp Duty</w:t>
      </w:r>
    </w:p>
    <w:p>
      <w:pPr>
        <w:spacing w:after="0" w:line="121" w:lineRule="exact"/>
        <w:rPr>
          <w:sz w:val="20"/>
          <w:szCs w:val="20"/>
          <w:color w:val="auto"/>
        </w:rPr>
      </w:pPr>
    </w:p>
    <w:p>
      <w:pPr>
        <w:ind w:left="200" w:right="320" w:firstLine="441"/>
        <w:spacing w:after="0" w:line="277" w:lineRule="auto"/>
        <w:rPr>
          <w:sz w:val="20"/>
          <w:szCs w:val="20"/>
          <w:color w:val="auto"/>
        </w:rPr>
      </w:pPr>
      <w:r>
        <w:rPr>
          <w:rFonts w:ascii="Arial" w:cs="Arial" w:eastAsia="Arial" w:hAnsi="Arial"/>
          <w:sz w:val="18"/>
          <w:szCs w:val="18"/>
          <w:color w:val="auto"/>
        </w:rPr>
        <w:t>Any transfer of shares or ADS through trading on the ASX and NASDAQ, whether by Australian residents or foreign residents, should not be subject to stamp duty on the assumption that the company does not have substantial real property holdings.</w:t>
      </w:r>
    </w:p>
    <w:p>
      <w:pPr>
        <w:spacing w:after="0" w:line="27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Australian Death Duty</w:t>
      </w:r>
    </w:p>
    <w:p>
      <w:pPr>
        <w:spacing w:after="0" w:line="121" w:lineRule="exact"/>
        <w:rPr>
          <w:sz w:val="20"/>
          <w:szCs w:val="20"/>
          <w:color w:val="auto"/>
        </w:rPr>
      </w:pPr>
    </w:p>
    <w:p>
      <w:pPr>
        <w:ind w:left="200" w:right="480" w:firstLine="441"/>
        <w:spacing w:after="0" w:line="277" w:lineRule="auto"/>
        <w:rPr>
          <w:sz w:val="20"/>
          <w:szCs w:val="20"/>
          <w:color w:val="auto"/>
        </w:rPr>
      </w:pPr>
      <w:r>
        <w:rPr>
          <w:rFonts w:ascii="Arial" w:cs="Arial" w:eastAsia="Arial" w:hAnsi="Arial"/>
          <w:sz w:val="18"/>
          <w:szCs w:val="18"/>
          <w:color w:val="auto"/>
        </w:rPr>
        <w:t>Australia does not have estate or death duties. Generally, no capital gains tax liability is realized upon the inheritance of a deceased person’s shares. The disposal of inherited shares by beneficiaries, may, however, give rise to a capital gains tax liability.</w:t>
      </w:r>
    </w:p>
    <w:p>
      <w:pPr>
        <w:spacing w:after="0" w:line="27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Goods and Services Tax</w:t>
      </w:r>
    </w:p>
    <w:p>
      <w:pPr>
        <w:spacing w:after="0" w:line="121" w:lineRule="exact"/>
        <w:rPr>
          <w:sz w:val="20"/>
          <w:szCs w:val="20"/>
          <w:color w:val="auto"/>
        </w:rPr>
      </w:pPr>
    </w:p>
    <w:p>
      <w:pPr>
        <w:ind w:left="200" w:right="100" w:firstLine="441"/>
        <w:spacing w:after="0" w:line="277" w:lineRule="auto"/>
        <w:rPr>
          <w:sz w:val="20"/>
          <w:szCs w:val="20"/>
          <w:color w:val="auto"/>
        </w:rPr>
      </w:pPr>
      <w:r>
        <w:rPr>
          <w:rFonts w:ascii="Arial" w:cs="Arial" w:eastAsia="Arial" w:hAnsi="Arial"/>
          <w:sz w:val="18"/>
          <w:szCs w:val="18"/>
          <w:color w:val="auto"/>
        </w:rPr>
        <w:t>The issue or transfer of shares will not incur Australian goods and services tax and does not require a stockholder to register for Australian goods and services tax purposes.</w:t>
      </w:r>
    </w:p>
    <w:p>
      <w:pPr>
        <w:spacing w:after="0" w:line="27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E. U.S. Federal Income Tax Considerations</w:t>
      </w:r>
    </w:p>
    <w:p>
      <w:pPr>
        <w:spacing w:after="0" w:line="121" w:lineRule="exact"/>
        <w:rPr>
          <w:sz w:val="20"/>
          <w:szCs w:val="20"/>
          <w:color w:val="auto"/>
        </w:rPr>
      </w:pPr>
    </w:p>
    <w:p>
      <w:pPr>
        <w:ind w:left="200" w:right="80" w:firstLine="441"/>
        <w:spacing w:after="0" w:line="259" w:lineRule="auto"/>
        <w:rPr>
          <w:sz w:val="20"/>
          <w:szCs w:val="20"/>
          <w:color w:val="auto"/>
        </w:rPr>
      </w:pPr>
      <w:r>
        <w:rPr>
          <w:rFonts w:ascii="Arial" w:cs="Arial" w:eastAsia="Arial" w:hAnsi="Arial"/>
          <w:sz w:val="18"/>
          <w:szCs w:val="18"/>
          <w:color w:val="auto"/>
        </w:rPr>
        <w:t>The following discussion summarizes certain U.S. federal income tax consequences to a U.S. Holder, as defined below, who purchases our ADSs and ordinary shares. This discussion assumes that investors will hold their ADSs or ordinary shares as capital assets (generally, property held for investment). This discussion does not discuss all aspects of U.S. federal income taxation which may be important to particular investors in light of their individual circumstances, including investors subject to special taxation, such as:</w:t>
      </w:r>
    </w:p>
    <w:p>
      <w:pPr>
        <w:spacing w:after="0" w:line="92" w:lineRule="exact"/>
        <w:rPr>
          <w:sz w:val="20"/>
          <w:szCs w:val="20"/>
          <w:color w:val="auto"/>
        </w:rPr>
      </w:pPr>
    </w:p>
    <w:p>
      <w:pPr>
        <w:ind w:left="1180" w:hanging="436"/>
        <w:spacing w:after="0"/>
        <w:tabs>
          <w:tab w:leader="none" w:pos="1180" w:val="left"/>
        </w:tabs>
        <w:numPr>
          <w:ilvl w:val="0"/>
          <w:numId w:val="49"/>
        </w:numPr>
        <w:rPr>
          <w:rFonts w:ascii="Arial" w:cs="Arial" w:eastAsia="Arial" w:hAnsi="Arial"/>
          <w:sz w:val="18"/>
          <w:szCs w:val="18"/>
          <w:color w:val="auto"/>
        </w:rPr>
      </w:pPr>
      <w:r>
        <w:rPr>
          <w:rFonts w:ascii="Arial" w:cs="Arial" w:eastAsia="Arial" w:hAnsi="Arial"/>
          <w:sz w:val="18"/>
          <w:szCs w:val="18"/>
          <w:color w:val="auto"/>
        </w:rPr>
        <w:t>banks and financial institutions;</w:t>
      </w:r>
    </w:p>
    <w:p>
      <w:pPr>
        <w:spacing w:after="0" w:line="130" w:lineRule="exact"/>
        <w:rPr>
          <w:rFonts w:ascii="Arial" w:cs="Arial" w:eastAsia="Arial" w:hAnsi="Arial"/>
          <w:sz w:val="18"/>
          <w:szCs w:val="18"/>
          <w:color w:val="auto"/>
        </w:rPr>
      </w:pPr>
    </w:p>
    <w:p>
      <w:pPr>
        <w:ind w:left="1180" w:hanging="436"/>
        <w:spacing w:after="0"/>
        <w:tabs>
          <w:tab w:leader="none" w:pos="1180" w:val="left"/>
        </w:tabs>
        <w:numPr>
          <w:ilvl w:val="0"/>
          <w:numId w:val="49"/>
        </w:numPr>
        <w:rPr>
          <w:rFonts w:ascii="Arial" w:cs="Arial" w:eastAsia="Arial" w:hAnsi="Arial"/>
          <w:sz w:val="18"/>
          <w:szCs w:val="18"/>
          <w:color w:val="auto"/>
        </w:rPr>
      </w:pPr>
      <w:r>
        <w:rPr>
          <w:rFonts w:ascii="Arial" w:cs="Arial" w:eastAsia="Arial" w:hAnsi="Arial"/>
          <w:sz w:val="18"/>
          <w:szCs w:val="18"/>
          <w:color w:val="auto"/>
        </w:rPr>
        <w:t>brokers and dealers in securities or currencies;</w:t>
      </w:r>
    </w:p>
    <w:p>
      <w:pPr>
        <w:spacing w:after="0" w:line="130" w:lineRule="exact"/>
        <w:rPr>
          <w:rFonts w:ascii="Arial" w:cs="Arial" w:eastAsia="Arial" w:hAnsi="Arial"/>
          <w:sz w:val="18"/>
          <w:szCs w:val="18"/>
          <w:color w:val="auto"/>
        </w:rPr>
      </w:pPr>
    </w:p>
    <w:p>
      <w:pPr>
        <w:ind w:left="1180" w:hanging="436"/>
        <w:spacing w:after="0"/>
        <w:tabs>
          <w:tab w:leader="none" w:pos="1180" w:val="left"/>
        </w:tabs>
        <w:numPr>
          <w:ilvl w:val="0"/>
          <w:numId w:val="49"/>
        </w:numPr>
        <w:rPr>
          <w:rFonts w:ascii="Arial" w:cs="Arial" w:eastAsia="Arial" w:hAnsi="Arial"/>
          <w:sz w:val="18"/>
          <w:szCs w:val="18"/>
          <w:color w:val="auto"/>
        </w:rPr>
      </w:pPr>
      <w:r>
        <w:rPr>
          <w:rFonts w:ascii="Arial" w:cs="Arial" w:eastAsia="Arial" w:hAnsi="Arial"/>
          <w:sz w:val="18"/>
          <w:szCs w:val="18"/>
          <w:color w:val="auto"/>
        </w:rPr>
        <w:t>insurance companies;</w:t>
      </w:r>
    </w:p>
    <w:p>
      <w:pPr>
        <w:spacing w:after="0" w:line="130" w:lineRule="exact"/>
        <w:rPr>
          <w:rFonts w:ascii="Arial" w:cs="Arial" w:eastAsia="Arial" w:hAnsi="Arial"/>
          <w:sz w:val="18"/>
          <w:szCs w:val="18"/>
          <w:color w:val="auto"/>
        </w:rPr>
      </w:pPr>
    </w:p>
    <w:p>
      <w:pPr>
        <w:ind w:left="1180" w:hanging="436"/>
        <w:spacing w:after="0"/>
        <w:tabs>
          <w:tab w:leader="none" w:pos="1180" w:val="left"/>
        </w:tabs>
        <w:numPr>
          <w:ilvl w:val="0"/>
          <w:numId w:val="49"/>
        </w:numPr>
        <w:rPr>
          <w:rFonts w:ascii="Arial" w:cs="Arial" w:eastAsia="Arial" w:hAnsi="Arial"/>
          <w:sz w:val="18"/>
          <w:szCs w:val="18"/>
          <w:color w:val="auto"/>
        </w:rPr>
      </w:pPr>
      <w:r>
        <w:rPr>
          <w:rFonts w:ascii="Arial" w:cs="Arial" w:eastAsia="Arial" w:hAnsi="Arial"/>
          <w:sz w:val="18"/>
          <w:szCs w:val="18"/>
          <w:color w:val="auto"/>
        </w:rPr>
        <w:t>tax-exempt organizations and retirement plans;</w:t>
      </w:r>
    </w:p>
    <w:p>
      <w:pPr>
        <w:spacing w:after="0" w:line="130" w:lineRule="exact"/>
        <w:rPr>
          <w:rFonts w:ascii="Arial" w:cs="Arial" w:eastAsia="Arial" w:hAnsi="Arial"/>
          <w:sz w:val="18"/>
          <w:szCs w:val="18"/>
          <w:color w:val="auto"/>
        </w:rPr>
      </w:pPr>
    </w:p>
    <w:p>
      <w:pPr>
        <w:ind w:left="1180" w:hanging="436"/>
        <w:spacing w:after="0"/>
        <w:tabs>
          <w:tab w:leader="none" w:pos="1180" w:val="left"/>
        </w:tabs>
        <w:numPr>
          <w:ilvl w:val="0"/>
          <w:numId w:val="49"/>
        </w:numPr>
        <w:rPr>
          <w:rFonts w:ascii="Arial" w:cs="Arial" w:eastAsia="Arial" w:hAnsi="Arial"/>
          <w:sz w:val="18"/>
          <w:szCs w:val="18"/>
          <w:color w:val="auto"/>
        </w:rPr>
      </w:pPr>
      <w:r>
        <w:rPr>
          <w:rFonts w:ascii="Arial" w:cs="Arial" w:eastAsia="Arial" w:hAnsi="Arial"/>
          <w:sz w:val="18"/>
          <w:szCs w:val="18"/>
          <w:color w:val="auto"/>
        </w:rPr>
        <w:t>grantor trusts;</w:t>
      </w:r>
    </w:p>
    <w:p>
      <w:pPr>
        <w:spacing w:after="0" w:line="130" w:lineRule="exact"/>
        <w:rPr>
          <w:rFonts w:ascii="Arial" w:cs="Arial" w:eastAsia="Arial" w:hAnsi="Arial"/>
          <w:sz w:val="18"/>
          <w:szCs w:val="18"/>
          <w:color w:val="auto"/>
        </w:rPr>
      </w:pPr>
    </w:p>
    <w:p>
      <w:pPr>
        <w:ind w:left="1180" w:hanging="436"/>
        <w:spacing w:after="0"/>
        <w:tabs>
          <w:tab w:leader="none" w:pos="1180" w:val="left"/>
        </w:tabs>
        <w:numPr>
          <w:ilvl w:val="0"/>
          <w:numId w:val="49"/>
        </w:numPr>
        <w:rPr>
          <w:rFonts w:ascii="Arial" w:cs="Arial" w:eastAsia="Arial" w:hAnsi="Arial"/>
          <w:sz w:val="18"/>
          <w:szCs w:val="18"/>
          <w:color w:val="auto"/>
        </w:rPr>
      </w:pPr>
      <w:r>
        <w:rPr>
          <w:rFonts w:ascii="Arial" w:cs="Arial" w:eastAsia="Arial" w:hAnsi="Arial"/>
          <w:sz w:val="18"/>
          <w:szCs w:val="18"/>
          <w:color w:val="auto"/>
        </w:rPr>
        <w:t>S corporations;</w:t>
      </w:r>
    </w:p>
    <w:p>
      <w:pPr>
        <w:spacing w:after="0" w:line="130" w:lineRule="exact"/>
        <w:rPr>
          <w:rFonts w:ascii="Arial" w:cs="Arial" w:eastAsia="Arial" w:hAnsi="Arial"/>
          <w:sz w:val="18"/>
          <w:szCs w:val="18"/>
          <w:color w:val="auto"/>
        </w:rPr>
      </w:pPr>
    </w:p>
    <w:p>
      <w:pPr>
        <w:ind w:left="1180" w:hanging="436"/>
        <w:spacing w:after="0"/>
        <w:tabs>
          <w:tab w:leader="none" w:pos="1180" w:val="left"/>
        </w:tabs>
        <w:numPr>
          <w:ilvl w:val="0"/>
          <w:numId w:val="49"/>
        </w:numPr>
        <w:rPr>
          <w:rFonts w:ascii="Arial" w:cs="Arial" w:eastAsia="Arial" w:hAnsi="Arial"/>
          <w:sz w:val="17"/>
          <w:szCs w:val="17"/>
          <w:color w:val="auto"/>
        </w:rPr>
      </w:pPr>
      <w:r>
        <w:rPr>
          <w:rFonts w:ascii="Arial" w:cs="Arial" w:eastAsia="Arial" w:hAnsi="Arial"/>
          <w:sz w:val="17"/>
          <w:szCs w:val="17"/>
          <w:color w:val="auto"/>
        </w:rPr>
        <w:t>persons holding ADSs or ordinary shares as part of hedging, conversion, constructive sale, straddle or other integrated transactions;</w:t>
      </w:r>
    </w:p>
    <w:p>
      <w:pPr>
        <w:spacing w:after="0" w:line="142" w:lineRule="exact"/>
        <w:rPr>
          <w:rFonts w:ascii="Arial" w:cs="Arial" w:eastAsia="Arial" w:hAnsi="Arial"/>
          <w:sz w:val="17"/>
          <w:szCs w:val="17"/>
          <w:color w:val="auto"/>
        </w:rPr>
      </w:pPr>
    </w:p>
    <w:p>
      <w:pPr>
        <w:ind w:left="1180" w:hanging="436"/>
        <w:spacing w:after="0"/>
        <w:tabs>
          <w:tab w:leader="none" w:pos="1180" w:val="left"/>
        </w:tabs>
        <w:numPr>
          <w:ilvl w:val="0"/>
          <w:numId w:val="49"/>
        </w:numPr>
        <w:rPr>
          <w:rFonts w:ascii="Arial" w:cs="Arial" w:eastAsia="Arial" w:hAnsi="Arial"/>
          <w:sz w:val="18"/>
          <w:szCs w:val="18"/>
          <w:color w:val="auto"/>
        </w:rPr>
      </w:pPr>
      <w:r>
        <w:rPr>
          <w:rFonts w:ascii="Arial" w:cs="Arial" w:eastAsia="Arial" w:hAnsi="Arial"/>
          <w:sz w:val="18"/>
          <w:szCs w:val="18"/>
          <w:color w:val="auto"/>
        </w:rPr>
        <w:t>persons who acquired their ordinary shares upon the exercise of employee stock options or otherwise as compensation;</w:t>
      </w:r>
    </w:p>
    <w:p>
      <w:pPr>
        <w:spacing w:after="0" w:line="130" w:lineRule="exact"/>
        <w:rPr>
          <w:rFonts w:ascii="Arial" w:cs="Arial" w:eastAsia="Arial" w:hAnsi="Arial"/>
          <w:sz w:val="18"/>
          <w:szCs w:val="18"/>
          <w:color w:val="auto"/>
        </w:rPr>
      </w:pPr>
    </w:p>
    <w:p>
      <w:pPr>
        <w:ind w:left="1180" w:hanging="436"/>
        <w:spacing w:after="0"/>
        <w:tabs>
          <w:tab w:leader="none" w:pos="1180" w:val="left"/>
        </w:tabs>
        <w:numPr>
          <w:ilvl w:val="0"/>
          <w:numId w:val="49"/>
        </w:numPr>
        <w:rPr>
          <w:rFonts w:ascii="Arial" w:cs="Arial" w:eastAsia="Arial" w:hAnsi="Arial"/>
          <w:sz w:val="18"/>
          <w:szCs w:val="18"/>
          <w:color w:val="auto"/>
        </w:rPr>
      </w:pPr>
      <w:r>
        <w:rPr>
          <w:rFonts w:ascii="Arial" w:cs="Arial" w:eastAsia="Arial" w:hAnsi="Arial"/>
          <w:sz w:val="18"/>
          <w:szCs w:val="18"/>
          <w:color w:val="auto"/>
        </w:rPr>
        <w:t>persons who have elected the mark-to-market method of accounting;</w:t>
      </w:r>
    </w:p>
    <w:p>
      <w:pPr>
        <w:spacing w:after="0" w:line="130" w:lineRule="exact"/>
        <w:rPr>
          <w:rFonts w:ascii="Arial" w:cs="Arial" w:eastAsia="Arial" w:hAnsi="Arial"/>
          <w:sz w:val="18"/>
          <w:szCs w:val="18"/>
          <w:color w:val="auto"/>
        </w:rPr>
      </w:pPr>
    </w:p>
    <w:p>
      <w:pPr>
        <w:ind w:left="1180" w:hanging="436"/>
        <w:spacing w:after="0"/>
        <w:tabs>
          <w:tab w:leader="none" w:pos="1180" w:val="left"/>
        </w:tabs>
        <w:numPr>
          <w:ilvl w:val="0"/>
          <w:numId w:val="49"/>
        </w:numPr>
        <w:rPr>
          <w:rFonts w:ascii="Arial" w:cs="Arial" w:eastAsia="Arial" w:hAnsi="Arial"/>
          <w:sz w:val="18"/>
          <w:szCs w:val="18"/>
          <w:color w:val="auto"/>
        </w:rPr>
      </w:pPr>
      <w:r>
        <w:rPr>
          <w:rFonts w:ascii="Arial" w:cs="Arial" w:eastAsia="Arial" w:hAnsi="Arial"/>
          <w:sz w:val="18"/>
          <w:szCs w:val="18"/>
          <w:color w:val="auto"/>
        </w:rPr>
        <w:t>persons who own 10% or more of our ADSs or shares;</w:t>
      </w:r>
    </w:p>
    <w:p>
      <w:pPr>
        <w:spacing w:after="0" w:line="130" w:lineRule="exact"/>
        <w:rPr>
          <w:rFonts w:ascii="Arial" w:cs="Arial" w:eastAsia="Arial" w:hAnsi="Arial"/>
          <w:sz w:val="18"/>
          <w:szCs w:val="18"/>
          <w:color w:val="auto"/>
        </w:rPr>
      </w:pPr>
    </w:p>
    <w:p>
      <w:pPr>
        <w:ind w:left="1180" w:hanging="436"/>
        <w:spacing w:after="0"/>
        <w:tabs>
          <w:tab w:leader="none" w:pos="1180" w:val="left"/>
        </w:tabs>
        <w:numPr>
          <w:ilvl w:val="0"/>
          <w:numId w:val="49"/>
        </w:numPr>
        <w:rPr>
          <w:rFonts w:ascii="Arial" w:cs="Arial" w:eastAsia="Arial" w:hAnsi="Arial"/>
          <w:sz w:val="18"/>
          <w:szCs w:val="18"/>
          <w:color w:val="auto"/>
        </w:rPr>
      </w:pPr>
      <w:r>
        <w:rPr>
          <w:rFonts w:ascii="Arial" w:cs="Arial" w:eastAsia="Arial" w:hAnsi="Arial"/>
          <w:sz w:val="18"/>
          <w:szCs w:val="18"/>
          <w:color w:val="auto"/>
        </w:rPr>
        <w:t>real estate investment trusts or regulated investment companies;</w:t>
      </w:r>
    </w:p>
    <w:p>
      <w:pPr>
        <w:spacing w:after="0" w:line="158"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80</w:t>
      </w:r>
    </w:p>
    <w:p>
      <w:pPr>
        <w:sectPr>
          <w:pgSz w:w="11900" w:h="16838" w:orient="portrait"/>
          <w:cols w:equalWidth="0" w:num="1">
            <w:col w:w="11200"/>
          </w:cols>
          <w:pgMar w:left="240" w:top="459" w:right="459" w:bottom="1440" w:gutter="0" w:footer="0" w:header="0"/>
        </w:sectPr>
      </w:pPr>
    </w:p>
    <w:bookmarkStart w:id="82" w:name="page83"/>
    <w:bookmarkEnd w:id="8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1180" w:hanging="436"/>
        <w:spacing w:after="0"/>
        <w:tabs>
          <w:tab w:leader="none" w:pos="1180" w:val="left"/>
        </w:tabs>
        <w:numPr>
          <w:ilvl w:val="0"/>
          <w:numId w:val="50"/>
        </w:numPr>
        <w:rPr>
          <w:rFonts w:ascii="Arial" w:cs="Arial" w:eastAsia="Arial" w:hAnsi="Arial"/>
          <w:sz w:val="18"/>
          <w:szCs w:val="18"/>
          <w:color w:val="auto"/>
        </w:rPr>
      </w:pPr>
      <w:r>
        <w:rPr>
          <w:rFonts w:ascii="Arial" w:cs="Arial" w:eastAsia="Arial" w:hAnsi="Arial"/>
          <w:sz w:val="18"/>
          <w:szCs w:val="18"/>
          <w:color w:val="auto"/>
        </w:rPr>
        <w:t>U.S. persons whose “functional currency” is not the U.S. dollar;</w:t>
      </w:r>
    </w:p>
    <w:p>
      <w:pPr>
        <w:spacing w:after="0" w:line="130" w:lineRule="exact"/>
        <w:rPr>
          <w:rFonts w:ascii="Arial" w:cs="Arial" w:eastAsia="Arial" w:hAnsi="Arial"/>
          <w:sz w:val="18"/>
          <w:szCs w:val="18"/>
          <w:color w:val="auto"/>
        </w:rPr>
      </w:pPr>
    </w:p>
    <w:p>
      <w:pPr>
        <w:ind w:left="1180" w:hanging="436"/>
        <w:spacing w:after="0"/>
        <w:tabs>
          <w:tab w:leader="none" w:pos="1180" w:val="left"/>
        </w:tabs>
        <w:numPr>
          <w:ilvl w:val="0"/>
          <w:numId w:val="50"/>
        </w:numPr>
        <w:rPr>
          <w:rFonts w:ascii="Arial" w:cs="Arial" w:eastAsia="Arial" w:hAnsi="Arial"/>
          <w:sz w:val="18"/>
          <w:szCs w:val="18"/>
          <w:color w:val="auto"/>
        </w:rPr>
      </w:pPr>
      <w:r>
        <w:rPr>
          <w:rFonts w:ascii="Arial" w:cs="Arial" w:eastAsia="Arial" w:hAnsi="Arial"/>
          <w:sz w:val="18"/>
          <w:szCs w:val="18"/>
          <w:color w:val="auto"/>
        </w:rPr>
        <w:t>certain former citizens or long-term residents of the United States; and</w:t>
      </w:r>
    </w:p>
    <w:p>
      <w:pPr>
        <w:spacing w:after="0" w:line="130" w:lineRule="exact"/>
        <w:rPr>
          <w:rFonts w:ascii="Arial" w:cs="Arial" w:eastAsia="Arial" w:hAnsi="Arial"/>
          <w:sz w:val="18"/>
          <w:szCs w:val="18"/>
          <w:color w:val="auto"/>
        </w:rPr>
      </w:pPr>
    </w:p>
    <w:p>
      <w:pPr>
        <w:ind w:left="1180" w:hanging="436"/>
        <w:spacing w:after="0"/>
        <w:tabs>
          <w:tab w:leader="none" w:pos="1180" w:val="left"/>
        </w:tabs>
        <w:numPr>
          <w:ilvl w:val="0"/>
          <w:numId w:val="50"/>
        </w:numPr>
        <w:rPr>
          <w:rFonts w:ascii="Arial" w:cs="Arial" w:eastAsia="Arial" w:hAnsi="Arial"/>
          <w:sz w:val="18"/>
          <w:szCs w:val="18"/>
          <w:color w:val="auto"/>
        </w:rPr>
      </w:pPr>
      <w:r>
        <w:rPr>
          <w:rFonts w:ascii="Arial" w:cs="Arial" w:eastAsia="Arial" w:hAnsi="Arial"/>
          <w:sz w:val="18"/>
          <w:szCs w:val="18"/>
          <w:color w:val="auto"/>
        </w:rPr>
        <w:t>Non-U.S. Holders (as defined below).</w:t>
      </w:r>
    </w:p>
    <w:p>
      <w:pPr>
        <w:spacing w:after="0" w:line="225" w:lineRule="exact"/>
        <w:rPr>
          <w:sz w:val="20"/>
          <w:szCs w:val="20"/>
          <w:color w:val="auto"/>
        </w:rPr>
      </w:pPr>
    </w:p>
    <w:p>
      <w:pPr>
        <w:ind w:left="200" w:right="20" w:firstLine="441"/>
        <w:spacing w:after="0" w:line="302" w:lineRule="auto"/>
        <w:rPr>
          <w:sz w:val="20"/>
          <w:szCs w:val="20"/>
          <w:color w:val="auto"/>
        </w:rPr>
      </w:pPr>
      <w:r>
        <w:rPr>
          <w:rFonts w:ascii="Arial" w:cs="Arial" w:eastAsia="Arial" w:hAnsi="Arial"/>
          <w:sz w:val="16"/>
          <w:szCs w:val="16"/>
          <w:color w:val="auto"/>
        </w:rPr>
        <w:t>This discussion is based in part on representations by the depositary and assumes that each obligation under the deposit agreement and any related agreement will be performed in accordance with its terms. Furthermore, the discussion below is based upon the provisions of the Internal Revenue Code of 1986, as amended (the “Code”), and U.S. Treasury regulations, rulings and judicial decisions hereunder as of the date hereof. Such authorities are subject to change, possibly on a retroactive basis, which may result in U.S. federal income tax consequences different from those discussed below.</w:t>
      </w:r>
    </w:p>
    <w:p>
      <w:pPr>
        <w:spacing w:after="0" w:line="258" w:lineRule="exact"/>
        <w:rPr>
          <w:sz w:val="20"/>
          <w:szCs w:val="20"/>
          <w:color w:val="auto"/>
        </w:rPr>
      </w:pPr>
    </w:p>
    <w:p>
      <w:pPr>
        <w:ind w:left="200" w:right="20" w:firstLine="441"/>
        <w:spacing w:after="0" w:line="282" w:lineRule="auto"/>
        <w:rPr>
          <w:sz w:val="20"/>
          <w:szCs w:val="20"/>
          <w:color w:val="auto"/>
        </w:rPr>
      </w:pPr>
      <w:r>
        <w:rPr>
          <w:rFonts w:ascii="Arial" w:cs="Arial" w:eastAsia="Arial" w:hAnsi="Arial"/>
          <w:sz w:val="18"/>
          <w:szCs w:val="18"/>
          <w:b w:val="1"/>
          <w:bCs w:val="1"/>
          <w:color w:val="auto"/>
        </w:rPr>
        <w:t>A person considering an investment in our ADSs or ordinary shares is urged to consult its tax advisor concerning U.S. federal, state, local and non-U.S. income and other tax consequences.</w:t>
      </w:r>
    </w:p>
    <w:p>
      <w:pPr>
        <w:spacing w:after="0" w:line="58" w:lineRule="exact"/>
        <w:rPr>
          <w:sz w:val="20"/>
          <w:szCs w:val="20"/>
          <w:color w:val="auto"/>
        </w:rPr>
      </w:pPr>
    </w:p>
    <w:p>
      <w:pPr>
        <w:ind w:left="640"/>
        <w:spacing w:after="0"/>
        <w:rPr>
          <w:sz w:val="20"/>
          <w:szCs w:val="20"/>
          <w:color w:val="auto"/>
        </w:rPr>
      </w:pPr>
      <w:r>
        <w:rPr>
          <w:rFonts w:ascii="Arial" w:cs="Arial" w:eastAsia="Arial" w:hAnsi="Arial"/>
          <w:sz w:val="18"/>
          <w:szCs w:val="18"/>
          <w:color w:val="auto"/>
        </w:rPr>
        <w:t>A U.S. Holder is a beneficial owner of ADSs or ordinary shares that is for U.S. federal income tax purposes:</w:t>
      </w:r>
    </w:p>
    <w:p>
      <w:pPr>
        <w:spacing w:after="0" w:line="131" w:lineRule="exact"/>
        <w:rPr>
          <w:sz w:val="20"/>
          <w:szCs w:val="20"/>
          <w:color w:val="auto"/>
        </w:rPr>
      </w:pPr>
    </w:p>
    <w:p>
      <w:pPr>
        <w:ind w:left="1180" w:hanging="436"/>
        <w:spacing w:after="0"/>
        <w:tabs>
          <w:tab w:leader="none" w:pos="1180" w:val="left"/>
        </w:tabs>
        <w:numPr>
          <w:ilvl w:val="0"/>
          <w:numId w:val="51"/>
        </w:numPr>
        <w:rPr>
          <w:rFonts w:ascii="Arial" w:cs="Arial" w:eastAsia="Arial" w:hAnsi="Arial"/>
          <w:sz w:val="18"/>
          <w:szCs w:val="18"/>
          <w:color w:val="auto"/>
        </w:rPr>
      </w:pPr>
      <w:r>
        <w:rPr>
          <w:rFonts w:ascii="Arial" w:cs="Arial" w:eastAsia="Arial" w:hAnsi="Arial"/>
          <w:sz w:val="18"/>
          <w:szCs w:val="18"/>
          <w:color w:val="auto"/>
        </w:rPr>
        <w:t>a citizen or resident individual of the United States;</w:t>
      </w:r>
    </w:p>
    <w:p>
      <w:pPr>
        <w:spacing w:after="0" w:line="130" w:lineRule="exact"/>
        <w:rPr>
          <w:rFonts w:ascii="Arial" w:cs="Arial" w:eastAsia="Arial" w:hAnsi="Arial"/>
          <w:sz w:val="18"/>
          <w:szCs w:val="18"/>
          <w:color w:val="auto"/>
        </w:rPr>
      </w:pPr>
    </w:p>
    <w:p>
      <w:pPr>
        <w:ind w:left="1180" w:hanging="436"/>
        <w:spacing w:after="0" w:line="277" w:lineRule="auto"/>
        <w:tabs>
          <w:tab w:leader="none" w:pos="1180" w:val="left"/>
        </w:tabs>
        <w:numPr>
          <w:ilvl w:val="0"/>
          <w:numId w:val="51"/>
        </w:numPr>
        <w:rPr>
          <w:rFonts w:ascii="Arial" w:cs="Arial" w:eastAsia="Arial" w:hAnsi="Arial"/>
          <w:sz w:val="18"/>
          <w:szCs w:val="18"/>
          <w:color w:val="auto"/>
        </w:rPr>
      </w:pPr>
      <w:r>
        <w:rPr>
          <w:rFonts w:ascii="Arial" w:cs="Arial" w:eastAsia="Arial" w:hAnsi="Arial"/>
          <w:sz w:val="18"/>
          <w:szCs w:val="18"/>
          <w:color w:val="auto"/>
        </w:rPr>
        <w:t>a corporation or other entity taxable as a corporation created or organized in or under the laws of the United States, any state thereof, or the District of Columbia;</w:t>
      </w:r>
    </w:p>
    <w:p>
      <w:pPr>
        <w:spacing w:after="0" w:line="75" w:lineRule="exact"/>
        <w:rPr>
          <w:rFonts w:ascii="Arial" w:cs="Arial" w:eastAsia="Arial" w:hAnsi="Arial"/>
          <w:sz w:val="18"/>
          <w:szCs w:val="18"/>
          <w:color w:val="auto"/>
        </w:rPr>
      </w:pPr>
    </w:p>
    <w:p>
      <w:pPr>
        <w:ind w:left="1180" w:hanging="436"/>
        <w:spacing w:after="0"/>
        <w:tabs>
          <w:tab w:leader="none" w:pos="1180" w:val="left"/>
        </w:tabs>
        <w:numPr>
          <w:ilvl w:val="0"/>
          <w:numId w:val="51"/>
        </w:numPr>
        <w:rPr>
          <w:rFonts w:ascii="Arial" w:cs="Arial" w:eastAsia="Arial" w:hAnsi="Arial"/>
          <w:sz w:val="18"/>
          <w:szCs w:val="18"/>
          <w:color w:val="auto"/>
        </w:rPr>
      </w:pPr>
      <w:r>
        <w:rPr>
          <w:rFonts w:ascii="Arial" w:cs="Arial" w:eastAsia="Arial" w:hAnsi="Arial"/>
          <w:sz w:val="18"/>
          <w:szCs w:val="18"/>
          <w:color w:val="auto"/>
        </w:rPr>
        <w:t>an estate the income of which is subject to U.S. federal income taxation, regardless of its source; or</w:t>
      </w:r>
    </w:p>
    <w:p>
      <w:pPr>
        <w:spacing w:after="0" w:line="130" w:lineRule="exact"/>
        <w:rPr>
          <w:rFonts w:ascii="Arial" w:cs="Arial" w:eastAsia="Arial" w:hAnsi="Arial"/>
          <w:sz w:val="18"/>
          <w:szCs w:val="18"/>
          <w:color w:val="auto"/>
        </w:rPr>
      </w:pPr>
    </w:p>
    <w:p>
      <w:pPr>
        <w:ind w:left="1180" w:right="300" w:hanging="436"/>
        <w:spacing w:after="0" w:line="264" w:lineRule="auto"/>
        <w:tabs>
          <w:tab w:leader="none" w:pos="1180" w:val="left"/>
        </w:tabs>
        <w:numPr>
          <w:ilvl w:val="0"/>
          <w:numId w:val="51"/>
        </w:numPr>
        <w:rPr>
          <w:rFonts w:ascii="Arial" w:cs="Arial" w:eastAsia="Arial" w:hAnsi="Arial"/>
          <w:sz w:val="18"/>
          <w:szCs w:val="18"/>
          <w:color w:val="auto"/>
        </w:rPr>
      </w:pPr>
      <w:r>
        <w:rPr>
          <w:rFonts w:ascii="Arial" w:cs="Arial" w:eastAsia="Arial" w:hAnsi="Arial"/>
          <w:sz w:val="18"/>
          <w:szCs w:val="18"/>
          <w:color w:val="auto"/>
        </w:rPr>
        <w:t>a trust if it is subject to the primary supervision of a court within the United States and one or more U.S. persons have the authority to control all substantial decisions of the trust or has a valid election in effect under applicable U.S. Treasury regulations to be treated as a U.S. person.</w:t>
      </w:r>
    </w:p>
    <w:p>
      <w:pPr>
        <w:spacing w:after="0" w:line="181" w:lineRule="exact"/>
        <w:rPr>
          <w:sz w:val="20"/>
          <w:szCs w:val="20"/>
          <w:color w:val="auto"/>
        </w:rPr>
      </w:pPr>
    </w:p>
    <w:p>
      <w:pPr>
        <w:ind w:left="640"/>
        <w:spacing w:after="0"/>
        <w:rPr>
          <w:sz w:val="20"/>
          <w:szCs w:val="20"/>
          <w:color w:val="auto"/>
        </w:rPr>
      </w:pPr>
      <w:r>
        <w:rPr>
          <w:rFonts w:ascii="Arial" w:cs="Arial" w:eastAsia="Arial" w:hAnsi="Arial"/>
          <w:sz w:val="18"/>
          <w:szCs w:val="18"/>
          <w:color w:val="auto"/>
        </w:rPr>
        <w:t>A beneficial owner of ADSs or ordinary shares that is not a U.S. Holder is referred to herein as a “Non-U.S. Holder.”</w:t>
      </w:r>
    </w:p>
    <w:p>
      <w:pPr>
        <w:spacing w:after="0" w:line="225" w:lineRule="exact"/>
        <w:rPr>
          <w:sz w:val="20"/>
          <w:szCs w:val="20"/>
          <w:color w:val="auto"/>
        </w:rPr>
      </w:pPr>
    </w:p>
    <w:p>
      <w:pPr>
        <w:ind w:left="200" w:right="20" w:firstLine="441"/>
        <w:spacing w:after="0" w:line="259" w:lineRule="auto"/>
        <w:rPr>
          <w:sz w:val="20"/>
          <w:szCs w:val="20"/>
          <w:color w:val="auto"/>
        </w:rPr>
      </w:pPr>
      <w:r>
        <w:rPr>
          <w:rFonts w:ascii="Arial" w:cs="Arial" w:eastAsia="Arial" w:hAnsi="Arial"/>
          <w:sz w:val="18"/>
          <w:szCs w:val="18"/>
          <w:color w:val="auto"/>
        </w:rPr>
        <w:t>If a partnership or limited liability company treated as a partnership for U.S. federal income tax purposes holds ADSs or ordinary shares, the tax treatment of a partner or member will generally depend on the status of the partner or member and the activities of the partnership or such limited liability company. A partner of a partnership or a member of such a limited liability company holding ADSs or ordinary shares is urged to consult its tax advisors regarding an investment in our ADSs or ordinary shares.</w:t>
      </w:r>
    </w:p>
    <w:p>
      <w:pPr>
        <w:spacing w:after="0" w:line="187" w:lineRule="exact"/>
        <w:rPr>
          <w:sz w:val="20"/>
          <w:szCs w:val="20"/>
          <w:color w:val="auto"/>
        </w:rPr>
      </w:pPr>
    </w:p>
    <w:p>
      <w:pPr>
        <w:ind w:left="200" w:right="60" w:firstLine="441"/>
        <w:spacing w:after="0" w:line="342" w:lineRule="auto"/>
        <w:rPr>
          <w:sz w:val="20"/>
          <w:szCs w:val="20"/>
          <w:color w:val="auto"/>
        </w:rPr>
      </w:pPr>
      <w:r>
        <w:rPr>
          <w:rFonts w:ascii="Arial" w:cs="Arial" w:eastAsia="Arial" w:hAnsi="Arial"/>
          <w:sz w:val="16"/>
          <w:szCs w:val="16"/>
          <w:b w:val="1"/>
          <w:bCs w:val="1"/>
          <w:i w:val="1"/>
          <w:iCs w:val="1"/>
          <w:color w:val="auto"/>
        </w:rPr>
        <w:t xml:space="preserve">ADSs. </w:t>
      </w:r>
      <w:r>
        <w:rPr>
          <w:rFonts w:ascii="Arial" w:cs="Arial" w:eastAsia="Arial" w:hAnsi="Arial"/>
          <w:sz w:val="16"/>
          <w:szCs w:val="16"/>
          <w:color w:val="auto"/>
        </w:rPr>
        <w:t>In general, for U.S. federal income tax purposes, a U.S. Holder of ADSs will be treated as the owner of the underlying ordinary shares that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are represented by such ADSs. Deposits and withdrawals of ordinary shares in exchange for ADSs will not be subject to U.S. federal income taxation.</w:t>
      </w:r>
    </w:p>
    <w:p>
      <w:pPr>
        <w:spacing w:after="0" w:line="124" w:lineRule="exact"/>
        <w:rPr>
          <w:sz w:val="20"/>
          <w:szCs w:val="20"/>
          <w:color w:val="auto"/>
        </w:rPr>
      </w:pPr>
    </w:p>
    <w:p>
      <w:pPr>
        <w:ind w:left="200" w:right="100" w:firstLine="441"/>
        <w:spacing w:after="0" w:line="255" w:lineRule="auto"/>
        <w:rPr>
          <w:sz w:val="20"/>
          <w:szCs w:val="20"/>
          <w:color w:val="auto"/>
        </w:rPr>
      </w:pPr>
      <w:r>
        <w:rPr>
          <w:rFonts w:ascii="Arial" w:cs="Arial" w:eastAsia="Arial" w:hAnsi="Arial"/>
          <w:sz w:val="18"/>
          <w:szCs w:val="18"/>
          <w:b w:val="1"/>
          <w:bCs w:val="1"/>
          <w:i w:val="1"/>
          <w:iCs w:val="1"/>
          <w:color w:val="auto"/>
        </w:rPr>
        <w:t xml:space="preserve">Distributions on ADSs or ordinary shares. </w:t>
      </w:r>
      <w:r>
        <w:rPr>
          <w:rFonts w:ascii="Arial" w:cs="Arial" w:eastAsia="Arial" w:hAnsi="Arial"/>
          <w:sz w:val="18"/>
          <w:szCs w:val="18"/>
          <w:color w:val="auto"/>
        </w:rPr>
        <w:t>Unless the passive foreign investment company rules, as discussed below, apply, the gross amount of</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the distributions in respect of the ADSs or ordinary shares will be subject to tax as dividend income to the extent of our current and accumulated earnings and profits, as determined under U.S. federal income tax principles. Subject to certain limitations, dividends paid to non-corporate U.S. Holders, including individuals, may be eligible for a reduced rate of taxation if we are deemed to be a “qualified foreign corporation” for U.S. federal income tax purposes, provided that such holder satisfies certain holding period requirements with respect to the ownership of our ADSs or ordinary shares.</w:t>
      </w:r>
    </w:p>
    <w:p>
      <w:pPr>
        <w:spacing w:after="0" w:line="193" w:lineRule="exact"/>
        <w:rPr>
          <w:sz w:val="20"/>
          <w:szCs w:val="20"/>
          <w:color w:val="auto"/>
        </w:rPr>
      </w:pPr>
    </w:p>
    <w:p>
      <w:pPr>
        <w:ind w:left="640"/>
        <w:spacing w:after="0"/>
        <w:rPr>
          <w:sz w:val="20"/>
          <w:szCs w:val="20"/>
          <w:color w:val="auto"/>
        </w:rPr>
      </w:pPr>
      <w:r>
        <w:rPr>
          <w:rFonts w:ascii="Arial" w:cs="Arial" w:eastAsia="Arial" w:hAnsi="Arial"/>
          <w:sz w:val="18"/>
          <w:szCs w:val="18"/>
          <w:color w:val="auto"/>
        </w:rPr>
        <w:t>Subject to the exceptions discussed below, a corporation is a qualified foreign corporation if it is:</w:t>
      </w:r>
    </w:p>
    <w:p>
      <w:pPr>
        <w:spacing w:after="0" w:line="131" w:lineRule="exact"/>
        <w:rPr>
          <w:sz w:val="20"/>
          <w:szCs w:val="20"/>
          <w:color w:val="auto"/>
        </w:rPr>
      </w:pPr>
    </w:p>
    <w:p>
      <w:pPr>
        <w:ind w:left="1180" w:right="20" w:hanging="436"/>
        <w:spacing w:after="0" w:line="277" w:lineRule="auto"/>
        <w:tabs>
          <w:tab w:leader="none" w:pos="1180" w:val="left"/>
        </w:tabs>
        <w:numPr>
          <w:ilvl w:val="0"/>
          <w:numId w:val="52"/>
        </w:numPr>
        <w:rPr>
          <w:rFonts w:ascii="Arial" w:cs="Arial" w:eastAsia="Arial" w:hAnsi="Arial"/>
          <w:sz w:val="18"/>
          <w:szCs w:val="18"/>
          <w:color w:val="auto"/>
        </w:rPr>
      </w:pPr>
      <w:r>
        <w:rPr>
          <w:rFonts w:ascii="Arial" w:cs="Arial" w:eastAsia="Arial" w:hAnsi="Arial"/>
          <w:sz w:val="18"/>
          <w:szCs w:val="18"/>
          <w:color w:val="auto"/>
        </w:rPr>
        <w:t>a foreign corporation that is eligible for the benefits of a comprehensive income tax treaty with the United States that includes an exchange of information program; or</w:t>
      </w:r>
    </w:p>
    <w:p>
      <w:pPr>
        <w:spacing w:after="0" w:line="75" w:lineRule="exact"/>
        <w:rPr>
          <w:rFonts w:ascii="Arial" w:cs="Arial" w:eastAsia="Arial" w:hAnsi="Arial"/>
          <w:sz w:val="18"/>
          <w:szCs w:val="18"/>
          <w:color w:val="auto"/>
        </w:rPr>
      </w:pPr>
    </w:p>
    <w:p>
      <w:pPr>
        <w:ind w:left="1180" w:right="460" w:hanging="436"/>
        <w:spacing w:after="0" w:line="277" w:lineRule="auto"/>
        <w:tabs>
          <w:tab w:leader="none" w:pos="1180" w:val="left"/>
        </w:tabs>
        <w:numPr>
          <w:ilvl w:val="0"/>
          <w:numId w:val="52"/>
        </w:numPr>
        <w:rPr>
          <w:rFonts w:ascii="Arial" w:cs="Arial" w:eastAsia="Arial" w:hAnsi="Arial"/>
          <w:sz w:val="18"/>
          <w:szCs w:val="18"/>
          <w:color w:val="auto"/>
        </w:rPr>
      </w:pPr>
      <w:r>
        <w:rPr>
          <w:rFonts w:ascii="Arial" w:cs="Arial" w:eastAsia="Arial" w:hAnsi="Arial"/>
          <w:sz w:val="18"/>
          <w:szCs w:val="18"/>
          <w:color w:val="auto"/>
        </w:rPr>
        <w:t>a foreign corporation if its stock with respect to which a dividend is paid or its ADSs backed by such stock are readily tradable on an established securities market within the United States.</w:t>
      </w:r>
    </w:p>
    <w:p>
      <w:pPr>
        <w:spacing w:after="0" w:line="103"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81</w:t>
      </w:r>
    </w:p>
    <w:p>
      <w:pPr>
        <w:sectPr>
          <w:pgSz w:w="11900" w:h="16838" w:orient="portrait"/>
          <w:cols w:equalWidth="0" w:num="1">
            <w:col w:w="11200"/>
          </w:cols>
          <w:pgMar w:left="240" w:top="459" w:right="459" w:bottom="1440" w:gutter="0" w:footer="0" w:header="0"/>
        </w:sectPr>
      </w:pPr>
    </w:p>
    <w:bookmarkStart w:id="83" w:name="page84"/>
    <w:bookmarkEnd w:id="8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firstLine="441"/>
        <w:spacing w:after="0" w:line="257" w:lineRule="auto"/>
        <w:rPr>
          <w:sz w:val="20"/>
          <w:szCs w:val="20"/>
          <w:color w:val="auto"/>
        </w:rPr>
      </w:pPr>
      <w:r>
        <w:rPr>
          <w:rFonts w:ascii="Arial" w:cs="Arial" w:eastAsia="Arial" w:hAnsi="Arial"/>
          <w:sz w:val="18"/>
          <w:szCs w:val="18"/>
          <w:color w:val="auto"/>
        </w:rPr>
        <w:t>Although we believe that we are a qualified foreign corporation because the ADSs will be traded on an established U.S. securities market and, as discussed below, we believe that we were not a passive foreign investment company for our 2018 tax year, no assurance can be given in this regard. In addition, our status as a qualified foreign corporation may change. A U.S. Holder that exchanges its ADSs for ordinary shares may not be eligible for the reduced rate of taxation on dividends if the ordinary shares are not deemed to be readily tradable on an established securities market within the United States.</w:t>
      </w:r>
    </w:p>
    <w:p>
      <w:pPr>
        <w:spacing w:after="0" w:line="188" w:lineRule="exact"/>
        <w:rPr>
          <w:sz w:val="20"/>
          <w:szCs w:val="20"/>
          <w:color w:val="auto"/>
        </w:rPr>
      </w:pPr>
    </w:p>
    <w:p>
      <w:pPr>
        <w:ind w:left="200" w:firstLine="441"/>
        <w:spacing w:after="0" w:line="264" w:lineRule="auto"/>
        <w:rPr>
          <w:sz w:val="20"/>
          <w:szCs w:val="20"/>
          <w:color w:val="auto"/>
        </w:rPr>
      </w:pPr>
      <w:r>
        <w:rPr>
          <w:rFonts w:ascii="Arial" w:cs="Arial" w:eastAsia="Arial" w:hAnsi="Arial"/>
          <w:sz w:val="18"/>
          <w:szCs w:val="18"/>
          <w:color w:val="auto"/>
        </w:rPr>
        <w:t>Dividends will be includable in a U.S. Holder’s gross income on the date actually or constructively received by the depositary, in the case of ADSs or, in the case of ordinary shares, by such U.S. Holder. These dividends will not be eligible for the dividends-received deduction generally allowed to U.S. corporations in respect of dividends received from other U.S. corporations.</w:t>
      </w:r>
    </w:p>
    <w:p>
      <w:pPr>
        <w:spacing w:after="0" w:line="181" w:lineRule="exact"/>
        <w:rPr>
          <w:sz w:val="20"/>
          <w:szCs w:val="20"/>
          <w:color w:val="auto"/>
        </w:rPr>
      </w:pPr>
    </w:p>
    <w:p>
      <w:pPr>
        <w:ind w:left="200" w:right="120" w:firstLine="441"/>
        <w:spacing w:after="0" w:line="273" w:lineRule="auto"/>
        <w:rPr>
          <w:sz w:val="20"/>
          <w:szCs w:val="20"/>
          <w:color w:val="auto"/>
        </w:rPr>
      </w:pPr>
      <w:r>
        <w:rPr>
          <w:rFonts w:ascii="Arial" w:cs="Arial" w:eastAsia="Arial" w:hAnsi="Arial"/>
          <w:sz w:val="17"/>
          <w:szCs w:val="17"/>
          <w:color w:val="auto"/>
        </w:rPr>
        <w:t>To the extent we pay dividends on the ADSs or ordinary shares in a currency other than the U.S. dollar, the U.S. dollar value of such dividends should be calculated by reference to the exchange rate prevailing on the date of actual or constructive receipt of the dividend, regardless of whether the foreign currency is converted into U.S. dollars at that time. If the foreign currency is converted into U.S. dollars on the date of actual or constructive receipt of such dividends, the tax basis of the U.S. Holder in such foreign currency will be equal to its U.S. dollar value on that date and, as a result, the U.S. Holder generally should not be required to recognize any foreign currency exchange gain or loss. Dividends paid in respect of the ADSs or ordinary shares generally will be treated as income from sources outside the United States.</w:t>
      </w:r>
    </w:p>
    <w:p>
      <w:pPr>
        <w:spacing w:after="0" w:line="178" w:lineRule="exact"/>
        <w:rPr>
          <w:sz w:val="20"/>
          <w:szCs w:val="20"/>
          <w:color w:val="auto"/>
        </w:rPr>
      </w:pPr>
    </w:p>
    <w:p>
      <w:pPr>
        <w:ind w:left="200" w:firstLine="441"/>
        <w:spacing w:after="0" w:line="264" w:lineRule="auto"/>
        <w:rPr>
          <w:sz w:val="20"/>
          <w:szCs w:val="20"/>
          <w:color w:val="auto"/>
        </w:rPr>
      </w:pPr>
      <w:r>
        <w:rPr>
          <w:rFonts w:ascii="Arial" w:cs="Arial" w:eastAsia="Arial" w:hAnsi="Arial"/>
          <w:sz w:val="18"/>
          <w:szCs w:val="18"/>
          <w:color w:val="auto"/>
        </w:rPr>
        <w:t>To the extent that the amount of any distribution exceeds our current and accumulated earnings and profits, the distribution will first be treated as a tax-free return of capital, causing a reduction in the adjusted basis of the ADSs or ordinary shares, and the balance in excess of adjusted basis will be taxed as capital gain.</w:t>
      </w:r>
    </w:p>
    <w:p>
      <w:pPr>
        <w:spacing w:after="0" w:line="181" w:lineRule="exact"/>
        <w:rPr>
          <w:sz w:val="20"/>
          <w:szCs w:val="20"/>
          <w:color w:val="auto"/>
        </w:rPr>
      </w:pPr>
    </w:p>
    <w:p>
      <w:pPr>
        <w:ind w:left="200" w:firstLine="441"/>
        <w:spacing w:after="0" w:line="291" w:lineRule="auto"/>
        <w:rPr>
          <w:sz w:val="20"/>
          <w:szCs w:val="20"/>
          <w:color w:val="auto"/>
        </w:rPr>
      </w:pPr>
      <w:r>
        <w:rPr>
          <w:rFonts w:ascii="Arial" w:cs="Arial" w:eastAsia="Arial" w:hAnsi="Arial"/>
          <w:sz w:val="16"/>
          <w:szCs w:val="16"/>
          <w:b w:val="1"/>
          <w:bCs w:val="1"/>
          <w:i w:val="1"/>
          <w:iCs w:val="1"/>
          <w:color w:val="auto"/>
        </w:rPr>
        <w:t xml:space="preserve">Sale, exchange or other disposition of ADSs or ordinary shares. </w:t>
      </w:r>
      <w:r>
        <w:rPr>
          <w:rFonts w:ascii="Arial" w:cs="Arial" w:eastAsia="Arial" w:hAnsi="Arial"/>
          <w:sz w:val="16"/>
          <w:szCs w:val="16"/>
          <w:color w:val="auto"/>
        </w:rPr>
        <w:t>Unless the passive foreign investment company rules, as discussed below, apply,</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upon the sale, exchange or other disposition of ADSs or ordinary shares a U.S. Holder generally will recognize capital gain or loss equal to the difference between the amount realized upon the sale, exchange or other disposition and the adjusted tax basis of the U.S. Holder in the ADSs or ordinary shares. The capital gain or loss generally will be long-term capital gain or loss if, at the time of sale, exchange or other disposition, the U.S. Holder has held the ADS or ordinary share for more than one year. Net long-term capital gains of non-corporate U.S. Holders, including individuals, are eligible for reduced rates of taxation. The deductibility of capital losses is subject to limitations. Any gain or loss that a U.S. Holder recognizes generally will be treated as gain or loss from sources within the United States for U.S. foreign tax credit limitation purposes.</w:t>
      </w:r>
    </w:p>
    <w:p>
      <w:pPr>
        <w:spacing w:after="0" w:line="167" w:lineRule="exact"/>
        <w:rPr>
          <w:sz w:val="20"/>
          <w:szCs w:val="20"/>
          <w:color w:val="auto"/>
        </w:rPr>
      </w:pPr>
    </w:p>
    <w:p>
      <w:pPr>
        <w:ind w:left="200" w:firstLine="441"/>
        <w:spacing w:after="0" w:line="264" w:lineRule="auto"/>
        <w:rPr>
          <w:sz w:val="20"/>
          <w:szCs w:val="20"/>
          <w:color w:val="auto"/>
        </w:rPr>
      </w:pPr>
      <w:r>
        <w:rPr>
          <w:rFonts w:ascii="Arial" w:cs="Arial" w:eastAsia="Arial" w:hAnsi="Arial"/>
          <w:sz w:val="18"/>
          <w:szCs w:val="18"/>
          <w:b w:val="1"/>
          <w:bCs w:val="1"/>
          <w:i w:val="1"/>
          <w:iCs w:val="1"/>
          <w:color w:val="auto"/>
        </w:rPr>
        <w:t xml:space="preserve">Additional tax on net investment income. </w:t>
      </w:r>
      <w:r>
        <w:rPr>
          <w:rFonts w:ascii="Arial" w:cs="Arial" w:eastAsia="Arial" w:hAnsi="Arial"/>
          <w:sz w:val="18"/>
          <w:szCs w:val="18"/>
          <w:color w:val="auto"/>
        </w:rPr>
        <w:t>An additional 3.8% federal income tax may be assessed on net investment income (including dividends,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other distributions, and gain realized on the sale of ADSs or ordinary shares) earned by certain U.S. Holders. This tax does not apply to U.S. Holders who hold ADSs or ordinary shares in the ordinary course of certain trades or businesses.</w:t>
      </w:r>
    </w:p>
    <w:p>
      <w:pPr>
        <w:spacing w:after="0" w:line="181" w:lineRule="exact"/>
        <w:rPr>
          <w:sz w:val="20"/>
          <w:szCs w:val="20"/>
          <w:color w:val="auto"/>
        </w:rPr>
      </w:pPr>
    </w:p>
    <w:p>
      <w:pPr>
        <w:ind w:left="200" w:right="60" w:firstLine="441"/>
        <w:spacing w:after="0" w:line="272" w:lineRule="auto"/>
        <w:rPr>
          <w:sz w:val="20"/>
          <w:szCs w:val="20"/>
          <w:color w:val="auto"/>
        </w:rPr>
      </w:pPr>
      <w:r>
        <w:rPr>
          <w:rFonts w:ascii="Arial" w:cs="Arial" w:eastAsia="Arial" w:hAnsi="Arial"/>
          <w:sz w:val="17"/>
          <w:szCs w:val="17"/>
          <w:b w:val="1"/>
          <w:bCs w:val="1"/>
          <w:i w:val="1"/>
          <w:iCs w:val="1"/>
          <w:color w:val="auto"/>
        </w:rPr>
        <w:t xml:space="preserve">Passive foreign investment company rules. </w:t>
      </w:r>
      <w:r>
        <w:rPr>
          <w:rFonts w:ascii="Arial" w:cs="Arial" w:eastAsia="Arial" w:hAnsi="Arial"/>
          <w:sz w:val="17"/>
          <w:szCs w:val="17"/>
          <w:color w:val="auto"/>
        </w:rPr>
        <w:t>In general, we will be classified as a passive foreign investment company for any taxable year in</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which either (a) at least 75% of our gross income is passive income or (b) at least 50% of the value (determined on the basis of a quarterly average) of our assets is attributable to assets that produce or are held for the production of passive income. For this purpose, passive income generally includes dividends, interest, royalties, rents (other than rents and royalties derived in the active conduct of a trade or business and not derived from a related person), annuities and gains from assets that produce passive income. If we own directly or indirectly at least 25% by value of the equity shares of another corporation, we will be treated for purposes of the passive foreign investment company tests as owning a proportionate share of the assets of the other corporation, and as receiving directly a proportionate share of the other corporation’s income.</w:t>
      </w:r>
    </w:p>
    <w:p>
      <w:pPr>
        <w:spacing w:after="0" w:line="178" w:lineRule="exact"/>
        <w:rPr>
          <w:sz w:val="20"/>
          <w:szCs w:val="20"/>
          <w:color w:val="auto"/>
        </w:rPr>
      </w:pPr>
    </w:p>
    <w:p>
      <w:pPr>
        <w:ind w:left="200" w:right="80" w:firstLine="441"/>
        <w:spacing w:after="0" w:line="277" w:lineRule="auto"/>
        <w:rPr>
          <w:sz w:val="20"/>
          <w:szCs w:val="20"/>
          <w:color w:val="auto"/>
        </w:rPr>
      </w:pPr>
      <w:r>
        <w:rPr>
          <w:rFonts w:ascii="Arial" w:cs="Arial" w:eastAsia="Arial" w:hAnsi="Arial"/>
          <w:sz w:val="18"/>
          <w:szCs w:val="18"/>
          <w:color w:val="auto"/>
        </w:rPr>
        <w:t>We believe, based on our present and projected composition of our income and valuation of our assets, we were not classified as a passive foreign investment company for U.S. federal income tax purposes for our 2018</w:t>
      </w:r>
    </w:p>
    <w:p>
      <w:pPr>
        <w:spacing w:after="0" w:line="103"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82</w:t>
      </w:r>
    </w:p>
    <w:p>
      <w:pPr>
        <w:sectPr>
          <w:pgSz w:w="11900" w:h="16838" w:orient="portrait"/>
          <w:cols w:equalWidth="0" w:num="1">
            <w:col w:w="11220"/>
          </w:cols>
          <w:pgMar w:left="240" w:top="459" w:right="439" w:bottom="1440" w:gutter="0" w:footer="0" w:header="0"/>
        </w:sectPr>
      </w:pPr>
    </w:p>
    <w:bookmarkStart w:id="84" w:name="page85"/>
    <w:bookmarkEnd w:id="8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200"/>
        <w:spacing w:after="0" w:line="279" w:lineRule="auto"/>
        <w:rPr>
          <w:sz w:val="20"/>
          <w:szCs w:val="20"/>
          <w:color w:val="auto"/>
        </w:rPr>
      </w:pPr>
      <w:r>
        <w:rPr>
          <w:rFonts w:ascii="Arial" w:cs="Arial" w:eastAsia="Arial" w:hAnsi="Arial"/>
          <w:sz w:val="17"/>
          <w:szCs w:val="17"/>
          <w:color w:val="auto"/>
        </w:rPr>
        <w:t>tax year, although no assurance can be given in this regard. Whether we are a passive foreign investment company for any particular taxable year is determined on an annual basis and will depend on the composition of our income and assets, including goodwill. The calculation of goodwill will be based, in part, on the then market value of our capital stock, which is subject to fluctuation. Accordingly, there can be no assurance that we will not be classified as a passive foreign investment company in the current or any future taxable year.</w:t>
      </w:r>
    </w:p>
    <w:p>
      <w:pPr>
        <w:spacing w:after="0" w:line="171" w:lineRule="exact"/>
        <w:rPr>
          <w:sz w:val="20"/>
          <w:szCs w:val="20"/>
          <w:color w:val="auto"/>
        </w:rPr>
      </w:pPr>
    </w:p>
    <w:p>
      <w:pPr>
        <w:ind w:left="200" w:right="80" w:firstLine="441"/>
        <w:spacing w:after="0" w:line="288" w:lineRule="auto"/>
        <w:rPr>
          <w:sz w:val="20"/>
          <w:szCs w:val="20"/>
          <w:color w:val="auto"/>
        </w:rPr>
      </w:pPr>
      <w:r>
        <w:rPr>
          <w:rFonts w:ascii="Arial" w:cs="Arial" w:eastAsia="Arial" w:hAnsi="Arial"/>
          <w:sz w:val="16"/>
          <w:szCs w:val="16"/>
          <w:color w:val="auto"/>
        </w:rPr>
        <w:t>If we are a passive foreign investment company for any taxable year during which a U.S. Holder has an equity interest in our company, unless the U.S. Holder makes a mark-to-market election as discussed below, such U.S. Holder will be subject to special tax rules in any future taxable year regardless of whether we are classified as a passive foreign investment company in such future years with respect to (a) “excess distributions” and</w:t>
      </w:r>
    </w:p>
    <w:p>
      <w:pPr>
        <w:ind w:left="200" w:firstLine="4"/>
        <w:spacing w:after="0" w:line="268" w:lineRule="auto"/>
        <w:tabs>
          <w:tab w:leader="none" w:pos="455" w:val="left"/>
        </w:tabs>
        <w:numPr>
          <w:ilvl w:val="0"/>
          <w:numId w:val="53"/>
        </w:numPr>
        <w:rPr>
          <w:rFonts w:ascii="Arial" w:cs="Arial" w:eastAsia="Arial" w:hAnsi="Arial"/>
          <w:sz w:val="17"/>
          <w:szCs w:val="17"/>
          <w:color w:val="auto"/>
        </w:rPr>
      </w:pPr>
      <w:r>
        <w:rPr>
          <w:rFonts w:ascii="Arial" w:cs="Arial" w:eastAsia="Arial" w:hAnsi="Arial"/>
          <w:sz w:val="17"/>
          <w:szCs w:val="17"/>
          <w:color w:val="auto"/>
        </w:rPr>
        <w:t>gain from the disposition of stock. Excess distributions are defined generally as the excess of the amount received with respect to the equity interests in the taxable year over 125% of the average annual distributions received in the shorter of either the three previous years or a U.S. Holder’s holding period before the taxable year and must be allocated ratably to each day of the U.S. Holder’s holding period. The amount allocated to the current taxable year or any year before we became a passive foreign investment company will be included as ordinary income in a U.S. Holder’s gross income for that year. The amount allocated to other prior taxable years will be taxed as ordinary income at the highest rate in effect for a U.S. Holder in that prior year and the tax is subject to an interest charge at the rate applicable to deficiencies in income taxes. The entire amount of any gain realized upon the sale or other disposition of the equity interests will be treated as an excess distribution made in the year of sale or other disposition and as a consequence will be treated as ordinary income and, to the extent allocated to years prior to the year of sale or disposition with respect to which we were a passive foreign investment company, will be subject to the interest charge described above.</w:t>
      </w:r>
    </w:p>
    <w:p>
      <w:pPr>
        <w:spacing w:after="0" w:line="182" w:lineRule="exact"/>
        <w:rPr>
          <w:sz w:val="20"/>
          <w:szCs w:val="20"/>
          <w:color w:val="auto"/>
        </w:rPr>
      </w:pPr>
    </w:p>
    <w:p>
      <w:pPr>
        <w:ind w:left="200" w:right="120" w:firstLine="441"/>
        <w:spacing w:after="0" w:line="255" w:lineRule="auto"/>
        <w:rPr>
          <w:sz w:val="20"/>
          <w:szCs w:val="20"/>
          <w:color w:val="auto"/>
        </w:rPr>
      </w:pPr>
      <w:r>
        <w:rPr>
          <w:rFonts w:ascii="Arial" w:cs="Arial" w:eastAsia="Arial" w:hAnsi="Arial"/>
          <w:sz w:val="18"/>
          <w:szCs w:val="18"/>
          <w:color w:val="auto"/>
        </w:rPr>
        <w:t>In certain circumstances, instead of being subject to the excess distribution rules discussed above, a U.S. Holder may make an election to include gain on the ADSs or ordinary shares of a passive foreign investment company as ordinary income under a mark-to-market method, provided that the ADSs or ordinary shares are regularly traded on a qualified exchange. Under current law, the mark-to-market election is only available for ADSs or ordinary shares that are regularly traded within the meaning of U.S. Treasury regulations on certain designated U.S. exchanges and foreign exchanges that meet trading, listing, financial disclosure and other requirements to be treated as a qualified exchange under applicable U.S. Treasury regulations. The Nasdaq Stock Market is a qualified exchange.</w:t>
      </w:r>
    </w:p>
    <w:p>
      <w:pPr>
        <w:spacing w:after="0" w:line="193" w:lineRule="exact"/>
        <w:rPr>
          <w:sz w:val="20"/>
          <w:szCs w:val="20"/>
          <w:color w:val="auto"/>
        </w:rPr>
      </w:pPr>
    </w:p>
    <w:p>
      <w:pPr>
        <w:ind w:left="200" w:right="80" w:firstLine="441"/>
        <w:spacing w:after="0" w:line="272" w:lineRule="auto"/>
        <w:rPr>
          <w:sz w:val="20"/>
          <w:szCs w:val="20"/>
          <w:color w:val="auto"/>
        </w:rPr>
      </w:pPr>
      <w:r>
        <w:rPr>
          <w:rFonts w:ascii="Arial" w:cs="Arial" w:eastAsia="Arial" w:hAnsi="Arial"/>
          <w:sz w:val="17"/>
          <w:szCs w:val="17"/>
          <w:color w:val="auto"/>
        </w:rPr>
        <w:t>If a U.S. Holder makes a mark-to-market election, the U.S. Holder will include each year as ordinary income, rather than capital gain, the excess, if any, of the fair market value of the U.S. Holder’s ADSs or ordinary shares at the end of the taxable year over such U.S. Holder’s adjusted basis in the ADSs (or ordinary shares, if applicable) and will be permitted an ordinary loss in respect of the excess, if any, of the adjusted basis of these ADSs or ordinary shares over their fair market value at the end of the taxable year, but only to the extent of the net amount previously included in income as a result of the mark-to-market election. A U.S. Holder’s basis in the ADSs or ordinary shares will be adjusted to reflect any such income or loss amounts. Any gain or loss on the sale of the ADSs or ordinary shares will be ordinary income or loss, except that this loss will be ordinary loss only to the extent of the previously included net mark-to-market gain.</w:t>
      </w:r>
    </w:p>
    <w:p>
      <w:pPr>
        <w:spacing w:after="0" w:line="178" w:lineRule="exact"/>
        <w:rPr>
          <w:sz w:val="20"/>
          <w:szCs w:val="20"/>
          <w:color w:val="auto"/>
        </w:rPr>
      </w:pPr>
    </w:p>
    <w:p>
      <w:pPr>
        <w:ind w:left="640"/>
        <w:spacing w:after="0"/>
        <w:rPr>
          <w:sz w:val="20"/>
          <w:szCs w:val="20"/>
          <w:color w:val="auto"/>
        </w:rPr>
      </w:pPr>
      <w:r>
        <w:rPr>
          <w:rFonts w:ascii="Arial" w:cs="Arial" w:eastAsia="Arial" w:hAnsi="Arial"/>
          <w:sz w:val="16"/>
          <w:szCs w:val="16"/>
          <w:color w:val="auto"/>
        </w:rPr>
        <w:t>If we are a passive foreign investment company, then under certain circumstances a U.S. Holder must file Internal Revenue Service Form 8621.</w:t>
      </w:r>
    </w:p>
    <w:p>
      <w:pPr>
        <w:spacing w:after="0" w:line="248" w:lineRule="exact"/>
        <w:rPr>
          <w:sz w:val="20"/>
          <w:szCs w:val="20"/>
          <w:color w:val="auto"/>
        </w:rPr>
      </w:pPr>
    </w:p>
    <w:p>
      <w:pPr>
        <w:ind w:left="200" w:right="20" w:firstLine="441"/>
        <w:spacing w:after="0" w:line="255" w:lineRule="auto"/>
        <w:rPr>
          <w:sz w:val="20"/>
          <w:szCs w:val="20"/>
          <w:color w:val="auto"/>
        </w:rPr>
      </w:pPr>
      <w:r>
        <w:rPr>
          <w:rFonts w:ascii="Arial" w:cs="Arial" w:eastAsia="Arial" w:hAnsi="Arial"/>
          <w:sz w:val="18"/>
          <w:szCs w:val="18"/>
          <w:b w:val="1"/>
          <w:bCs w:val="1"/>
          <w:i w:val="1"/>
          <w:iCs w:val="1"/>
          <w:color w:val="auto"/>
        </w:rPr>
        <w:t xml:space="preserve">Information Reporting and Back-up Withholding. </w:t>
      </w:r>
      <w:r>
        <w:rPr>
          <w:rFonts w:ascii="Arial" w:cs="Arial" w:eastAsia="Arial" w:hAnsi="Arial"/>
          <w:sz w:val="18"/>
          <w:szCs w:val="18"/>
          <w:color w:val="auto"/>
        </w:rPr>
        <w:t>The Foreign Account Tax Compliance Act (“FATCA”) generally requires that individuals that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hold certain specified foreign financial assets worth in excess of certain thresholds of $50,000 or more, depending on the individual’s circumstances, report such ownership to the IRS using IRS Form 8938. The definition of specified foreign financial assets includes not only financial accounts maintained in foreign financial institutions, but also, unless held in accounts maintained by a financial institution, any stock or security issued by a non-U.S. person, any financial instrument or contract held for investment that has an issuer or counterparty other than a U.S. person and any interest in a foreign entity. A U.S. Holder may be</w:t>
      </w:r>
    </w:p>
    <w:p>
      <w:pPr>
        <w:spacing w:after="0" w:line="126"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83</w:t>
      </w:r>
    </w:p>
    <w:p>
      <w:pPr>
        <w:sectPr>
          <w:pgSz w:w="11900" w:h="16838" w:orient="portrait"/>
          <w:cols w:equalWidth="0" w:num="1">
            <w:col w:w="11220"/>
          </w:cols>
          <w:pgMar w:left="240" w:top="459" w:right="439" w:bottom="1440" w:gutter="0" w:footer="0" w:header="0"/>
        </w:sectPr>
      </w:pPr>
    </w:p>
    <w:bookmarkStart w:id="85" w:name="page86"/>
    <w:bookmarkEnd w:id="8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60"/>
        <w:spacing w:after="0" w:line="277" w:lineRule="auto"/>
        <w:rPr>
          <w:sz w:val="20"/>
          <w:szCs w:val="20"/>
          <w:color w:val="auto"/>
        </w:rPr>
      </w:pPr>
      <w:r>
        <w:rPr>
          <w:rFonts w:ascii="Arial" w:cs="Arial" w:eastAsia="Arial" w:hAnsi="Arial"/>
          <w:sz w:val="18"/>
          <w:szCs w:val="18"/>
          <w:color w:val="auto"/>
        </w:rPr>
        <w:t>subject to this reporting requirement unless such holder’s ADSs or ordinary shares are held in an account at a domestic financial institution. The penalty for failing to file Form 8938 is substantial.</w:t>
      </w:r>
    </w:p>
    <w:p>
      <w:pPr>
        <w:spacing w:after="0" w:line="170" w:lineRule="exact"/>
        <w:rPr>
          <w:sz w:val="20"/>
          <w:szCs w:val="20"/>
          <w:color w:val="auto"/>
        </w:rPr>
      </w:pPr>
    </w:p>
    <w:p>
      <w:pPr>
        <w:ind w:left="200" w:right="60" w:firstLine="441"/>
        <w:spacing w:after="0" w:line="255" w:lineRule="auto"/>
        <w:rPr>
          <w:sz w:val="20"/>
          <w:szCs w:val="20"/>
          <w:color w:val="auto"/>
        </w:rPr>
      </w:pPr>
      <w:r>
        <w:rPr>
          <w:rFonts w:ascii="Arial" w:cs="Arial" w:eastAsia="Arial" w:hAnsi="Arial"/>
          <w:sz w:val="18"/>
          <w:szCs w:val="18"/>
          <w:color w:val="auto"/>
        </w:rPr>
        <w:t>U.S. holders generally are subject to information reporting requirements with respect to dividends on, or proceeds from the disposition of, our ordinary shares. In addition, a U.S. holder may be subject, under certain circumstances, to backup withholding at a rate of up to 24% with respect to dividends paid on, or proceeds from the disposition of, our ordinary shares unless the U.S. holder provides proof of an applicable exemption or correct taxpayer identification number, and otherwise complies with the applicable requirements of the backup withholding rules. A U.S. holder of our ordinary shares who provides an incorrect taxpayer identification number may be subject to penalties imposed by the IRS. Amounts withheld under the backup withholding rules are not an additional tax and may be refunded or credited against the U.S. holder’s U.S. federal income tax liability, provided the required information is furnished to the IRS.</w:t>
      </w:r>
    </w:p>
    <w:p>
      <w:pPr>
        <w:spacing w:after="0" w:line="189" w:lineRule="exact"/>
        <w:rPr>
          <w:sz w:val="20"/>
          <w:szCs w:val="20"/>
          <w:color w:val="auto"/>
        </w:rPr>
      </w:pPr>
    </w:p>
    <w:p>
      <w:pPr>
        <w:ind w:left="200" w:right="180" w:firstLine="441"/>
        <w:spacing w:after="0" w:line="308" w:lineRule="auto"/>
        <w:rPr>
          <w:sz w:val="20"/>
          <w:szCs w:val="20"/>
          <w:color w:val="auto"/>
        </w:rPr>
      </w:pPr>
      <w:r>
        <w:rPr>
          <w:rFonts w:ascii="Arial" w:cs="Arial" w:eastAsia="Arial" w:hAnsi="Arial"/>
          <w:sz w:val="17"/>
          <w:szCs w:val="17"/>
          <w:color w:val="auto"/>
        </w:rPr>
        <w:t>A U.S. Holder is urged to consult its tax advisor concerning the U.S. federal income tax consequences of an investment in our ADSs or ordinary shares if we are or become a passive foreign investment company, including the possibility of making a mark-to-market election.</w:t>
      </w:r>
    </w:p>
    <w:p>
      <w:pPr>
        <w:spacing w:after="0" w:line="251"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F. Dividends and Paying Agents</w:t>
      </w:r>
    </w:p>
    <w:p>
      <w:pPr>
        <w:spacing w:after="0" w:line="121" w:lineRule="exact"/>
        <w:rPr>
          <w:sz w:val="20"/>
          <w:szCs w:val="20"/>
          <w:color w:val="auto"/>
        </w:rPr>
      </w:pPr>
    </w:p>
    <w:p>
      <w:pPr>
        <w:ind w:left="640"/>
        <w:spacing w:after="0"/>
        <w:rPr>
          <w:sz w:val="20"/>
          <w:szCs w:val="20"/>
          <w:color w:val="auto"/>
        </w:rPr>
      </w:pPr>
      <w:r>
        <w:rPr>
          <w:rFonts w:ascii="Arial" w:cs="Arial" w:eastAsia="Arial" w:hAnsi="Arial"/>
          <w:sz w:val="18"/>
          <w:szCs w:val="18"/>
          <w:color w:val="auto"/>
        </w:rPr>
        <w:t>Not applicable.</w:t>
      </w:r>
    </w:p>
    <w:p>
      <w:pPr>
        <w:spacing w:after="0" w:line="329"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G. Statement by Experts</w:t>
      </w:r>
    </w:p>
    <w:p>
      <w:pPr>
        <w:spacing w:after="0" w:line="121" w:lineRule="exact"/>
        <w:rPr>
          <w:sz w:val="20"/>
          <w:szCs w:val="20"/>
          <w:color w:val="auto"/>
        </w:rPr>
      </w:pPr>
    </w:p>
    <w:p>
      <w:pPr>
        <w:ind w:left="200" w:firstLine="441"/>
        <w:spacing w:after="0" w:line="279" w:lineRule="auto"/>
        <w:rPr>
          <w:sz w:val="20"/>
          <w:szCs w:val="20"/>
          <w:color w:val="auto"/>
        </w:rPr>
      </w:pPr>
      <w:r>
        <w:rPr>
          <w:rFonts w:ascii="Arial" w:cs="Arial" w:eastAsia="Arial" w:hAnsi="Arial"/>
          <w:sz w:val="17"/>
          <w:szCs w:val="17"/>
          <w:color w:val="auto"/>
        </w:rPr>
        <w:t>The consolidated financial statements of Avita Medical Limited for the year ended June 30, 2018, 2017 and 2016 has been audited by Grant Thornton Audit Pty Ltd Level 43 Central Park, 152-158 St Georges Terrace Perth, WA 6000 Australia, an independent registered public accounting firm, as stated in their report appearing herein. The audited financial statements included in reliance upon the report of Grant Thornton Audit Pty Ltd, independent registered public accountants, upon the authority of said firm as experts in accounting and auditing.</w:t>
      </w:r>
    </w:p>
    <w:p>
      <w:pPr>
        <w:spacing w:after="0" w:line="276"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H. Documents on Display</w:t>
      </w:r>
    </w:p>
    <w:p>
      <w:pPr>
        <w:spacing w:after="0" w:line="121" w:lineRule="exact"/>
        <w:rPr>
          <w:sz w:val="20"/>
          <w:szCs w:val="20"/>
          <w:color w:val="auto"/>
        </w:rPr>
      </w:pPr>
    </w:p>
    <w:p>
      <w:pPr>
        <w:ind w:left="200" w:right="20" w:firstLine="441"/>
        <w:spacing w:after="0" w:line="269" w:lineRule="auto"/>
        <w:rPr>
          <w:sz w:val="20"/>
          <w:szCs w:val="20"/>
          <w:color w:val="auto"/>
        </w:rPr>
      </w:pPr>
      <w:r>
        <w:rPr>
          <w:rFonts w:ascii="Arial" w:cs="Arial" w:eastAsia="Arial" w:hAnsi="Arial"/>
          <w:sz w:val="17"/>
          <w:szCs w:val="17"/>
          <w:color w:val="auto"/>
        </w:rPr>
        <w:t>We will be subject to the reporting requirements of the United States Securities and Exchange Act of 1934, as amended, or the Exchange Act, as applicable to “foreign private issuers” as defined in Rule 3b-4 under the Exchange Act. As a foreign private issuer, we are exempt from certain provisions of the Exchange Act. Accordingly, our proxy solicitations are not subject to the disclosure and procedural requirements of regulation 14A under the Exchange Act, transactions in our equity securities by our officers and directors are exempt from reporting and the “short-swing” profit recovery provisions contained in Section 16 of the Exchange Act. In addition, we are not required under the Exchange Act to file periodic reports and financial statements as frequently or as promptly as U.S. companies whose securities are registered under the Exchange Act. However, we will file with the U.S. Securities and Exchange Commission an annual report on Form 20-F containing financial statements that have been examined and reported on, with and opinion expressed by an independent registered public accounting firm, and we will submit reports to the U.S. Securities and Exchange Commission on Form 6-K containing (among other things) press releases and unaudited financial information for the first six months of each fiscal year. We post our annual report on Form 20-F on our website promptly following the filing of our annual report with the U.S. Securities and Exchange Commission. The information on our website is not incorporated by reference into this annual report.</w:t>
      </w:r>
    </w:p>
    <w:p>
      <w:pPr>
        <w:spacing w:after="0" w:line="183" w:lineRule="exact"/>
        <w:rPr>
          <w:sz w:val="20"/>
          <w:szCs w:val="20"/>
          <w:color w:val="auto"/>
        </w:rPr>
      </w:pPr>
    </w:p>
    <w:p>
      <w:pPr>
        <w:ind w:left="200" w:right="40" w:firstLine="441"/>
        <w:spacing w:after="0" w:line="259" w:lineRule="auto"/>
        <w:rPr>
          <w:sz w:val="20"/>
          <w:szCs w:val="20"/>
          <w:color w:val="auto"/>
        </w:rPr>
      </w:pPr>
      <w:r>
        <w:rPr>
          <w:rFonts w:ascii="Arial" w:cs="Arial" w:eastAsia="Arial" w:hAnsi="Arial"/>
          <w:sz w:val="18"/>
          <w:szCs w:val="18"/>
          <w:color w:val="auto"/>
        </w:rPr>
        <w:t>This document and the exhibits thereto and any other document we file pursuant to the Exchange Act may be inspected without charge and copied at prescribed rates at the U.S. Securities and Exchange Commission public reference room at 100 F Street, N.E., Room 1580, Washington D.C. 20549. You may obtain information on the operation of the Securities and Exchange Commission’s public reference room in Washington, D.C. by calling the U.S. Securities and Exchange Commission at 1-800-SEC-0330.</w:t>
      </w:r>
    </w:p>
    <w:p>
      <w:pPr>
        <w:spacing w:after="0" w:line="119"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84</w:t>
      </w:r>
    </w:p>
    <w:p>
      <w:pPr>
        <w:sectPr>
          <w:pgSz w:w="11900" w:h="16838" w:orient="portrait"/>
          <w:cols w:equalWidth="0" w:num="1">
            <w:col w:w="11220"/>
          </w:cols>
          <w:pgMar w:left="240" w:top="459" w:right="439" w:bottom="1440" w:gutter="0" w:footer="0" w:header="0"/>
        </w:sectPr>
      </w:pPr>
    </w:p>
    <w:bookmarkStart w:id="86" w:name="page87"/>
    <w:bookmarkEnd w:id="8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180" w:firstLine="441"/>
        <w:spacing w:after="0" w:line="264" w:lineRule="auto"/>
        <w:rPr>
          <w:sz w:val="20"/>
          <w:szCs w:val="20"/>
          <w:color w:val="auto"/>
        </w:rPr>
      </w:pPr>
      <w:r>
        <w:rPr>
          <w:rFonts w:ascii="Arial" w:cs="Arial" w:eastAsia="Arial" w:hAnsi="Arial"/>
          <w:sz w:val="18"/>
          <w:szCs w:val="18"/>
          <w:color w:val="auto"/>
        </w:rPr>
        <w:t>The U.S. Securities and Exchange Commission maintains a website at www.sec.gov that contains reports, proxy and information statements and other information regarding registrants that make electronic filings with the U.S. Securities and Exchange Commission using its EDGAR (Electronic Data Gathering, Analysis, and Retrieval) system.</w:t>
      </w:r>
    </w:p>
    <w:p>
      <w:pPr>
        <w:spacing w:after="0" w:line="181" w:lineRule="exact"/>
        <w:rPr>
          <w:sz w:val="20"/>
          <w:szCs w:val="20"/>
          <w:color w:val="auto"/>
        </w:rPr>
      </w:pPr>
    </w:p>
    <w:p>
      <w:pPr>
        <w:ind w:left="200" w:right="160" w:firstLine="441"/>
        <w:spacing w:after="0" w:line="277" w:lineRule="auto"/>
        <w:rPr>
          <w:sz w:val="20"/>
          <w:szCs w:val="20"/>
          <w:color w:val="auto"/>
        </w:rPr>
      </w:pPr>
      <w:r>
        <w:rPr>
          <w:rFonts w:ascii="Arial" w:cs="Arial" w:eastAsia="Arial" w:hAnsi="Arial"/>
          <w:sz w:val="18"/>
          <w:szCs w:val="18"/>
          <w:color w:val="auto"/>
        </w:rPr>
        <w:t>The documents concerning our company that are referred to in this document may also be inspected at the offices located at Level 7, 330 Collins Street, Melbourne VIC 3000 Australia.</w:t>
      </w:r>
    </w:p>
    <w:p>
      <w:pPr>
        <w:spacing w:after="0" w:line="27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I. Subsidiary Information</w:t>
      </w:r>
    </w:p>
    <w:p>
      <w:pPr>
        <w:spacing w:after="0" w:line="121" w:lineRule="exact"/>
        <w:rPr>
          <w:sz w:val="20"/>
          <w:szCs w:val="20"/>
          <w:color w:val="auto"/>
        </w:rPr>
      </w:pPr>
    </w:p>
    <w:p>
      <w:pPr>
        <w:ind w:left="640"/>
        <w:spacing w:after="0"/>
        <w:rPr>
          <w:sz w:val="20"/>
          <w:szCs w:val="20"/>
          <w:color w:val="auto"/>
        </w:rPr>
      </w:pPr>
      <w:r>
        <w:rPr>
          <w:rFonts w:ascii="Arial" w:cs="Arial" w:eastAsia="Arial" w:hAnsi="Arial"/>
          <w:sz w:val="18"/>
          <w:szCs w:val="18"/>
          <w:color w:val="auto"/>
        </w:rPr>
        <w:t>See Item 4C, under the heading “</w:t>
      </w:r>
      <w:r>
        <w:rPr>
          <w:rFonts w:ascii="Arial" w:cs="Arial" w:eastAsia="Arial" w:hAnsi="Arial"/>
          <w:sz w:val="18"/>
          <w:szCs w:val="18"/>
          <w:i w:val="1"/>
          <w:iCs w:val="1"/>
          <w:color w:val="auto"/>
        </w:rPr>
        <w:t>Organizational Structure.</w:t>
      </w:r>
      <w:r>
        <w:rPr>
          <w:rFonts w:ascii="Arial" w:cs="Arial" w:eastAsia="Arial" w:hAnsi="Arial"/>
          <w:sz w:val="18"/>
          <w:szCs w:val="18"/>
          <w:color w:val="auto"/>
        </w:rPr>
        <w:t>”</w:t>
      </w:r>
    </w:p>
    <w:p>
      <w:pPr>
        <w:spacing w:after="0" w:line="329"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ITEM 11. QUANTITATIVE AND QUALITATIVE DISCLOSURES ABOUT MARKET RISK</w:t>
      </w:r>
    </w:p>
    <w:p>
      <w:pPr>
        <w:spacing w:after="0" w:line="121" w:lineRule="exact"/>
        <w:rPr>
          <w:sz w:val="20"/>
          <w:szCs w:val="20"/>
          <w:color w:val="auto"/>
        </w:rPr>
      </w:pPr>
    </w:p>
    <w:p>
      <w:pPr>
        <w:ind w:left="200" w:right="20" w:firstLine="441"/>
        <w:spacing w:after="0" w:line="342" w:lineRule="auto"/>
        <w:rPr>
          <w:sz w:val="20"/>
          <w:szCs w:val="20"/>
          <w:color w:val="auto"/>
        </w:rPr>
      </w:pPr>
      <w:r>
        <w:rPr>
          <w:rFonts w:ascii="Arial" w:cs="Arial" w:eastAsia="Arial" w:hAnsi="Arial"/>
          <w:sz w:val="16"/>
          <w:szCs w:val="16"/>
          <w:color w:val="auto"/>
        </w:rPr>
        <w:t>Please see the Company’s audited financial statements for the year ended June 20, 2018, at Item 18 under Note 19 “Financial Risk management Objectives and Policies” for a description of interest rate risk, foreign currency risk, credit risk and liquidity risk and how such risks affect the Company.</w:t>
      </w:r>
    </w:p>
    <w:p>
      <w:pPr>
        <w:spacing w:after="0" w:line="228"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ITEM 12. DESCRIPTION OF SECURITIES OTHER THAN EQUITY SECURITIES</w:t>
      </w:r>
    </w:p>
    <w:p>
      <w:pPr>
        <w:spacing w:after="0" w:line="117"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A. Debt Securities</w:t>
      </w:r>
    </w:p>
    <w:p>
      <w:pPr>
        <w:spacing w:after="0" w:line="121" w:lineRule="exact"/>
        <w:rPr>
          <w:sz w:val="20"/>
          <w:szCs w:val="20"/>
          <w:color w:val="auto"/>
        </w:rPr>
      </w:pPr>
    </w:p>
    <w:p>
      <w:pPr>
        <w:ind w:left="640"/>
        <w:spacing w:after="0"/>
        <w:rPr>
          <w:sz w:val="20"/>
          <w:szCs w:val="20"/>
          <w:color w:val="auto"/>
        </w:rPr>
      </w:pPr>
      <w:r>
        <w:rPr>
          <w:rFonts w:ascii="Arial" w:cs="Arial" w:eastAsia="Arial" w:hAnsi="Arial"/>
          <w:sz w:val="18"/>
          <w:szCs w:val="18"/>
          <w:color w:val="auto"/>
        </w:rPr>
        <w:t>Not applicable.</w:t>
      </w:r>
    </w:p>
    <w:p>
      <w:pPr>
        <w:spacing w:after="0" w:line="329"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B. Warrants and Rights</w:t>
      </w:r>
    </w:p>
    <w:p>
      <w:pPr>
        <w:spacing w:after="0" w:line="121" w:lineRule="exact"/>
        <w:rPr>
          <w:sz w:val="20"/>
          <w:szCs w:val="20"/>
          <w:color w:val="auto"/>
        </w:rPr>
      </w:pPr>
    </w:p>
    <w:p>
      <w:pPr>
        <w:ind w:left="640"/>
        <w:spacing w:after="0"/>
        <w:rPr>
          <w:sz w:val="20"/>
          <w:szCs w:val="20"/>
          <w:color w:val="auto"/>
        </w:rPr>
      </w:pPr>
      <w:r>
        <w:rPr>
          <w:rFonts w:ascii="Arial" w:cs="Arial" w:eastAsia="Arial" w:hAnsi="Arial"/>
          <w:sz w:val="18"/>
          <w:szCs w:val="18"/>
          <w:color w:val="auto"/>
        </w:rPr>
        <w:t>Not applicable.</w:t>
      </w:r>
    </w:p>
    <w:p>
      <w:pPr>
        <w:spacing w:after="0" w:line="329"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C. American Depositary Shares</w:t>
      </w:r>
    </w:p>
    <w:p>
      <w:pPr>
        <w:spacing w:after="0" w:line="121" w:lineRule="exact"/>
        <w:rPr>
          <w:sz w:val="20"/>
          <w:szCs w:val="20"/>
          <w:color w:val="auto"/>
        </w:rPr>
      </w:pPr>
    </w:p>
    <w:p>
      <w:pPr>
        <w:ind w:left="200" w:firstLine="441"/>
        <w:spacing w:after="0" w:line="276" w:lineRule="auto"/>
        <w:rPr>
          <w:sz w:val="20"/>
          <w:szCs w:val="20"/>
          <w:color w:val="auto"/>
        </w:rPr>
      </w:pPr>
      <w:r>
        <w:rPr>
          <w:rFonts w:ascii="Arial" w:cs="Arial" w:eastAsia="Arial" w:hAnsi="Arial"/>
          <w:sz w:val="17"/>
          <w:szCs w:val="17"/>
          <w:color w:val="auto"/>
        </w:rPr>
        <w:t>The Bank of New York Mellon, as depositary, will register and deliver American Depositary Shares, also referred to as ADSs. Each ADS will represent 20 shares (or a right to receive 20 shares) deposited with National Australia Bank Ltd., as custodian for the depositary in Melbourne, Australia. Each ADS will also represent any other securities, cash or other property which may be held by the depositary. The deposited shares together with any other securities, cash or other property held by the depositary are referred to as the deposited securities. The depositary’s office at which the ADSs will be administered and its principal executive office are located at 240 Greenwich Street, New York, New York 10286.</w:t>
      </w:r>
    </w:p>
    <w:p>
      <w:pPr>
        <w:spacing w:after="0" w:line="173" w:lineRule="exact"/>
        <w:rPr>
          <w:sz w:val="20"/>
          <w:szCs w:val="20"/>
          <w:color w:val="auto"/>
        </w:rPr>
      </w:pPr>
    </w:p>
    <w:p>
      <w:pPr>
        <w:ind w:left="200" w:firstLine="441"/>
        <w:spacing w:after="0" w:line="293" w:lineRule="auto"/>
        <w:rPr>
          <w:sz w:val="20"/>
          <w:szCs w:val="20"/>
          <w:color w:val="auto"/>
        </w:rPr>
      </w:pPr>
      <w:r>
        <w:rPr>
          <w:rFonts w:ascii="Arial" w:cs="Arial" w:eastAsia="Arial" w:hAnsi="Arial"/>
          <w:sz w:val="16"/>
          <w:szCs w:val="16"/>
          <w:color w:val="auto"/>
        </w:rPr>
        <w:t>You may hold ADSs either (A) directly (i) by having an American Depositary Receipt, also referred to as an ADR, which is a certificate evidencing a specific number of ADSs, registered in your name, or (ii) by having uncertificated ADSs registered in your name, or (B) indirectly by holding a security entitlement in ADSs through your broker or other financial institution that is a direct or indirect participant in The Depository Trust Company, also called DTC. If you hold ADSs directly, you are a registered ADS holder, also referred to as an ADS holder. This description assumes you are an ADS holder. If you hold the ADSs indirectly, you must rely on the procedures of your broker or other financial institution to assert the rights of ADS holders described in this section. You should consult with your broker or financial institution to find out what those procedures are.</w:t>
      </w:r>
    </w:p>
    <w:p>
      <w:pPr>
        <w:spacing w:after="0" w:line="165" w:lineRule="exact"/>
        <w:rPr>
          <w:sz w:val="20"/>
          <w:szCs w:val="20"/>
          <w:color w:val="auto"/>
        </w:rPr>
      </w:pPr>
    </w:p>
    <w:p>
      <w:pPr>
        <w:ind w:left="640"/>
        <w:spacing w:after="0"/>
        <w:rPr>
          <w:sz w:val="20"/>
          <w:szCs w:val="20"/>
          <w:color w:val="auto"/>
        </w:rPr>
      </w:pPr>
      <w:r>
        <w:rPr>
          <w:rFonts w:ascii="Arial" w:cs="Arial" w:eastAsia="Arial" w:hAnsi="Arial"/>
          <w:sz w:val="18"/>
          <w:szCs w:val="18"/>
          <w:color w:val="auto"/>
        </w:rPr>
        <w:t>Registered holders of uncertificated ADSs will receive statements from the depositary confirming their holdings.</w:t>
      </w:r>
    </w:p>
    <w:p>
      <w:pPr>
        <w:spacing w:after="0" w:line="225" w:lineRule="exact"/>
        <w:rPr>
          <w:sz w:val="20"/>
          <w:szCs w:val="20"/>
          <w:color w:val="auto"/>
        </w:rPr>
      </w:pPr>
    </w:p>
    <w:p>
      <w:pPr>
        <w:ind w:left="200" w:right="160" w:firstLine="441"/>
        <w:spacing w:after="0" w:line="277" w:lineRule="auto"/>
        <w:rPr>
          <w:sz w:val="20"/>
          <w:szCs w:val="20"/>
          <w:color w:val="auto"/>
        </w:rPr>
      </w:pPr>
      <w:r>
        <w:rPr>
          <w:rFonts w:ascii="Arial" w:cs="Arial" w:eastAsia="Arial" w:hAnsi="Arial"/>
          <w:sz w:val="18"/>
          <w:szCs w:val="18"/>
          <w:color w:val="auto"/>
        </w:rPr>
        <w:t>As an ADS holder, we will not treat you as one of our shareholders and you will not have shareholder rights. Australian law governs shareholder rights. The depositary will be the holder of the shares underlying your ADSs.</w:t>
      </w:r>
    </w:p>
    <w:p>
      <w:pPr>
        <w:spacing w:after="0" w:line="103"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85</w:t>
      </w:r>
    </w:p>
    <w:p>
      <w:pPr>
        <w:sectPr>
          <w:pgSz w:w="11900" w:h="16838" w:orient="portrait"/>
          <w:cols w:equalWidth="0" w:num="1">
            <w:col w:w="11220"/>
          </w:cols>
          <w:pgMar w:left="240" w:top="459" w:right="439" w:bottom="1440" w:gutter="0" w:footer="0" w:header="0"/>
        </w:sectPr>
      </w:pPr>
    </w:p>
    <w:bookmarkStart w:id="87" w:name="page88"/>
    <w:bookmarkEnd w:id="8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both"/>
        <w:ind w:left="200" w:right="320"/>
        <w:spacing w:after="0" w:line="264" w:lineRule="auto"/>
        <w:rPr>
          <w:sz w:val="20"/>
          <w:szCs w:val="20"/>
          <w:color w:val="auto"/>
        </w:rPr>
      </w:pPr>
      <w:r>
        <w:rPr>
          <w:rFonts w:ascii="Arial" w:cs="Arial" w:eastAsia="Arial" w:hAnsi="Arial"/>
          <w:sz w:val="18"/>
          <w:szCs w:val="18"/>
          <w:color w:val="auto"/>
        </w:rPr>
        <w:t>As a registered holder of ADSs, you will have ADS holder rights. A deposit agreement among us, the depositary, ADS holders and all other persons indirectly or beneficially holding ADSs sets out ADS holder rights as well as the rights and obligations of the depositary. New York law governs the deposit agreement and the ADSs.</w:t>
      </w:r>
    </w:p>
    <w:p>
      <w:pPr>
        <w:spacing w:after="0" w:line="181" w:lineRule="exact"/>
        <w:rPr>
          <w:sz w:val="20"/>
          <w:szCs w:val="20"/>
          <w:color w:val="auto"/>
        </w:rPr>
      </w:pPr>
    </w:p>
    <w:p>
      <w:pPr>
        <w:ind w:left="200" w:right="500" w:firstLine="441"/>
        <w:spacing w:after="0" w:line="277" w:lineRule="auto"/>
        <w:rPr>
          <w:sz w:val="20"/>
          <w:szCs w:val="20"/>
          <w:color w:val="auto"/>
        </w:rPr>
      </w:pPr>
      <w:r>
        <w:rPr>
          <w:rFonts w:ascii="Arial" w:cs="Arial" w:eastAsia="Arial" w:hAnsi="Arial"/>
          <w:sz w:val="18"/>
          <w:szCs w:val="18"/>
          <w:color w:val="auto"/>
        </w:rPr>
        <w:t>The following is a summary of the material provisions of the deposit agreement. For more complete information, you should read the entire deposit agreement and the form of ADR.</w:t>
      </w:r>
    </w:p>
    <w:p>
      <w:pPr>
        <w:spacing w:after="0" w:line="27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Dividends and Other Distributions</w:t>
      </w:r>
    </w:p>
    <w:p>
      <w:pPr>
        <w:spacing w:after="0" w:line="121"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How will you receive dividends and other distributions on the shares?</w:t>
      </w:r>
    </w:p>
    <w:p>
      <w:pPr>
        <w:spacing w:after="0" w:line="117" w:lineRule="exact"/>
        <w:rPr>
          <w:sz w:val="20"/>
          <w:szCs w:val="20"/>
          <w:color w:val="auto"/>
        </w:rPr>
      </w:pPr>
    </w:p>
    <w:p>
      <w:pPr>
        <w:ind w:left="200" w:firstLine="441"/>
        <w:spacing w:after="0" w:line="264" w:lineRule="auto"/>
        <w:rPr>
          <w:sz w:val="20"/>
          <w:szCs w:val="20"/>
          <w:color w:val="auto"/>
        </w:rPr>
      </w:pPr>
      <w:r>
        <w:rPr>
          <w:rFonts w:ascii="Arial" w:cs="Arial" w:eastAsia="Arial" w:hAnsi="Arial"/>
          <w:sz w:val="18"/>
          <w:szCs w:val="18"/>
          <w:color w:val="auto"/>
        </w:rPr>
        <w:t>The depositary has agreed to pay or distribute to ADS holders the cash dividends or other distributions it or the custodian receives on shares or other deposited securities, upon payment or deduction of its fees and expenses. You will receive these distributions in proportion to the number of shares your ADSs represent.</w:t>
      </w:r>
    </w:p>
    <w:p>
      <w:pPr>
        <w:spacing w:after="0" w:line="181" w:lineRule="exact"/>
        <w:rPr>
          <w:sz w:val="20"/>
          <w:szCs w:val="20"/>
          <w:color w:val="auto"/>
        </w:rPr>
      </w:pPr>
    </w:p>
    <w:p>
      <w:pPr>
        <w:ind w:left="200" w:firstLine="441"/>
        <w:spacing w:after="0" w:line="257" w:lineRule="auto"/>
        <w:rPr>
          <w:sz w:val="20"/>
          <w:szCs w:val="20"/>
          <w:color w:val="auto"/>
        </w:rPr>
      </w:pPr>
      <w:r>
        <w:rPr>
          <w:rFonts w:ascii="Arial" w:cs="Arial" w:eastAsia="Arial" w:hAnsi="Arial"/>
          <w:sz w:val="18"/>
          <w:szCs w:val="18"/>
          <w:b w:val="1"/>
          <w:bCs w:val="1"/>
          <w:i w:val="1"/>
          <w:iCs w:val="1"/>
          <w:color w:val="auto"/>
        </w:rPr>
        <w:t>Cash</w:t>
      </w:r>
      <w:r>
        <w:rPr>
          <w:rFonts w:ascii="Arial" w:cs="Arial" w:eastAsia="Arial" w:hAnsi="Arial"/>
          <w:sz w:val="18"/>
          <w:szCs w:val="18"/>
          <w:color w:val="auto"/>
        </w:rPr>
        <w:t>. The depositary will convert any cash dividend or other cash distribution we pay on the shares into U.S. dollars, if it can do so on a</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reasonable basis and can transfer the U.S. dollars to the United States. If that is not possible or if any government approval is needed and cannot be obtained, the deposit agreement allows the depositary to distribute the foreign currency only to those ADS holders to whom it is possible to do so. It will hold the foreign currency it cannot convert for the account of the ADS holders who have not been paid. It will not invest the foreign currency and it will not be liable for any interest.</w:t>
      </w:r>
    </w:p>
    <w:p>
      <w:pPr>
        <w:spacing w:after="0" w:line="188" w:lineRule="exact"/>
        <w:rPr>
          <w:sz w:val="20"/>
          <w:szCs w:val="20"/>
          <w:color w:val="auto"/>
        </w:rPr>
      </w:pPr>
    </w:p>
    <w:p>
      <w:pPr>
        <w:jc w:val="both"/>
        <w:ind w:left="200" w:firstLine="441"/>
        <w:spacing w:after="0" w:line="259" w:lineRule="auto"/>
        <w:rPr>
          <w:sz w:val="20"/>
          <w:szCs w:val="20"/>
          <w:color w:val="auto"/>
        </w:rPr>
      </w:pPr>
      <w:r>
        <w:rPr>
          <w:rFonts w:ascii="Arial" w:cs="Arial" w:eastAsia="Arial" w:hAnsi="Arial"/>
          <w:sz w:val="18"/>
          <w:szCs w:val="18"/>
          <w:color w:val="auto"/>
        </w:rPr>
        <w:t xml:space="preserve">Before making a distribution, any withholding taxes, or other governmental charges that must be paid will be deducted. See Item 10D “Exchange Controls and Australian Tax Matters” and Item 10E “U.S. Federal Income Tax Considerations” for more information. The depositary will distribute only whole U.S. dollars and cents and will round fractional cents to the nearest whole cent. </w:t>
      </w:r>
      <w:r>
        <w:rPr>
          <w:rFonts w:ascii="Arial" w:cs="Arial" w:eastAsia="Arial" w:hAnsi="Arial"/>
          <w:sz w:val="18"/>
          <w:szCs w:val="18"/>
          <w:i w:val="1"/>
          <w:iCs w:val="1"/>
          <w:color w:val="auto"/>
        </w:rPr>
        <w:t>If the exchange rates fluctuate during a time when the depositary</w:t>
      </w:r>
      <w:r>
        <w:rPr>
          <w:rFonts w:ascii="Arial" w:cs="Arial" w:eastAsia="Arial" w:hAnsi="Arial"/>
          <w:sz w:val="18"/>
          <w:szCs w:val="18"/>
          <w:color w:val="auto"/>
        </w:rPr>
        <w:t xml:space="preserve"> </w:t>
      </w:r>
      <w:r>
        <w:rPr>
          <w:rFonts w:ascii="Arial" w:cs="Arial" w:eastAsia="Arial" w:hAnsi="Arial"/>
          <w:sz w:val="18"/>
          <w:szCs w:val="18"/>
          <w:i w:val="1"/>
          <w:iCs w:val="1"/>
          <w:color w:val="auto"/>
        </w:rPr>
        <w:t>cannot convert the foreign currency, you may lose some of the value of the distribution.</w:t>
      </w:r>
    </w:p>
    <w:p>
      <w:pPr>
        <w:spacing w:after="0" w:line="187" w:lineRule="exact"/>
        <w:rPr>
          <w:sz w:val="20"/>
          <w:szCs w:val="20"/>
          <w:color w:val="auto"/>
        </w:rPr>
      </w:pPr>
    </w:p>
    <w:p>
      <w:pPr>
        <w:ind w:left="200" w:right="240" w:firstLine="441"/>
        <w:spacing w:after="0" w:line="257" w:lineRule="auto"/>
        <w:rPr>
          <w:sz w:val="20"/>
          <w:szCs w:val="20"/>
          <w:color w:val="auto"/>
        </w:rPr>
      </w:pPr>
      <w:r>
        <w:rPr>
          <w:rFonts w:ascii="Arial" w:cs="Arial" w:eastAsia="Arial" w:hAnsi="Arial"/>
          <w:sz w:val="18"/>
          <w:szCs w:val="18"/>
          <w:b w:val="1"/>
          <w:bCs w:val="1"/>
          <w:i w:val="1"/>
          <w:iCs w:val="1"/>
          <w:color w:val="auto"/>
        </w:rPr>
        <w:t>Shares</w:t>
      </w:r>
      <w:r>
        <w:rPr>
          <w:rFonts w:ascii="Arial" w:cs="Arial" w:eastAsia="Arial" w:hAnsi="Arial"/>
          <w:sz w:val="18"/>
          <w:szCs w:val="18"/>
          <w:i w:val="1"/>
          <w:i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The depositary may distribute additional ADSs representing any shares we distribute as a dividend or free distribution. The depositary</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will only distribute whole ADSs. It will sell shares which would require it to deliver a fraction of an ADS (or ADSs representing those shares) and distribute the net proceeds in the same way as it does with cash. If the depositary does not distribute additional ADSs, the outstanding ADSs will also represent the new shares. The depositary may sell a portion of the distributed shares (or ADSs representing those shares) sufficient to pay its fees and expenses in connection with that distribution.</w:t>
      </w:r>
    </w:p>
    <w:p>
      <w:pPr>
        <w:spacing w:after="0" w:line="188" w:lineRule="exact"/>
        <w:rPr>
          <w:sz w:val="20"/>
          <w:szCs w:val="20"/>
          <w:color w:val="auto"/>
        </w:rPr>
      </w:pPr>
    </w:p>
    <w:p>
      <w:pPr>
        <w:ind w:left="200" w:firstLine="441"/>
        <w:spacing w:after="0" w:line="253" w:lineRule="auto"/>
        <w:rPr>
          <w:sz w:val="20"/>
          <w:szCs w:val="20"/>
          <w:color w:val="auto"/>
        </w:rPr>
      </w:pPr>
      <w:r>
        <w:rPr>
          <w:rFonts w:ascii="Arial" w:cs="Arial" w:eastAsia="Arial" w:hAnsi="Arial"/>
          <w:sz w:val="18"/>
          <w:szCs w:val="18"/>
          <w:b w:val="1"/>
          <w:bCs w:val="1"/>
          <w:i w:val="1"/>
          <w:iCs w:val="1"/>
          <w:color w:val="auto"/>
        </w:rPr>
        <w:t>Rights to purchase additional shares</w:t>
      </w:r>
      <w:r>
        <w:rPr>
          <w:rFonts w:ascii="Arial" w:cs="Arial" w:eastAsia="Arial" w:hAnsi="Arial"/>
          <w:sz w:val="18"/>
          <w:szCs w:val="18"/>
          <w:i w:val="1"/>
          <w:i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If we offer holders of our securities any rights to subscribe for additional shares or any other rights,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 xml:space="preserve">depositary may (i) exercise those rights on behalf of ADS holders, (ii) distribute those rights to ADS holders or (iii) sell those rights and distribute the net proceeds to ADS holders, in each case after deduction or upon payment of its fees and expenses. To the extent the depositary does not do any of those things, it will allow the rights to lapse. </w:t>
      </w:r>
      <w:r>
        <w:rPr>
          <w:rFonts w:ascii="Arial" w:cs="Arial" w:eastAsia="Arial" w:hAnsi="Arial"/>
          <w:sz w:val="18"/>
          <w:szCs w:val="18"/>
          <w:i w:val="1"/>
          <w:iCs w:val="1"/>
          <w:color w:val="auto"/>
        </w:rPr>
        <w:t>In that case, you will receive no value for them.</w:t>
      </w:r>
      <w:r>
        <w:rPr>
          <w:rFonts w:ascii="Arial" w:cs="Arial" w:eastAsia="Arial" w:hAnsi="Arial"/>
          <w:sz w:val="18"/>
          <w:szCs w:val="18"/>
          <w:color w:val="auto"/>
        </w:rPr>
        <w:t xml:space="preserve"> The depositary will exercise or distribute rights only if we ask it to and provide satisfactory assurances to the depositary that it is legal to do so. If the depositary will exercise rights, it will purchase the securities to which the rights relate and distribute those securities or, in the case of shares, new ADSs representing the new shares, to subscribing ADS holders, but only if ADS holders have paid the exercise price to the depositary. U.S. securities laws may restrict the ability of the depositary to distribute rights or ADSs or other securities issued on exercise of rights to all or certain ADS holders, and the securities distributed may be subject to restrictions on transfer.</w:t>
      </w:r>
    </w:p>
    <w:p>
      <w:pPr>
        <w:spacing w:after="0" w:line="197" w:lineRule="exact"/>
        <w:rPr>
          <w:sz w:val="20"/>
          <w:szCs w:val="20"/>
          <w:color w:val="auto"/>
        </w:rPr>
      </w:pPr>
    </w:p>
    <w:p>
      <w:pPr>
        <w:ind w:left="200" w:right="140" w:firstLine="441"/>
        <w:spacing w:after="0" w:line="279" w:lineRule="auto"/>
        <w:rPr>
          <w:sz w:val="20"/>
          <w:szCs w:val="20"/>
          <w:color w:val="auto"/>
        </w:rPr>
      </w:pPr>
      <w:r>
        <w:rPr>
          <w:rFonts w:ascii="Arial" w:cs="Arial" w:eastAsia="Arial" w:hAnsi="Arial"/>
          <w:sz w:val="17"/>
          <w:szCs w:val="17"/>
          <w:b w:val="1"/>
          <w:bCs w:val="1"/>
          <w:i w:val="1"/>
          <w:iCs w:val="1"/>
          <w:color w:val="auto"/>
        </w:rPr>
        <w:t>Other Distributions</w:t>
      </w:r>
      <w:r>
        <w:rPr>
          <w:rFonts w:ascii="Arial" w:cs="Arial" w:eastAsia="Arial" w:hAnsi="Arial"/>
          <w:sz w:val="17"/>
          <w:szCs w:val="17"/>
          <w:i w:val="1"/>
          <w:iCs w:val="1"/>
          <w:color w:val="auto"/>
        </w:rPr>
        <w:t>.</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The depositary will send to ADS holders anything else we distribute on deposited securities by any means it thinks is legal,</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fair and practical. If it cannot make the distribution in that way, the depositary has a choice. It may decide to sell what we distributed and distribute the net proceeds, in the same way as it does with cash. Or, it may decide to hold what we distributed, in which case ADSs will also represent the newly distributed property. However, the depositary is not required to distribute any securities (other than ADSs)</w:t>
      </w:r>
    </w:p>
    <w:p>
      <w:pPr>
        <w:spacing w:after="0" w:line="104"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86</w:t>
      </w:r>
    </w:p>
    <w:p>
      <w:pPr>
        <w:sectPr>
          <w:pgSz w:w="11900" w:h="16838" w:orient="portrait"/>
          <w:cols w:equalWidth="0" w:num="1">
            <w:col w:w="11200"/>
          </w:cols>
          <w:pgMar w:left="240" w:top="459" w:right="459" w:bottom="1440" w:gutter="0" w:footer="0" w:header="0"/>
        </w:sectPr>
      </w:pPr>
    </w:p>
    <w:bookmarkStart w:id="88" w:name="page89"/>
    <w:bookmarkEnd w:id="8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140"/>
        <w:spacing w:after="0" w:line="312" w:lineRule="auto"/>
        <w:rPr>
          <w:sz w:val="20"/>
          <w:szCs w:val="20"/>
          <w:color w:val="auto"/>
        </w:rPr>
      </w:pPr>
      <w:r>
        <w:rPr>
          <w:rFonts w:ascii="Arial" w:cs="Arial" w:eastAsia="Arial" w:hAnsi="Arial"/>
          <w:sz w:val="16"/>
          <w:szCs w:val="16"/>
          <w:color w:val="auto"/>
        </w:rPr>
        <w:t>to ADS holders unless it receives satisfactory evidence from us that it is legal to make that distribution. The depositary may sell a portion of the distributed securities or property sufficient to pay its fees and expenses in connection with that distribution. U.S. securities laws may restrict the ability of the depositary to distribute securities to all or certain ADS holders, and the securities distributed may be subject to restrictions on transfer.</w:t>
      </w:r>
    </w:p>
    <w:p>
      <w:pPr>
        <w:spacing w:after="0" w:line="147" w:lineRule="exact"/>
        <w:rPr>
          <w:sz w:val="20"/>
          <w:szCs w:val="20"/>
          <w:color w:val="auto"/>
        </w:rPr>
      </w:pPr>
    </w:p>
    <w:p>
      <w:pPr>
        <w:ind w:left="200" w:right="120" w:firstLine="441"/>
        <w:spacing w:after="0" w:line="259" w:lineRule="auto"/>
        <w:rPr>
          <w:sz w:val="20"/>
          <w:szCs w:val="20"/>
          <w:color w:val="auto"/>
        </w:rPr>
      </w:pPr>
      <w:r>
        <w:rPr>
          <w:rFonts w:ascii="Arial" w:cs="Arial" w:eastAsia="Arial" w:hAnsi="Arial"/>
          <w:sz w:val="18"/>
          <w:szCs w:val="18"/>
          <w:color w:val="auto"/>
        </w:rPr>
        <w:t xml:space="preserve">The depositary is not responsible if it decides that it is unlawful or impractical to make a distribution available to any ADS holders. We have no obligation to register ADSs, shares, rights or other securities under the Securities Act. We also have no obligation to take any other action to permit the distribution of ADSs, shares, rights or anything else to ADS holders. </w:t>
      </w:r>
      <w:r>
        <w:rPr>
          <w:rFonts w:ascii="Arial" w:cs="Arial" w:eastAsia="Arial" w:hAnsi="Arial"/>
          <w:sz w:val="18"/>
          <w:szCs w:val="18"/>
          <w:i w:val="1"/>
          <w:iCs w:val="1"/>
          <w:color w:val="auto"/>
        </w:rPr>
        <w:t>This means that you may not receive the distributions we make on our shares or</w:t>
      </w:r>
      <w:r>
        <w:rPr>
          <w:rFonts w:ascii="Arial" w:cs="Arial" w:eastAsia="Arial" w:hAnsi="Arial"/>
          <w:sz w:val="18"/>
          <w:szCs w:val="18"/>
          <w:color w:val="auto"/>
        </w:rPr>
        <w:t xml:space="preserve"> </w:t>
      </w:r>
      <w:r>
        <w:rPr>
          <w:rFonts w:ascii="Arial" w:cs="Arial" w:eastAsia="Arial" w:hAnsi="Arial"/>
          <w:sz w:val="18"/>
          <w:szCs w:val="18"/>
          <w:i w:val="1"/>
          <w:iCs w:val="1"/>
          <w:color w:val="auto"/>
        </w:rPr>
        <w:t>any value for them if it is illegal or impractical for us to make them available to you</w:t>
      </w:r>
      <w:r>
        <w:rPr>
          <w:rFonts w:ascii="Arial" w:cs="Arial" w:eastAsia="Arial" w:hAnsi="Arial"/>
          <w:sz w:val="18"/>
          <w:szCs w:val="18"/>
          <w:color w:val="auto"/>
        </w:rPr>
        <w:t>.</w:t>
      </w:r>
    </w:p>
    <w:p>
      <w:pPr>
        <w:spacing w:after="0" w:line="291"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Deposit, Withdrawal and Cancellation</w:t>
      </w:r>
    </w:p>
    <w:p>
      <w:pPr>
        <w:spacing w:after="0" w:line="121"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How are ADSs issued?</w:t>
      </w:r>
    </w:p>
    <w:p>
      <w:pPr>
        <w:spacing w:after="0" w:line="117" w:lineRule="exact"/>
        <w:rPr>
          <w:sz w:val="20"/>
          <w:szCs w:val="20"/>
          <w:color w:val="auto"/>
        </w:rPr>
      </w:pPr>
    </w:p>
    <w:p>
      <w:pPr>
        <w:ind w:left="200" w:right="160" w:firstLine="441"/>
        <w:spacing w:after="0" w:line="312" w:lineRule="auto"/>
        <w:rPr>
          <w:sz w:val="20"/>
          <w:szCs w:val="20"/>
          <w:color w:val="auto"/>
        </w:rPr>
      </w:pPr>
      <w:r>
        <w:rPr>
          <w:rFonts w:ascii="Arial" w:cs="Arial" w:eastAsia="Arial" w:hAnsi="Arial"/>
          <w:sz w:val="16"/>
          <w:szCs w:val="16"/>
          <w:color w:val="auto"/>
        </w:rPr>
        <w:t>The depositary will deliver ADSs if you or your broker deposits shares or evidence of rights to receive shares with the custodian. Upon payment of its fees and expenses and of any taxes or charges, such as stamp taxes or stock transfer taxes or fees, the depositary will register the appropriate number of ADSs in the names you request and will deliver the ADSs to or upon the order of the person or persons that made the deposit.</w:t>
      </w:r>
    </w:p>
    <w:p>
      <w:pPr>
        <w:spacing w:after="0" w:line="255"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How can ADS holders withdraw the deposited securities?</w:t>
      </w:r>
    </w:p>
    <w:p>
      <w:pPr>
        <w:spacing w:after="0" w:line="117" w:lineRule="exact"/>
        <w:rPr>
          <w:sz w:val="20"/>
          <w:szCs w:val="20"/>
          <w:color w:val="auto"/>
        </w:rPr>
      </w:pPr>
    </w:p>
    <w:p>
      <w:pPr>
        <w:ind w:left="200" w:firstLine="441"/>
        <w:spacing w:after="0" w:line="255" w:lineRule="auto"/>
        <w:rPr>
          <w:sz w:val="20"/>
          <w:szCs w:val="20"/>
          <w:color w:val="auto"/>
        </w:rPr>
      </w:pPr>
      <w:r>
        <w:rPr>
          <w:rFonts w:ascii="Arial" w:cs="Arial" w:eastAsia="Arial" w:hAnsi="Arial"/>
          <w:sz w:val="18"/>
          <w:szCs w:val="18"/>
          <w:color w:val="auto"/>
        </w:rPr>
        <w:t>You may surrender your ADSs to the depositary for the purpose of withdrawal. Upon payment of its fees and expenses and of any taxes or charges, such as stamp taxes or stock transfer taxes or fees, the depositary will deliver the shares and any other deposited securities underlying the ADSs to the ADS holder or a person the ADS holder designates at the office of the custodian. Or, at your request, risk and expense, the depositary will deliver the deposited securities at its office, if feasible. However, the depositary is not required to accept surrender of ADSs to the extent it would require delivery of a fraction of a deposited share or other security. The depositary may charge you a fee and its expenses for instructing the custodian regarding delivery of deposited securities.</w:t>
      </w:r>
    </w:p>
    <w:p>
      <w:pPr>
        <w:spacing w:after="0" w:line="301"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How do ADS holders interchange between certificated ADSs and uncertificated ADSs?</w:t>
      </w:r>
    </w:p>
    <w:p>
      <w:pPr>
        <w:spacing w:after="0" w:line="117" w:lineRule="exact"/>
        <w:rPr>
          <w:sz w:val="20"/>
          <w:szCs w:val="20"/>
          <w:color w:val="auto"/>
        </w:rPr>
      </w:pPr>
    </w:p>
    <w:p>
      <w:pPr>
        <w:ind w:left="200" w:firstLine="441"/>
        <w:spacing w:after="0" w:line="259" w:lineRule="auto"/>
        <w:rPr>
          <w:sz w:val="20"/>
          <w:szCs w:val="20"/>
          <w:color w:val="auto"/>
        </w:rPr>
      </w:pPr>
      <w:r>
        <w:rPr>
          <w:rFonts w:ascii="Arial" w:cs="Arial" w:eastAsia="Arial" w:hAnsi="Arial"/>
          <w:sz w:val="18"/>
          <w:szCs w:val="18"/>
          <w:color w:val="auto"/>
        </w:rPr>
        <w:t>You may surrender your ADR to the depositary for the purpose of exchanging your ADR for uncertificated ADSs. The depositary will cancel that ADR and will send to the ADS holder a statement confirming that the ADS holder is the registered holder of uncertificated ADSs. Upon receipt by the depositary of a proper instruction from a registered holder of uncertificated ADSs requesting the exchange of uncertificated ADSs for certificated ADSs, the depositary will execute and deliver to the ADS holder an ADR evidencing those ADSs.</w:t>
      </w:r>
    </w:p>
    <w:p>
      <w:pPr>
        <w:spacing w:after="0" w:line="291"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Voting Rights</w:t>
      </w:r>
    </w:p>
    <w:p>
      <w:pPr>
        <w:spacing w:after="0" w:line="121"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How do you vote?</w:t>
      </w:r>
    </w:p>
    <w:p>
      <w:pPr>
        <w:spacing w:after="0" w:line="117" w:lineRule="exact"/>
        <w:rPr>
          <w:sz w:val="20"/>
          <w:szCs w:val="20"/>
          <w:color w:val="auto"/>
        </w:rPr>
      </w:pPr>
    </w:p>
    <w:p>
      <w:pPr>
        <w:ind w:left="200" w:right="100" w:firstLine="441"/>
        <w:spacing w:after="0" w:line="291" w:lineRule="auto"/>
        <w:rPr>
          <w:sz w:val="20"/>
          <w:szCs w:val="20"/>
          <w:color w:val="auto"/>
        </w:rPr>
      </w:pPr>
      <w:r>
        <w:rPr>
          <w:rFonts w:ascii="Arial" w:cs="Arial" w:eastAsia="Arial" w:hAnsi="Arial"/>
          <w:sz w:val="16"/>
          <w:szCs w:val="16"/>
          <w:color w:val="auto"/>
        </w:rPr>
        <w:t>ADS holders may instruct the depositary how to vote the number of deposited shares their ADSs represent. If we request the depositary to solicit your voting instructions (and we are not required to do so), the depositary will notify you of a shareholders’ meeting and send or make voting materials available to you. Those materials will describe the matters to be voted on and explain how ADS holders may instruct the depositary how to vote. For instructions to be valid, they must reach the depositary by a date set by the depositary. The depositary will try, as far as practical, subject to the laws of the Commonwealth of Australia and the provisions of our articles of association or similar documents, to vote or to have its agents vote the shares or other deposited securities as instructed by ADS holders. If we do not request the depositary to solicit your voting instructions, you can still send voting instructions, and, in that case, the depositary may try to vote as you instruct, but it is not required to do so.</w:t>
      </w:r>
    </w:p>
    <w:p>
      <w:pPr>
        <w:spacing w:after="0" w:line="100"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87</w:t>
      </w:r>
    </w:p>
    <w:p>
      <w:pPr>
        <w:sectPr>
          <w:pgSz w:w="11900" w:h="16838" w:orient="portrait"/>
          <w:cols w:equalWidth="0" w:num="1">
            <w:col w:w="11200"/>
          </w:cols>
          <w:pgMar w:left="240" w:top="459" w:right="459" w:bottom="1440" w:gutter="0" w:footer="0" w:header="0"/>
        </w:sectPr>
      </w:pPr>
    </w:p>
    <w:bookmarkStart w:id="89" w:name="page90"/>
    <w:bookmarkEnd w:id="8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20" w:firstLine="441"/>
        <w:spacing w:after="0" w:line="264" w:lineRule="auto"/>
        <w:rPr>
          <w:sz w:val="20"/>
          <w:szCs w:val="20"/>
          <w:color w:val="auto"/>
        </w:rPr>
      </w:pPr>
      <w:r>
        <w:rPr>
          <w:rFonts w:ascii="Arial" w:cs="Arial" w:eastAsia="Arial" w:hAnsi="Arial"/>
          <w:sz w:val="18"/>
          <w:szCs w:val="18"/>
          <w:i w:val="1"/>
          <w:iCs w:val="1"/>
          <w:color w:val="auto"/>
        </w:rPr>
        <w:t xml:space="preserve">Except by instructing the depositary as described above, you won’t be able to exercise voting rights unless you surrender your ADSs and withdraw the shares. However, you may not know about the meeting enough in advance to withdraw the shares. </w:t>
      </w:r>
      <w:r>
        <w:rPr>
          <w:rFonts w:ascii="Arial" w:cs="Arial" w:eastAsia="Arial" w:hAnsi="Arial"/>
          <w:sz w:val="18"/>
          <w:szCs w:val="18"/>
          <w:color w:val="auto"/>
        </w:rPr>
        <w:t>In any event, the depositary will not exercise any</w:t>
      </w:r>
      <w:r>
        <w:rPr>
          <w:rFonts w:ascii="Arial" w:cs="Arial" w:eastAsia="Arial" w:hAnsi="Arial"/>
          <w:sz w:val="18"/>
          <w:szCs w:val="18"/>
          <w:i w:val="1"/>
          <w:iCs w:val="1"/>
          <w:color w:val="auto"/>
        </w:rPr>
        <w:t xml:space="preserve"> </w:t>
      </w:r>
      <w:r>
        <w:rPr>
          <w:rFonts w:ascii="Arial" w:cs="Arial" w:eastAsia="Arial" w:hAnsi="Arial"/>
          <w:sz w:val="18"/>
          <w:szCs w:val="18"/>
          <w:color w:val="auto"/>
        </w:rPr>
        <w:t>discretion in voting deposited securities and it will only vote or attempt to vote as instructed.</w:t>
      </w:r>
    </w:p>
    <w:p>
      <w:pPr>
        <w:spacing w:after="0" w:line="181" w:lineRule="exact"/>
        <w:rPr>
          <w:sz w:val="20"/>
          <w:szCs w:val="20"/>
          <w:color w:val="auto"/>
        </w:rPr>
      </w:pPr>
    </w:p>
    <w:p>
      <w:pPr>
        <w:ind w:left="200" w:firstLine="441"/>
        <w:spacing w:after="0" w:line="312" w:lineRule="auto"/>
        <w:rPr>
          <w:sz w:val="20"/>
          <w:szCs w:val="20"/>
          <w:color w:val="auto"/>
        </w:rPr>
      </w:pPr>
      <w:r>
        <w:rPr>
          <w:rFonts w:ascii="Arial" w:cs="Arial" w:eastAsia="Arial" w:hAnsi="Arial"/>
          <w:sz w:val="16"/>
          <w:szCs w:val="16"/>
          <w:color w:val="auto"/>
        </w:rPr>
        <w:t xml:space="preserve">We cannot assure you that you will receive the voting materials in time to ensure that you can instruct the depositary to vote your shares. In addition, the depositary and its agents are not responsible for failing to carry out voting instructions or for the manner of carrying out voting instructions. </w:t>
      </w:r>
      <w:r>
        <w:rPr>
          <w:rFonts w:ascii="Arial" w:cs="Arial" w:eastAsia="Arial" w:hAnsi="Arial"/>
          <w:sz w:val="16"/>
          <w:szCs w:val="16"/>
          <w:i w:val="1"/>
          <w:iCs w:val="1"/>
          <w:color w:val="auto"/>
        </w:rPr>
        <w:t>This means that you may not be able to exercise voting rights and there may be nothing you can do if your shares are not voted as you requested.</w:t>
      </w:r>
    </w:p>
    <w:p>
      <w:pPr>
        <w:spacing w:after="0" w:line="147" w:lineRule="exact"/>
        <w:rPr>
          <w:sz w:val="20"/>
          <w:szCs w:val="20"/>
          <w:color w:val="auto"/>
        </w:rPr>
      </w:pPr>
    </w:p>
    <w:p>
      <w:pPr>
        <w:ind w:left="200" w:right="100" w:firstLine="441"/>
        <w:spacing w:after="0" w:line="264" w:lineRule="auto"/>
        <w:rPr>
          <w:sz w:val="20"/>
          <w:szCs w:val="20"/>
          <w:color w:val="auto"/>
        </w:rPr>
      </w:pPr>
      <w:r>
        <w:rPr>
          <w:rFonts w:ascii="Arial" w:cs="Arial" w:eastAsia="Arial" w:hAnsi="Arial"/>
          <w:sz w:val="18"/>
          <w:szCs w:val="18"/>
          <w:color w:val="auto"/>
        </w:rPr>
        <w:t>In order to give you a reasonable opportunity to instruct the depositary as to the exercise of voting rights relating to Deposited Securities, if we request the Depositary to act, we agree to give the depositary notice of any such meeting and details concerning the matters to be voted upon at least 45 days in advance of the meeting date.</w:t>
      </w:r>
    </w:p>
    <w:p>
      <w:pPr>
        <w:spacing w:after="0" w:line="28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Fees and Expenses</w:t>
      </w:r>
    </w:p>
    <w:p>
      <w:pPr>
        <w:sectPr>
          <w:pgSz w:w="11900" w:h="16838" w:orient="portrait"/>
          <w:cols w:equalWidth="0" w:num="1">
            <w:col w:w="11220"/>
          </w:cols>
          <w:pgMar w:left="240" w:top="459" w:right="439" w:bottom="1440" w:gutter="0" w:footer="0" w:header="0"/>
        </w:sectPr>
      </w:pPr>
    </w:p>
    <w:p>
      <w:pPr>
        <w:spacing w:after="0" w:line="251" w:lineRule="exact"/>
        <w:rPr>
          <w:sz w:val="20"/>
          <w:szCs w:val="20"/>
          <w:color w:val="auto"/>
        </w:rPr>
      </w:pPr>
    </w:p>
    <w:p>
      <w:pPr>
        <w:ind w:left="200"/>
        <w:spacing w:after="0"/>
        <w:rPr>
          <w:sz w:val="20"/>
          <w:szCs w:val="20"/>
          <w:color w:val="auto"/>
        </w:rPr>
      </w:pPr>
      <w:r>
        <w:rPr>
          <w:rFonts w:ascii="Arial" w:cs="Arial" w:eastAsia="Arial" w:hAnsi="Arial"/>
          <w:sz w:val="14"/>
          <w:szCs w:val="14"/>
          <w:b w:val="1"/>
          <w:bCs w:val="1"/>
          <w:i w:val="1"/>
          <w:iCs w:val="1"/>
          <w:color w:val="auto"/>
        </w:rPr>
        <w:t>Persons depositing or withdrawing shares</w:t>
      </w:r>
    </w:p>
    <w:p>
      <w:pPr>
        <w:ind w:left="200"/>
        <w:spacing w:after="0"/>
        <w:rPr>
          <w:sz w:val="20"/>
          <w:szCs w:val="20"/>
          <w:color w:val="auto"/>
        </w:rPr>
      </w:pPr>
      <w:r>
        <w:rPr>
          <w:rFonts w:ascii="Arial" w:cs="Arial" w:eastAsia="Arial" w:hAnsi="Arial"/>
          <w:sz w:val="14"/>
          <w:szCs w:val="14"/>
          <w:b w:val="1"/>
          <w:bCs w:val="1"/>
          <w:i w:val="1"/>
          <w:iCs w:val="1"/>
          <w:color w:val="auto"/>
        </w:rPr>
        <w:t>or ADS holders must pay</w:t>
      </w:r>
      <w:r>
        <w:rPr>
          <w:rFonts w:ascii="Arial" w:cs="Arial" w:eastAsia="Arial" w:hAnsi="Arial"/>
          <w:sz w:val="14"/>
          <w:szCs w:val="14"/>
          <w:b w:val="1"/>
          <w:bCs w:val="1"/>
          <w:color w:val="auto"/>
        </w:rPr>
        <w:t>:</w:t>
      </w:r>
    </w:p>
    <w:p>
      <w:pPr>
        <w:spacing w:after="0" w:line="9" w:lineRule="exact"/>
        <w:rPr>
          <w:sz w:val="20"/>
          <w:szCs w:val="20"/>
          <w:color w:val="auto"/>
        </w:rPr>
      </w:pPr>
    </w:p>
    <w:p>
      <w:pPr>
        <w:ind w:left="200"/>
        <w:spacing w:after="0"/>
        <w:rPr>
          <w:sz w:val="20"/>
          <w:szCs w:val="20"/>
          <w:color w:val="auto"/>
        </w:rPr>
      </w:pPr>
      <w:r>
        <w:rPr>
          <w:rFonts w:ascii="Arial" w:cs="Arial" w:eastAsia="Arial" w:hAnsi="Arial"/>
          <w:sz w:val="18"/>
          <w:szCs w:val="18"/>
          <w:color w:val="auto"/>
        </w:rPr>
        <w:t>$5.00 (or less) per 100 ADSs (or portion of 100 ADSs)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ind w:left="200"/>
        <w:spacing w:after="0"/>
        <w:rPr>
          <w:sz w:val="20"/>
          <w:szCs w:val="20"/>
          <w:color w:val="auto"/>
        </w:rPr>
      </w:pPr>
      <w:r>
        <w:rPr>
          <w:rFonts w:ascii="Arial" w:cs="Arial" w:eastAsia="Arial" w:hAnsi="Arial"/>
          <w:sz w:val="18"/>
          <w:szCs w:val="18"/>
          <w:color w:val="auto"/>
        </w:rPr>
        <w:t>$.05 (or less) per ADS</w:t>
      </w:r>
    </w:p>
    <w:p>
      <w:pPr>
        <w:spacing w:after="0" w:line="117" w:lineRule="exact"/>
        <w:rPr>
          <w:sz w:val="20"/>
          <w:szCs w:val="20"/>
          <w:color w:val="auto"/>
        </w:rPr>
      </w:pPr>
    </w:p>
    <w:p>
      <w:pPr>
        <w:ind w:left="200"/>
        <w:spacing w:after="0" w:line="375" w:lineRule="auto"/>
        <w:rPr>
          <w:sz w:val="20"/>
          <w:szCs w:val="20"/>
          <w:color w:val="auto"/>
        </w:rPr>
      </w:pPr>
      <w:r>
        <w:rPr>
          <w:rFonts w:ascii="Arial" w:cs="Arial" w:eastAsia="Arial" w:hAnsi="Arial"/>
          <w:sz w:val="15"/>
          <w:szCs w:val="15"/>
          <w:color w:val="auto"/>
        </w:rPr>
        <w:t>A fee equivalent to the fee that would be payable if securities distributed to you had been shares and the shares had been deposited for issuance of ADSs</w:t>
      </w:r>
    </w:p>
    <w:p>
      <w:pPr>
        <w:spacing w:after="0" w:line="1" w:lineRule="exact"/>
        <w:rPr>
          <w:sz w:val="20"/>
          <w:szCs w:val="20"/>
          <w:color w:val="auto"/>
        </w:rPr>
      </w:pPr>
    </w:p>
    <w:p>
      <w:pPr>
        <w:ind w:left="200"/>
        <w:spacing w:after="0"/>
        <w:rPr>
          <w:sz w:val="20"/>
          <w:szCs w:val="20"/>
          <w:color w:val="auto"/>
        </w:rPr>
      </w:pPr>
      <w:r>
        <w:rPr>
          <w:rFonts w:ascii="Arial" w:cs="Arial" w:eastAsia="Arial" w:hAnsi="Arial"/>
          <w:sz w:val="18"/>
          <w:szCs w:val="18"/>
          <w:color w:val="auto"/>
        </w:rPr>
        <w:t>$.05 (or less) per ADS per calendar year</w:t>
      </w:r>
    </w:p>
    <w:p>
      <w:pPr>
        <w:spacing w:after="0" w:line="117" w:lineRule="exact"/>
        <w:rPr>
          <w:sz w:val="20"/>
          <w:szCs w:val="20"/>
          <w:color w:val="auto"/>
        </w:rPr>
      </w:pPr>
    </w:p>
    <w:p>
      <w:pPr>
        <w:ind w:left="200"/>
        <w:spacing w:after="0"/>
        <w:rPr>
          <w:sz w:val="20"/>
          <w:szCs w:val="20"/>
          <w:color w:val="auto"/>
        </w:rPr>
      </w:pPr>
      <w:r>
        <w:rPr>
          <w:rFonts w:ascii="Arial" w:cs="Arial" w:eastAsia="Arial" w:hAnsi="Arial"/>
          <w:sz w:val="18"/>
          <w:szCs w:val="18"/>
          <w:color w:val="auto"/>
        </w:rPr>
        <w:t>Registration or transfer fees</w:t>
      </w:r>
    </w:p>
    <w:p>
      <w:pPr>
        <w:spacing w:after="0" w:line="200" w:lineRule="exact"/>
        <w:rPr>
          <w:sz w:val="20"/>
          <w:szCs w:val="20"/>
          <w:color w:val="auto"/>
        </w:rPr>
      </w:pPr>
    </w:p>
    <w:p>
      <w:pPr>
        <w:spacing w:after="0" w:line="349" w:lineRule="exact"/>
        <w:rPr>
          <w:sz w:val="20"/>
          <w:szCs w:val="20"/>
          <w:color w:val="auto"/>
        </w:rPr>
      </w:pPr>
    </w:p>
    <w:p>
      <w:pPr>
        <w:ind w:left="200"/>
        <w:spacing w:after="0"/>
        <w:rPr>
          <w:sz w:val="20"/>
          <w:szCs w:val="20"/>
          <w:color w:val="auto"/>
        </w:rPr>
      </w:pPr>
      <w:r>
        <w:rPr>
          <w:rFonts w:ascii="Arial" w:cs="Arial" w:eastAsia="Arial" w:hAnsi="Arial"/>
          <w:sz w:val="18"/>
          <w:szCs w:val="18"/>
          <w:color w:val="auto"/>
        </w:rPr>
        <w:t>Expenses of the depositary</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ind w:left="200" w:right="20"/>
        <w:spacing w:after="0" w:line="264" w:lineRule="auto"/>
        <w:rPr>
          <w:sz w:val="20"/>
          <w:szCs w:val="20"/>
          <w:color w:val="auto"/>
        </w:rPr>
      </w:pPr>
      <w:r>
        <w:rPr>
          <w:rFonts w:ascii="Arial" w:cs="Arial" w:eastAsia="Arial" w:hAnsi="Arial"/>
          <w:sz w:val="18"/>
          <w:szCs w:val="18"/>
          <w:color w:val="auto"/>
        </w:rPr>
        <w:t>Taxes and other governmental charges the depositary or the custodian has to pay on any ADSs or shares underlying ADSs, such as stock transfer taxes, stamp duty or withholding taxes</w:t>
      </w:r>
    </w:p>
    <w:p>
      <w:pPr>
        <w:spacing w:after="0" w:line="73" w:lineRule="exact"/>
        <w:rPr>
          <w:sz w:val="20"/>
          <w:szCs w:val="20"/>
          <w:color w:val="auto"/>
        </w:rPr>
      </w:pPr>
    </w:p>
    <w:p>
      <w:pPr>
        <w:ind w:left="200" w:right="540"/>
        <w:spacing w:after="0" w:line="277" w:lineRule="auto"/>
        <w:rPr>
          <w:sz w:val="20"/>
          <w:szCs w:val="20"/>
          <w:color w:val="auto"/>
        </w:rPr>
      </w:pPr>
      <w:r>
        <w:rPr>
          <w:rFonts w:ascii="Arial" w:cs="Arial" w:eastAsia="Arial" w:hAnsi="Arial"/>
          <w:sz w:val="18"/>
          <w:szCs w:val="18"/>
          <w:color w:val="auto"/>
        </w:rPr>
        <w:t>Any charges incurred by the depositary or its agents for servicing the deposited securities</w:t>
      </w:r>
    </w:p>
    <w:p>
      <w:pPr>
        <w:spacing w:after="0" w:line="20" w:lineRule="exact"/>
        <w:rPr>
          <w:sz w:val="20"/>
          <w:szCs w:val="20"/>
          <w:color w:val="auto"/>
        </w:rPr>
      </w:pPr>
      <w:r>
        <w:rPr>
          <w:sz w:val="20"/>
          <w:szCs w:val="20"/>
          <w:color w:val="auto"/>
        </w:rPr>
        <w:br w:type="column"/>
      </w:r>
    </w:p>
    <w:p>
      <w:pPr>
        <w:spacing w:after="0" w:line="390"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For</w:t>
      </w:r>
      <w:r>
        <w:rPr>
          <w:rFonts w:ascii="Arial" w:cs="Arial" w:eastAsia="Arial" w:hAnsi="Arial"/>
          <w:sz w:val="14"/>
          <w:szCs w:val="14"/>
          <w:b w:val="1"/>
          <w:bCs w:val="1"/>
          <w:color w:val="auto"/>
        </w:rPr>
        <w:t>:</w:t>
      </w:r>
    </w:p>
    <w:p>
      <w:pPr>
        <w:spacing w:after="0" w:line="12"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Issuance of ADSs, including issuances resulting from a distribution of shares or rights or other property</w:t>
      </w:r>
    </w:p>
    <w:p>
      <w:pPr>
        <w:spacing w:after="0" w:line="91"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color w:val="auto"/>
        </w:rPr>
        <w:t>Cancellation of ADSs for the purpose of withdrawal, including if the deposit agreement terminates</w:t>
      </w:r>
    </w:p>
    <w:p>
      <w:pPr>
        <w:spacing w:after="0" w:line="76" w:lineRule="exact"/>
        <w:rPr>
          <w:sz w:val="20"/>
          <w:szCs w:val="20"/>
          <w:color w:val="auto"/>
        </w:rPr>
      </w:pPr>
    </w:p>
    <w:p>
      <w:pPr>
        <w:spacing w:after="0"/>
        <w:rPr>
          <w:sz w:val="20"/>
          <w:szCs w:val="20"/>
          <w:color w:val="auto"/>
        </w:rPr>
      </w:pPr>
      <w:r>
        <w:rPr>
          <w:rFonts w:ascii="Arial" w:cs="Arial" w:eastAsia="Arial" w:hAnsi="Arial"/>
          <w:sz w:val="18"/>
          <w:szCs w:val="18"/>
          <w:color w:val="auto"/>
        </w:rPr>
        <w:t>Any cash distribution to ADS holders</w:t>
      </w:r>
    </w:p>
    <w:p>
      <w:pPr>
        <w:spacing w:after="0" w:line="117" w:lineRule="exact"/>
        <w:rPr>
          <w:sz w:val="20"/>
          <w:szCs w:val="20"/>
          <w:color w:val="auto"/>
        </w:rPr>
      </w:pPr>
    </w:p>
    <w:p>
      <w:pPr>
        <w:ind w:right="60"/>
        <w:spacing w:after="0" w:line="342" w:lineRule="auto"/>
        <w:rPr>
          <w:sz w:val="20"/>
          <w:szCs w:val="20"/>
          <w:color w:val="auto"/>
        </w:rPr>
      </w:pPr>
      <w:r>
        <w:rPr>
          <w:rFonts w:ascii="Arial" w:cs="Arial" w:eastAsia="Arial" w:hAnsi="Arial"/>
          <w:sz w:val="16"/>
          <w:szCs w:val="16"/>
          <w:color w:val="auto"/>
        </w:rPr>
        <w:t>Distribution of securities distributed to holders of deposited securities (including rights) that are distributed by the depositary to ADS holders</w:t>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Depositary services</w:t>
      </w:r>
    </w:p>
    <w:p>
      <w:pPr>
        <w:spacing w:after="0" w:line="117" w:lineRule="exact"/>
        <w:rPr>
          <w:sz w:val="20"/>
          <w:szCs w:val="20"/>
          <w:color w:val="auto"/>
        </w:rPr>
      </w:pPr>
    </w:p>
    <w:p>
      <w:pPr>
        <w:ind w:right="140"/>
        <w:spacing w:after="0" w:line="264" w:lineRule="auto"/>
        <w:rPr>
          <w:sz w:val="20"/>
          <w:szCs w:val="20"/>
          <w:color w:val="auto"/>
        </w:rPr>
      </w:pPr>
      <w:r>
        <w:rPr>
          <w:rFonts w:ascii="Arial" w:cs="Arial" w:eastAsia="Arial" w:hAnsi="Arial"/>
          <w:sz w:val="18"/>
          <w:szCs w:val="18"/>
          <w:color w:val="auto"/>
        </w:rPr>
        <w:t>Transfer and registration of shares on our share register to or from the name of the depositary or its agent when you deposit or withdraw shares</w:t>
      </w:r>
    </w:p>
    <w:p>
      <w:pPr>
        <w:spacing w:after="0" w:line="73" w:lineRule="exact"/>
        <w:rPr>
          <w:sz w:val="20"/>
          <w:szCs w:val="20"/>
          <w:color w:val="auto"/>
        </w:rPr>
      </w:pPr>
    </w:p>
    <w:p>
      <w:pPr>
        <w:ind w:right="360"/>
        <w:spacing w:after="0" w:line="277" w:lineRule="auto"/>
        <w:rPr>
          <w:sz w:val="20"/>
          <w:szCs w:val="20"/>
          <w:color w:val="auto"/>
        </w:rPr>
      </w:pPr>
      <w:r>
        <w:rPr>
          <w:rFonts w:ascii="Arial" w:cs="Arial" w:eastAsia="Arial" w:hAnsi="Arial"/>
          <w:sz w:val="18"/>
          <w:szCs w:val="18"/>
          <w:color w:val="auto"/>
        </w:rPr>
        <w:t>Cable and facsimile transmissions (when expressly provided in the deposit agreement)</w:t>
      </w:r>
    </w:p>
    <w:p>
      <w:pPr>
        <w:spacing w:after="0" w:line="76" w:lineRule="exact"/>
        <w:rPr>
          <w:sz w:val="20"/>
          <w:szCs w:val="20"/>
          <w:color w:val="auto"/>
        </w:rPr>
      </w:pPr>
    </w:p>
    <w:p>
      <w:pPr>
        <w:ind w:right="2040"/>
        <w:spacing w:after="0" w:line="418" w:lineRule="auto"/>
        <w:rPr>
          <w:sz w:val="20"/>
          <w:szCs w:val="20"/>
          <w:color w:val="auto"/>
        </w:rPr>
      </w:pPr>
      <w:r>
        <w:rPr>
          <w:rFonts w:ascii="Arial" w:cs="Arial" w:eastAsia="Arial" w:hAnsi="Arial"/>
          <w:sz w:val="18"/>
          <w:szCs w:val="18"/>
          <w:color w:val="auto"/>
        </w:rPr>
        <w:t>Converting foreign currency to U.S. dollars As necessary</w:t>
      </w:r>
    </w:p>
    <w:p>
      <w:pPr>
        <w:spacing w:after="0" w:line="373" w:lineRule="exact"/>
        <w:rPr>
          <w:sz w:val="20"/>
          <w:szCs w:val="20"/>
          <w:color w:val="auto"/>
        </w:rPr>
      </w:pPr>
    </w:p>
    <w:p>
      <w:pPr>
        <w:spacing w:after="0"/>
        <w:rPr>
          <w:sz w:val="20"/>
          <w:szCs w:val="20"/>
          <w:color w:val="auto"/>
        </w:rPr>
      </w:pPr>
      <w:r>
        <w:rPr>
          <w:rFonts w:ascii="Arial" w:cs="Arial" w:eastAsia="Arial" w:hAnsi="Arial"/>
          <w:sz w:val="18"/>
          <w:szCs w:val="18"/>
          <w:color w:val="auto"/>
        </w:rPr>
        <w:t>As necessary</w:t>
      </w:r>
    </w:p>
    <w:p>
      <w:pPr>
        <w:spacing w:after="0" w:line="440" w:lineRule="exact"/>
        <w:rPr>
          <w:sz w:val="20"/>
          <w:szCs w:val="20"/>
          <w:color w:val="auto"/>
        </w:rPr>
      </w:pPr>
    </w:p>
    <w:p>
      <w:pPr>
        <w:sectPr>
          <w:pgSz w:w="11900" w:h="16838" w:orient="portrait"/>
          <w:cols w:equalWidth="0" w:num="2">
            <w:col w:w="5720" w:space="340"/>
            <w:col w:w="5160"/>
          </w:cols>
          <w:pgMar w:left="240" w:top="459" w:right="439" w:bottom="1440" w:gutter="0" w:footer="0" w:header="0"/>
          <w:type w:val="continuous"/>
        </w:sectPr>
      </w:pPr>
    </w:p>
    <w:p>
      <w:pPr>
        <w:ind w:left="200" w:right="40" w:firstLine="441"/>
        <w:spacing w:after="0" w:line="255" w:lineRule="auto"/>
        <w:rPr>
          <w:sz w:val="20"/>
          <w:szCs w:val="20"/>
          <w:color w:val="auto"/>
        </w:rPr>
      </w:pPr>
      <w:r>
        <w:rPr>
          <w:rFonts w:ascii="Arial" w:cs="Arial" w:eastAsia="Arial" w:hAnsi="Arial"/>
          <w:sz w:val="18"/>
          <w:szCs w:val="18"/>
          <w:color w:val="auto"/>
        </w:rPr>
        <w:t>The depositary collects its fees for delivery and surrender of ADSs directly from investors depositing shares or surrendering ADSs for the purpose of withdrawal or from intermediaries acting for them. The depositary collects fees for making distributions to investors by deducting those fees from the amounts distributed or by selling a portion of distributable property to pay the fees. The depositary may collect its annual fee for depositary services by deduction from cash distributions or by directly billing investors or by charging the book-entry system accounts of participants acting for them. The depositary may collect any of its fees by deduction from any cash distribution payable (or by selling a portion of securities or other property distributable) to ADS holders that are obligated to pay those fees. The depositary may generally refuse to provide fee-attracting services until its fees for those services are paid.</w:t>
      </w:r>
    </w:p>
    <w:p>
      <w:pPr>
        <w:spacing w:after="0" w:line="122"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88</w:t>
      </w:r>
    </w:p>
    <w:p>
      <w:pPr>
        <w:sectPr>
          <w:pgSz w:w="11900" w:h="16838" w:orient="portrait"/>
          <w:cols w:equalWidth="0" w:num="1">
            <w:col w:w="11220"/>
          </w:cols>
          <w:pgMar w:left="240" w:top="459" w:right="439" w:bottom="1440" w:gutter="0" w:footer="0" w:header="0"/>
          <w:type w:val="continuous"/>
        </w:sectPr>
      </w:pPr>
    </w:p>
    <w:bookmarkStart w:id="90" w:name="page91"/>
    <w:bookmarkEnd w:id="9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160" w:firstLine="441"/>
        <w:spacing w:after="0" w:line="279" w:lineRule="auto"/>
        <w:rPr>
          <w:sz w:val="20"/>
          <w:szCs w:val="20"/>
          <w:color w:val="auto"/>
        </w:rPr>
      </w:pPr>
      <w:r>
        <w:rPr>
          <w:rFonts w:ascii="Arial" w:cs="Arial" w:eastAsia="Arial" w:hAnsi="Arial"/>
          <w:sz w:val="17"/>
          <w:szCs w:val="17"/>
          <w:color w:val="auto"/>
        </w:rPr>
        <w:t>From time to time, the depositary may make payments to us to reimburse us for costs and expenses generally arising out of establishment and maintenance of the ADS program, waive fees and expenses for services provided to us by the depositary or share revenue from the fees collected from ADS holders. In performing its duties under the deposit agreement, the depositary may use brokers, dealers, foreign currency dealers or other service providers that are owned by or affiliated with the depositary and that may earn or share fees, spreads or commissions.</w:t>
      </w:r>
    </w:p>
    <w:p>
      <w:pPr>
        <w:spacing w:after="0" w:line="171" w:lineRule="exact"/>
        <w:rPr>
          <w:sz w:val="20"/>
          <w:szCs w:val="20"/>
          <w:color w:val="auto"/>
        </w:rPr>
      </w:pPr>
    </w:p>
    <w:p>
      <w:pPr>
        <w:ind w:left="200" w:right="100" w:firstLine="441"/>
        <w:spacing w:after="0" w:line="254" w:lineRule="auto"/>
        <w:rPr>
          <w:sz w:val="20"/>
          <w:szCs w:val="20"/>
          <w:color w:val="auto"/>
        </w:rPr>
      </w:pPr>
      <w:r>
        <w:rPr>
          <w:rFonts w:ascii="Arial" w:cs="Arial" w:eastAsia="Arial" w:hAnsi="Arial"/>
          <w:sz w:val="18"/>
          <w:szCs w:val="18"/>
          <w:color w:val="auto"/>
        </w:rPr>
        <w:t>The depositary may convert currency itself or through any of its affiliates and, in those cases, acts as principal for its own account and not as agent, advisor, broker or fiduciary on behalf of any other person and earns revenue, including, without limitation, transaction spreads, that it will retain for its own account. The revenue is based on, among other things, the difference between the exchange rate assigned to the currency conversion made under the deposit agreement and the rate that the depositary or its affiliate receives when buying or selling foreign currency for its own account. The depositary makes no representation that the exchange rate used or obtained in any currency conversion under the deposit agreement will be the most favorable rate that could be obtained at the time or that the method by which that rate will be determined will be the most favorable to ADS holders, subject to the depositary’s obligations under the deposit agreement. The methodology used to determine exchange rates used in currency conversions is available upon request.</w:t>
      </w:r>
    </w:p>
    <w:p>
      <w:pPr>
        <w:spacing w:after="0" w:line="296"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Payment of Taxes</w:t>
      </w:r>
    </w:p>
    <w:p>
      <w:pPr>
        <w:spacing w:after="0" w:line="121" w:lineRule="exact"/>
        <w:rPr>
          <w:sz w:val="20"/>
          <w:szCs w:val="20"/>
          <w:color w:val="auto"/>
        </w:rPr>
      </w:pPr>
    </w:p>
    <w:p>
      <w:pPr>
        <w:ind w:left="200" w:right="140" w:firstLine="441"/>
        <w:spacing w:after="0" w:line="297" w:lineRule="auto"/>
        <w:rPr>
          <w:sz w:val="20"/>
          <w:szCs w:val="20"/>
          <w:color w:val="auto"/>
        </w:rPr>
      </w:pPr>
      <w:r>
        <w:rPr>
          <w:rFonts w:ascii="Arial" w:cs="Arial" w:eastAsia="Arial" w:hAnsi="Arial"/>
          <w:sz w:val="16"/>
          <w:szCs w:val="16"/>
          <w:color w:val="auto"/>
        </w:rPr>
        <w:t>You will be responsible for any taxes or other governmental charges payable on your ADSs or on the deposited securities represented by any of your ADSs. The depositary may refuse to register any transfer of your ADSs or allow you to withdraw the deposited securities represented by your ADSs until those taxes or other charges are paid. It may apply payments owed to you or sell deposited securities represented by your ADSs to pay any taxes owed and you will remain liable for any deficiency. If the depositary sells deposited securities, it will, if appropriate, reduce the number of ADSs to reflect the sale and pay to ADS holders any proceeds, or send to ADS holders any property, remaining after it has paid the taxes.</w:t>
      </w:r>
    </w:p>
    <w:p>
      <w:pPr>
        <w:spacing w:after="0" w:line="262"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Tender and Exchange Offers; Redemption, Replacement or Cancellation of Deposited Securities</w:t>
      </w:r>
    </w:p>
    <w:p>
      <w:pPr>
        <w:spacing w:after="0" w:line="121" w:lineRule="exact"/>
        <w:rPr>
          <w:sz w:val="20"/>
          <w:szCs w:val="20"/>
          <w:color w:val="auto"/>
        </w:rPr>
      </w:pPr>
    </w:p>
    <w:p>
      <w:pPr>
        <w:ind w:left="200" w:right="880" w:firstLine="441"/>
        <w:spacing w:after="0" w:line="277" w:lineRule="auto"/>
        <w:rPr>
          <w:sz w:val="20"/>
          <w:szCs w:val="20"/>
          <w:color w:val="auto"/>
        </w:rPr>
      </w:pPr>
      <w:r>
        <w:rPr>
          <w:rFonts w:ascii="Arial" w:cs="Arial" w:eastAsia="Arial" w:hAnsi="Arial"/>
          <w:sz w:val="18"/>
          <w:szCs w:val="18"/>
          <w:color w:val="auto"/>
        </w:rPr>
        <w:t>The depositary will not tender deposited securities in any voluntary tender or exchange offer unless instructed to do by an ADS holder surrendering ADSs and subject to any conditions or procedures the depositary may establish.</w:t>
      </w:r>
    </w:p>
    <w:p>
      <w:pPr>
        <w:spacing w:after="0" w:line="170" w:lineRule="exact"/>
        <w:rPr>
          <w:sz w:val="20"/>
          <w:szCs w:val="20"/>
          <w:color w:val="auto"/>
        </w:rPr>
      </w:pPr>
    </w:p>
    <w:p>
      <w:pPr>
        <w:ind w:left="200" w:firstLine="441"/>
        <w:spacing w:after="0" w:line="264" w:lineRule="auto"/>
        <w:rPr>
          <w:sz w:val="20"/>
          <w:szCs w:val="20"/>
          <w:color w:val="auto"/>
        </w:rPr>
      </w:pPr>
      <w:r>
        <w:rPr>
          <w:rFonts w:ascii="Arial" w:cs="Arial" w:eastAsia="Arial" w:hAnsi="Arial"/>
          <w:sz w:val="18"/>
          <w:szCs w:val="18"/>
          <w:color w:val="auto"/>
        </w:rPr>
        <w:t>If deposited securities are redeemed for cash in a transaction that is mandatory for the depositary as a holder of deposited securities, the depositary will call for surrender of a corresponding number of ADSs and distribute the net redemption money to the holders of called ADSs upon surrender of those ADSs.</w:t>
      </w:r>
    </w:p>
    <w:p>
      <w:pPr>
        <w:spacing w:after="0" w:line="181" w:lineRule="exact"/>
        <w:rPr>
          <w:sz w:val="20"/>
          <w:szCs w:val="20"/>
          <w:color w:val="auto"/>
        </w:rPr>
      </w:pPr>
    </w:p>
    <w:p>
      <w:pPr>
        <w:ind w:left="200" w:right="60" w:firstLine="441"/>
        <w:spacing w:after="0" w:line="297" w:lineRule="auto"/>
        <w:rPr>
          <w:sz w:val="20"/>
          <w:szCs w:val="20"/>
          <w:color w:val="auto"/>
        </w:rPr>
      </w:pPr>
      <w:r>
        <w:rPr>
          <w:rFonts w:ascii="Arial" w:cs="Arial" w:eastAsia="Arial" w:hAnsi="Arial"/>
          <w:sz w:val="16"/>
          <w:szCs w:val="16"/>
          <w:color w:val="auto"/>
        </w:rPr>
        <w:t>If there is any change in the deposited securities such as a sub-division, combination or other reclassification, or any merger, consolidation, recapitalization or reorganization affecting the issuer of deposited securities in which the depositary receives new securities in exchange for or in lieu of the old deposited securities, the depositary will hold those replacement securities as deposited securities under the deposit agreement. However, if the depositary decides it would not be lawful and practical to hold the replacement securities because those securities could not be distributed to ADS holders or for any other reason, the depositary may instead sell the replacement securities and distribute the net proceeds upon surrender of the ADSs.</w:t>
      </w:r>
    </w:p>
    <w:p>
      <w:pPr>
        <w:spacing w:after="0" w:line="158" w:lineRule="exact"/>
        <w:rPr>
          <w:sz w:val="20"/>
          <w:szCs w:val="20"/>
          <w:color w:val="auto"/>
        </w:rPr>
      </w:pPr>
    </w:p>
    <w:p>
      <w:pPr>
        <w:ind w:left="200" w:right="200" w:firstLine="441"/>
        <w:spacing w:after="0" w:line="264" w:lineRule="auto"/>
        <w:rPr>
          <w:sz w:val="20"/>
          <w:szCs w:val="20"/>
          <w:color w:val="auto"/>
        </w:rPr>
      </w:pPr>
      <w:r>
        <w:rPr>
          <w:rFonts w:ascii="Arial" w:cs="Arial" w:eastAsia="Arial" w:hAnsi="Arial"/>
          <w:sz w:val="18"/>
          <w:szCs w:val="18"/>
          <w:color w:val="auto"/>
        </w:rPr>
        <w:t>If there is a replacement of the deposited securities and the depositary will continue to hold the replacement securities, the depositary may distribute new ADSs representing the new deposited securities or ask you to surrender your outstanding ADRs in exchange for new ADRs identifying the new deposited securities.</w:t>
      </w:r>
    </w:p>
    <w:p>
      <w:pPr>
        <w:spacing w:after="0" w:line="181" w:lineRule="exact"/>
        <w:rPr>
          <w:sz w:val="20"/>
          <w:szCs w:val="20"/>
          <w:color w:val="auto"/>
        </w:rPr>
      </w:pPr>
    </w:p>
    <w:p>
      <w:pPr>
        <w:ind w:left="200" w:right="40" w:firstLine="441"/>
        <w:spacing w:after="0" w:line="342" w:lineRule="auto"/>
        <w:rPr>
          <w:sz w:val="20"/>
          <w:szCs w:val="20"/>
          <w:color w:val="auto"/>
        </w:rPr>
      </w:pPr>
      <w:r>
        <w:rPr>
          <w:rFonts w:ascii="Arial" w:cs="Arial" w:eastAsia="Arial" w:hAnsi="Arial"/>
          <w:sz w:val="16"/>
          <w:szCs w:val="16"/>
          <w:color w:val="auto"/>
        </w:rPr>
        <w:t>If there are no deposited securities underlying ADSs, including if the deposited securities are cancelled, or if the deposited securities underlying ADSs have become apparently worthless, the depositary may call for surrender or of those ADSs or cancel those ADSs upon notice to the ADS holders.</w:t>
      </w:r>
    </w:p>
    <w:p>
      <w:pPr>
        <w:spacing w:after="0" w:line="56"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89</w:t>
      </w:r>
    </w:p>
    <w:p>
      <w:pPr>
        <w:sectPr>
          <w:pgSz w:w="11900" w:h="16838" w:orient="portrait"/>
          <w:cols w:equalWidth="0" w:num="1">
            <w:col w:w="11200"/>
          </w:cols>
          <w:pgMar w:left="240" w:top="459" w:right="459" w:bottom="1440" w:gutter="0" w:footer="0" w:header="0"/>
        </w:sectPr>
      </w:pPr>
    </w:p>
    <w:bookmarkStart w:id="91" w:name="page92"/>
    <w:bookmarkEnd w:id="9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Amendment and Termination</w:t>
      </w:r>
    </w:p>
    <w:p>
      <w:pPr>
        <w:spacing w:after="0" w:line="121"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How may the deposit agreement be amended?</w:t>
      </w:r>
    </w:p>
    <w:p>
      <w:pPr>
        <w:spacing w:after="0" w:line="117" w:lineRule="exact"/>
        <w:rPr>
          <w:sz w:val="20"/>
          <w:szCs w:val="20"/>
          <w:color w:val="auto"/>
        </w:rPr>
      </w:pPr>
    </w:p>
    <w:p>
      <w:pPr>
        <w:ind w:left="200" w:right="120" w:firstLine="441"/>
        <w:spacing w:after="0" w:line="276" w:lineRule="auto"/>
        <w:rPr>
          <w:sz w:val="20"/>
          <w:szCs w:val="20"/>
          <w:color w:val="auto"/>
        </w:rPr>
      </w:pPr>
      <w:r>
        <w:rPr>
          <w:rFonts w:ascii="Arial" w:cs="Arial" w:eastAsia="Arial" w:hAnsi="Arial"/>
          <w:sz w:val="17"/>
          <w:szCs w:val="17"/>
          <w:color w:val="auto"/>
        </w:rPr>
        <w:t xml:space="preserve">We may agree with the depositary to amend the deposit agreement and the ADRs without your consent for any reason. If an amendment adds or increases fees or charges, except for taxes and other governmental charges or expenses of the depositary for registration fees, facsimile costs, delivery charges or similar items, or prejudices a substantial right of ADS holders, it will not become effective for outstanding ADSs until 30 days after the depositary notifies ADS holders of the amendment. </w:t>
      </w:r>
      <w:r>
        <w:rPr>
          <w:rFonts w:ascii="Arial" w:cs="Arial" w:eastAsia="Arial" w:hAnsi="Arial"/>
          <w:sz w:val="17"/>
          <w:szCs w:val="17"/>
          <w:i w:val="1"/>
          <w:iCs w:val="1"/>
          <w:color w:val="auto"/>
        </w:rPr>
        <w:t>At the time an amendment becomes effective, you are considered, by continuing to hold your ADSs,</w:t>
      </w:r>
      <w:r>
        <w:rPr>
          <w:rFonts w:ascii="Arial" w:cs="Arial" w:eastAsia="Arial" w:hAnsi="Arial"/>
          <w:sz w:val="17"/>
          <w:szCs w:val="17"/>
          <w:color w:val="auto"/>
        </w:rPr>
        <w:t xml:space="preserve"> </w:t>
      </w:r>
      <w:r>
        <w:rPr>
          <w:rFonts w:ascii="Arial" w:cs="Arial" w:eastAsia="Arial" w:hAnsi="Arial"/>
          <w:sz w:val="17"/>
          <w:szCs w:val="17"/>
          <w:i w:val="1"/>
          <w:iCs w:val="1"/>
          <w:color w:val="auto"/>
        </w:rPr>
        <w:t>to agree to the amendment and to be bound by the ADRs and the deposit agreement as amended</w:t>
      </w:r>
      <w:r>
        <w:rPr>
          <w:rFonts w:ascii="Arial" w:cs="Arial" w:eastAsia="Arial" w:hAnsi="Arial"/>
          <w:sz w:val="17"/>
          <w:szCs w:val="17"/>
          <w:color w:val="auto"/>
        </w:rPr>
        <w:t>.</w:t>
      </w:r>
    </w:p>
    <w:p>
      <w:pPr>
        <w:spacing w:after="0" w:line="281"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How may the deposit agreement be terminated?</w:t>
      </w:r>
    </w:p>
    <w:p>
      <w:pPr>
        <w:spacing w:after="0" w:line="117" w:lineRule="exact"/>
        <w:rPr>
          <w:sz w:val="20"/>
          <w:szCs w:val="20"/>
          <w:color w:val="auto"/>
        </w:rPr>
      </w:pPr>
    </w:p>
    <w:p>
      <w:pPr>
        <w:ind w:left="200" w:right="200" w:firstLine="441"/>
        <w:spacing w:after="0" w:line="277" w:lineRule="auto"/>
        <w:rPr>
          <w:sz w:val="20"/>
          <w:szCs w:val="20"/>
          <w:color w:val="auto"/>
        </w:rPr>
      </w:pPr>
      <w:r>
        <w:rPr>
          <w:rFonts w:ascii="Arial" w:cs="Arial" w:eastAsia="Arial" w:hAnsi="Arial"/>
          <w:sz w:val="18"/>
          <w:szCs w:val="18"/>
          <w:color w:val="auto"/>
        </w:rPr>
        <w:t>The depositary will initiate termination of the deposit agreement if we instruct it to do so. The depositary may initiate termination of the deposit agreement if</w:t>
      </w:r>
    </w:p>
    <w:p>
      <w:pPr>
        <w:spacing w:after="0" w:line="76" w:lineRule="exact"/>
        <w:rPr>
          <w:sz w:val="20"/>
          <w:szCs w:val="20"/>
          <w:color w:val="auto"/>
        </w:rPr>
      </w:pPr>
    </w:p>
    <w:p>
      <w:pPr>
        <w:ind w:left="1180" w:right="460" w:hanging="436"/>
        <w:spacing w:after="0" w:line="277" w:lineRule="auto"/>
        <w:tabs>
          <w:tab w:leader="none" w:pos="1180" w:val="left"/>
        </w:tabs>
        <w:numPr>
          <w:ilvl w:val="0"/>
          <w:numId w:val="54"/>
        </w:numPr>
        <w:rPr>
          <w:rFonts w:ascii="Arial" w:cs="Arial" w:eastAsia="Arial" w:hAnsi="Arial"/>
          <w:sz w:val="18"/>
          <w:szCs w:val="18"/>
          <w:color w:val="auto"/>
        </w:rPr>
      </w:pPr>
      <w:r>
        <w:rPr>
          <w:rFonts w:ascii="Arial" w:cs="Arial" w:eastAsia="Arial" w:hAnsi="Arial"/>
          <w:sz w:val="18"/>
          <w:szCs w:val="18"/>
          <w:color w:val="auto"/>
        </w:rPr>
        <w:t>60 days have passed since the depositary told us it wants to resign but a successor depositary has not been appointed and accepted its appointment;</w:t>
      </w:r>
    </w:p>
    <w:p>
      <w:pPr>
        <w:spacing w:after="0" w:line="75" w:lineRule="exact"/>
        <w:rPr>
          <w:rFonts w:ascii="Arial" w:cs="Arial" w:eastAsia="Arial" w:hAnsi="Arial"/>
          <w:sz w:val="18"/>
          <w:szCs w:val="18"/>
          <w:color w:val="auto"/>
        </w:rPr>
      </w:pPr>
    </w:p>
    <w:p>
      <w:pPr>
        <w:ind w:left="1180" w:hanging="436"/>
        <w:spacing w:after="0"/>
        <w:tabs>
          <w:tab w:leader="none" w:pos="1180" w:val="left"/>
        </w:tabs>
        <w:numPr>
          <w:ilvl w:val="0"/>
          <w:numId w:val="54"/>
        </w:numPr>
        <w:rPr>
          <w:rFonts w:ascii="Arial" w:cs="Arial" w:eastAsia="Arial" w:hAnsi="Arial"/>
          <w:sz w:val="18"/>
          <w:szCs w:val="18"/>
          <w:color w:val="auto"/>
        </w:rPr>
      </w:pPr>
      <w:r>
        <w:rPr>
          <w:rFonts w:ascii="Arial" w:cs="Arial" w:eastAsia="Arial" w:hAnsi="Arial"/>
          <w:sz w:val="18"/>
          <w:szCs w:val="18"/>
          <w:color w:val="auto"/>
        </w:rPr>
        <w:t>we delist our shares from an exchange on which they were listed and do not list the shares on another exchange;</w:t>
      </w:r>
    </w:p>
    <w:p>
      <w:pPr>
        <w:spacing w:after="0" w:line="130" w:lineRule="exact"/>
        <w:rPr>
          <w:rFonts w:ascii="Arial" w:cs="Arial" w:eastAsia="Arial" w:hAnsi="Arial"/>
          <w:sz w:val="18"/>
          <w:szCs w:val="18"/>
          <w:color w:val="auto"/>
        </w:rPr>
      </w:pPr>
    </w:p>
    <w:p>
      <w:pPr>
        <w:ind w:left="1180" w:hanging="436"/>
        <w:spacing w:after="0"/>
        <w:tabs>
          <w:tab w:leader="none" w:pos="1180" w:val="left"/>
        </w:tabs>
        <w:numPr>
          <w:ilvl w:val="0"/>
          <w:numId w:val="54"/>
        </w:numPr>
        <w:rPr>
          <w:rFonts w:ascii="Arial" w:cs="Arial" w:eastAsia="Arial" w:hAnsi="Arial"/>
          <w:sz w:val="18"/>
          <w:szCs w:val="18"/>
          <w:color w:val="auto"/>
        </w:rPr>
      </w:pPr>
      <w:r>
        <w:rPr>
          <w:rFonts w:ascii="Arial" w:cs="Arial" w:eastAsia="Arial" w:hAnsi="Arial"/>
          <w:sz w:val="18"/>
          <w:szCs w:val="18"/>
          <w:color w:val="auto"/>
        </w:rPr>
        <w:t>we appear to be insolvent or enter insolvency proceedings</w:t>
      </w:r>
    </w:p>
    <w:p>
      <w:pPr>
        <w:spacing w:after="0" w:line="130" w:lineRule="exact"/>
        <w:rPr>
          <w:rFonts w:ascii="Arial" w:cs="Arial" w:eastAsia="Arial" w:hAnsi="Arial"/>
          <w:sz w:val="18"/>
          <w:szCs w:val="18"/>
          <w:color w:val="auto"/>
        </w:rPr>
      </w:pPr>
    </w:p>
    <w:p>
      <w:pPr>
        <w:ind w:left="1180" w:hanging="436"/>
        <w:spacing w:after="0"/>
        <w:tabs>
          <w:tab w:leader="none" w:pos="1180" w:val="left"/>
        </w:tabs>
        <w:numPr>
          <w:ilvl w:val="0"/>
          <w:numId w:val="54"/>
        </w:numPr>
        <w:rPr>
          <w:rFonts w:ascii="Arial" w:cs="Arial" w:eastAsia="Arial" w:hAnsi="Arial"/>
          <w:sz w:val="18"/>
          <w:szCs w:val="18"/>
          <w:color w:val="auto"/>
        </w:rPr>
      </w:pPr>
      <w:r>
        <w:rPr>
          <w:rFonts w:ascii="Arial" w:cs="Arial" w:eastAsia="Arial" w:hAnsi="Arial"/>
          <w:sz w:val="18"/>
          <w:szCs w:val="18"/>
          <w:color w:val="auto"/>
        </w:rPr>
        <w:t>all or substantially all the value of the deposited securities has been distributed either in cash or in the form of securities;</w:t>
      </w:r>
    </w:p>
    <w:p>
      <w:pPr>
        <w:spacing w:after="0" w:line="130" w:lineRule="exact"/>
        <w:rPr>
          <w:rFonts w:ascii="Arial" w:cs="Arial" w:eastAsia="Arial" w:hAnsi="Arial"/>
          <w:sz w:val="18"/>
          <w:szCs w:val="18"/>
          <w:color w:val="auto"/>
        </w:rPr>
      </w:pPr>
    </w:p>
    <w:p>
      <w:pPr>
        <w:ind w:left="1180" w:hanging="436"/>
        <w:spacing w:after="0"/>
        <w:tabs>
          <w:tab w:leader="none" w:pos="1180" w:val="left"/>
        </w:tabs>
        <w:numPr>
          <w:ilvl w:val="0"/>
          <w:numId w:val="54"/>
        </w:numPr>
        <w:rPr>
          <w:rFonts w:ascii="Arial" w:cs="Arial" w:eastAsia="Arial" w:hAnsi="Arial"/>
          <w:sz w:val="17"/>
          <w:szCs w:val="17"/>
          <w:color w:val="auto"/>
        </w:rPr>
      </w:pPr>
      <w:r>
        <w:rPr>
          <w:rFonts w:ascii="Arial" w:cs="Arial" w:eastAsia="Arial" w:hAnsi="Arial"/>
          <w:sz w:val="17"/>
          <w:szCs w:val="17"/>
          <w:color w:val="auto"/>
        </w:rPr>
        <w:t>there are no deposited securities underlying the ADSs or the underlying deposited securities have become apparently worthless; or</w:t>
      </w:r>
    </w:p>
    <w:p>
      <w:pPr>
        <w:spacing w:after="0" w:line="142" w:lineRule="exact"/>
        <w:rPr>
          <w:rFonts w:ascii="Arial" w:cs="Arial" w:eastAsia="Arial" w:hAnsi="Arial"/>
          <w:sz w:val="17"/>
          <w:szCs w:val="17"/>
          <w:color w:val="auto"/>
        </w:rPr>
      </w:pPr>
    </w:p>
    <w:p>
      <w:pPr>
        <w:ind w:left="1180" w:hanging="436"/>
        <w:spacing w:after="0"/>
        <w:tabs>
          <w:tab w:leader="none" w:pos="1180" w:val="left"/>
        </w:tabs>
        <w:numPr>
          <w:ilvl w:val="0"/>
          <w:numId w:val="54"/>
        </w:numPr>
        <w:rPr>
          <w:rFonts w:ascii="Arial" w:cs="Arial" w:eastAsia="Arial" w:hAnsi="Arial"/>
          <w:sz w:val="18"/>
          <w:szCs w:val="18"/>
          <w:color w:val="auto"/>
        </w:rPr>
      </w:pPr>
      <w:r>
        <w:rPr>
          <w:rFonts w:ascii="Arial" w:cs="Arial" w:eastAsia="Arial" w:hAnsi="Arial"/>
          <w:sz w:val="18"/>
          <w:szCs w:val="18"/>
          <w:color w:val="auto"/>
        </w:rPr>
        <w:t>there has been a replacement of deposited securities.</w:t>
      </w:r>
    </w:p>
    <w:p>
      <w:pPr>
        <w:spacing w:after="0" w:line="225" w:lineRule="exact"/>
        <w:rPr>
          <w:sz w:val="20"/>
          <w:szCs w:val="20"/>
          <w:color w:val="auto"/>
        </w:rPr>
      </w:pPr>
    </w:p>
    <w:p>
      <w:pPr>
        <w:ind w:left="200" w:right="60" w:firstLine="441"/>
        <w:spacing w:after="0" w:line="279" w:lineRule="auto"/>
        <w:rPr>
          <w:sz w:val="20"/>
          <w:szCs w:val="20"/>
          <w:color w:val="auto"/>
        </w:rPr>
      </w:pPr>
      <w:r>
        <w:rPr>
          <w:rFonts w:ascii="Arial" w:cs="Arial" w:eastAsia="Arial" w:hAnsi="Arial"/>
          <w:sz w:val="17"/>
          <w:szCs w:val="17"/>
          <w:color w:val="auto"/>
        </w:rPr>
        <w:t xml:space="preserve">If the deposit agreement will terminate, the depositary will notify ADS holders at least 90 days before the termination date. At any time after the termination date, the depositary may sell the deposited securities. After that, the depositary will hold the money it received on the sale, as well as any other cash it is holding under the deposit agreement, unsegregated and without liability for interest, for the </w:t>
      </w:r>
      <w:r>
        <w:rPr>
          <w:rFonts w:ascii="Arial" w:cs="Arial" w:eastAsia="Arial" w:hAnsi="Arial"/>
          <w:sz w:val="17"/>
          <w:szCs w:val="17"/>
          <w:u w:val="single" w:color="auto"/>
          <w:color w:val="auto"/>
        </w:rPr>
        <w:t>pro rata</w:t>
      </w:r>
      <w:r>
        <w:rPr>
          <w:rFonts w:ascii="Arial" w:cs="Arial" w:eastAsia="Arial" w:hAnsi="Arial"/>
          <w:sz w:val="17"/>
          <w:szCs w:val="17"/>
          <w:color w:val="auto"/>
        </w:rPr>
        <w:t xml:space="preserve"> benefit of the ADS holders that have not surrendered their ADSs. Normally, the depositary will sell as soon as practicable after the termination date.</w:t>
      </w:r>
    </w:p>
    <w:p>
      <w:pPr>
        <w:spacing w:after="0" w:line="171" w:lineRule="exact"/>
        <w:rPr>
          <w:sz w:val="20"/>
          <w:szCs w:val="20"/>
          <w:color w:val="auto"/>
        </w:rPr>
      </w:pPr>
    </w:p>
    <w:p>
      <w:pPr>
        <w:ind w:left="200" w:firstLine="441"/>
        <w:spacing w:after="0" w:line="255" w:lineRule="auto"/>
        <w:rPr>
          <w:sz w:val="20"/>
          <w:szCs w:val="20"/>
          <w:color w:val="auto"/>
        </w:rPr>
      </w:pPr>
      <w:r>
        <w:rPr>
          <w:rFonts w:ascii="Arial" w:cs="Arial" w:eastAsia="Arial" w:hAnsi="Arial"/>
          <w:sz w:val="18"/>
          <w:szCs w:val="18"/>
          <w:color w:val="auto"/>
        </w:rPr>
        <w:t xml:space="preserve">After the termination date and before the depositary sells, ADS holders can still surrender their ADSs and receive delivery of deposited securities, except that the depositary may refuse to accept a surrender for the purpose of withdrawing deposited securities or reverse previously accepted surrenders of that kind that have not settled if it would interfere with the selling process. The depositary may refuse to accept a surrender for the purpose of withdrawing sale proceeds until all the deposited securities have been sold. The depositary will continue to collect distributions on deposited securities, </w:t>
      </w:r>
      <w:r>
        <w:rPr>
          <w:rFonts w:ascii="Arial" w:cs="Arial" w:eastAsia="Arial" w:hAnsi="Arial"/>
          <w:sz w:val="18"/>
          <w:szCs w:val="18"/>
          <w:u w:val="single" w:color="auto"/>
          <w:color w:val="auto"/>
        </w:rPr>
        <w:t>but</w:t>
      </w:r>
      <w:r>
        <w:rPr>
          <w:rFonts w:ascii="Arial" w:cs="Arial" w:eastAsia="Arial" w:hAnsi="Arial"/>
          <w:sz w:val="18"/>
          <w:szCs w:val="18"/>
          <w:color w:val="auto"/>
        </w:rPr>
        <w:t>, after the termination date, the depositary is not required to register any transfer of ADSs or distribute any dividends or other distributions on deposited securities to the ADSs holder (until they surrender their ADSs) or give any notices or perform any other duties under the deposit agreement except as described in this paragraph.</w:t>
      </w:r>
    </w:p>
    <w:p>
      <w:pPr>
        <w:spacing w:after="0" w:line="293"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Limitations on Obligations and Liability</w:t>
      </w:r>
    </w:p>
    <w:p>
      <w:pPr>
        <w:spacing w:after="0" w:line="121"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Limits on our Obligations and the Obligations of the Depositary; Limits on Liability to Holders of ADSs</w:t>
      </w:r>
    </w:p>
    <w:p>
      <w:pPr>
        <w:spacing w:after="0" w:line="117" w:lineRule="exact"/>
        <w:rPr>
          <w:sz w:val="20"/>
          <w:szCs w:val="20"/>
          <w:color w:val="auto"/>
        </w:rPr>
      </w:pPr>
    </w:p>
    <w:p>
      <w:pPr>
        <w:ind w:left="200" w:right="440" w:firstLine="441"/>
        <w:spacing w:after="0" w:line="277" w:lineRule="auto"/>
        <w:rPr>
          <w:sz w:val="20"/>
          <w:szCs w:val="20"/>
          <w:color w:val="auto"/>
        </w:rPr>
      </w:pPr>
      <w:r>
        <w:rPr>
          <w:rFonts w:ascii="Arial" w:cs="Arial" w:eastAsia="Arial" w:hAnsi="Arial"/>
          <w:sz w:val="18"/>
          <w:szCs w:val="18"/>
          <w:color w:val="auto"/>
        </w:rPr>
        <w:t>The deposit agreement expressly limits our obligations and the obligations of the depositary. It also limits our liability and the liability of the depositary. We and the depositary:</w:t>
      </w:r>
    </w:p>
    <w:p>
      <w:pPr>
        <w:spacing w:after="0" w:line="76" w:lineRule="exact"/>
        <w:rPr>
          <w:sz w:val="20"/>
          <w:szCs w:val="20"/>
          <w:color w:val="auto"/>
        </w:rPr>
      </w:pPr>
    </w:p>
    <w:p>
      <w:pPr>
        <w:ind w:left="1180" w:right="20" w:hanging="436"/>
        <w:spacing w:after="0" w:line="277" w:lineRule="auto"/>
        <w:tabs>
          <w:tab w:leader="none" w:pos="1180" w:val="left"/>
        </w:tabs>
        <w:numPr>
          <w:ilvl w:val="0"/>
          <w:numId w:val="55"/>
        </w:numPr>
        <w:rPr>
          <w:rFonts w:ascii="Arial" w:cs="Arial" w:eastAsia="Arial" w:hAnsi="Arial"/>
          <w:sz w:val="18"/>
          <w:szCs w:val="18"/>
          <w:color w:val="auto"/>
        </w:rPr>
      </w:pPr>
      <w:r>
        <w:rPr>
          <w:rFonts w:ascii="Arial" w:cs="Arial" w:eastAsia="Arial" w:hAnsi="Arial"/>
          <w:sz w:val="18"/>
          <w:szCs w:val="18"/>
          <w:color w:val="auto"/>
        </w:rPr>
        <w:t>are only obligated to take the actions specifically set forth in the deposit agreement without negligence or bad faith, and the depositary will not be a fiduciary or have any fiduciary duty to holders of ADSs;</w:t>
      </w:r>
    </w:p>
    <w:p>
      <w:pPr>
        <w:spacing w:after="0" w:line="103"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90</w:t>
      </w:r>
    </w:p>
    <w:p>
      <w:pPr>
        <w:sectPr>
          <w:pgSz w:w="11900" w:h="16838" w:orient="portrait"/>
          <w:cols w:equalWidth="0" w:num="1">
            <w:col w:w="11200"/>
          </w:cols>
          <w:pgMar w:left="240" w:top="459" w:right="459" w:bottom="1440" w:gutter="0" w:footer="0" w:header="0"/>
        </w:sectPr>
      </w:pPr>
    </w:p>
    <w:bookmarkStart w:id="92" w:name="page93"/>
    <w:bookmarkEnd w:id="9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1180" w:right="100" w:hanging="436"/>
        <w:spacing w:after="0" w:line="277" w:lineRule="auto"/>
        <w:tabs>
          <w:tab w:leader="none" w:pos="1180" w:val="left"/>
        </w:tabs>
        <w:numPr>
          <w:ilvl w:val="0"/>
          <w:numId w:val="56"/>
        </w:numPr>
        <w:rPr>
          <w:rFonts w:ascii="Arial" w:cs="Arial" w:eastAsia="Arial" w:hAnsi="Arial"/>
          <w:sz w:val="18"/>
          <w:szCs w:val="18"/>
          <w:color w:val="auto"/>
        </w:rPr>
      </w:pPr>
      <w:r>
        <w:rPr>
          <w:rFonts w:ascii="Arial" w:cs="Arial" w:eastAsia="Arial" w:hAnsi="Arial"/>
          <w:sz w:val="18"/>
          <w:szCs w:val="18"/>
          <w:color w:val="auto"/>
        </w:rPr>
        <w:t>are not liable if we are or it is prevented or delayed by law or by events or circumstances beyond our or its control from performing our or its obligations under the deposit agreement;</w:t>
      </w:r>
    </w:p>
    <w:p>
      <w:pPr>
        <w:spacing w:after="0" w:line="75" w:lineRule="exact"/>
        <w:rPr>
          <w:rFonts w:ascii="Arial" w:cs="Arial" w:eastAsia="Arial" w:hAnsi="Arial"/>
          <w:sz w:val="18"/>
          <w:szCs w:val="18"/>
          <w:color w:val="auto"/>
        </w:rPr>
      </w:pPr>
    </w:p>
    <w:p>
      <w:pPr>
        <w:ind w:left="1180" w:hanging="436"/>
        <w:spacing w:after="0"/>
        <w:tabs>
          <w:tab w:leader="none" w:pos="1180" w:val="left"/>
        </w:tabs>
        <w:numPr>
          <w:ilvl w:val="0"/>
          <w:numId w:val="56"/>
        </w:numPr>
        <w:rPr>
          <w:rFonts w:ascii="Arial" w:cs="Arial" w:eastAsia="Arial" w:hAnsi="Arial"/>
          <w:sz w:val="18"/>
          <w:szCs w:val="18"/>
          <w:color w:val="auto"/>
        </w:rPr>
      </w:pPr>
      <w:r>
        <w:rPr>
          <w:rFonts w:ascii="Arial" w:cs="Arial" w:eastAsia="Arial" w:hAnsi="Arial"/>
          <w:sz w:val="18"/>
          <w:szCs w:val="18"/>
          <w:color w:val="auto"/>
        </w:rPr>
        <w:t>are not liable if we or it exercises discretion permitted under the deposit agreement;</w:t>
      </w:r>
    </w:p>
    <w:p>
      <w:pPr>
        <w:spacing w:after="0" w:line="130" w:lineRule="exact"/>
        <w:rPr>
          <w:rFonts w:ascii="Arial" w:cs="Arial" w:eastAsia="Arial" w:hAnsi="Arial"/>
          <w:sz w:val="18"/>
          <w:szCs w:val="18"/>
          <w:color w:val="auto"/>
        </w:rPr>
      </w:pPr>
    </w:p>
    <w:p>
      <w:pPr>
        <w:ind w:left="1180" w:right="200" w:hanging="436"/>
        <w:spacing w:after="0" w:line="264" w:lineRule="auto"/>
        <w:tabs>
          <w:tab w:leader="none" w:pos="1180" w:val="left"/>
        </w:tabs>
        <w:numPr>
          <w:ilvl w:val="0"/>
          <w:numId w:val="56"/>
        </w:numPr>
        <w:rPr>
          <w:rFonts w:ascii="Arial" w:cs="Arial" w:eastAsia="Arial" w:hAnsi="Arial"/>
          <w:sz w:val="18"/>
          <w:szCs w:val="18"/>
          <w:color w:val="auto"/>
        </w:rPr>
      </w:pPr>
      <w:r>
        <w:rPr>
          <w:rFonts w:ascii="Arial" w:cs="Arial" w:eastAsia="Arial" w:hAnsi="Arial"/>
          <w:sz w:val="18"/>
          <w:szCs w:val="18"/>
          <w:color w:val="auto"/>
        </w:rPr>
        <w:t>are not liable for the inability of any holder of ADSs to benefit from any distribution on deposited securities that is not made available to holders of ADSs under the terms of the deposit agreement, or for any special, consequential or punitive damages for any breach of the terms of the deposit agreement;</w:t>
      </w:r>
    </w:p>
    <w:p>
      <w:pPr>
        <w:spacing w:after="0" w:line="86" w:lineRule="exact"/>
        <w:rPr>
          <w:rFonts w:ascii="Arial" w:cs="Arial" w:eastAsia="Arial" w:hAnsi="Arial"/>
          <w:sz w:val="18"/>
          <w:szCs w:val="18"/>
          <w:color w:val="auto"/>
        </w:rPr>
      </w:pPr>
    </w:p>
    <w:p>
      <w:pPr>
        <w:ind w:left="1180" w:right="120" w:hanging="436"/>
        <w:spacing w:after="0" w:line="277" w:lineRule="auto"/>
        <w:tabs>
          <w:tab w:leader="none" w:pos="1180" w:val="left"/>
        </w:tabs>
        <w:numPr>
          <w:ilvl w:val="0"/>
          <w:numId w:val="56"/>
        </w:numPr>
        <w:rPr>
          <w:rFonts w:ascii="Arial" w:cs="Arial" w:eastAsia="Arial" w:hAnsi="Arial"/>
          <w:sz w:val="18"/>
          <w:szCs w:val="18"/>
          <w:color w:val="auto"/>
        </w:rPr>
      </w:pPr>
      <w:r>
        <w:rPr>
          <w:rFonts w:ascii="Arial" w:cs="Arial" w:eastAsia="Arial" w:hAnsi="Arial"/>
          <w:sz w:val="18"/>
          <w:szCs w:val="18"/>
          <w:color w:val="auto"/>
        </w:rPr>
        <w:t>have no obligation to become involved in a lawsuit or other proceeding related to the ADSs or the deposit agreement on your behalf or on behalf of any other person;</w:t>
      </w:r>
    </w:p>
    <w:p>
      <w:pPr>
        <w:spacing w:after="0" w:line="75" w:lineRule="exact"/>
        <w:rPr>
          <w:rFonts w:ascii="Arial" w:cs="Arial" w:eastAsia="Arial" w:hAnsi="Arial"/>
          <w:sz w:val="18"/>
          <w:szCs w:val="18"/>
          <w:color w:val="auto"/>
        </w:rPr>
      </w:pPr>
    </w:p>
    <w:p>
      <w:pPr>
        <w:ind w:left="1180" w:right="400" w:hanging="436"/>
        <w:spacing w:after="0" w:line="277" w:lineRule="auto"/>
        <w:tabs>
          <w:tab w:leader="none" w:pos="1180" w:val="left"/>
        </w:tabs>
        <w:numPr>
          <w:ilvl w:val="0"/>
          <w:numId w:val="56"/>
        </w:numPr>
        <w:rPr>
          <w:rFonts w:ascii="Arial" w:cs="Arial" w:eastAsia="Arial" w:hAnsi="Arial"/>
          <w:sz w:val="18"/>
          <w:szCs w:val="18"/>
          <w:color w:val="auto"/>
        </w:rPr>
      </w:pPr>
      <w:r>
        <w:rPr>
          <w:rFonts w:ascii="Arial" w:cs="Arial" w:eastAsia="Arial" w:hAnsi="Arial"/>
          <w:sz w:val="18"/>
          <w:szCs w:val="18"/>
          <w:color w:val="auto"/>
        </w:rPr>
        <w:t>may rely upon any documents we believe or it believes in good faith to be genuine and to have been signed or presented by the proper person;</w:t>
      </w:r>
    </w:p>
    <w:p>
      <w:pPr>
        <w:spacing w:after="0" w:line="75" w:lineRule="exact"/>
        <w:rPr>
          <w:rFonts w:ascii="Arial" w:cs="Arial" w:eastAsia="Arial" w:hAnsi="Arial"/>
          <w:sz w:val="18"/>
          <w:szCs w:val="18"/>
          <w:color w:val="auto"/>
        </w:rPr>
      </w:pPr>
    </w:p>
    <w:p>
      <w:pPr>
        <w:ind w:left="1180" w:hanging="436"/>
        <w:spacing w:after="0"/>
        <w:tabs>
          <w:tab w:leader="none" w:pos="1180" w:val="left"/>
        </w:tabs>
        <w:numPr>
          <w:ilvl w:val="0"/>
          <w:numId w:val="56"/>
        </w:numPr>
        <w:rPr>
          <w:rFonts w:ascii="Arial" w:cs="Arial" w:eastAsia="Arial" w:hAnsi="Arial"/>
          <w:sz w:val="18"/>
          <w:szCs w:val="18"/>
          <w:color w:val="auto"/>
        </w:rPr>
      </w:pPr>
      <w:r>
        <w:rPr>
          <w:rFonts w:ascii="Arial" w:cs="Arial" w:eastAsia="Arial" w:hAnsi="Arial"/>
          <w:sz w:val="18"/>
          <w:szCs w:val="18"/>
          <w:color w:val="auto"/>
        </w:rPr>
        <w:t>are not liable for the acts or omissions of any securities depository, clearing agency or settlement system; and</w:t>
      </w:r>
    </w:p>
    <w:p>
      <w:pPr>
        <w:spacing w:after="0" w:line="130" w:lineRule="exact"/>
        <w:rPr>
          <w:rFonts w:ascii="Arial" w:cs="Arial" w:eastAsia="Arial" w:hAnsi="Arial"/>
          <w:sz w:val="18"/>
          <w:szCs w:val="18"/>
          <w:color w:val="auto"/>
        </w:rPr>
      </w:pPr>
    </w:p>
    <w:p>
      <w:pPr>
        <w:ind w:left="1180" w:right="60" w:hanging="436"/>
        <w:spacing w:after="0" w:line="259" w:lineRule="auto"/>
        <w:tabs>
          <w:tab w:leader="none" w:pos="1180" w:val="left"/>
        </w:tabs>
        <w:numPr>
          <w:ilvl w:val="0"/>
          <w:numId w:val="56"/>
        </w:numPr>
        <w:rPr>
          <w:rFonts w:ascii="Arial" w:cs="Arial" w:eastAsia="Arial" w:hAnsi="Arial"/>
          <w:sz w:val="18"/>
          <w:szCs w:val="18"/>
          <w:color w:val="auto"/>
        </w:rPr>
      </w:pPr>
      <w:r>
        <w:rPr>
          <w:rFonts w:ascii="Arial" w:cs="Arial" w:eastAsia="Arial" w:hAnsi="Arial"/>
          <w:sz w:val="18"/>
          <w:szCs w:val="18"/>
          <w:color w:val="auto"/>
        </w:rPr>
        <w:t>the depositary has no duty to make any determination or provide any information as to our tax status, or any liability for any tax consequences that may be incurred by ADS holders as a result of owning or holding ADSs or be liable for the inability or failure of an ADS holder to obtain the benefit of a foreign tax credit, reduced rate of withholding or refund of amounts withheld in respect of tax or any other tax benefit.</w:t>
      </w:r>
    </w:p>
    <w:p>
      <w:pPr>
        <w:spacing w:after="0" w:line="187" w:lineRule="exact"/>
        <w:rPr>
          <w:sz w:val="20"/>
          <w:szCs w:val="20"/>
          <w:color w:val="auto"/>
        </w:rPr>
      </w:pPr>
    </w:p>
    <w:p>
      <w:pPr>
        <w:ind w:left="640"/>
        <w:spacing w:after="0"/>
        <w:rPr>
          <w:sz w:val="20"/>
          <w:szCs w:val="20"/>
          <w:color w:val="auto"/>
        </w:rPr>
      </w:pPr>
      <w:r>
        <w:rPr>
          <w:rFonts w:ascii="Arial" w:cs="Arial" w:eastAsia="Arial" w:hAnsi="Arial"/>
          <w:sz w:val="18"/>
          <w:szCs w:val="18"/>
          <w:color w:val="auto"/>
        </w:rPr>
        <w:t>In the deposit agreement, we and the depositary agree to indemnify each other under certain circumstances.</w:t>
      </w:r>
    </w:p>
    <w:p>
      <w:pPr>
        <w:spacing w:after="0" w:line="329"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Requirements for Depositary Actions</w:t>
      </w:r>
    </w:p>
    <w:p>
      <w:pPr>
        <w:spacing w:after="0" w:line="121" w:lineRule="exact"/>
        <w:rPr>
          <w:sz w:val="20"/>
          <w:szCs w:val="20"/>
          <w:color w:val="auto"/>
        </w:rPr>
      </w:pPr>
    </w:p>
    <w:p>
      <w:pPr>
        <w:ind w:left="200" w:right="40" w:firstLine="441"/>
        <w:spacing w:after="0" w:line="277" w:lineRule="auto"/>
        <w:rPr>
          <w:sz w:val="20"/>
          <w:szCs w:val="20"/>
          <w:color w:val="auto"/>
        </w:rPr>
      </w:pPr>
      <w:r>
        <w:rPr>
          <w:rFonts w:ascii="Arial" w:cs="Arial" w:eastAsia="Arial" w:hAnsi="Arial"/>
          <w:sz w:val="18"/>
          <w:szCs w:val="18"/>
          <w:color w:val="auto"/>
        </w:rPr>
        <w:t>Before the depositary will deliver or register a transfer of ADSs, make a distribution on ADSs, or permit withdrawal of shares, the depositary may require:</w:t>
      </w:r>
    </w:p>
    <w:p>
      <w:pPr>
        <w:spacing w:after="0" w:line="76" w:lineRule="exact"/>
        <w:rPr>
          <w:sz w:val="20"/>
          <w:szCs w:val="20"/>
          <w:color w:val="auto"/>
        </w:rPr>
      </w:pPr>
    </w:p>
    <w:p>
      <w:pPr>
        <w:ind w:left="1180" w:right="380" w:hanging="436"/>
        <w:spacing w:after="0" w:line="277" w:lineRule="auto"/>
        <w:tabs>
          <w:tab w:leader="none" w:pos="1180" w:val="left"/>
        </w:tabs>
        <w:numPr>
          <w:ilvl w:val="0"/>
          <w:numId w:val="57"/>
        </w:numPr>
        <w:rPr>
          <w:rFonts w:ascii="Arial" w:cs="Arial" w:eastAsia="Arial" w:hAnsi="Arial"/>
          <w:sz w:val="18"/>
          <w:szCs w:val="18"/>
          <w:color w:val="auto"/>
        </w:rPr>
      </w:pPr>
      <w:r>
        <w:rPr>
          <w:rFonts w:ascii="Arial" w:cs="Arial" w:eastAsia="Arial" w:hAnsi="Arial"/>
          <w:sz w:val="18"/>
          <w:szCs w:val="18"/>
          <w:color w:val="auto"/>
        </w:rPr>
        <w:t>payment of stock transfer or other taxes or other governmental charges and transfer or registration fees charged by third parties for the transfer of any shares or other deposited securities;</w:t>
      </w:r>
    </w:p>
    <w:p>
      <w:pPr>
        <w:spacing w:after="0" w:line="75" w:lineRule="exact"/>
        <w:rPr>
          <w:rFonts w:ascii="Arial" w:cs="Arial" w:eastAsia="Arial" w:hAnsi="Arial"/>
          <w:sz w:val="18"/>
          <w:szCs w:val="18"/>
          <w:color w:val="auto"/>
        </w:rPr>
      </w:pPr>
    </w:p>
    <w:p>
      <w:pPr>
        <w:ind w:left="1180" w:hanging="436"/>
        <w:spacing w:after="0"/>
        <w:tabs>
          <w:tab w:leader="none" w:pos="1180" w:val="left"/>
        </w:tabs>
        <w:numPr>
          <w:ilvl w:val="0"/>
          <w:numId w:val="57"/>
        </w:numPr>
        <w:rPr>
          <w:rFonts w:ascii="Arial" w:cs="Arial" w:eastAsia="Arial" w:hAnsi="Arial"/>
          <w:sz w:val="18"/>
          <w:szCs w:val="18"/>
          <w:color w:val="auto"/>
        </w:rPr>
      </w:pPr>
      <w:r>
        <w:rPr>
          <w:rFonts w:ascii="Arial" w:cs="Arial" w:eastAsia="Arial" w:hAnsi="Arial"/>
          <w:sz w:val="18"/>
          <w:szCs w:val="18"/>
          <w:color w:val="auto"/>
        </w:rPr>
        <w:t>satisfactory proof of the identity and genuineness of any signature or other information it deems necessary; and</w:t>
      </w:r>
    </w:p>
    <w:p>
      <w:pPr>
        <w:spacing w:after="0" w:line="130" w:lineRule="exact"/>
        <w:rPr>
          <w:rFonts w:ascii="Arial" w:cs="Arial" w:eastAsia="Arial" w:hAnsi="Arial"/>
          <w:sz w:val="18"/>
          <w:szCs w:val="18"/>
          <w:color w:val="auto"/>
        </w:rPr>
      </w:pPr>
    </w:p>
    <w:p>
      <w:pPr>
        <w:ind w:left="1180" w:right="200" w:hanging="436"/>
        <w:spacing w:after="0" w:line="277" w:lineRule="auto"/>
        <w:tabs>
          <w:tab w:leader="none" w:pos="1180" w:val="left"/>
        </w:tabs>
        <w:numPr>
          <w:ilvl w:val="0"/>
          <w:numId w:val="57"/>
        </w:numPr>
        <w:rPr>
          <w:rFonts w:ascii="Arial" w:cs="Arial" w:eastAsia="Arial" w:hAnsi="Arial"/>
          <w:sz w:val="18"/>
          <w:szCs w:val="18"/>
          <w:color w:val="auto"/>
        </w:rPr>
      </w:pPr>
      <w:r>
        <w:rPr>
          <w:rFonts w:ascii="Arial" w:cs="Arial" w:eastAsia="Arial" w:hAnsi="Arial"/>
          <w:sz w:val="18"/>
          <w:szCs w:val="18"/>
          <w:color w:val="auto"/>
        </w:rPr>
        <w:t>compliance with regulations it may establish, from time to time, consistent with the deposit agreement, including presentation of transfer documents.</w:t>
      </w:r>
    </w:p>
    <w:p>
      <w:pPr>
        <w:spacing w:after="0" w:line="170" w:lineRule="exact"/>
        <w:rPr>
          <w:sz w:val="20"/>
          <w:szCs w:val="20"/>
          <w:color w:val="auto"/>
        </w:rPr>
      </w:pPr>
    </w:p>
    <w:p>
      <w:pPr>
        <w:ind w:left="200" w:firstLine="441"/>
        <w:spacing w:after="0" w:line="277" w:lineRule="auto"/>
        <w:rPr>
          <w:sz w:val="20"/>
          <w:szCs w:val="20"/>
          <w:color w:val="auto"/>
        </w:rPr>
      </w:pPr>
      <w:r>
        <w:rPr>
          <w:rFonts w:ascii="Arial" w:cs="Arial" w:eastAsia="Arial" w:hAnsi="Arial"/>
          <w:sz w:val="18"/>
          <w:szCs w:val="18"/>
          <w:color w:val="auto"/>
        </w:rPr>
        <w:t>The depositary may refuse to deliver ADSs or register transfers of ADSs when the transfer books of the depositary or our transfer books are closed or at any time if the depositary or we think it advisable to do so.</w:t>
      </w:r>
    </w:p>
    <w:p>
      <w:pPr>
        <w:spacing w:after="0" w:line="27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Your Right to Receive the Shares Underlying your ADSs</w:t>
      </w:r>
    </w:p>
    <w:p>
      <w:pPr>
        <w:spacing w:after="0" w:line="121" w:lineRule="exact"/>
        <w:rPr>
          <w:sz w:val="20"/>
          <w:szCs w:val="20"/>
          <w:color w:val="auto"/>
        </w:rPr>
      </w:pPr>
    </w:p>
    <w:p>
      <w:pPr>
        <w:ind w:left="640"/>
        <w:spacing w:after="0"/>
        <w:rPr>
          <w:sz w:val="20"/>
          <w:szCs w:val="20"/>
          <w:color w:val="auto"/>
        </w:rPr>
      </w:pPr>
      <w:r>
        <w:rPr>
          <w:rFonts w:ascii="Arial" w:cs="Arial" w:eastAsia="Arial" w:hAnsi="Arial"/>
          <w:sz w:val="18"/>
          <w:szCs w:val="18"/>
          <w:color w:val="auto"/>
        </w:rPr>
        <w:t>ADS holders have the right to cancel their ADSs and withdraw the underlying shares at any time except:</w:t>
      </w:r>
    </w:p>
    <w:p>
      <w:pPr>
        <w:spacing w:after="0" w:line="131" w:lineRule="exact"/>
        <w:rPr>
          <w:sz w:val="20"/>
          <w:szCs w:val="20"/>
          <w:color w:val="auto"/>
        </w:rPr>
      </w:pPr>
    </w:p>
    <w:p>
      <w:pPr>
        <w:ind w:left="1180" w:right="100" w:hanging="436"/>
        <w:spacing w:after="0" w:line="308" w:lineRule="auto"/>
        <w:tabs>
          <w:tab w:leader="none" w:pos="1180" w:val="left"/>
        </w:tabs>
        <w:numPr>
          <w:ilvl w:val="0"/>
          <w:numId w:val="58"/>
        </w:numPr>
        <w:rPr>
          <w:rFonts w:ascii="Arial" w:cs="Arial" w:eastAsia="Arial" w:hAnsi="Arial"/>
          <w:sz w:val="17"/>
          <w:szCs w:val="17"/>
          <w:color w:val="auto"/>
        </w:rPr>
      </w:pPr>
      <w:r>
        <w:rPr>
          <w:rFonts w:ascii="Arial" w:cs="Arial" w:eastAsia="Arial" w:hAnsi="Arial"/>
          <w:sz w:val="17"/>
          <w:szCs w:val="17"/>
          <w:color w:val="auto"/>
        </w:rPr>
        <w:t>when temporary delays arise because: (i) the depositary has closed its transfer books or we have closed our transfer books; (ii) the transfer of shares is blocked to permit voting at a shareholders’ meeting; or (iii) we are paying a dividend on our shares;</w:t>
      </w:r>
    </w:p>
    <w:p>
      <w:pPr>
        <w:spacing w:after="0" w:line="51" w:lineRule="exact"/>
        <w:rPr>
          <w:rFonts w:ascii="Arial" w:cs="Arial" w:eastAsia="Arial" w:hAnsi="Arial"/>
          <w:sz w:val="17"/>
          <w:szCs w:val="17"/>
          <w:color w:val="auto"/>
        </w:rPr>
      </w:pPr>
    </w:p>
    <w:p>
      <w:pPr>
        <w:ind w:left="1180" w:hanging="436"/>
        <w:spacing w:after="0"/>
        <w:tabs>
          <w:tab w:leader="none" w:pos="1180" w:val="left"/>
        </w:tabs>
        <w:numPr>
          <w:ilvl w:val="0"/>
          <w:numId w:val="58"/>
        </w:numPr>
        <w:rPr>
          <w:rFonts w:ascii="Arial" w:cs="Arial" w:eastAsia="Arial" w:hAnsi="Arial"/>
          <w:sz w:val="18"/>
          <w:szCs w:val="18"/>
          <w:color w:val="auto"/>
        </w:rPr>
      </w:pPr>
      <w:r>
        <w:rPr>
          <w:rFonts w:ascii="Arial" w:cs="Arial" w:eastAsia="Arial" w:hAnsi="Arial"/>
          <w:sz w:val="18"/>
          <w:szCs w:val="18"/>
          <w:color w:val="auto"/>
        </w:rPr>
        <w:t>when you owe money to pay fees, taxes and similar charges; or</w:t>
      </w:r>
    </w:p>
    <w:p>
      <w:pPr>
        <w:spacing w:after="0" w:line="130" w:lineRule="exact"/>
        <w:rPr>
          <w:rFonts w:ascii="Arial" w:cs="Arial" w:eastAsia="Arial" w:hAnsi="Arial"/>
          <w:sz w:val="18"/>
          <w:szCs w:val="18"/>
          <w:color w:val="auto"/>
        </w:rPr>
      </w:pPr>
    </w:p>
    <w:p>
      <w:pPr>
        <w:ind w:left="1180" w:right="320" w:hanging="436"/>
        <w:spacing w:after="0" w:line="277" w:lineRule="auto"/>
        <w:tabs>
          <w:tab w:leader="none" w:pos="1180" w:val="left"/>
        </w:tabs>
        <w:numPr>
          <w:ilvl w:val="0"/>
          <w:numId w:val="58"/>
        </w:numPr>
        <w:rPr>
          <w:rFonts w:ascii="Arial" w:cs="Arial" w:eastAsia="Arial" w:hAnsi="Arial"/>
          <w:sz w:val="18"/>
          <w:szCs w:val="18"/>
          <w:color w:val="auto"/>
        </w:rPr>
      </w:pPr>
      <w:r>
        <w:rPr>
          <w:rFonts w:ascii="Arial" w:cs="Arial" w:eastAsia="Arial" w:hAnsi="Arial"/>
          <w:sz w:val="18"/>
          <w:szCs w:val="18"/>
          <w:color w:val="auto"/>
        </w:rPr>
        <w:t>when it is necessary to prohibit withdrawals in order to comply with any laws or governmental regulations that apply to ADSs or to the withdrawal of shares or other deposited securities.</w:t>
      </w:r>
    </w:p>
    <w:p>
      <w:pPr>
        <w:spacing w:after="0" w:line="170" w:lineRule="exact"/>
        <w:rPr>
          <w:sz w:val="20"/>
          <w:szCs w:val="20"/>
          <w:color w:val="auto"/>
        </w:rPr>
      </w:pPr>
    </w:p>
    <w:p>
      <w:pPr>
        <w:ind w:left="640"/>
        <w:spacing w:after="0"/>
        <w:rPr>
          <w:sz w:val="20"/>
          <w:szCs w:val="20"/>
          <w:color w:val="auto"/>
        </w:rPr>
      </w:pPr>
      <w:r>
        <w:rPr>
          <w:rFonts w:ascii="Arial" w:cs="Arial" w:eastAsia="Arial" w:hAnsi="Arial"/>
          <w:sz w:val="18"/>
          <w:szCs w:val="18"/>
          <w:color w:val="auto"/>
        </w:rPr>
        <w:t>This right of withdrawal may not be limited by any other provision of the deposit agreement.</w:t>
      </w:r>
    </w:p>
    <w:p>
      <w:pPr>
        <w:spacing w:after="0" w:line="158"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91</w:t>
      </w:r>
    </w:p>
    <w:p>
      <w:pPr>
        <w:sectPr>
          <w:pgSz w:w="11900" w:h="16838" w:orient="portrait"/>
          <w:cols w:equalWidth="0" w:num="1">
            <w:col w:w="11220"/>
          </w:cols>
          <w:pgMar w:left="240" w:top="459" w:right="439" w:bottom="1440" w:gutter="0" w:footer="0" w:header="0"/>
        </w:sectPr>
      </w:pPr>
    </w:p>
    <w:bookmarkStart w:id="93" w:name="page94"/>
    <w:bookmarkEnd w:id="9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Direct Registration System</w:t>
      </w:r>
    </w:p>
    <w:p>
      <w:pPr>
        <w:spacing w:after="0" w:line="121" w:lineRule="exact"/>
        <w:rPr>
          <w:sz w:val="20"/>
          <w:szCs w:val="20"/>
          <w:color w:val="auto"/>
        </w:rPr>
      </w:pPr>
    </w:p>
    <w:p>
      <w:pPr>
        <w:ind w:left="200" w:right="40" w:firstLine="441"/>
        <w:spacing w:after="0" w:line="255" w:lineRule="auto"/>
        <w:rPr>
          <w:sz w:val="20"/>
          <w:szCs w:val="20"/>
          <w:color w:val="auto"/>
        </w:rPr>
      </w:pPr>
      <w:r>
        <w:rPr>
          <w:rFonts w:ascii="Arial" w:cs="Arial" w:eastAsia="Arial" w:hAnsi="Arial"/>
          <w:sz w:val="18"/>
          <w:szCs w:val="18"/>
          <w:color w:val="auto"/>
        </w:rPr>
        <w:t>In the deposit agreement, all parties to the deposit agreement acknowledge that the Direct Registration System, also referred to as DRS, and Profile Modification System, also referred to as Profile, will apply to the ADSs. DRS is a system administered by DTC that facilitates interchange between registered holding of uncertificated ADSs and holding of security entitlements in ADSs through DTC and a DTC participant. Profile is a feature of DRS that allows a DTC participant, claiming to act on behalf of a registered holder of uncertificated ADSs, to direct the depositary to register a transfer of those ADSs to DTC or its nominee and to deliver those ADSs to the DTC account of that DTC participant without receipt by the depositary of prior authorization from the ADS holder to register that transfer.</w:t>
      </w:r>
    </w:p>
    <w:p>
      <w:pPr>
        <w:spacing w:after="0" w:line="193" w:lineRule="exact"/>
        <w:rPr>
          <w:sz w:val="20"/>
          <w:szCs w:val="20"/>
          <w:color w:val="auto"/>
        </w:rPr>
      </w:pPr>
    </w:p>
    <w:p>
      <w:pPr>
        <w:ind w:left="200" w:right="20" w:firstLine="441"/>
        <w:spacing w:after="0" w:line="255" w:lineRule="auto"/>
        <w:rPr>
          <w:sz w:val="20"/>
          <w:szCs w:val="20"/>
          <w:color w:val="auto"/>
        </w:rPr>
      </w:pPr>
      <w:r>
        <w:rPr>
          <w:rFonts w:ascii="Arial" w:cs="Arial" w:eastAsia="Arial" w:hAnsi="Arial"/>
          <w:sz w:val="18"/>
          <w:szCs w:val="18"/>
          <w:color w:val="auto"/>
        </w:rPr>
        <w:t>In connection with and in accordance with the arrangements and procedures relating to DRS/Profile, the parties to the deposit agreement understand that the depositary will not determine whether the DTC participant that is claiming to be acting on behalf of an ADS holder in requesting registration of transfer and delivery as described in the paragraph above has the actual authority to act on behalf of the ADS holder (notwithstanding any requirements under the Uniform Commercial Code). In the deposit agreement, the parties agree that the depositary’s reliance on and compliance with instructions received by the depositary through the DRS/Profile system and in accordance with the deposit agreement will not constitute negligence or bad faith on the part of the depositary.</w:t>
      </w:r>
    </w:p>
    <w:p>
      <w:pPr>
        <w:spacing w:after="0" w:line="297"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Shareholder communications; inspection of register of holders of ADSs</w:t>
      </w:r>
    </w:p>
    <w:p>
      <w:pPr>
        <w:spacing w:after="0" w:line="121" w:lineRule="exact"/>
        <w:rPr>
          <w:sz w:val="20"/>
          <w:szCs w:val="20"/>
          <w:color w:val="auto"/>
        </w:rPr>
      </w:pPr>
    </w:p>
    <w:p>
      <w:pPr>
        <w:ind w:left="200" w:right="140" w:firstLine="441"/>
        <w:spacing w:after="0" w:line="259" w:lineRule="auto"/>
        <w:rPr>
          <w:sz w:val="20"/>
          <w:szCs w:val="20"/>
          <w:color w:val="auto"/>
        </w:rPr>
      </w:pPr>
      <w:r>
        <w:rPr>
          <w:rFonts w:ascii="Arial" w:cs="Arial" w:eastAsia="Arial" w:hAnsi="Arial"/>
          <w:sz w:val="18"/>
          <w:szCs w:val="18"/>
          <w:color w:val="auto"/>
        </w:rPr>
        <w:t>The depositary will make available for your inspection at its office all communications that it receives from us as a holder of deposited securities that we make generally available to holders of deposited securities. The depositary will send you copies of those communications or otherwise make those communications available to you if we ask it to. You have a right to inspect the register of holders of ADSs, but not for the purpose of contacting those holders about a matter unrelated to our business or the ADSs.</w:t>
      </w:r>
    </w:p>
    <w:p>
      <w:pPr>
        <w:spacing w:after="0" w:line="291"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Jury Trial Waiver</w:t>
      </w:r>
    </w:p>
    <w:p>
      <w:pPr>
        <w:spacing w:after="0" w:line="121" w:lineRule="exact"/>
        <w:rPr>
          <w:sz w:val="20"/>
          <w:szCs w:val="20"/>
          <w:color w:val="auto"/>
        </w:rPr>
      </w:pPr>
    </w:p>
    <w:p>
      <w:pPr>
        <w:ind w:left="200" w:firstLine="441"/>
        <w:spacing w:after="0" w:line="257" w:lineRule="auto"/>
        <w:rPr>
          <w:sz w:val="20"/>
          <w:szCs w:val="20"/>
          <w:color w:val="auto"/>
        </w:rPr>
      </w:pPr>
      <w:r>
        <w:rPr>
          <w:rFonts w:ascii="Arial" w:cs="Arial" w:eastAsia="Arial" w:hAnsi="Arial"/>
          <w:sz w:val="18"/>
          <w:szCs w:val="18"/>
          <w:color w:val="auto"/>
        </w:rPr>
        <w:t>The deposit agreement provides that, to the extent permitted by law, ADS holders waive the right to a jury trial of any claim they may have against us or the depositary arising out of or relating to our shares, the ADSs or the deposit agreement, including any claim under the U.S. federal securities laws. If we or the depositary opposed a jury trial demand based on the waiver, the court would determine whether the waiver was enforceable in the facts and circumstances of that case in accordance with applicable case law. Notwithstanding the foregoing, ADS holders cannot waive compliance with federal securities laws and the rules and regulations promulgated thereunder.</w:t>
      </w:r>
    </w:p>
    <w:p>
      <w:pPr>
        <w:spacing w:after="0" w:line="292" w:lineRule="exact"/>
        <w:rPr>
          <w:sz w:val="20"/>
          <w:szCs w:val="20"/>
          <w:color w:val="auto"/>
        </w:rPr>
      </w:pPr>
    </w:p>
    <w:p>
      <w:pPr>
        <w:jc w:val="right"/>
        <w:ind w:right="9540"/>
        <w:spacing w:after="0"/>
        <w:rPr>
          <w:sz w:val="20"/>
          <w:szCs w:val="20"/>
          <w:color w:val="auto"/>
        </w:rPr>
      </w:pPr>
      <w:r>
        <w:rPr>
          <w:rFonts w:ascii="Arial" w:cs="Arial" w:eastAsia="Arial" w:hAnsi="Arial"/>
          <w:sz w:val="18"/>
          <w:szCs w:val="18"/>
          <w:b w:val="1"/>
          <w:bCs w:val="1"/>
          <w:color w:val="auto"/>
        </w:rPr>
        <w:t>D. Other Securities</w:t>
      </w:r>
    </w:p>
    <w:p>
      <w:pPr>
        <w:spacing w:after="0" w:line="121" w:lineRule="exact"/>
        <w:rPr>
          <w:sz w:val="20"/>
          <w:szCs w:val="20"/>
          <w:color w:val="auto"/>
        </w:rPr>
      </w:pPr>
    </w:p>
    <w:p>
      <w:pPr>
        <w:jc w:val="right"/>
        <w:ind w:right="9480"/>
        <w:spacing w:after="0"/>
        <w:rPr>
          <w:sz w:val="20"/>
          <w:szCs w:val="20"/>
          <w:color w:val="auto"/>
        </w:rPr>
      </w:pPr>
      <w:r>
        <w:rPr>
          <w:rFonts w:ascii="Arial" w:cs="Arial" w:eastAsia="Arial" w:hAnsi="Arial"/>
          <w:sz w:val="18"/>
          <w:szCs w:val="18"/>
          <w:color w:val="auto"/>
        </w:rPr>
        <w:t>Not applicable.</w:t>
      </w:r>
    </w:p>
    <w:p>
      <w:pPr>
        <w:spacing w:after="0" w:line="158"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92</w:t>
      </w:r>
    </w:p>
    <w:p>
      <w:pPr>
        <w:sectPr>
          <w:pgSz w:w="11900" w:h="16838" w:orient="portrait"/>
          <w:cols w:equalWidth="0" w:num="1">
            <w:col w:w="11220"/>
          </w:cols>
          <w:pgMar w:left="240" w:top="459" w:right="439" w:bottom="1440" w:gutter="0" w:footer="0" w:header="0"/>
        </w:sectPr>
      </w:pPr>
    </w:p>
    <w:bookmarkStart w:id="94" w:name="page95"/>
    <w:bookmarkEnd w:id="9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479"/>
        <w:spacing w:after="0"/>
        <w:rPr>
          <w:sz w:val="20"/>
          <w:szCs w:val="20"/>
          <w:color w:val="auto"/>
        </w:rPr>
      </w:pPr>
      <w:r>
        <w:rPr>
          <w:rFonts w:ascii="Arial" w:cs="Arial" w:eastAsia="Arial" w:hAnsi="Arial"/>
          <w:sz w:val="18"/>
          <w:szCs w:val="18"/>
          <w:b w:val="1"/>
          <w:bCs w:val="1"/>
          <w:color w:val="auto"/>
        </w:rPr>
        <w:t>PART II</w:t>
      </w:r>
    </w:p>
    <w:p>
      <w:pPr>
        <w:spacing w:after="0" w:line="22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ITEM 13. DEFAULTS, DIVIDEND ARREARAGES AND DELINQUENCIES</w:t>
      </w:r>
    </w:p>
    <w:p>
      <w:pPr>
        <w:spacing w:after="0" w:line="121" w:lineRule="exact"/>
        <w:rPr>
          <w:sz w:val="20"/>
          <w:szCs w:val="20"/>
          <w:color w:val="auto"/>
        </w:rPr>
      </w:pPr>
    </w:p>
    <w:p>
      <w:pPr>
        <w:ind w:left="640"/>
        <w:spacing w:after="0"/>
        <w:rPr>
          <w:sz w:val="20"/>
          <w:szCs w:val="20"/>
          <w:color w:val="auto"/>
        </w:rPr>
      </w:pPr>
      <w:r>
        <w:rPr>
          <w:rFonts w:ascii="Arial" w:cs="Arial" w:eastAsia="Arial" w:hAnsi="Arial"/>
          <w:sz w:val="18"/>
          <w:szCs w:val="18"/>
          <w:color w:val="auto"/>
        </w:rPr>
        <w:t>Not applicable.</w:t>
      </w:r>
    </w:p>
    <w:p>
      <w:pPr>
        <w:spacing w:after="0" w:line="329"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ITEM 14. MATERIAL MODIFICATIONS TO THE RIGHTS OF SECURITY HOLDERS AND USE OF PROCEEDS</w:t>
      </w:r>
    </w:p>
    <w:p>
      <w:pPr>
        <w:spacing w:after="0" w:line="121" w:lineRule="exact"/>
        <w:rPr>
          <w:sz w:val="20"/>
          <w:szCs w:val="20"/>
          <w:color w:val="auto"/>
        </w:rPr>
      </w:pPr>
    </w:p>
    <w:p>
      <w:pPr>
        <w:ind w:left="640"/>
        <w:spacing w:after="0"/>
        <w:rPr>
          <w:sz w:val="20"/>
          <w:szCs w:val="20"/>
          <w:color w:val="auto"/>
        </w:rPr>
      </w:pPr>
      <w:r>
        <w:rPr>
          <w:rFonts w:ascii="Arial" w:cs="Arial" w:eastAsia="Arial" w:hAnsi="Arial"/>
          <w:sz w:val="18"/>
          <w:szCs w:val="18"/>
          <w:color w:val="auto"/>
        </w:rPr>
        <w:t>Not applicable.</w:t>
      </w:r>
    </w:p>
    <w:p>
      <w:pPr>
        <w:spacing w:after="0" w:line="329"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ITEM 15. CONTROLS AND PROCEDURES</w:t>
      </w:r>
    </w:p>
    <w:p>
      <w:pPr>
        <w:spacing w:after="0" w:line="117"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Disclosure Controls and Procedures</w:t>
      </w:r>
    </w:p>
    <w:p>
      <w:pPr>
        <w:spacing w:after="0" w:line="121" w:lineRule="exact"/>
        <w:rPr>
          <w:sz w:val="20"/>
          <w:szCs w:val="20"/>
          <w:color w:val="auto"/>
        </w:rPr>
      </w:pPr>
    </w:p>
    <w:p>
      <w:pPr>
        <w:ind w:left="640"/>
        <w:spacing w:after="0"/>
        <w:rPr>
          <w:sz w:val="20"/>
          <w:szCs w:val="20"/>
          <w:color w:val="auto"/>
        </w:rPr>
      </w:pPr>
      <w:r>
        <w:rPr>
          <w:rFonts w:ascii="Arial" w:cs="Arial" w:eastAsia="Arial" w:hAnsi="Arial"/>
          <w:sz w:val="18"/>
          <w:szCs w:val="18"/>
          <w:color w:val="auto"/>
        </w:rPr>
        <w:t>Not applicable.</w:t>
      </w:r>
    </w:p>
    <w:p>
      <w:pPr>
        <w:spacing w:after="0" w:line="329"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Changes in Internal Control over Financial Reporting</w:t>
      </w:r>
    </w:p>
    <w:p>
      <w:pPr>
        <w:spacing w:after="0" w:line="121" w:lineRule="exact"/>
        <w:rPr>
          <w:sz w:val="20"/>
          <w:szCs w:val="20"/>
          <w:color w:val="auto"/>
        </w:rPr>
      </w:pPr>
    </w:p>
    <w:p>
      <w:pPr>
        <w:ind w:left="200" w:firstLine="441"/>
        <w:spacing w:after="0" w:line="277" w:lineRule="auto"/>
        <w:rPr>
          <w:sz w:val="20"/>
          <w:szCs w:val="20"/>
          <w:color w:val="auto"/>
        </w:rPr>
      </w:pPr>
      <w:r>
        <w:rPr>
          <w:rFonts w:ascii="Arial" w:cs="Arial" w:eastAsia="Arial" w:hAnsi="Arial"/>
          <w:sz w:val="18"/>
          <w:szCs w:val="18"/>
          <w:color w:val="auto"/>
        </w:rPr>
        <w:t>During the year ended June 30, 2018, there were no changes in our internal control over financial reporting that have materially affected, or are reasonably likely to materially affect, our internal control over financial reporting.</w:t>
      </w:r>
    </w:p>
    <w:p>
      <w:pPr>
        <w:spacing w:after="0" w:line="27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ITEM 16. RESERVED</w:t>
      </w:r>
    </w:p>
    <w:p>
      <w:pPr>
        <w:spacing w:after="0" w:line="121" w:lineRule="exact"/>
        <w:rPr>
          <w:sz w:val="20"/>
          <w:szCs w:val="20"/>
          <w:color w:val="auto"/>
        </w:rPr>
      </w:pPr>
    </w:p>
    <w:p>
      <w:pPr>
        <w:ind w:left="640"/>
        <w:spacing w:after="0"/>
        <w:rPr>
          <w:sz w:val="20"/>
          <w:szCs w:val="20"/>
          <w:color w:val="auto"/>
        </w:rPr>
      </w:pPr>
      <w:r>
        <w:rPr>
          <w:rFonts w:ascii="Arial" w:cs="Arial" w:eastAsia="Arial" w:hAnsi="Arial"/>
          <w:sz w:val="18"/>
          <w:szCs w:val="18"/>
          <w:color w:val="auto"/>
        </w:rPr>
        <w:t>Not applicable.</w:t>
      </w:r>
    </w:p>
    <w:p>
      <w:pPr>
        <w:spacing w:after="0" w:line="329"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ITEM 16A. AUDIT COMMITTEE FINANCIAL EXPERT</w:t>
      </w:r>
    </w:p>
    <w:p>
      <w:pPr>
        <w:spacing w:after="0" w:line="121" w:lineRule="exact"/>
        <w:rPr>
          <w:sz w:val="20"/>
          <w:szCs w:val="20"/>
          <w:color w:val="auto"/>
        </w:rPr>
      </w:pPr>
    </w:p>
    <w:p>
      <w:pPr>
        <w:ind w:left="640"/>
        <w:spacing w:after="0"/>
        <w:rPr>
          <w:sz w:val="20"/>
          <w:szCs w:val="20"/>
          <w:color w:val="auto"/>
        </w:rPr>
      </w:pPr>
      <w:r>
        <w:rPr>
          <w:rFonts w:ascii="Arial" w:cs="Arial" w:eastAsia="Arial" w:hAnsi="Arial"/>
          <w:sz w:val="18"/>
          <w:szCs w:val="18"/>
          <w:color w:val="auto"/>
        </w:rPr>
        <w:t>Not applicable.</w:t>
      </w:r>
    </w:p>
    <w:p>
      <w:pPr>
        <w:spacing w:after="0" w:line="329"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ITEM 16B. CODE OF ETHICS</w:t>
      </w:r>
    </w:p>
    <w:p>
      <w:pPr>
        <w:spacing w:after="0" w:line="121" w:lineRule="exact"/>
        <w:rPr>
          <w:sz w:val="20"/>
          <w:szCs w:val="20"/>
          <w:color w:val="auto"/>
        </w:rPr>
      </w:pPr>
    </w:p>
    <w:p>
      <w:pPr>
        <w:ind w:left="640"/>
        <w:spacing w:after="0"/>
        <w:rPr>
          <w:sz w:val="20"/>
          <w:szCs w:val="20"/>
          <w:color w:val="auto"/>
        </w:rPr>
      </w:pPr>
      <w:r>
        <w:rPr>
          <w:rFonts w:ascii="Arial" w:cs="Arial" w:eastAsia="Arial" w:hAnsi="Arial"/>
          <w:sz w:val="18"/>
          <w:szCs w:val="18"/>
          <w:color w:val="auto"/>
        </w:rPr>
        <w:t>Not applicable.</w:t>
      </w:r>
    </w:p>
    <w:p>
      <w:pPr>
        <w:spacing w:after="0" w:line="329"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ITEM 16C. PRINCIPAL ACCOUNTANT FEES AND SERVICES</w:t>
      </w:r>
    </w:p>
    <w:p>
      <w:pPr>
        <w:spacing w:after="0" w:line="121" w:lineRule="exact"/>
        <w:rPr>
          <w:sz w:val="20"/>
          <w:szCs w:val="20"/>
          <w:color w:val="auto"/>
        </w:rPr>
      </w:pPr>
    </w:p>
    <w:p>
      <w:pPr>
        <w:ind w:left="640"/>
        <w:spacing w:after="0"/>
        <w:rPr>
          <w:sz w:val="20"/>
          <w:szCs w:val="20"/>
          <w:color w:val="auto"/>
        </w:rPr>
      </w:pPr>
      <w:r>
        <w:rPr>
          <w:rFonts w:ascii="Arial" w:cs="Arial" w:eastAsia="Arial" w:hAnsi="Arial"/>
          <w:sz w:val="18"/>
          <w:szCs w:val="18"/>
          <w:color w:val="auto"/>
        </w:rPr>
        <w:t>Not applicable.</w:t>
      </w:r>
    </w:p>
    <w:p>
      <w:pPr>
        <w:spacing w:after="0" w:line="329"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ITEM 16D. EXEMPTIONS FROM THE LISTING STANDARDS FOR AUDIT COMMITTEES</w:t>
      </w:r>
    </w:p>
    <w:p>
      <w:pPr>
        <w:spacing w:after="0" w:line="121" w:lineRule="exact"/>
        <w:rPr>
          <w:sz w:val="20"/>
          <w:szCs w:val="20"/>
          <w:color w:val="auto"/>
        </w:rPr>
      </w:pPr>
    </w:p>
    <w:p>
      <w:pPr>
        <w:ind w:left="640"/>
        <w:spacing w:after="0"/>
        <w:rPr>
          <w:sz w:val="20"/>
          <w:szCs w:val="20"/>
          <w:color w:val="auto"/>
        </w:rPr>
      </w:pPr>
      <w:r>
        <w:rPr>
          <w:rFonts w:ascii="Arial" w:cs="Arial" w:eastAsia="Arial" w:hAnsi="Arial"/>
          <w:sz w:val="18"/>
          <w:szCs w:val="18"/>
          <w:color w:val="auto"/>
        </w:rPr>
        <w:t>Not applicable.</w:t>
      </w:r>
    </w:p>
    <w:p>
      <w:pPr>
        <w:spacing w:after="0" w:line="329"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ITEM 16E. PURCHASES OF EQUITY SECURITIES BY THE ISSUER AND AFFILIATED PURCHASERS</w:t>
      </w:r>
    </w:p>
    <w:p>
      <w:pPr>
        <w:spacing w:after="0" w:line="121" w:lineRule="exact"/>
        <w:rPr>
          <w:sz w:val="20"/>
          <w:szCs w:val="20"/>
          <w:color w:val="auto"/>
        </w:rPr>
      </w:pPr>
    </w:p>
    <w:p>
      <w:pPr>
        <w:ind w:left="640"/>
        <w:spacing w:after="0"/>
        <w:rPr>
          <w:sz w:val="20"/>
          <w:szCs w:val="20"/>
          <w:color w:val="auto"/>
        </w:rPr>
      </w:pPr>
      <w:r>
        <w:rPr>
          <w:rFonts w:ascii="Arial" w:cs="Arial" w:eastAsia="Arial" w:hAnsi="Arial"/>
          <w:sz w:val="18"/>
          <w:szCs w:val="18"/>
          <w:color w:val="auto"/>
        </w:rPr>
        <w:t>Not applicable.</w:t>
      </w:r>
    </w:p>
    <w:p>
      <w:pPr>
        <w:spacing w:after="0" w:line="329"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ITEM 16F. CHANGE IN REGISTRANT’S CERTIFYING ACCOUNTANT</w:t>
      </w:r>
    </w:p>
    <w:p>
      <w:pPr>
        <w:spacing w:after="0" w:line="121" w:lineRule="exact"/>
        <w:rPr>
          <w:sz w:val="20"/>
          <w:szCs w:val="20"/>
          <w:color w:val="auto"/>
        </w:rPr>
      </w:pPr>
    </w:p>
    <w:p>
      <w:pPr>
        <w:ind w:left="640"/>
        <w:spacing w:after="0"/>
        <w:rPr>
          <w:sz w:val="20"/>
          <w:szCs w:val="20"/>
          <w:color w:val="auto"/>
        </w:rPr>
      </w:pPr>
      <w:r>
        <w:rPr>
          <w:rFonts w:ascii="Arial" w:cs="Arial" w:eastAsia="Arial" w:hAnsi="Arial"/>
          <w:sz w:val="18"/>
          <w:szCs w:val="18"/>
          <w:color w:val="auto"/>
        </w:rPr>
        <w:t>Not applicable.</w:t>
      </w:r>
    </w:p>
    <w:p>
      <w:pPr>
        <w:spacing w:after="0" w:line="329"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ITEM 16G. CORPORATE GOVERNANCE</w:t>
      </w:r>
    </w:p>
    <w:p>
      <w:pPr>
        <w:spacing w:after="0" w:line="121" w:lineRule="exact"/>
        <w:rPr>
          <w:sz w:val="20"/>
          <w:szCs w:val="20"/>
          <w:color w:val="auto"/>
        </w:rPr>
      </w:pPr>
    </w:p>
    <w:p>
      <w:pPr>
        <w:ind w:left="640"/>
        <w:spacing w:after="0"/>
        <w:rPr>
          <w:sz w:val="20"/>
          <w:szCs w:val="20"/>
          <w:color w:val="auto"/>
        </w:rPr>
      </w:pPr>
      <w:r>
        <w:rPr>
          <w:rFonts w:ascii="Arial" w:cs="Arial" w:eastAsia="Arial" w:hAnsi="Arial"/>
          <w:sz w:val="18"/>
          <w:szCs w:val="18"/>
          <w:color w:val="auto"/>
        </w:rPr>
        <w:t>Not applicable.</w:t>
      </w:r>
    </w:p>
    <w:p>
      <w:pPr>
        <w:spacing w:after="0" w:line="158" w:lineRule="exact"/>
        <w:rPr>
          <w:sz w:val="20"/>
          <w:szCs w:val="20"/>
          <w:color w:val="auto"/>
        </w:rPr>
      </w:pPr>
    </w:p>
    <w:p>
      <w:pPr>
        <w:jc w:val="center"/>
        <w:ind w:right="-479"/>
        <w:spacing w:after="0"/>
        <w:rPr>
          <w:sz w:val="20"/>
          <w:szCs w:val="20"/>
          <w:color w:val="auto"/>
        </w:rPr>
      </w:pPr>
      <w:r>
        <w:rPr>
          <w:rFonts w:ascii="Arial" w:cs="Arial" w:eastAsia="Arial" w:hAnsi="Arial"/>
          <w:sz w:val="18"/>
          <w:szCs w:val="18"/>
          <w:color w:val="auto"/>
        </w:rPr>
        <w:t>93</w:t>
      </w:r>
    </w:p>
    <w:p>
      <w:pPr>
        <w:sectPr>
          <w:pgSz w:w="11900" w:h="16838" w:orient="portrait"/>
          <w:cols w:equalWidth="0" w:num="1">
            <w:col w:w="10960"/>
          </w:cols>
          <w:pgMar w:left="240" w:top="459" w:right="699" w:bottom="1440" w:gutter="0" w:footer="0" w:header="0"/>
        </w:sectPr>
      </w:pPr>
    </w:p>
    <w:bookmarkStart w:id="95" w:name="page96"/>
    <w:bookmarkEnd w:id="9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ITEM 16H. MINE SAFETY DISCLOSURES</w:t>
      </w:r>
    </w:p>
    <w:p>
      <w:pPr>
        <w:spacing w:after="0" w:line="121" w:lineRule="exact"/>
        <w:rPr>
          <w:sz w:val="20"/>
          <w:szCs w:val="20"/>
          <w:color w:val="auto"/>
        </w:rPr>
      </w:pPr>
    </w:p>
    <w:p>
      <w:pPr>
        <w:ind w:left="640"/>
        <w:spacing w:after="0"/>
        <w:rPr>
          <w:sz w:val="20"/>
          <w:szCs w:val="20"/>
          <w:color w:val="auto"/>
        </w:rPr>
      </w:pPr>
      <w:r>
        <w:rPr>
          <w:rFonts w:ascii="Arial" w:cs="Arial" w:eastAsia="Arial" w:hAnsi="Arial"/>
          <w:sz w:val="18"/>
          <w:szCs w:val="18"/>
          <w:color w:val="auto"/>
        </w:rPr>
        <w:t>Not applicable.</w:t>
      </w:r>
    </w:p>
    <w:p>
      <w:pPr>
        <w:spacing w:after="0" w:line="158" w:lineRule="exact"/>
        <w:rPr>
          <w:sz w:val="20"/>
          <w:szCs w:val="20"/>
          <w:color w:val="auto"/>
        </w:rPr>
      </w:pPr>
    </w:p>
    <w:p>
      <w:pPr>
        <w:jc w:val="right"/>
        <w:ind w:right="4419"/>
        <w:spacing w:after="0"/>
        <w:rPr>
          <w:sz w:val="20"/>
          <w:szCs w:val="20"/>
          <w:color w:val="auto"/>
        </w:rPr>
      </w:pPr>
      <w:r>
        <w:rPr>
          <w:rFonts w:ascii="Arial" w:cs="Arial" w:eastAsia="Arial" w:hAnsi="Arial"/>
          <w:sz w:val="18"/>
          <w:szCs w:val="18"/>
          <w:color w:val="auto"/>
        </w:rPr>
        <w:t>94</w:t>
      </w:r>
    </w:p>
    <w:p>
      <w:pPr>
        <w:sectPr>
          <w:pgSz w:w="11900" w:h="16838" w:orient="portrait"/>
          <w:cols w:equalWidth="0" w:num="1">
            <w:col w:w="10219"/>
          </w:cols>
          <w:pgMar w:left="240" w:top="459" w:right="1440" w:bottom="1440" w:gutter="0" w:footer="0" w:header="0"/>
        </w:sectPr>
      </w:pPr>
    </w:p>
    <w:bookmarkStart w:id="96" w:name="page97"/>
    <w:bookmarkEnd w:id="9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PART III</w:t>
      </w:r>
    </w:p>
    <w:p>
      <w:pPr>
        <w:spacing w:after="0" w:line="22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ITEM 17. FINANCIAL STATEMENTS</w:t>
      </w:r>
    </w:p>
    <w:p>
      <w:pPr>
        <w:spacing w:after="0" w:line="121" w:lineRule="exact"/>
        <w:rPr>
          <w:sz w:val="20"/>
          <w:szCs w:val="20"/>
          <w:color w:val="auto"/>
        </w:rPr>
      </w:pPr>
    </w:p>
    <w:p>
      <w:pPr>
        <w:ind w:left="200" w:right="400" w:firstLine="441"/>
        <w:spacing w:after="0" w:line="277" w:lineRule="auto"/>
        <w:rPr>
          <w:sz w:val="20"/>
          <w:szCs w:val="20"/>
          <w:color w:val="auto"/>
        </w:rPr>
      </w:pPr>
      <w:r>
        <w:rPr>
          <w:rFonts w:ascii="Arial" w:cs="Arial" w:eastAsia="Arial" w:hAnsi="Arial"/>
          <w:sz w:val="18"/>
          <w:szCs w:val="18"/>
          <w:color w:val="auto"/>
        </w:rPr>
        <w:t>The following financial statements and notes thereto (as applicable) in Australian dollars are filed with and incorporated herein as part of this registration statement on Form 20-F, beginning on page F-1 following the signature page of this Form 20-F:</w:t>
      </w:r>
    </w:p>
    <w:p>
      <w:pPr>
        <w:spacing w:after="0" w:line="76" w:lineRule="exact"/>
        <w:rPr>
          <w:sz w:val="20"/>
          <w:szCs w:val="20"/>
          <w:color w:val="auto"/>
        </w:rPr>
      </w:pPr>
    </w:p>
    <w:p>
      <w:pPr>
        <w:ind w:left="1180" w:right="40" w:hanging="436"/>
        <w:spacing w:after="0" w:line="259" w:lineRule="auto"/>
        <w:tabs>
          <w:tab w:leader="none" w:pos="1180" w:val="left"/>
        </w:tabs>
        <w:numPr>
          <w:ilvl w:val="0"/>
          <w:numId w:val="59"/>
        </w:numPr>
        <w:rPr>
          <w:rFonts w:ascii="Arial" w:cs="Arial" w:eastAsia="Arial" w:hAnsi="Arial"/>
          <w:sz w:val="18"/>
          <w:szCs w:val="18"/>
          <w:color w:val="auto"/>
        </w:rPr>
      </w:pPr>
      <w:r>
        <w:rPr>
          <w:rFonts w:ascii="Arial" w:cs="Arial" w:eastAsia="Arial" w:hAnsi="Arial"/>
          <w:sz w:val="18"/>
          <w:szCs w:val="18"/>
          <w:color w:val="auto"/>
        </w:rPr>
        <w:t>audited consolidated financial statements of the Company for the years ended June 30, 2018, 2017 and 2016, prepared in accordance with IFRS as issued by the IASB, including: consolidated statements of profits or loss and other comprehensive loss, consolidated statements of financial position, consolidated statements of cash flows, consolidated statements of changes in equity and notes to the consolidated financial statements.</w:t>
      </w:r>
    </w:p>
    <w:p>
      <w:pPr>
        <w:spacing w:after="0" w:line="92" w:lineRule="exact"/>
        <w:rPr>
          <w:rFonts w:ascii="Arial" w:cs="Arial" w:eastAsia="Arial" w:hAnsi="Arial"/>
          <w:sz w:val="18"/>
          <w:szCs w:val="18"/>
          <w:color w:val="auto"/>
        </w:rPr>
      </w:pPr>
    </w:p>
    <w:p>
      <w:pPr>
        <w:ind w:left="1180" w:hanging="436"/>
        <w:spacing w:after="0" w:line="259" w:lineRule="auto"/>
        <w:tabs>
          <w:tab w:leader="none" w:pos="1180" w:val="left"/>
        </w:tabs>
        <w:numPr>
          <w:ilvl w:val="0"/>
          <w:numId w:val="59"/>
        </w:numPr>
        <w:rPr>
          <w:rFonts w:ascii="Arial" w:cs="Arial" w:eastAsia="Arial" w:hAnsi="Arial"/>
          <w:sz w:val="18"/>
          <w:szCs w:val="18"/>
          <w:color w:val="auto"/>
        </w:rPr>
      </w:pPr>
      <w:r>
        <w:rPr>
          <w:rFonts w:ascii="Arial" w:cs="Arial" w:eastAsia="Arial" w:hAnsi="Arial"/>
          <w:sz w:val="18"/>
          <w:szCs w:val="18"/>
          <w:color w:val="auto"/>
        </w:rPr>
        <w:t>Unaudited condensed consolidated financial statements of the Company for the half-year ended December 31, 2018 and 2017, prepared in accordance with IFRS as issued by the IASB, including, including: consolidated statements of profits or loss and other comprehensive loss, consolidated statements of financial position, consolidated statements of cash flows, consolidated statements of changes in equity and notes to the consolidated financial statements.</w:t>
      </w:r>
    </w:p>
    <w:p>
      <w:pPr>
        <w:spacing w:after="0" w:line="92" w:lineRule="exact"/>
        <w:rPr>
          <w:rFonts w:ascii="Arial" w:cs="Arial" w:eastAsia="Arial" w:hAnsi="Arial"/>
          <w:sz w:val="18"/>
          <w:szCs w:val="18"/>
          <w:color w:val="auto"/>
        </w:rPr>
      </w:pPr>
    </w:p>
    <w:p>
      <w:pPr>
        <w:ind w:left="1180" w:right="320" w:hanging="436"/>
        <w:spacing w:after="0" w:line="279" w:lineRule="auto"/>
        <w:tabs>
          <w:tab w:leader="none" w:pos="1180" w:val="left"/>
        </w:tabs>
        <w:numPr>
          <w:ilvl w:val="0"/>
          <w:numId w:val="59"/>
        </w:numPr>
        <w:rPr>
          <w:rFonts w:ascii="Arial" w:cs="Arial" w:eastAsia="Arial" w:hAnsi="Arial"/>
          <w:sz w:val="17"/>
          <w:szCs w:val="17"/>
          <w:color w:val="auto"/>
        </w:rPr>
      </w:pPr>
      <w:r>
        <w:rPr>
          <w:rFonts w:ascii="Arial" w:cs="Arial" w:eastAsia="Arial" w:hAnsi="Arial"/>
          <w:sz w:val="17"/>
          <w:szCs w:val="17"/>
          <w:color w:val="auto"/>
        </w:rPr>
        <w:t>In addition, Exhibit 15.1 included with this registration statement on Form 20-F contains the preliminary, unaudited consolidated statements of profits or loss and other comprehensive income, consolidated statements of financial position, consolidated statements of cash flows and consolidated statements of changes in equity for the fiscal year ended June 30, 2019 as submitted as Appendix 4E in connection with the ongoing listing of our ordinary shares on the Australian Securities Exchange.</w:t>
      </w:r>
    </w:p>
    <w:p>
      <w:pPr>
        <w:spacing w:after="0" w:line="276"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ITEM 18. FINANCIAL STATEMENTS</w:t>
      </w:r>
    </w:p>
    <w:p>
      <w:pPr>
        <w:spacing w:after="0" w:line="121" w:lineRule="exact"/>
        <w:rPr>
          <w:sz w:val="20"/>
          <w:szCs w:val="20"/>
          <w:color w:val="auto"/>
        </w:rPr>
      </w:pPr>
    </w:p>
    <w:p>
      <w:pPr>
        <w:ind w:left="200" w:firstLine="441"/>
        <w:spacing w:after="0" w:line="277" w:lineRule="auto"/>
        <w:rPr>
          <w:sz w:val="20"/>
          <w:szCs w:val="20"/>
          <w:color w:val="auto"/>
        </w:rPr>
      </w:pPr>
      <w:r>
        <w:rPr>
          <w:rFonts w:ascii="Arial" w:cs="Arial" w:eastAsia="Arial" w:hAnsi="Arial"/>
          <w:sz w:val="18"/>
          <w:szCs w:val="18"/>
          <w:color w:val="auto"/>
        </w:rPr>
        <w:t>We have elected to provide financial statements pursuant to Item 17. See the Index to the Financial Statements on page F-1 following the signature page of this Form 20-F.</w:t>
      </w:r>
    </w:p>
    <w:p>
      <w:pPr>
        <w:spacing w:after="0" w:line="27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ITEM 19. EXHIBITS</w:t>
      </w:r>
    </w:p>
    <w:p>
      <w:pPr>
        <w:spacing w:after="0" w:line="121" w:lineRule="exact"/>
        <w:rPr>
          <w:sz w:val="20"/>
          <w:szCs w:val="20"/>
          <w:color w:val="auto"/>
        </w:rPr>
      </w:pPr>
    </w:p>
    <w:p>
      <w:pPr>
        <w:ind w:left="200"/>
        <w:spacing w:after="0"/>
        <w:rPr>
          <w:sz w:val="20"/>
          <w:szCs w:val="20"/>
          <w:color w:val="auto"/>
        </w:rPr>
      </w:pPr>
      <w:r>
        <w:rPr>
          <w:rFonts w:ascii="Arial" w:cs="Arial" w:eastAsia="Arial" w:hAnsi="Arial"/>
          <w:sz w:val="18"/>
          <w:szCs w:val="18"/>
          <w:color w:val="auto"/>
        </w:rPr>
        <w:t>The following exhibits are filed as part of this registration statement:</w:t>
      </w:r>
    </w:p>
    <w:p>
      <w:pPr>
        <w:spacing w:after="0" w:line="244" w:lineRule="exact"/>
        <w:rPr>
          <w:sz w:val="20"/>
          <w:szCs w:val="20"/>
          <w:color w:val="auto"/>
        </w:rPr>
      </w:pPr>
    </w:p>
    <w:tbl>
      <w:tblPr>
        <w:tblLayout w:type="fixed"/>
        <w:tblInd w:w="260" w:type="dxa"/>
        <w:tblCellMar>
          <w:top w:w="0" w:type="dxa"/>
          <w:left w:w="0" w:type="dxa"/>
          <w:bottom w:w="0" w:type="dxa"/>
          <w:right w:w="0" w:type="dxa"/>
        </w:tblCellMar>
      </w:tblPr>
      <w:tr>
        <w:trPr>
          <w:trHeight w:val="186"/>
        </w:trPr>
        <w:tc>
          <w:tcPr>
            <w:tcW w:w="940" w:type="dxa"/>
            <w:vAlign w:val="bottom"/>
          </w:tcPr>
          <w:p>
            <w:pPr>
              <w:spacing w:after="0"/>
              <w:rPr>
                <w:sz w:val="20"/>
                <w:szCs w:val="20"/>
                <w:color w:val="auto"/>
              </w:rPr>
            </w:pPr>
            <w:r>
              <w:rPr>
                <w:rFonts w:ascii="Arial" w:cs="Arial" w:eastAsia="Arial" w:hAnsi="Arial"/>
                <w:sz w:val="14"/>
                <w:szCs w:val="14"/>
                <w:b w:val="1"/>
                <w:bCs w:val="1"/>
                <w:color w:val="auto"/>
              </w:rPr>
              <w:t>Exhibit</w:t>
            </w:r>
          </w:p>
        </w:tc>
        <w:tc>
          <w:tcPr>
            <w:tcW w:w="9920" w:type="dxa"/>
            <w:vAlign w:val="bottom"/>
            <w:gridSpan w:val="13"/>
          </w:tcPr>
          <w:p>
            <w:pPr>
              <w:spacing w:after="0"/>
              <w:rPr>
                <w:sz w:val="20"/>
                <w:szCs w:val="20"/>
                <w:color w:val="auto"/>
              </w:rPr>
            </w:pPr>
            <w:r>
              <w:rPr>
                <w:rFonts w:ascii="Arial" w:cs="Arial" w:eastAsia="Arial" w:hAnsi="Arial"/>
                <w:sz w:val="14"/>
                <w:szCs w:val="14"/>
                <w:b w:val="1"/>
                <w:bCs w:val="1"/>
                <w:color w:val="auto"/>
              </w:rPr>
              <w:t>Description</w:t>
            </w:r>
          </w:p>
        </w:tc>
      </w:tr>
      <w:tr>
        <w:trPr>
          <w:trHeight w:val="269"/>
        </w:trPr>
        <w:tc>
          <w:tcPr>
            <w:tcW w:w="940" w:type="dxa"/>
            <w:vAlign w:val="bottom"/>
          </w:tcPr>
          <w:p>
            <w:pPr>
              <w:ind w:left="40"/>
              <w:spacing w:after="0"/>
              <w:rPr>
                <w:sz w:val="20"/>
                <w:szCs w:val="20"/>
                <w:color w:val="auto"/>
              </w:rPr>
            </w:pPr>
            <w:r>
              <w:rPr>
                <w:rFonts w:ascii="Arial" w:cs="Arial" w:eastAsia="Arial" w:hAnsi="Arial"/>
                <w:sz w:val="18"/>
                <w:szCs w:val="18"/>
                <w:color w:val="auto"/>
              </w:rPr>
              <w:t>1.1*</w:t>
            </w:r>
          </w:p>
        </w:tc>
        <w:tc>
          <w:tcPr>
            <w:tcW w:w="4060" w:type="dxa"/>
            <w:vAlign w:val="bottom"/>
            <w:tcBorders>
              <w:bottom w:val="single" w:sz="8" w:color="0000EE"/>
            </w:tcBorders>
            <w:gridSpan w:val="4"/>
          </w:tcPr>
          <w:p>
            <w:pPr>
              <w:spacing w:after="0"/>
              <w:rPr>
                <w:rFonts w:ascii="Arial" w:cs="Arial" w:eastAsia="Arial" w:hAnsi="Arial"/>
                <w:sz w:val="18"/>
                <w:szCs w:val="18"/>
                <w:color w:val="0000EE"/>
                <w:w w:val="94"/>
              </w:rPr>
            </w:pPr>
            <w:hyperlink r:id="rId130">
              <w:r>
                <w:rPr>
                  <w:rFonts w:ascii="Arial" w:cs="Arial" w:eastAsia="Arial" w:hAnsi="Arial"/>
                  <w:sz w:val="18"/>
                  <w:szCs w:val="18"/>
                  <w:color w:val="0000EE"/>
                  <w:w w:val="94"/>
                </w:rPr>
                <w:t>Corporations Act Constitution of Avita Medical Limited</w:t>
              </w:r>
            </w:hyperlink>
          </w:p>
        </w:tc>
        <w:tc>
          <w:tcPr>
            <w:tcW w:w="5860" w:type="dxa"/>
            <w:vAlign w:val="bottom"/>
            <w:gridSpan w:val="9"/>
          </w:tcPr>
          <w:p>
            <w:pPr>
              <w:spacing w:after="0"/>
              <w:rPr>
                <w:sz w:val="23"/>
                <w:szCs w:val="23"/>
                <w:color w:val="auto"/>
              </w:rPr>
            </w:pPr>
          </w:p>
        </w:tc>
      </w:tr>
      <w:tr>
        <w:trPr>
          <w:trHeight w:val="304"/>
        </w:trPr>
        <w:tc>
          <w:tcPr>
            <w:tcW w:w="940" w:type="dxa"/>
            <w:vAlign w:val="bottom"/>
          </w:tcPr>
          <w:p>
            <w:pPr>
              <w:ind w:left="40"/>
              <w:spacing w:after="0"/>
              <w:rPr>
                <w:sz w:val="20"/>
                <w:szCs w:val="20"/>
                <w:color w:val="auto"/>
              </w:rPr>
            </w:pPr>
            <w:r>
              <w:rPr>
                <w:rFonts w:ascii="Arial" w:cs="Arial" w:eastAsia="Arial" w:hAnsi="Arial"/>
                <w:sz w:val="18"/>
                <w:szCs w:val="18"/>
                <w:color w:val="auto"/>
              </w:rPr>
              <w:t>2.1*</w:t>
            </w:r>
          </w:p>
        </w:tc>
        <w:tc>
          <w:tcPr>
            <w:tcW w:w="9920" w:type="dxa"/>
            <w:vAlign w:val="bottom"/>
            <w:tcBorders>
              <w:bottom w:val="single" w:sz="8" w:color="0000EE"/>
            </w:tcBorders>
            <w:gridSpan w:val="13"/>
          </w:tcPr>
          <w:p>
            <w:pPr>
              <w:spacing w:after="0"/>
              <w:rPr>
                <w:rFonts w:ascii="Arial" w:cs="Arial" w:eastAsia="Arial" w:hAnsi="Arial"/>
                <w:sz w:val="18"/>
                <w:szCs w:val="18"/>
                <w:color w:val="0000EE"/>
                <w:w w:val="91"/>
              </w:rPr>
            </w:pPr>
            <w:hyperlink r:id="rId131">
              <w:r>
                <w:rPr>
                  <w:rFonts w:ascii="Arial" w:cs="Arial" w:eastAsia="Arial" w:hAnsi="Arial"/>
                  <w:sz w:val="18"/>
                  <w:szCs w:val="18"/>
                  <w:color w:val="0000EE"/>
                  <w:w w:val="91"/>
                </w:rPr>
                <w:t>Form of Deposit Agreement among the registrant, The Bank of New York Mellon, as Depositary, and all owners and holders from time to</w:t>
              </w:r>
            </w:hyperlink>
          </w:p>
        </w:tc>
      </w:tr>
      <w:tr>
        <w:trPr>
          <w:trHeight w:val="196"/>
        </w:trPr>
        <w:tc>
          <w:tcPr>
            <w:tcW w:w="940" w:type="dxa"/>
            <w:vAlign w:val="bottom"/>
          </w:tcPr>
          <w:p>
            <w:pPr>
              <w:spacing w:after="0"/>
              <w:rPr>
                <w:sz w:val="17"/>
                <w:szCs w:val="17"/>
                <w:color w:val="auto"/>
              </w:rPr>
            </w:pPr>
          </w:p>
        </w:tc>
        <w:tc>
          <w:tcPr>
            <w:tcW w:w="9920" w:type="dxa"/>
            <w:vAlign w:val="bottom"/>
            <w:gridSpan w:val="13"/>
          </w:tcPr>
          <w:p>
            <w:pPr>
              <w:spacing w:after="0" w:line="196" w:lineRule="exact"/>
              <w:rPr>
                <w:rFonts w:ascii="Arial" w:cs="Arial" w:eastAsia="Arial" w:hAnsi="Arial"/>
                <w:sz w:val="18"/>
                <w:szCs w:val="18"/>
                <w:color w:val="0000EE"/>
              </w:rPr>
            </w:pPr>
            <w:hyperlink r:id="rId131">
              <w:r>
                <w:rPr>
                  <w:rFonts w:ascii="Arial" w:cs="Arial" w:eastAsia="Arial" w:hAnsi="Arial"/>
                  <w:sz w:val="18"/>
                  <w:szCs w:val="18"/>
                  <w:color w:val="0000EE"/>
                </w:rPr>
                <w:t>time of American Depositary Shares issued thereunder</w:t>
              </w:r>
            </w:hyperlink>
          </w:p>
        </w:tc>
      </w:tr>
      <w:tr>
        <w:trPr>
          <w:trHeight w:val="304"/>
        </w:trPr>
        <w:tc>
          <w:tcPr>
            <w:tcW w:w="940" w:type="dxa"/>
            <w:vAlign w:val="bottom"/>
          </w:tcPr>
          <w:p>
            <w:pPr>
              <w:ind w:left="40"/>
              <w:spacing w:after="0"/>
              <w:rPr>
                <w:sz w:val="20"/>
                <w:szCs w:val="20"/>
                <w:color w:val="auto"/>
              </w:rPr>
            </w:pPr>
            <w:r>
              <w:rPr>
                <w:rFonts w:ascii="Arial" w:cs="Arial" w:eastAsia="Arial" w:hAnsi="Arial"/>
                <w:sz w:val="18"/>
                <w:szCs w:val="18"/>
                <w:color w:val="auto"/>
              </w:rPr>
              <w:t>4.1*</w:t>
            </w:r>
          </w:p>
        </w:tc>
        <w:tc>
          <w:tcPr>
            <w:tcW w:w="2360" w:type="dxa"/>
            <w:vAlign w:val="bottom"/>
            <w:tcBorders>
              <w:top w:val="single" w:sz="8" w:color="0000EE"/>
              <w:bottom w:val="single" w:sz="8" w:color="0000EE"/>
            </w:tcBorders>
            <w:gridSpan w:val="2"/>
          </w:tcPr>
          <w:p>
            <w:pPr>
              <w:spacing w:after="0"/>
              <w:rPr>
                <w:rFonts w:ascii="Arial" w:cs="Arial" w:eastAsia="Arial" w:hAnsi="Arial"/>
                <w:sz w:val="18"/>
                <w:szCs w:val="18"/>
                <w:color w:val="0000EE"/>
                <w:w w:val="91"/>
              </w:rPr>
            </w:pPr>
            <w:hyperlink r:id="rId132">
              <w:r>
                <w:rPr>
                  <w:rFonts w:ascii="Arial" w:cs="Arial" w:eastAsia="Arial" w:hAnsi="Arial"/>
                  <w:sz w:val="18"/>
                  <w:szCs w:val="18"/>
                  <w:color w:val="0000EE"/>
                  <w:w w:val="91"/>
                </w:rPr>
                <w:t>Employee Incentive Option Plan</w:t>
              </w:r>
            </w:hyperlink>
          </w:p>
        </w:tc>
        <w:tc>
          <w:tcPr>
            <w:tcW w:w="1580" w:type="dxa"/>
            <w:vAlign w:val="bottom"/>
            <w:tcBorders>
              <w:top w:val="single" w:sz="8" w:color="0000EE"/>
            </w:tcBorders>
          </w:tcPr>
          <w:p>
            <w:pPr>
              <w:spacing w:after="0"/>
              <w:rPr>
                <w:sz w:val="24"/>
                <w:szCs w:val="24"/>
                <w:color w:val="auto"/>
              </w:rPr>
            </w:pPr>
          </w:p>
        </w:tc>
        <w:tc>
          <w:tcPr>
            <w:tcW w:w="5980" w:type="dxa"/>
            <w:vAlign w:val="bottom"/>
            <w:gridSpan w:val="10"/>
          </w:tcPr>
          <w:p>
            <w:pPr>
              <w:spacing w:after="0"/>
              <w:rPr>
                <w:sz w:val="24"/>
                <w:szCs w:val="24"/>
                <w:color w:val="auto"/>
              </w:rPr>
            </w:pPr>
          </w:p>
        </w:tc>
      </w:tr>
      <w:tr>
        <w:trPr>
          <w:trHeight w:val="304"/>
        </w:trPr>
        <w:tc>
          <w:tcPr>
            <w:tcW w:w="940" w:type="dxa"/>
            <w:vAlign w:val="bottom"/>
          </w:tcPr>
          <w:p>
            <w:pPr>
              <w:ind w:left="40"/>
              <w:spacing w:after="0"/>
              <w:rPr>
                <w:sz w:val="20"/>
                <w:szCs w:val="20"/>
                <w:color w:val="auto"/>
              </w:rPr>
            </w:pPr>
            <w:r>
              <w:rPr>
                <w:rFonts w:ascii="Arial" w:cs="Arial" w:eastAsia="Arial" w:hAnsi="Arial"/>
                <w:sz w:val="18"/>
                <w:szCs w:val="18"/>
                <w:color w:val="auto"/>
              </w:rPr>
              <w:t>4.2*</w:t>
            </w:r>
          </w:p>
        </w:tc>
        <w:tc>
          <w:tcPr>
            <w:tcW w:w="1560" w:type="dxa"/>
            <w:vAlign w:val="bottom"/>
            <w:tcBorders>
              <w:bottom w:val="single" w:sz="8" w:color="0000EE"/>
            </w:tcBorders>
          </w:tcPr>
          <w:p>
            <w:pPr>
              <w:spacing w:after="0"/>
              <w:rPr>
                <w:rFonts w:ascii="Arial" w:cs="Arial" w:eastAsia="Arial" w:hAnsi="Arial"/>
                <w:sz w:val="18"/>
                <w:szCs w:val="18"/>
                <w:color w:val="0000EE"/>
                <w:w w:val="88"/>
              </w:rPr>
            </w:pPr>
            <w:hyperlink r:id="rId133">
              <w:r>
                <w:rPr>
                  <w:rFonts w:ascii="Arial" w:cs="Arial" w:eastAsia="Arial" w:hAnsi="Arial"/>
                  <w:sz w:val="18"/>
                  <w:szCs w:val="18"/>
                  <w:color w:val="0000EE"/>
                  <w:w w:val="88"/>
                </w:rPr>
                <w:t>Employee Share Plan</w:t>
              </w:r>
            </w:hyperlink>
          </w:p>
        </w:tc>
        <w:tc>
          <w:tcPr>
            <w:tcW w:w="8360" w:type="dxa"/>
            <w:vAlign w:val="bottom"/>
            <w:gridSpan w:val="12"/>
          </w:tcPr>
          <w:p>
            <w:pPr>
              <w:spacing w:after="0"/>
              <w:rPr>
                <w:sz w:val="24"/>
                <w:szCs w:val="24"/>
                <w:color w:val="auto"/>
              </w:rPr>
            </w:pPr>
          </w:p>
        </w:tc>
      </w:tr>
      <w:tr>
        <w:trPr>
          <w:trHeight w:val="304"/>
        </w:trPr>
        <w:tc>
          <w:tcPr>
            <w:tcW w:w="940" w:type="dxa"/>
            <w:vAlign w:val="bottom"/>
          </w:tcPr>
          <w:p>
            <w:pPr>
              <w:ind w:left="40"/>
              <w:spacing w:after="0"/>
              <w:rPr>
                <w:sz w:val="20"/>
                <w:szCs w:val="20"/>
                <w:color w:val="auto"/>
              </w:rPr>
            </w:pPr>
            <w:r>
              <w:rPr>
                <w:rFonts w:ascii="Arial" w:cs="Arial" w:eastAsia="Arial" w:hAnsi="Arial"/>
                <w:sz w:val="18"/>
                <w:szCs w:val="18"/>
                <w:color w:val="auto"/>
              </w:rPr>
              <w:t>4.3 +*</w:t>
            </w:r>
          </w:p>
        </w:tc>
        <w:tc>
          <w:tcPr>
            <w:tcW w:w="9920" w:type="dxa"/>
            <w:vAlign w:val="bottom"/>
            <w:gridSpan w:val="13"/>
          </w:tcPr>
          <w:p>
            <w:pPr>
              <w:spacing w:after="0"/>
              <w:rPr>
                <w:rFonts w:ascii="Arial" w:cs="Arial" w:eastAsia="Arial" w:hAnsi="Arial"/>
                <w:sz w:val="18"/>
                <w:szCs w:val="18"/>
                <w:color w:val="0000EE"/>
                <w:w w:val="94"/>
              </w:rPr>
            </w:pPr>
            <w:hyperlink r:id="rId134">
              <w:r>
                <w:rPr>
                  <w:rFonts w:ascii="Arial" w:cs="Arial" w:eastAsia="Arial" w:hAnsi="Arial"/>
                  <w:sz w:val="18"/>
                  <w:szCs w:val="18"/>
                  <w:color w:val="0000EE"/>
                  <w:w w:val="94"/>
                </w:rPr>
                <w:t>Award/Contract, dated September 29, 2015 by and between the registrant and the U.S. Department of Health and Human Services</w:t>
              </w:r>
            </w:hyperlink>
          </w:p>
        </w:tc>
      </w:tr>
      <w:tr>
        <w:trPr>
          <w:trHeight w:val="196"/>
        </w:trPr>
        <w:tc>
          <w:tcPr>
            <w:tcW w:w="940" w:type="dxa"/>
            <w:vAlign w:val="bottom"/>
          </w:tcPr>
          <w:p>
            <w:pPr>
              <w:spacing w:after="0"/>
              <w:rPr>
                <w:sz w:val="17"/>
                <w:szCs w:val="17"/>
                <w:color w:val="auto"/>
              </w:rPr>
            </w:pPr>
          </w:p>
        </w:tc>
        <w:tc>
          <w:tcPr>
            <w:tcW w:w="5180" w:type="dxa"/>
            <w:vAlign w:val="bottom"/>
            <w:tcBorders>
              <w:top w:val="single" w:sz="8" w:color="0000EE"/>
              <w:bottom w:val="single" w:sz="8" w:color="0000EE"/>
            </w:tcBorders>
            <w:gridSpan w:val="5"/>
          </w:tcPr>
          <w:p>
            <w:pPr>
              <w:spacing w:after="0" w:line="196" w:lineRule="exact"/>
              <w:rPr>
                <w:rFonts w:ascii="Arial" w:cs="Arial" w:eastAsia="Arial" w:hAnsi="Arial"/>
                <w:sz w:val="18"/>
                <w:szCs w:val="18"/>
                <w:color w:val="0000EE"/>
                <w:w w:val="92"/>
              </w:rPr>
            </w:pPr>
            <w:hyperlink r:id="rId134">
              <w:r>
                <w:rPr>
                  <w:rFonts w:ascii="Arial" w:cs="Arial" w:eastAsia="Arial" w:hAnsi="Arial"/>
                  <w:sz w:val="18"/>
                  <w:szCs w:val="18"/>
                  <w:color w:val="0000EE"/>
                  <w:w w:val="92"/>
                </w:rPr>
                <w:t>Biomedical Advanced Research and Development Authority (BARDA)</w:t>
              </w:r>
            </w:hyperlink>
          </w:p>
        </w:tc>
        <w:tc>
          <w:tcPr>
            <w:tcW w:w="4180" w:type="dxa"/>
            <w:vAlign w:val="bottom"/>
            <w:tcBorders>
              <w:top w:val="single" w:sz="8" w:color="0000EE"/>
            </w:tcBorders>
            <w:gridSpan w:val="7"/>
          </w:tcPr>
          <w:p>
            <w:pPr>
              <w:spacing w:after="0"/>
              <w:rPr>
                <w:sz w:val="17"/>
                <w:szCs w:val="17"/>
                <w:color w:val="auto"/>
              </w:rPr>
            </w:pPr>
          </w:p>
        </w:tc>
        <w:tc>
          <w:tcPr>
            <w:tcW w:w="560" w:type="dxa"/>
            <w:vAlign w:val="bottom"/>
          </w:tcPr>
          <w:p>
            <w:pPr>
              <w:spacing w:after="0"/>
              <w:rPr>
                <w:sz w:val="17"/>
                <w:szCs w:val="17"/>
                <w:color w:val="auto"/>
              </w:rPr>
            </w:pPr>
          </w:p>
        </w:tc>
      </w:tr>
      <w:tr>
        <w:trPr>
          <w:trHeight w:val="304"/>
        </w:trPr>
        <w:tc>
          <w:tcPr>
            <w:tcW w:w="940" w:type="dxa"/>
            <w:vAlign w:val="bottom"/>
          </w:tcPr>
          <w:p>
            <w:pPr>
              <w:ind w:left="40"/>
              <w:spacing w:after="0"/>
              <w:rPr>
                <w:sz w:val="20"/>
                <w:szCs w:val="20"/>
                <w:color w:val="auto"/>
              </w:rPr>
            </w:pPr>
            <w:r>
              <w:rPr>
                <w:rFonts w:ascii="Arial" w:cs="Arial" w:eastAsia="Arial" w:hAnsi="Arial"/>
                <w:sz w:val="18"/>
                <w:szCs w:val="18"/>
                <w:color w:val="auto"/>
              </w:rPr>
              <w:t>4.4 +*</w:t>
            </w:r>
          </w:p>
        </w:tc>
        <w:tc>
          <w:tcPr>
            <w:tcW w:w="9920" w:type="dxa"/>
            <w:vAlign w:val="bottom"/>
            <w:gridSpan w:val="13"/>
          </w:tcPr>
          <w:p>
            <w:pPr>
              <w:spacing w:after="0"/>
              <w:rPr>
                <w:rFonts w:ascii="Arial" w:cs="Arial" w:eastAsia="Arial" w:hAnsi="Arial"/>
                <w:sz w:val="18"/>
                <w:szCs w:val="18"/>
                <w:color w:val="0000EE"/>
              </w:rPr>
            </w:pPr>
            <w:hyperlink r:id="rId135">
              <w:r>
                <w:rPr>
                  <w:rFonts w:ascii="Arial" w:cs="Arial" w:eastAsia="Arial" w:hAnsi="Arial"/>
                  <w:sz w:val="18"/>
                  <w:szCs w:val="18"/>
                  <w:color w:val="0000EE"/>
                </w:rPr>
                <w:t>Award/Contract, dated September 29, 2015, by and between the registrant and BARDA</w:t>
              </w:r>
            </w:hyperlink>
          </w:p>
        </w:tc>
      </w:tr>
      <w:tr>
        <w:trPr>
          <w:trHeight w:val="20"/>
        </w:trPr>
        <w:tc>
          <w:tcPr>
            <w:tcW w:w="940" w:type="dxa"/>
            <w:vAlign w:val="bottom"/>
          </w:tcPr>
          <w:p>
            <w:pPr>
              <w:spacing w:after="0" w:line="20" w:lineRule="exact"/>
              <w:rPr>
                <w:sz w:val="1"/>
                <w:szCs w:val="1"/>
                <w:color w:val="auto"/>
              </w:rPr>
            </w:pPr>
          </w:p>
        </w:tc>
        <w:tc>
          <w:tcPr>
            <w:tcW w:w="6300" w:type="dxa"/>
            <w:vAlign w:val="bottom"/>
            <w:gridSpan w:val="6"/>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940" w:type="dxa"/>
            <w:vAlign w:val="bottom"/>
            <w:gridSpan w:val="2"/>
          </w:tcPr>
          <w:p>
            <w:pPr>
              <w:spacing w:after="0" w:line="20" w:lineRule="exact"/>
              <w:rPr>
                <w:sz w:val="1"/>
                <w:szCs w:val="1"/>
                <w:color w:val="auto"/>
              </w:rPr>
            </w:pPr>
          </w:p>
        </w:tc>
      </w:tr>
      <w:tr>
        <w:trPr>
          <w:trHeight w:val="304"/>
        </w:trPr>
        <w:tc>
          <w:tcPr>
            <w:tcW w:w="940" w:type="dxa"/>
            <w:vAlign w:val="bottom"/>
          </w:tcPr>
          <w:p>
            <w:pPr>
              <w:ind w:left="40"/>
              <w:spacing w:after="0"/>
              <w:rPr>
                <w:sz w:val="20"/>
                <w:szCs w:val="20"/>
                <w:color w:val="auto"/>
              </w:rPr>
            </w:pPr>
            <w:r>
              <w:rPr>
                <w:rFonts w:ascii="Arial" w:cs="Arial" w:eastAsia="Arial" w:hAnsi="Arial"/>
                <w:sz w:val="18"/>
                <w:szCs w:val="18"/>
                <w:color w:val="auto"/>
              </w:rPr>
              <w:t>4.5 +*</w:t>
            </w:r>
          </w:p>
        </w:tc>
        <w:tc>
          <w:tcPr>
            <w:tcW w:w="8540" w:type="dxa"/>
            <w:vAlign w:val="bottom"/>
            <w:tcBorders>
              <w:bottom w:val="single" w:sz="8" w:color="0000EE"/>
            </w:tcBorders>
            <w:gridSpan w:val="10"/>
          </w:tcPr>
          <w:p>
            <w:pPr>
              <w:spacing w:after="0"/>
              <w:rPr>
                <w:rFonts w:ascii="Arial" w:cs="Arial" w:eastAsia="Arial" w:hAnsi="Arial"/>
                <w:sz w:val="18"/>
                <w:szCs w:val="18"/>
                <w:color w:val="0000EE"/>
                <w:w w:val="91"/>
              </w:rPr>
            </w:pPr>
            <w:hyperlink r:id="rId136">
              <w:r>
                <w:rPr>
                  <w:rFonts w:ascii="Arial" w:cs="Arial" w:eastAsia="Arial" w:hAnsi="Arial"/>
                  <w:sz w:val="18"/>
                  <w:szCs w:val="18"/>
                  <w:color w:val="0000EE"/>
                  <w:w w:val="91"/>
                </w:rPr>
                <w:t>Amendment of Solicitation/Modification of Contract, dated June 24, 2016, by and between the registrant and BARDA</w:t>
              </w:r>
            </w:hyperlink>
          </w:p>
        </w:tc>
        <w:tc>
          <w:tcPr>
            <w:tcW w:w="1380" w:type="dxa"/>
            <w:vAlign w:val="bottom"/>
            <w:gridSpan w:val="3"/>
          </w:tcPr>
          <w:p>
            <w:pPr>
              <w:spacing w:after="0"/>
              <w:rPr>
                <w:sz w:val="24"/>
                <w:szCs w:val="24"/>
                <w:color w:val="auto"/>
              </w:rPr>
            </w:pPr>
          </w:p>
        </w:tc>
      </w:tr>
      <w:tr>
        <w:trPr>
          <w:trHeight w:val="304"/>
        </w:trPr>
        <w:tc>
          <w:tcPr>
            <w:tcW w:w="940" w:type="dxa"/>
            <w:vAlign w:val="bottom"/>
          </w:tcPr>
          <w:p>
            <w:pPr>
              <w:ind w:left="40"/>
              <w:spacing w:after="0"/>
              <w:rPr>
                <w:sz w:val="20"/>
                <w:szCs w:val="20"/>
                <w:color w:val="auto"/>
              </w:rPr>
            </w:pPr>
            <w:r>
              <w:rPr>
                <w:rFonts w:ascii="Arial" w:cs="Arial" w:eastAsia="Arial" w:hAnsi="Arial"/>
                <w:sz w:val="18"/>
                <w:szCs w:val="18"/>
                <w:color w:val="auto"/>
              </w:rPr>
              <w:t>4.6 +*</w:t>
            </w:r>
          </w:p>
        </w:tc>
        <w:tc>
          <w:tcPr>
            <w:tcW w:w="8980" w:type="dxa"/>
            <w:vAlign w:val="bottom"/>
            <w:tcBorders>
              <w:bottom w:val="single" w:sz="8" w:color="0000EE"/>
            </w:tcBorders>
            <w:gridSpan w:val="11"/>
          </w:tcPr>
          <w:p>
            <w:pPr>
              <w:spacing w:after="0"/>
              <w:rPr>
                <w:rFonts w:ascii="Arial" w:cs="Arial" w:eastAsia="Arial" w:hAnsi="Arial"/>
                <w:sz w:val="18"/>
                <w:szCs w:val="18"/>
                <w:color w:val="0000EE"/>
                <w:w w:val="91"/>
              </w:rPr>
            </w:pPr>
            <w:hyperlink r:id="rId137">
              <w:r>
                <w:rPr>
                  <w:rFonts w:ascii="Arial" w:cs="Arial" w:eastAsia="Arial" w:hAnsi="Arial"/>
                  <w:sz w:val="18"/>
                  <w:szCs w:val="18"/>
                  <w:color w:val="0000EE"/>
                  <w:w w:val="91"/>
                </w:rPr>
                <w:t>Amendment of Solicitation/Modification of Contract, dated September 28, 2017, by and between the registrant and BARDA</w:t>
              </w:r>
            </w:hyperlink>
          </w:p>
        </w:tc>
        <w:tc>
          <w:tcPr>
            <w:tcW w:w="940" w:type="dxa"/>
            <w:vAlign w:val="bottom"/>
            <w:gridSpan w:val="2"/>
          </w:tcPr>
          <w:p>
            <w:pPr>
              <w:spacing w:after="0"/>
              <w:rPr>
                <w:sz w:val="24"/>
                <w:szCs w:val="24"/>
                <w:color w:val="auto"/>
              </w:rPr>
            </w:pPr>
          </w:p>
        </w:tc>
      </w:tr>
      <w:tr>
        <w:trPr>
          <w:trHeight w:val="304"/>
        </w:trPr>
        <w:tc>
          <w:tcPr>
            <w:tcW w:w="940" w:type="dxa"/>
            <w:vAlign w:val="bottom"/>
          </w:tcPr>
          <w:p>
            <w:pPr>
              <w:ind w:left="40"/>
              <w:spacing w:after="0"/>
              <w:rPr>
                <w:sz w:val="20"/>
                <w:szCs w:val="20"/>
                <w:color w:val="auto"/>
              </w:rPr>
            </w:pPr>
            <w:r>
              <w:rPr>
                <w:rFonts w:ascii="Arial" w:cs="Arial" w:eastAsia="Arial" w:hAnsi="Arial"/>
                <w:sz w:val="18"/>
                <w:szCs w:val="18"/>
                <w:color w:val="auto"/>
              </w:rPr>
              <w:t>4.7 +*</w:t>
            </w:r>
          </w:p>
        </w:tc>
        <w:tc>
          <w:tcPr>
            <w:tcW w:w="8420" w:type="dxa"/>
            <w:vAlign w:val="bottom"/>
            <w:tcBorders>
              <w:bottom w:val="single" w:sz="8" w:color="0000EE"/>
            </w:tcBorders>
            <w:gridSpan w:val="9"/>
          </w:tcPr>
          <w:p>
            <w:pPr>
              <w:spacing w:after="0"/>
              <w:rPr>
                <w:rFonts w:ascii="Arial" w:cs="Arial" w:eastAsia="Arial" w:hAnsi="Arial"/>
                <w:sz w:val="18"/>
                <w:szCs w:val="18"/>
                <w:color w:val="0000EE"/>
                <w:w w:val="92"/>
              </w:rPr>
            </w:pPr>
            <w:hyperlink r:id="rId138">
              <w:r>
                <w:rPr>
                  <w:rFonts w:ascii="Arial" w:cs="Arial" w:eastAsia="Arial" w:hAnsi="Arial"/>
                  <w:sz w:val="18"/>
                  <w:szCs w:val="18"/>
                  <w:color w:val="0000EE"/>
                  <w:w w:val="92"/>
                </w:rPr>
                <w:t>Amendment of Solicitation/Modification of Contract, dated July 2, 2018, by and between the registrant and BARDA</w:t>
              </w:r>
            </w:hyperlink>
          </w:p>
        </w:tc>
        <w:tc>
          <w:tcPr>
            <w:tcW w:w="1500" w:type="dxa"/>
            <w:vAlign w:val="bottom"/>
            <w:gridSpan w:val="4"/>
          </w:tcPr>
          <w:p>
            <w:pPr>
              <w:spacing w:after="0"/>
              <w:rPr>
                <w:sz w:val="24"/>
                <w:szCs w:val="24"/>
                <w:color w:val="auto"/>
              </w:rPr>
            </w:pPr>
          </w:p>
        </w:tc>
      </w:tr>
      <w:tr>
        <w:trPr>
          <w:trHeight w:val="304"/>
        </w:trPr>
        <w:tc>
          <w:tcPr>
            <w:tcW w:w="940" w:type="dxa"/>
            <w:vAlign w:val="bottom"/>
          </w:tcPr>
          <w:p>
            <w:pPr>
              <w:ind w:left="40"/>
              <w:spacing w:after="0"/>
              <w:rPr>
                <w:sz w:val="20"/>
                <w:szCs w:val="20"/>
                <w:color w:val="auto"/>
              </w:rPr>
            </w:pPr>
            <w:r>
              <w:rPr>
                <w:rFonts w:ascii="Arial" w:cs="Arial" w:eastAsia="Arial" w:hAnsi="Arial"/>
                <w:sz w:val="18"/>
                <w:szCs w:val="18"/>
                <w:color w:val="auto"/>
              </w:rPr>
              <w:t>4.8*</w:t>
            </w:r>
          </w:p>
        </w:tc>
        <w:tc>
          <w:tcPr>
            <w:tcW w:w="9920" w:type="dxa"/>
            <w:vAlign w:val="bottom"/>
            <w:gridSpan w:val="13"/>
          </w:tcPr>
          <w:p>
            <w:pPr>
              <w:spacing w:after="0"/>
              <w:rPr>
                <w:rFonts w:ascii="Arial" w:cs="Arial" w:eastAsia="Arial" w:hAnsi="Arial"/>
                <w:sz w:val="18"/>
                <w:szCs w:val="18"/>
                <w:color w:val="0000EE"/>
              </w:rPr>
            </w:pPr>
            <w:hyperlink r:id="rId139">
              <w:r>
                <w:rPr>
                  <w:rFonts w:ascii="Arial" w:cs="Arial" w:eastAsia="Arial" w:hAnsi="Arial"/>
                  <w:sz w:val="18"/>
                  <w:szCs w:val="18"/>
                  <w:color w:val="0000EE"/>
                </w:rPr>
                <w:t>Lease Agreement between the registrant and Hartco Ventura Inc., dated January 25, 2018</w:t>
              </w:r>
            </w:hyperlink>
          </w:p>
        </w:tc>
      </w:tr>
      <w:tr>
        <w:trPr>
          <w:trHeight w:val="20"/>
        </w:trPr>
        <w:tc>
          <w:tcPr>
            <w:tcW w:w="940" w:type="dxa"/>
            <w:vAlign w:val="bottom"/>
          </w:tcPr>
          <w:p>
            <w:pPr>
              <w:spacing w:after="0" w:line="20" w:lineRule="exact"/>
              <w:rPr>
                <w:sz w:val="1"/>
                <w:szCs w:val="1"/>
                <w:color w:val="auto"/>
              </w:rPr>
            </w:pPr>
          </w:p>
        </w:tc>
        <w:tc>
          <w:tcPr>
            <w:tcW w:w="6420" w:type="dxa"/>
            <w:vAlign w:val="bottom"/>
            <w:gridSpan w:val="7"/>
            <w:shd w:val="clear" w:color="auto" w:fill="0000EE"/>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1720" w:type="dxa"/>
            <w:vAlign w:val="bottom"/>
            <w:gridSpan w:val="5"/>
          </w:tcPr>
          <w:p>
            <w:pPr>
              <w:spacing w:after="0" w:line="20" w:lineRule="exact"/>
              <w:rPr>
                <w:sz w:val="1"/>
                <w:szCs w:val="1"/>
                <w:color w:val="auto"/>
              </w:rPr>
            </w:pPr>
          </w:p>
        </w:tc>
      </w:tr>
      <w:tr>
        <w:trPr>
          <w:trHeight w:val="304"/>
        </w:trPr>
        <w:tc>
          <w:tcPr>
            <w:tcW w:w="940" w:type="dxa"/>
            <w:vAlign w:val="bottom"/>
          </w:tcPr>
          <w:p>
            <w:pPr>
              <w:ind w:left="40"/>
              <w:spacing w:after="0"/>
              <w:rPr>
                <w:sz w:val="20"/>
                <w:szCs w:val="20"/>
                <w:color w:val="auto"/>
              </w:rPr>
            </w:pPr>
            <w:r>
              <w:rPr>
                <w:rFonts w:ascii="Arial" w:cs="Arial" w:eastAsia="Arial" w:hAnsi="Arial"/>
                <w:sz w:val="18"/>
                <w:szCs w:val="18"/>
                <w:color w:val="auto"/>
              </w:rPr>
              <w:t>4.9*</w:t>
            </w:r>
          </w:p>
        </w:tc>
        <w:tc>
          <w:tcPr>
            <w:tcW w:w="9920" w:type="dxa"/>
            <w:vAlign w:val="bottom"/>
            <w:gridSpan w:val="13"/>
          </w:tcPr>
          <w:p>
            <w:pPr>
              <w:spacing w:after="0"/>
              <w:rPr>
                <w:rFonts w:ascii="Arial" w:cs="Arial" w:eastAsia="Arial" w:hAnsi="Arial"/>
                <w:sz w:val="18"/>
                <w:szCs w:val="18"/>
                <w:color w:val="0000EE"/>
              </w:rPr>
            </w:pPr>
            <w:hyperlink r:id="rId140">
              <w:r>
                <w:rPr>
                  <w:rFonts w:ascii="Arial" w:cs="Arial" w:eastAsia="Arial" w:hAnsi="Arial"/>
                  <w:sz w:val="18"/>
                  <w:szCs w:val="18"/>
                  <w:color w:val="0000EE"/>
                </w:rPr>
                <w:t>Lease Agreement between the registrant and RIF III – Avenue Stanford, LLC, dated October 3, 2016, as amended</w:t>
              </w:r>
            </w:hyperlink>
          </w:p>
        </w:tc>
      </w:tr>
      <w:tr>
        <w:trPr>
          <w:trHeight w:val="385"/>
        </w:trPr>
        <w:tc>
          <w:tcPr>
            <w:tcW w:w="940" w:type="dxa"/>
            <w:vAlign w:val="bottom"/>
          </w:tcPr>
          <w:p>
            <w:pPr>
              <w:spacing w:after="0"/>
              <w:rPr>
                <w:sz w:val="24"/>
                <w:szCs w:val="24"/>
                <w:color w:val="auto"/>
              </w:rPr>
            </w:pPr>
          </w:p>
        </w:tc>
        <w:tc>
          <w:tcPr>
            <w:tcW w:w="5180" w:type="dxa"/>
            <w:vAlign w:val="bottom"/>
            <w:tcBorders>
              <w:top w:val="single" w:sz="8" w:color="0000EE"/>
            </w:tcBorders>
            <w:gridSpan w:val="5"/>
          </w:tcPr>
          <w:p>
            <w:pPr>
              <w:ind w:left="4420"/>
              <w:spacing w:after="0"/>
              <w:rPr>
                <w:sz w:val="20"/>
                <w:szCs w:val="20"/>
                <w:color w:val="auto"/>
              </w:rPr>
            </w:pPr>
            <w:r>
              <w:rPr>
                <w:rFonts w:ascii="Arial" w:cs="Arial" w:eastAsia="Arial" w:hAnsi="Arial"/>
                <w:sz w:val="18"/>
                <w:szCs w:val="18"/>
                <w:color w:val="auto"/>
              </w:rPr>
              <w:t>95</w:t>
            </w:r>
          </w:p>
        </w:tc>
        <w:tc>
          <w:tcPr>
            <w:tcW w:w="1120" w:type="dxa"/>
            <w:vAlign w:val="bottom"/>
            <w:tcBorders>
              <w:top w:val="single" w:sz="8" w:color="0000EE"/>
            </w:tcBorders>
          </w:tcPr>
          <w:p>
            <w:pPr>
              <w:spacing w:after="0"/>
              <w:rPr>
                <w:sz w:val="24"/>
                <w:szCs w:val="24"/>
                <w:color w:val="auto"/>
              </w:rPr>
            </w:pPr>
          </w:p>
        </w:tc>
        <w:tc>
          <w:tcPr>
            <w:tcW w:w="120" w:type="dxa"/>
            <w:vAlign w:val="bottom"/>
            <w:tcBorders>
              <w:top w:val="single" w:sz="8" w:color="0000EE"/>
            </w:tcBorders>
          </w:tcPr>
          <w:p>
            <w:pPr>
              <w:spacing w:after="0"/>
              <w:rPr>
                <w:sz w:val="24"/>
                <w:szCs w:val="24"/>
                <w:color w:val="auto"/>
              </w:rPr>
            </w:pPr>
          </w:p>
        </w:tc>
        <w:tc>
          <w:tcPr>
            <w:tcW w:w="1780" w:type="dxa"/>
            <w:vAlign w:val="bottom"/>
            <w:tcBorders>
              <w:top w:val="single" w:sz="8" w:color="0000EE"/>
            </w:tcBorders>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560" w:type="dxa"/>
            <w:vAlign w:val="bottom"/>
          </w:tcPr>
          <w:p>
            <w:pPr>
              <w:spacing w:after="0"/>
              <w:rPr>
                <w:sz w:val="24"/>
                <w:szCs w:val="24"/>
                <w:color w:val="auto"/>
              </w:rPr>
            </w:pPr>
          </w:p>
        </w:tc>
      </w:tr>
    </w:tbl>
    <w:p>
      <w:pPr>
        <w:sectPr>
          <w:pgSz w:w="11900" w:h="16838" w:orient="portrait"/>
          <w:cols w:equalWidth="0" w:num="1">
            <w:col w:w="11220"/>
          </w:cols>
          <w:pgMar w:left="240" w:top="459" w:right="439" w:bottom="1440" w:gutter="0" w:footer="0" w:header="0"/>
        </w:sectPr>
      </w:pPr>
    </w:p>
    <w:bookmarkStart w:id="97" w:name="page98"/>
    <w:bookmarkEnd w:id="9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4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tbl>
      <w:tblPr>
        <w:tblLayout w:type="fixed"/>
        <w:tblInd w:w="200" w:type="dxa"/>
        <w:tblCellMar>
          <w:top w:w="0" w:type="dxa"/>
          <w:left w:w="0" w:type="dxa"/>
          <w:bottom w:w="0" w:type="dxa"/>
          <w:right w:w="0" w:type="dxa"/>
        </w:tblCellMar>
      </w:tblPr>
      <w:tr>
        <w:trPr>
          <w:trHeight w:val="186"/>
        </w:trPr>
        <w:tc>
          <w:tcPr>
            <w:tcW w:w="1000" w:type="dxa"/>
            <w:vAlign w:val="bottom"/>
          </w:tcPr>
          <w:p>
            <w:pPr>
              <w:jc w:val="right"/>
              <w:ind w:right="456"/>
              <w:spacing w:after="0"/>
              <w:rPr>
                <w:sz w:val="20"/>
                <w:szCs w:val="20"/>
                <w:color w:val="auto"/>
              </w:rPr>
            </w:pPr>
            <w:r>
              <w:rPr>
                <w:rFonts w:ascii="Arial" w:cs="Arial" w:eastAsia="Arial" w:hAnsi="Arial"/>
                <w:sz w:val="14"/>
                <w:szCs w:val="14"/>
                <w:b w:val="1"/>
                <w:bCs w:val="1"/>
                <w:color w:val="auto"/>
                <w:w w:val="94"/>
              </w:rPr>
              <w:t>Exhibit</w:t>
            </w:r>
          </w:p>
        </w:tc>
        <w:tc>
          <w:tcPr>
            <w:tcW w:w="8340" w:type="dxa"/>
            <w:vAlign w:val="bottom"/>
            <w:gridSpan w:val="2"/>
          </w:tcPr>
          <w:p>
            <w:pPr>
              <w:spacing w:after="0"/>
              <w:rPr>
                <w:sz w:val="20"/>
                <w:szCs w:val="20"/>
                <w:color w:val="auto"/>
              </w:rPr>
            </w:pPr>
            <w:r>
              <w:rPr>
                <w:rFonts w:ascii="Arial" w:cs="Arial" w:eastAsia="Arial" w:hAnsi="Arial"/>
                <w:sz w:val="14"/>
                <w:szCs w:val="14"/>
                <w:b w:val="1"/>
                <w:bCs w:val="1"/>
                <w:color w:val="auto"/>
              </w:rPr>
              <w:t>Description</w:t>
            </w:r>
          </w:p>
        </w:tc>
      </w:tr>
      <w:tr>
        <w:trPr>
          <w:trHeight w:val="269"/>
        </w:trPr>
        <w:tc>
          <w:tcPr>
            <w:tcW w:w="1000" w:type="dxa"/>
            <w:vAlign w:val="bottom"/>
          </w:tcPr>
          <w:p>
            <w:pPr>
              <w:jc w:val="right"/>
              <w:ind w:right="516"/>
              <w:spacing w:after="0"/>
              <w:rPr>
                <w:sz w:val="20"/>
                <w:szCs w:val="20"/>
                <w:color w:val="auto"/>
              </w:rPr>
            </w:pPr>
            <w:r>
              <w:rPr>
                <w:rFonts w:ascii="Arial" w:cs="Arial" w:eastAsia="Arial" w:hAnsi="Arial"/>
                <w:sz w:val="18"/>
                <w:szCs w:val="18"/>
                <w:color w:val="auto"/>
              </w:rPr>
              <w:t>8.1*</w:t>
            </w:r>
          </w:p>
        </w:tc>
        <w:tc>
          <w:tcPr>
            <w:tcW w:w="2560" w:type="dxa"/>
            <w:vAlign w:val="bottom"/>
            <w:tcBorders>
              <w:bottom w:val="single" w:sz="8" w:color="0000EE"/>
            </w:tcBorders>
          </w:tcPr>
          <w:p>
            <w:pPr>
              <w:spacing w:after="0"/>
              <w:rPr>
                <w:rFonts w:ascii="Arial" w:cs="Arial" w:eastAsia="Arial" w:hAnsi="Arial"/>
                <w:sz w:val="18"/>
                <w:szCs w:val="18"/>
                <w:color w:val="0000EE"/>
                <w:w w:val="91"/>
              </w:rPr>
            </w:pPr>
            <w:hyperlink r:id="rId142">
              <w:r>
                <w:rPr>
                  <w:rFonts w:ascii="Arial" w:cs="Arial" w:eastAsia="Arial" w:hAnsi="Arial"/>
                  <w:sz w:val="18"/>
                  <w:szCs w:val="18"/>
                  <w:color w:val="0000EE"/>
                  <w:w w:val="91"/>
                </w:rPr>
                <w:t>List of subsidiaries of the registrant</w:t>
              </w:r>
            </w:hyperlink>
          </w:p>
        </w:tc>
        <w:tc>
          <w:tcPr>
            <w:tcW w:w="5780" w:type="dxa"/>
            <w:vAlign w:val="bottom"/>
          </w:tcPr>
          <w:p>
            <w:pPr>
              <w:spacing w:after="0"/>
              <w:rPr>
                <w:sz w:val="23"/>
                <w:szCs w:val="23"/>
                <w:color w:val="auto"/>
              </w:rPr>
            </w:pPr>
          </w:p>
        </w:tc>
      </w:tr>
      <w:tr>
        <w:trPr>
          <w:trHeight w:val="304"/>
        </w:trPr>
        <w:tc>
          <w:tcPr>
            <w:tcW w:w="1000" w:type="dxa"/>
            <w:vAlign w:val="bottom"/>
          </w:tcPr>
          <w:p>
            <w:pPr>
              <w:jc w:val="right"/>
              <w:ind w:right="516"/>
              <w:spacing w:after="0"/>
              <w:rPr>
                <w:sz w:val="20"/>
                <w:szCs w:val="20"/>
                <w:color w:val="auto"/>
              </w:rPr>
            </w:pPr>
            <w:r>
              <w:rPr>
                <w:rFonts w:ascii="Arial" w:cs="Arial" w:eastAsia="Arial" w:hAnsi="Arial"/>
                <w:sz w:val="18"/>
                <w:szCs w:val="18"/>
                <w:color w:val="auto"/>
                <w:w w:val="90"/>
              </w:rPr>
              <w:t>15.1*</w:t>
            </w:r>
          </w:p>
        </w:tc>
        <w:tc>
          <w:tcPr>
            <w:tcW w:w="8340" w:type="dxa"/>
            <w:vAlign w:val="bottom"/>
            <w:tcBorders>
              <w:bottom w:val="single" w:sz="8" w:color="0000EE"/>
            </w:tcBorders>
            <w:gridSpan w:val="2"/>
          </w:tcPr>
          <w:p>
            <w:pPr>
              <w:spacing w:after="0"/>
              <w:rPr>
                <w:rFonts w:ascii="Arial" w:cs="Arial" w:eastAsia="Arial" w:hAnsi="Arial"/>
                <w:sz w:val="18"/>
                <w:szCs w:val="18"/>
                <w:color w:val="0000EE"/>
                <w:w w:val="90"/>
              </w:rPr>
            </w:pPr>
            <w:hyperlink r:id="rId143">
              <w:r>
                <w:rPr>
                  <w:rFonts w:ascii="Arial" w:cs="Arial" w:eastAsia="Arial" w:hAnsi="Arial"/>
                  <w:sz w:val="18"/>
                  <w:szCs w:val="18"/>
                  <w:color w:val="0000EE"/>
                  <w:w w:val="90"/>
                </w:rPr>
                <w:t>Preliminary unaudited final report of June 30, 2019; results announced to the Australian market on August 30, 2019</w:t>
              </w:r>
            </w:hyperlink>
          </w:p>
        </w:tc>
      </w:tr>
    </w:tbl>
    <w:p>
      <w:pPr>
        <w:spacing w:after="0" w:line="256" w:lineRule="exact"/>
        <w:rPr>
          <w:sz w:val="20"/>
          <w:szCs w:val="20"/>
          <w:color w:val="auto"/>
        </w:rPr>
      </w:pPr>
    </w:p>
    <w:p>
      <w:pPr>
        <w:ind w:left="200"/>
        <w:spacing w:after="0"/>
        <w:rPr>
          <w:sz w:val="20"/>
          <w:szCs w:val="20"/>
          <w:color w:val="auto"/>
        </w:rPr>
      </w:pPr>
      <w:r>
        <w:rPr>
          <w:rFonts w:ascii="Arial" w:cs="Arial" w:eastAsia="Arial" w:hAnsi="Arial"/>
          <w:sz w:val="18"/>
          <w:szCs w:val="18"/>
          <w:color w:val="auto"/>
        </w:rPr>
        <w:t>*  Previously filed.</w:t>
      </w:r>
    </w:p>
    <w:p>
      <w:pPr>
        <w:spacing w:after="0" w:line="23" w:lineRule="exact"/>
        <w:rPr>
          <w:sz w:val="20"/>
          <w:szCs w:val="20"/>
          <w:color w:val="auto"/>
        </w:rPr>
      </w:pPr>
    </w:p>
    <w:p>
      <w:pPr>
        <w:ind w:left="420" w:hanging="216"/>
        <w:spacing w:after="0" w:line="261" w:lineRule="auto"/>
        <w:tabs>
          <w:tab w:leader="none" w:pos="420" w:val="left"/>
        </w:tabs>
        <w:numPr>
          <w:ilvl w:val="0"/>
          <w:numId w:val="60"/>
        </w:numPr>
        <w:rPr>
          <w:rFonts w:ascii="Arial" w:cs="Arial" w:eastAsia="Arial" w:hAnsi="Arial"/>
          <w:sz w:val="18"/>
          <w:szCs w:val="18"/>
          <w:color w:val="auto"/>
        </w:rPr>
      </w:pPr>
      <w:r>
        <w:rPr>
          <w:rFonts w:ascii="Arial" w:cs="Arial" w:eastAsia="Arial" w:hAnsi="Arial"/>
          <w:sz w:val="18"/>
          <w:szCs w:val="18"/>
          <w:color w:val="auto"/>
        </w:rPr>
        <w:t>Certain identified confidential information has been redacted from this exhibit because it is both (i) not material and (ii) would be competitively harmful if publicly disclosed.</w:t>
      </w:r>
    </w:p>
    <w:p>
      <w:pPr>
        <w:spacing w:after="0" w:line="116"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96</w:t>
      </w:r>
    </w:p>
    <w:p>
      <w:pPr>
        <w:sectPr>
          <w:pgSz w:w="11900" w:h="16838" w:orient="portrait"/>
          <w:cols w:equalWidth="0" w:num="1">
            <w:col w:w="10780"/>
          </w:cols>
          <w:pgMar w:left="240" w:top="459" w:right="879" w:bottom="1440" w:gutter="0" w:footer="0" w:header="0"/>
        </w:sectPr>
      </w:pPr>
    </w:p>
    <w:bookmarkStart w:id="98" w:name="page99"/>
    <w:bookmarkEnd w:id="9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4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299"/>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left="200"/>
        <w:spacing w:after="0" w:line="277" w:lineRule="auto"/>
        <w:rPr>
          <w:sz w:val="20"/>
          <w:szCs w:val="20"/>
          <w:color w:val="auto"/>
        </w:rPr>
      </w:pPr>
      <w:r>
        <w:rPr>
          <w:rFonts w:ascii="Arial" w:cs="Arial" w:eastAsia="Arial" w:hAnsi="Arial"/>
          <w:sz w:val="18"/>
          <w:szCs w:val="18"/>
          <w:color w:val="auto"/>
        </w:rPr>
        <w:t>The registrant hereby certifies that it meets all of the requirements for filing on Form 20-F and that it has duly caused and authorized the undersigned to sign this registration statement on its behalf.</w:t>
      </w:r>
    </w:p>
    <w:p>
      <w:pPr>
        <w:spacing w:after="0" w:line="193" w:lineRule="exact"/>
        <w:rPr>
          <w:sz w:val="20"/>
          <w:szCs w:val="20"/>
          <w:color w:val="auto"/>
        </w:rPr>
      </w:pPr>
    </w:p>
    <w:p>
      <w:pPr>
        <w:ind w:left="6820"/>
        <w:spacing w:after="0"/>
        <w:rPr>
          <w:sz w:val="20"/>
          <w:szCs w:val="20"/>
          <w:color w:val="auto"/>
        </w:rPr>
      </w:pPr>
      <w:r>
        <w:rPr>
          <w:rFonts w:ascii="Arial" w:cs="Arial" w:eastAsia="Arial" w:hAnsi="Arial"/>
          <w:sz w:val="18"/>
          <w:szCs w:val="18"/>
          <w:b w:val="1"/>
          <w:bCs w:val="1"/>
          <w:color w:val="auto"/>
        </w:rPr>
        <w:t>Avita Medical Limited</w:t>
      </w:r>
    </w:p>
    <w:p>
      <w:pPr>
        <w:spacing w:after="0" w:line="270" w:lineRule="exact"/>
        <w:rPr>
          <w:sz w:val="20"/>
          <w:szCs w:val="20"/>
          <w:color w:val="auto"/>
        </w:rPr>
      </w:pPr>
    </w:p>
    <w:p>
      <w:pPr>
        <w:ind w:left="68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w:t>
      </w:r>
      <w:r>
        <w:rPr>
          <w:rFonts w:ascii="Arial" w:cs="Arial" w:eastAsia="Arial" w:hAnsi="Arial"/>
          <w:sz w:val="18"/>
          <w:szCs w:val="18"/>
          <w:color w:val="auto"/>
        </w:rPr>
        <w:t>/ Michael Perry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4335780</wp:posOffset>
            </wp:positionH>
            <wp:positionV relativeFrom="paragraph">
              <wp:posOffset>14605</wp:posOffset>
            </wp:positionV>
            <wp:extent cx="2795905" cy="889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45">
                      <a:extLst>
                        <a:ext uri="{28A0092B-C50C-407E-A947-70E740481C1C}"/>
                      </a:extLst>
                    </a:blip>
                    <a:srcRect/>
                    <a:stretch>
                      <a:fillRect/>
                    </a:stretch>
                  </pic:blipFill>
                  <pic:spPr bwMode="auto">
                    <a:xfrm>
                      <a:off x="0" y="0"/>
                      <a:ext cx="2795905" cy="8890"/>
                    </a:xfrm>
                    <a:prstGeom prst="rect">
                      <a:avLst/>
                    </a:prstGeom>
                    <a:noFill/>
                  </pic:spPr>
                </pic:pic>
              </a:graphicData>
            </a:graphic>
          </wp:anchor>
        </w:drawing>
      </w:r>
    </w:p>
    <w:p>
      <w:pPr>
        <w:spacing w:after="0" w:line="16" w:lineRule="exact"/>
        <w:rPr>
          <w:sz w:val="20"/>
          <w:szCs w:val="20"/>
          <w:color w:val="auto"/>
        </w:rPr>
      </w:pPr>
    </w:p>
    <w:p>
      <w:pPr>
        <w:ind w:left="6820"/>
        <w:spacing w:after="0"/>
        <w:rPr>
          <w:sz w:val="20"/>
          <w:szCs w:val="20"/>
          <w:color w:val="auto"/>
        </w:rPr>
      </w:pPr>
      <w:r>
        <w:rPr>
          <w:rFonts w:ascii="Arial" w:cs="Arial" w:eastAsia="Arial" w:hAnsi="Arial"/>
          <w:sz w:val="18"/>
          <w:szCs w:val="18"/>
          <w:color w:val="auto"/>
        </w:rPr>
        <w:t>By: Michael Perry</w:t>
      </w:r>
    </w:p>
    <w:p>
      <w:pPr>
        <w:spacing w:after="0" w:line="23" w:lineRule="exact"/>
        <w:rPr>
          <w:sz w:val="20"/>
          <w:szCs w:val="20"/>
          <w:color w:val="auto"/>
        </w:rPr>
      </w:pPr>
    </w:p>
    <w:p>
      <w:pPr>
        <w:ind w:left="6820"/>
        <w:spacing w:after="0"/>
        <w:rPr>
          <w:sz w:val="20"/>
          <w:szCs w:val="20"/>
          <w:color w:val="auto"/>
        </w:rPr>
      </w:pPr>
      <w:r>
        <w:rPr>
          <w:rFonts w:ascii="Arial" w:cs="Arial" w:eastAsia="Arial" w:hAnsi="Arial"/>
          <w:sz w:val="18"/>
          <w:szCs w:val="18"/>
          <w:color w:val="auto"/>
        </w:rPr>
        <w:t>Title: Chief Executive Officer</w:t>
      </w:r>
    </w:p>
    <w:p>
      <w:pPr>
        <w:spacing w:after="0" w:line="211" w:lineRule="exact"/>
        <w:rPr>
          <w:sz w:val="20"/>
          <w:szCs w:val="20"/>
          <w:color w:val="auto"/>
        </w:rPr>
      </w:pPr>
    </w:p>
    <w:p>
      <w:pPr>
        <w:ind w:left="200"/>
        <w:spacing w:after="0"/>
        <w:rPr>
          <w:sz w:val="20"/>
          <w:szCs w:val="20"/>
          <w:color w:val="auto"/>
        </w:rPr>
      </w:pPr>
      <w:r>
        <w:rPr>
          <w:rFonts w:ascii="Arial" w:cs="Arial" w:eastAsia="Arial" w:hAnsi="Arial"/>
          <w:sz w:val="18"/>
          <w:szCs w:val="18"/>
          <w:color w:val="auto"/>
        </w:rPr>
        <w:t>Date: September 25, 2019</w:t>
      </w:r>
    </w:p>
    <w:p>
      <w:pPr>
        <w:spacing w:after="0" w:line="158" w:lineRule="exact"/>
        <w:rPr>
          <w:sz w:val="20"/>
          <w:szCs w:val="20"/>
          <w:color w:val="auto"/>
        </w:rPr>
      </w:pPr>
    </w:p>
    <w:p>
      <w:pPr>
        <w:jc w:val="center"/>
        <w:ind w:right="-299"/>
        <w:spacing w:after="0"/>
        <w:rPr>
          <w:sz w:val="20"/>
          <w:szCs w:val="20"/>
          <w:color w:val="auto"/>
        </w:rPr>
      </w:pPr>
      <w:r>
        <w:rPr>
          <w:rFonts w:ascii="Arial" w:cs="Arial" w:eastAsia="Arial" w:hAnsi="Arial"/>
          <w:sz w:val="18"/>
          <w:szCs w:val="18"/>
          <w:color w:val="auto"/>
        </w:rPr>
        <w:t>97</w:t>
      </w:r>
    </w:p>
    <w:p>
      <w:pPr>
        <w:sectPr>
          <w:pgSz w:w="11900" w:h="16838" w:orient="portrait"/>
          <w:cols w:equalWidth="0" w:num="1">
            <w:col w:w="11140"/>
          </w:cols>
          <w:pgMar w:left="240" w:top="459" w:right="519" w:bottom="1440" w:gutter="0" w:footer="0" w:header="0"/>
        </w:sectPr>
      </w:pPr>
    </w:p>
    <w:bookmarkStart w:id="99" w:name="page100"/>
    <w:bookmarkEnd w:id="99"/>
    <w:tbl>
      <w:tblPr>
        <w:tblLayout w:type="fixed"/>
        <w:tblInd w:w="0" w:type="dxa"/>
        <w:tblCellMar>
          <w:top w:w="0" w:type="dxa"/>
          <w:left w:w="0" w:type="dxa"/>
          <w:bottom w:w="0" w:type="dxa"/>
          <w:right w:w="0" w:type="dxa"/>
        </w:tblCellMar>
      </w:tblPr>
      <w:tr>
        <w:trPr>
          <w:trHeight w:val="207"/>
        </w:trPr>
        <w:tc>
          <w:tcPr>
            <w:tcW w:w="9960" w:type="dxa"/>
            <w:vAlign w:val="bottom"/>
            <w:gridSpan w:val="11"/>
          </w:tcPr>
          <w:p>
            <w:pPr>
              <w:spacing w:after="0"/>
              <w:rPr>
                <w:rFonts w:ascii="Arial" w:cs="Arial" w:eastAsia="Arial" w:hAnsi="Arial"/>
                <w:sz w:val="18"/>
                <w:szCs w:val="18"/>
                <w:b w:val="1"/>
                <w:bCs w:val="1"/>
                <w:color w:val="0000EE"/>
              </w:rPr>
            </w:pPr>
            <w:hyperlink w:anchor="page2">
              <w:r>
                <w:rPr>
                  <w:rFonts w:ascii="Arial" w:cs="Arial" w:eastAsia="Arial" w:hAnsi="Arial"/>
                  <w:sz w:val="18"/>
                  <w:szCs w:val="18"/>
                  <w:b w:val="1"/>
                  <w:bCs w:val="1"/>
                  <w:color w:val="0000EE"/>
                </w:rPr>
                <w:t>Table of Contents</w:t>
              </w:r>
            </w:hyperlink>
          </w:p>
        </w:tc>
        <w:tc>
          <w:tcPr>
            <w:tcW w:w="1200" w:type="dxa"/>
            <w:vAlign w:val="bottom"/>
          </w:tcPr>
          <w:p>
            <w:pPr>
              <w:spacing w:after="0"/>
              <w:rPr>
                <w:sz w:val="17"/>
                <w:szCs w:val="17"/>
                <w:color w:val="auto"/>
              </w:rPr>
            </w:pPr>
          </w:p>
        </w:tc>
      </w:tr>
      <w:tr>
        <w:trPr>
          <w:trHeight w:val="534"/>
        </w:trPr>
        <w:tc>
          <w:tcPr>
            <w:tcW w:w="200" w:type="dxa"/>
            <w:vAlign w:val="bottom"/>
            <w:tcBorders>
              <w:top w:val="single" w:sz="8" w:color="0000EE"/>
            </w:tcBorders>
          </w:tcPr>
          <w:p>
            <w:pPr>
              <w:spacing w:after="0"/>
              <w:rPr>
                <w:sz w:val="24"/>
                <w:szCs w:val="24"/>
                <w:color w:val="auto"/>
              </w:rPr>
            </w:pPr>
          </w:p>
        </w:tc>
        <w:tc>
          <w:tcPr>
            <w:tcW w:w="180" w:type="dxa"/>
            <w:vAlign w:val="bottom"/>
            <w:tcBorders>
              <w:top w:val="single" w:sz="8" w:color="0000EE"/>
            </w:tcBorders>
          </w:tcPr>
          <w:p>
            <w:pPr>
              <w:spacing w:after="0"/>
              <w:rPr>
                <w:sz w:val="24"/>
                <w:szCs w:val="24"/>
                <w:color w:val="auto"/>
              </w:rPr>
            </w:pPr>
          </w:p>
        </w:tc>
        <w:tc>
          <w:tcPr>
            <w:tcW w:w="980" w:type="dxa"/>
            <w:vAlign w:val="bottom"/>
            <w:tcBorders>
              <w:top w:val="single" w:sz="8" w:color="0000EE"/>
            </w:tcBorders>
          </w:tcPr>
          <w:p>
            <w:pPr>
              <w:spacing w:after="0"/>
              <w:rPr>
                <w:sz w:val="24"/>
                <w:szCs w:val="24"/>
                <w:color w:val="auto"/>
              </w:rPr>
            </w:pPr>
          </w:p>
        </w:tc>
        <w:tc>
          <w:tcPr>
            <w:tcW w:w="1420" w:type="dxa"/>
            <w:vAlign w:val="bottom"/>
          </w:tcPr>
          <w:p>
            <w:pPr>
              <w:spacing w:after="0"/>
              <w:rPr>
                <w:sz w:val="24"/>
                <w:szCs w:val="24"/>
                <w:color w:val="auto"/>
              </w:rPr>
            </w:pPr>
          </w:p>
        </w:tc>
        <w:tc>
          <w:tcPr>
            <w:tcW w:w="7180" w:type="dxa"/>
            <w:vAlign w:val="bottom"/>
            <w:gridSpan w:val="7"/>
          </w:tcPr>
          <w:p>
            <w:pPr>
              <w:ind w:left="1120"/>
              <w:spacing w:after="0"/>
              <w:rPr>
                <w:sz w:val="20"/>
                <w:szCs w:val="20"/>
                <w:color w:val="auto"/>
              </w:rPr>
            </w:pPr>
            <w:r>
              <w:rPr>
                <w:rFonts w:ascii="Arial" w:cs="Arial" w:eastAsia="Arial" w:hAnsi="Arial"/>
                <w:sz w:val="18"/>
                <w:szCs w:val="18"/>
                <w:b w:val="1"/>
                <w:bCs w:val="1"/>
                <w:color w:val="auto"/>
              </w:rPr>
              <w:t>INDEX TO THE FINANCIAL STATEMENTS</w:t>
            </w:r>
          </w:p>
        </w:tc>
        <w:tc>
          <w:tcPr>
            <w:tcW w:w="1200" w:type="dxa"/>
            <w:vAlign w:val="bottom"/>
          </w:tcPr>
          <w:p>
            <w:pPr>
              <w:spacing w:after="0"/>
              <w:rPr>
                <w:sz w:val="24"/>
                <w:szCs w:val="24"/>
                <w:color w:val="auto"/>
              </w:rPr>
            </w:pPr>
          </w:p>
        </w:tc>
      </w:tr>
      <w:tr>
        <w:trPr>
          <w:trHeight w:val="432"/>
        </w:trPr>
        <w:tc>
          <w:tcPr>
            <w:tcW w:w="200" w:type="dxa"/>
            <w:vAlign w:val="bottom"/>
          </w:tcPr>
          <w:p>
            <w:pPr>
              <w:spacing w:after="0"/>
              <w:rPr>
                <w:sz w:val="24"/>
                <w:szCs w:val="24"/>
                <w:color w:val="auto"/>
              </w:rPr>
            </w:pPr>
          </w:p>
        </w:tc>
        <w:tc>
          <w:tcPr>
            <w:tcW w:w="9760" w:type="dxa"/>
            <w:vAlign w:val="bottom"/>
            <w:gridSpan w:val="10"/>
          </w:tcPr>
          <w:p>
            <w:pPr>
              <w:spacing w:after="0"/>
              <w:rPr>
                <w:sz w:val="20"/>
                <w:szCs w:val="20"/>
                <w:color w:val="auto"/>
              </w:rPr>
            </w:pPr>
            <w:r>
              <w:rPr>
                <w:rFonts w:ascii="Arial" w:cs="Arial" w:eastAsia="Arial" w:hAnsi="Arial"/>
                <w:sz w:val="18"/>
                <w:szCs w:val="18"/>
                <w:b w:val="1"/>
                <w:bCs w:val="1"/>
                <w:color w:val="auto"/>
              </w:rPr>
              <w:t>Avita Medical Limited</w:t>
            </w:r>
          </w:p>
        </w:tc>
        <w:tc>
          <w:tcPr>
            <w:tcW w:w="1200" w:type="dxa"/>
            <w:vAlign w:val="bottom"/>
          </w:tcPr>
          <w:p>
            <w:pPr>
              <w:spacing w:after="0"/>
              <w:rPr>
                <w:sz w:val="24"/>
                <w:szCs w:val="24"/>
                <w:color w:val="auto"/>
              </w:rPr>
            </w:pPr>
          </w:p>
        </w:tc>
      </w:tr>
      <w:tr>
        <w:trPr>
          <w:trHeight w:val="324"/>
        </w:trPr>
        <w:tc>
          <w:tcPr>
            <w:tcW w:w="200" w:type="dxa"/>
            <w:vAlign w:val="bottom"/>
          </w:tcPr>
          <w:p>
            <w:pPr>
              <w:spacing w:after="0"/>
              <w:rPr>
                <w:sz w:val="24"/>
                <w:szCs w:val="24"/>
                <w:color w:val="auto"/>
              </w:rPr>
            </w:pPr>
          </w:p>
        </w:tc>
        <w:tc>
          <w:tcPr>
            <w:tcW w:w="9760" w:type="dxa"/>
            <w:vAlign w:val="bottom"/>
            <w:gridSpan w:val="10"/>
          </w:tcPr>
          <w:p>
            <w:pPr>
              <w:spacing w:after="0"/>
              <w:rPr>
                <w:sz w:val="20"/>
                <w:szCs w:val="20"/>
                <w:color w:val="auto"/>
              </w:rPr>
            </w:pPr>
            <w:r>
              <w:rPr>
                <w:rFonts w:ascii="Arial" w:cs="Arial" w:eastAsia="Arial" w:hAnsi="Arial"/>
                <w:sz w:val="18"/>
                <w:szCs w:val="18"/>
                <w:b w:val="1"/>
                <w:bCs w:val="1"/>
                <w:color w:val="auto"/>
              </w:rPr>
              <w:t>INDEX TO AUDITED CONSOLIDATED FINANCIAL STATEMENTS AS OF JUNE 30, 2018, 2017 AND 2016</w:t>
            </w:r>
          </w:p>
        </w:tc>
        <w:tc>
          <w:tcPr>
            <w:tcW w:w="1200" w:type="dxa"/>
            <w:vAlign w:val="bottom"/>
          </w:tcPr>
          <w:p>
            <w:pPr>
              <w:spacing w:after="0"/>
              <w:rPr>
                <w:sz w:val="24"/>
                <w:szCs w:val="24"/>
                <w:color w:val="auto"/>
              </w:rPr>
            </w:pPr>
          </w:p>
        </w:tc>
      </w:tr>
      <w:tr>
        <w:trPr>
          <w:trHeight w:val="297"/>
        </w:trPr>
        <w:tc>
          <w:tcPr>
            <w:tcW w:w="200" w:type="dxa"/>
            <w:vAlign w:val="bottom"/>
          </w:tcPr>
          <w:p>
            <w:pPr>
              <w:spacing w:after="0"/>
              <w:rPr>
                <w:sz w:val="24"/>
                <w:szCs w:val="24"/>
                <w:color w:val="auto"/>
              </w:rPr>
            </w:pPr>
          </w:p>
        </w:tc>
        <w:tc>
          <w:tcPr>
            <w:tcW w:w="9760" w:type="dxa"/>
            <w:vAlign w:val="bottom"/>
            <w:gridSpan w:val="10"/>
          </w:tcPr>
          <w:p>
            <w:pPr>
              <w:spacing w:after="0"/>
              <w:rPr>
                <w:rFonts w:ascii="Arial" w:cs="Arial" w:eastAsia="Arial" w:hAnsi="Arial"/>
                <w:sz w:val="18"/>
                <w:szCs w:val="18"/>
                <w:color w:val="0000EE"/>
              </w:rPr>
            </w:pPr>
            <w:hyperlink w:anchor="page101">
              <w:r>
                <w:rPr>
                  <w:rFonts w:ascii="Arial" w:cs="Arial" w:eastAsia="Arial" w:hAnsi="Arial"/>
                  <w:sz w:val="18"/>
                  <w:szCs w:val="18"/>
                  <w:color w:val="0000EE"/>
                </w:rPr>
                <w:t>REPORT OF INDEPENDENT REGISTERED PUBLIC ACCOUNTING FIRM</w:t>
              </w:r>
            </w:hyperlink>
          </w:p>
        </w:tc>
        <w:tc>
          <w:tcPr>
            <w:tcW w:w="1200" w:type="dxa"/>
            <w:vAlign w:val="bottom"/>
          </w:tcPr>
          <w:p>
            <w:pPr>
              <w:jc w:val="right"/>
              <w:spacing w:after="0"/>
              <w:rPr>
                <w:sz w:val="20"/>
                <w:szCs w:val="20"/>
                <w:color w:val="auto"/>
              </w:rPr>
            </w:pPr>
            <w:r>
              <w:rPr>
                <w:rFonts w:ascii="Arial" w:cs="Arial" w:eastAsia="Arial" w:hAnsi="Arial"/>
                <w:sz w:val="18"/>
                <w:szCs w:val="18"/>
                <w:color w:val="auto"/>
              </w:rPr>
              <w:t>F-2</w:t>
            </w:r>
          </w:p>
        </w:tc>
      </w:tr>
      <w:tr>
        <w:trPr>
          <w:trHeight w:val="20"/>
        </w:trPr>
        <w:tc>
          <w:tcPr>
            <w:tcW w:w="20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400" w:type="dxa"/>
            <w:vAlign w:val="bottom"/>
            <w:gridSpan w:val="2"/>
            <w:shd w:val="clear" w:color="auto" w:fill="0000EE"/>
          </w:tcPr>
          <w:p>
            <w:pPr>
              <w:spacing w:after="0" w:line="20" w:lineRule="exact"/>
              <w:rPr>
                <w:sz w:val="1"/>
                <w:szCs w:val="1"/>
                <w:color w:val="auto"/>
              </w:rPr>
            </w:pPr>
          </w:p>
        </w:tc>
        <w:tc>
          <w:tcPr>
            <w:tcW w:w="3220" w:type="dxa"/>
            <w:vAlign w:val="bottom"/>
            <w:shd w:val="clear" w:color="auto" w:fill="0000EE"/>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r>
      <w:tr>
        <w:trPr>
          <w:trHeight w:val="304"/>
        </w:trPr>
        <w:tc>
          <w:tcPr>
            <w:tcW w:w="200" w:type="dxa"/>
            <w:vAlign w:val="bottom"/>
          </w:tcPr>
          <w:p>
            <w:pPr>
              <w:spacing w:after="0"/>
              <w:rPr>
                <w:sz w:val="24"/>
                <w:szCs w:val="24"/>
                <w:color w:val="auto"/>
              </w:rPr>
            </w:pPr>
          </w:p>
        </w:tc>
        <w:tc>
          <w:tcPr>
            <w:tcW w:w="9480" w:type="dxa"/>
            <w:vAlign w:val="bottom"/>
            <w:tcBorders>
              <w:bottom w:val="single" w:sz="8" w:color="0000EE"/>
            </w:tcBorders>
            <w:gridSpan w:val="9"/>
          </w:tcPr>
          <w:p>
            <w:pPr>
              <w:spacing w:after="0"/>
              <w:rPr>
                <w:rFonts w:ascii="Arial" w:cs="Arial" w:eastAsia="Arial" w:hAnsi="Arial"/>
                <w:sz w:val="18"/>
                <w:szCs w:val="18"/>
                <w:color w:val="0000EE"/>
                <w:w w:val="94"/>
              </w:rPr>
            </w:pPr>
            <w:hyperlink w:anchor="page103">
              <w:r>
                <w:rPr>
                  <w:rFonts w:ascii="Arial" w:cs="Arial" w:eastAsia="Arial" w:hAnsi="Arial"/>
                  <w:sz w:val="18"/>
                  <w:szCs w:val="18"/>
                  <w:color w:val="0000EE"/>
                  <w:w w:val="94"/>
                </w:rPr>
                <w:t>CONSOLIDATED STATEMENTS OF PROFIT OR LOSS AND OTHER COMPREHENSIVE LOSS FOR THE YEARS ENDED</w:t>
              </w:r>
            </w:hyperlink>
          </w:p>
        </w:tc>
        <w:tc>
          <w:tcPr>
            <w:tcW w:w="280" w:type="dxa"/>
            <w:vAlign w:val="bottom"/>
          </w:tcPr>
          <w:p>
            <w:pPr>
              <w:spacing w:after="0"/>
              <w:rPr>
                <w:sz w:val="24"/>
                <w:szCs w:val="24"/>
                <w:color w:val="auto"/>
              </w:rPr>
            </w:pPr>
          </w:p>
        </w:tc>
        <w:tc>
          <w:tcPr>
            <w:tcW w:w="1200" w:type="dxa"/>
            <w:vAlign w:val="bottom"/>
          </w:tcPr>
          <w:p>
            <w:pPr>
              <w:spacing w:after="0"/>
              <w:rPr>
                <w:sz w:val="24"/>
                <w:szCs w:val="24"/>
                <w:color w:val="auto"/>
              </w:rPr>
            </w:pPr>
          </w:p>
        </w:tc>
      </w:tr>
      <w:tr>
        <w:trPr>
          <w:trHeight w:val="196"/>
        </w:trPr>
        <w:tc>
          <w:tcPr>
            <w:tcW w:w="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580" w:type="dxa"/>
            <w:vAlign w:val="bottom"/>
            <w:gridSpan w:val="9"/>
          </w:tcPr>
          <w:p>
            <w:pPr>
              <w:spacing w:after="0" w:line="196" w:lineRule="exact"/>
              <w:rPr>
                <w:rFonts w:ascii="Arial" w:cs="Arial" w:eastAsia="Arial" w:hAnsi="Arial"/>
                <w:sz w:val="18"/>
                <w:szCs w:val="18"/>
                <w:color w:val="0000EE"/>
              </w:rPr>
            </w:pPr>
            <w:hyperlink w:anchor="page103">
              <w:r>
                <w:rPr>
                  <w:rFonts w:ascii="Arial" w:cs="Arial" w:eastAsia="Arial" w:hAnsi="Arial"/>
                  <w:sz w:val="18"/>
                  <w:szCs w:val="18"/>
                  <w:color w:val="0000EE"/>
                </w:rPr>
                <w:t>JUNE 30, 2018, 2017 AND 2016</w:t>
              </w:r>
            </w:hyperlink>
          </w:p>
        </w:tc>
        <w:tc>
          <w:tcPr>
            <w:tcW w:w="1200" w:type="dxa"/>
            <w:vAlign w:val="bottom"/>
          </w:tcPr>
          <w:p>
            <w:pPr>
              <w:jc w:val="right"/>
              <w:spacing w:after="0" w:line="196" w:lineRule="exact"/>
              <w:rPr>
                <w:sz w:val="20"/>
                <w:szCs w:val="20"/>
                <w:color w:val="auto"/>
              </w:rPr>
            </w:pPr>
            <w:r>
              <w:rPr>
                <w:rFonts w:ascii="Arial" w:cs="Arial" w:eastAsia="Arial" w:hAnsi="Arial"/>
                <w:sz w:val="18"/>
                <w:szCs w:val="18"/>
                <w:color w:val="auto"/>
              </w:rPr>
              <w:t>F-4</w:t>
            </w:r>
          </w:p>
        </w:tc>
      </w:tr>
      <w:tr>
        <w:trPr>
          <w:trHeight w:val="20"/>
        </w:trPr>
        <w:tc>
          <w:tcPr>
            <w:tcW w:w="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0" w:type="dxa"/>
            <w:vAlign w:val="bottom"/>
            <w:gridSpan w:val="2"/>
            <w:shd w:val="clear" w:color="auto" w:fill="0000EE"/>
          </w:tcPr>
          <w:p>
            <w:pPr>
              <w:spacing w:after="0" w:line="20" w:lineRule="exact"/>
              <w:rPr>
                <w:sz w:val="1"/>
                <w:szCs w:val="1"/>
                <w:color w:val="auto"/>
              </w:rPr>
            </w:pPr>
          </w:p>
        </w:tc>
        <w:tc>
          <w:tcPr>
            <w:tcW w:w="4620" w:type="dxa"/>
            <w:vAlign w:val="bottom"/>
            <w:gridSpan w:val="2"/>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700" w:type="dxa"/>
            <w:vAlign w:val="bottom"/>
            <w:gridSpan w:val="2"/>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r>
      <w:tr>
        <w:trPr>
          <w:trHeight w:val="304"/>
        </w:trPr>
        <w:tc>
          <w:tcPr>
            <w:tcW w:w="200" w:type="dxa"/>
            <w:vAlign w:val="bottom"/>
          </w:tcPr>
          <w:p>
            <w:pPr>
              <w:spacing w:after="0"/>
              <w:rPr>
                <w:sz w:val="24"/>
                <w:szCs w:val="24"/>
                <w:color w:val="auto"/>
              </w:rPr>
            </w:pPr>
          </w:p>
        </w:tc>
        <w:tc>
          <w:tcPr>
            <w:tcW w:w="9760" w:type="dxa"/>
            <w:vAlign w:val="bottom"/>
            <w:gridSpan w:val="10"/>
          </w:tcPr>
          <w:p>
            <w:pPr>
              <w:spacing w:after="0"/>
              <w:rPr>
                <w:rFonts w:ascii="Arial" w:cs="Arial" w:eastAsia="Arial" w:hAnsi="Arial"/>
                <w:sz w:val="18"/>
                <w:szCs w:val="18"/>
                <w:color w:val="0000EE"/>
              </w:rPr>
            </w:pPr>
            <w:hyperlink w:anchor="page104">
              <w:r>
                <w:rPr>
                  <w:rFonts w:ascii="Arial" w:cs="Arial" w:eastAsia="Arial" w:hAnsi="Arial"/>
                  <w:sz w:val="18"/>
                  <w:szCs w:val="18"/>
                  <w:color w:val="0000EE"/>
                </w:rPr>
                <w:t>CONSOLIDATED STATEMENT OF FINANCIAL POSITION AS OF JUNE 30, 2018 AND 2017</w:t>
              </w:r>
            </w:hyperlink>
          </w:p>
        </w:tc>
        <w:tc>
          <w:tcPr>
            <w:tcW w:w="1200" w:type="dxa"/>
            <w:vAlign w:val="bottom"/>
          </w:tcPr>
          <w:p>
            <w:pPr>
              <w:jc w:val="right"/>
              <w:spacing w:after="0"/>
              <w:rPr>
                <w:sz w:val="20"/>
                <w:szCs w:val="20"/>
                <w:color w:val="auto"/>
              </w:rPr>
            </w:pPr>
            <w:r>
              <w:rPr>
                <w:rFonts w:ascii="Arial" w:cs="Arial" w:eastAsia="Arial" w:hAnsi="Arial"/>
                <w:sz w:val="18"/>
                <w:szCs w:val="18"/>
                <w:color w:val="auto"/>
              </w:rPr>
              <w:t>F-5</w:t>
            </w:r>
          </w:p>
        </w:tc>
      </w:tr>
      <w:tr>
        <w:trPr>
          <w:trHeight w:val="20"/>
        </w:trPr>
        <w:tc>
          <w:tcPr>
            <w:tcW w:w="200" w:type="dxa"/>
            <w:vAlign w:val="bottom"/>
          </w:tcPr>
          <w:p>
            <w:pPr>
              <w:spacing w:after="0" w:line="20" w:lineRule="exact"/>
              <w:rPr>
                <w:sz w:val="1"/>
                <w:szCs w:val="1"/>
                <w:color w:val="auto"/>
              </w:rPr>
            </w:pPr>
          </w:p>
        </w:tc>
        <w:tc>
          <w:tcPr>
            <w:tcW w:w="7200" w:type="dxa"/>
            <w:vAlign w:val="bottom"/>
            <w:gridSpan w:val="5"/>
            <w:shd w:val="clear" w:color="auto" w:fill="0000EE"/>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700" w:type="dxa"/>
            <w:vAlign w:val="bottom"/>
            <w:gridSpan w:val="2"/>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r>
      <w:tr>
        <w:trPr>
          <w:trHeight w:val="304"/>
        </w:trPr>
        <w:tc>
          <w:tcPr>
            <w:tcW w:w="200" w:type="dxa"/>
            <w:vAlign w:val="bottom"/>
          </w:tcPr>
          <w:p>
            <w:pPr>
              <w:spacing w:after="0"/>
              <w:rPr>
                <w:sz w:val="24"/>
                <w:szCs w:val="24"/>
                <w:color w:val="auto"/>
              </w:rPr>
            </w:pPr>
          </w:p>
        </w:tc>
        <w:tc>
          <w:tcPr>
            <w:tcW w:w="9760" w:type="dxa"/>
            <w:vAlign w:val="bottom"/>
            <w:gridSpan w:val="10"/>
          </w:tcPr>
          <w:p>
            <w:pPr>
              <w:spacing w:after="0"/>
              <w:rPr>
                <w:rFonts w:ascii="Arial" w:cs="Arial" w:eastAsia="Arial" w:hAnsi="Arial"/>
                <w:sz w:val="18"/>
                <w:szCs w:val="18"/>
                <w:color w:val="0000EE"/>
              </w:rPr>
            </w:pPr>
            <w:hyperlink w:anchor="page105">
              <w:r>
                <w:rPr>
                  <w:rFonts w:ascii="Arial" w:cs="Arial" w:eastAsia="Arial" w:hAnsi="Arial"/>
                  <w:sz w:val="18"/>
                  <w:szCs w:val="18"/>
                  <w:color w:val="0000EE"/>
                </w:rPr>
                <w:t>CONSOLIDATED STATEMENTS OF CASH FLOWS FOR THE YEAR ENDED JUNE 30, 2018, 2017 AND 2016</w:t>
              </w:r>
            </w:hyperlink>
          </w:p>
        </w:tc>
        <w:tc>
          <w:tcPr>
            <w:tcW w:w="1200" w:type="dxa"/>
            <w:vAlign w:val="bottom"/>
          </w:tcPr>
          <w:p>
            <w:pPr>
              <w:jc w:val="right"/>
              <w:spacing w:after="0"/>
              <w:rPr>
                <w:sz w:val="20"/>
                <w:szCs w:val="20"/>
                <w:color w:val="auto"/>
              </w:rPr>
            </w:pPr>
            <w:r>
              <w:rPr>
                <w:rFonts w:ascii="Arial" w:cs="Arial" w:eastAsia="Arial" w:hAnsi="Arial"/>
                <w:sz w:val="18"/>
                <w:szCs w:val="18"/>
                <w:color w:val="auto"/>
              </w:rPr>
              <w:t>F-6</w:t>
            </w:r>
          </w:p>
        </w:tc>
      </w:tr>
      <w:tr>
        <w:trPr>
          <w:trHeight w:val="304"/>
        </w:trPr>
        <w:tc>
          <w:tcPr>
            <w:tcW w:w="200" w:type="dxa"/>
            <w:vAlign w:val="bottom"/>
          </w:tcPr>
          <w:p>
            <w:pPr>
              <w:spacing w:after="0"/>
              <w:rPr>
                <w:sz w:val="24"/>
                <w:szCs w:val="24"/>
                <w:color w:val="auto"/>
              </w:rPr>
            </w:pPr>
          </w:p>
        </w:tc>
        <w:tc>
          <w:tcPr>
            <w:tcW w:w="7720" w:type="dxa"/>
            <w:vAlign w:val="bottom"/>
            <w:tcBorders>
              <w:top w:val="single" w:sz="8" w:color="0000EE"/>
              <w:bottom w:val="single" w:sz="8" w:color="0000EE"/>
            </w:tcBorders>
            <w:gridSpan w:val="6"/>
          </w:tcPr>
          <w:p>
            <w:pPr>
              <w:spacing w:after="0"/>
              <w:rPr>
                <w:rFonts w:ascii="Arial" w:cs="Arial" w:eastAsia="Arial" w:hAnsi="Arial"/>
                <w:sz w:val="18"/>
                <w:szCs w:val="18"/>
                <w:color w:val="0000EE"/>
                <w:w w:val="94"/>
              </w:rPr>
            </w:pPr>
            <w:hyperlink w:anchor="page106">
              <w:r>
                <w:rPr>
                  <w:rFonts w:ascii="Arial" w:cs="Arial" w:eastAsia="Arial" w:hAnsi="Arial"/>
                  <w:sz w:val="18"/>
                  <w:szCs w:val="18"/>
                  <w:color w:val="0000EE"/>
                  <w:w w:val="94"/>
                </w:rPr>
                <w:t>CONSOLIDATED STATEMENTS OF CHANGES IN EQUITY AS OF JUNE 30, 2018, 2017 AND 2016</w:t>
              </w:r>
            </w:hyperlink>
          </w:p>
        </w:tc>
        <w:tc>
          <w:tcPr>
            <w:tcW w:w="760" w:type="dxa"/>
            <w:vAlign w:val="bottom"/>
            <w:tcBorders>
              <w:top w:val="single" w:sz="8" w:color="0000EE"/>
            </w:tcBorders>
          </w:tcPr>
          <w:p>
            <w:pPr>
              <w:spacing w:after="0"/>
              <w:rPr>
                <w:sz w:val="24"/>
                <w:szCs w:val="24"/>
                <w:color w:val="auto"/>
              </w:rPr>
            </w:pPr>
          </w:p>
        </w:tc>
        <w:tc>
          <w:tcPr>
            <w:tcW w:w="1280" w:type="dxa"/>
            <w:vAlign w:val="bottom"/>
            <w:gridSpan w:val="3"/>
          </w:tcPr>
          <w:p>
            <w:pPr>
              <w:spacing w:after="0"/>
              <w:rPr>
                <w:sz w:val="24"/>
                <w:szCs w:val="24"/>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F-7 to F-9</w:t>
            </w:r>
          </w:p>
        </w:tc>
      </w:tr>
      <w:tr>
        <w:trPr>
          <w:trHeight w:val="304"/>
        </w:trPr>
        <w:tc>
          <w:tcPr>
            <w:tcW w:w="200" w:type="dxa"/>
            <w:vAlign w:val="bottom"/>
          </w:tcPr>
          <w:p>
            <w:pPr>
              <w:spacing w:after="0"/>
              <w:rPr>
                <w:sz w:val="24"/>
                <w:szCs w:val="24"/>
                <w:color w:val="auto"/>
              </w:rPr>
            </w:pPr>
          </w:p>
        </w:tc>
        <w:tc>
          <w:tcPr>
            <w:tcW w:w="9060" w:type="dxa"/>
            <w:vAlign w:val="bottom"/>
            <w:tcBorders>
              <w:bottom w:val="single" w:sz="8" w:color="0000EE"/>
            </w:tcBorders>
            <w:gridSpan w:val="8"/>
          </w:tcPr>
          <w:p>
            <w:pPr>
              <w:spacing w:after="0"/>
              <w:rPr>
                <w:rFonts w:ascii="Arial" w:cs="Arial" w:eastAsia="Arial" w:hAnsi="Arial"/>
                <w:sz w:val="18"/>
                <w:szCs w:val="18"/>
                <w:color w:val="0000EE"/>
                <w:w w:val="95"/>
              </w:rPr>
            </w:pPr>
            <w:hyperlink w:anchor="page109">
              <w:r>
                <w:rPr>
                  <w:rFonts w:ascii="Arial" w:cs="Arial" w:eastAsia="Arial" w:hAnsi="Arial"/>
                  <w:sz w:val="18"/>
                  <w:szCs w:val="18"/>
                  <w:color w:val="0000EE"/>
                  <w:w w:val="95"/>
                </w:rPr>
                <w:t>NOTES TO CONSOLIDATED FINANCIAL STATEMENTS FOR THE YEARS ENDED JUNE 30, 2018, 2017 AND 2016</w:t>
              </w:r>
            </w:hyperlink>
          </w:p>
        </w:tc>
        <w:tc>
          <w:tcPr>
            <w:tcW w:w="700" w:type="dxa"/>
            <w:vAlign w:val="bottom"/>
            <w:gridSpan w:val="2"/>
          </w:tcPr>
          <w:p>
            <w:pPr>
              <w:spacing w:after="0"/>
              <w:rPr>
                <w:sz w:val="24"/>
                <w:szCs w:val="24"/>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F-10 to F-52</w:t>
            </w:r>
          </w:p>
        </w:tc>
      </w:tr>
    </w:tbl>
    <w:p>
      <w:pPr>
        <w:spacing w:after="0" w:line="225"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4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p>
    <w:p>
      <w:pPr>
        <w:ind w:left="420" w:right="320" w:hanging="215"/>
        <w:spacing w:after="0" w:line="282" w:lineRule="auto"/>
        <w:rPr>
          <w:sz w:val="20"/>
          <w:szCs w:val="20"/>
          <w:color w:val="auto"/>
        </w:rPr>
      </w:pPr>
      <w:r>
        <w:rPr>
          <w:rFonts w:ascii="Arial" w:cs="Arial" w:eastAsia="Arial" w:hAnsi="Arial"/>
          <w:sz w:val="18"/>
          <w:szCs w:val="18"/>
          <w:b w:val="1"/>
          <w:bCs w:val="1"/>
          <w:color w:val="auto"/>
        </w:rPr>
        <w:t>INDEX TO UNAUDITED CONDENSED CONSOLIDATED FINANCIAL STATEMENTS AS OF JUNE 30, 2018 AND FOR THE HALF-YEAR ENDED DECEMBER 31, 2018 AND 2017</w:t>
      </w:r>
    </w:p>
    <w:p>
      <w:pPr>
        <w:spacing w:after="0" w:line="54" w:lineRule="exact"/>
        <w:rPr>
          <w:sz w:val="20"/>
          <w:szCs w:val="20"/>
          <w:color w:val="auto"/>
        </w:rPr>
      </w:pPr>
    </w:p>
    <w:tbl>
      <w:tblPr>
        <w:tblLayout w:type="fixed"/>
        <w:tblInd w:w="200" w:type="dxa"/>
        <w:tblCellMar>
          <w:top w:w="0" w:type="dxa"/>
          <w:left w:w="0" w:type="dxa"/>
          <w:bottom w:w="0" w:type="dxa"/>
          <w:right w:w="0" w:type="dxa"/>
        </w:tblCellMar>
      </w:tblPr>
      <w:tr>
        <w:trPr>
          <w:trHeight w:val="207"/>
        </w:trPr>
        <w:tc>
          <w:tcPr>
            <w:tcW w:w="9780" w:type="dxa"/>
            <w:vAlign w:val="bottom"/>
            <w:gridSpan w:val="9"/>
          </w:tcPr>
          <w:p>
            <w:pPr>
              <w:spacing w:after="0"/>
              <w:rPr>
                <w:rFonts w:ascii="Arial" w:cs="Arial" w:eastAsia="Arial" w:hAnsi="Arial"/>
                <w:sz w:val="18"/>
                <w:szCs w:val="18"/>
                <w:color w:val="0000EE"/>
              </w:rPr>
            </w:pPr>
            <w:hyperlink w:anchor="page152">
              <w:r>
                <w:rPr>
                  <w:rFonts w:ascii="Arial" w:cs="Arial" w:eastAsia="Arial" w:hAnsi="Arial"/>
                  <w:sz w:val="18"/>
                  <w:szCs w:val="18"/>
                  <w:color w:val="0000EE"/>
                </w:rPr>
                <w:t>CONSOLIDATED STATEMENTS OF PROFIT OR LOSS AND OTHER COMPREHENSIVE LOSS FOR THE HALF-YEAR</w:t>
              </w:r>
            </w:hyperlink>
          </w:p>
        </w:tc>
        <w:tc>
          <w:tcPr>
            <w:tcW w:w="1180" w:type="dxa"/>
            <w:vAlign w:val="bottom"/>
          </w:tcPr>
          <w:p>
            <w:pPr>
              <w:spacing w:after="0"/>
              <w:rPr>
                <w:sz w:val="17"/>
                <w:szCs w:val="17"/>
                <w:color w:val="auto"/>
              </w:rPr>
            </w:pPr>
          </w:p>
        </w:tc>
      </w:tr>
      <w:tr>
        <w:trPr>
          <w:trHeight w:val="196"/>
        </w:trPr>
        <w:tc>
          <w:tcPr>
            <w:tcW w:w="180" w:type="dxa"/>
            <w:vAlign w:val="bottom"/>
            <w:tcBorders>
              <w:top w:val="single" w:sz="8" w:color="0000EE"/>
            </w:tcBorders>
          </w:tcPr>
          <w:p>
            <w:pPr>
              <w:spacing w:after="0"/>
              <w:rPr>
                <w:sz w:val="17"/>
                <w:szCs w:val="17"/>
                <w:color w:val="auto"/>
              </w:rPr>
            </w:pPr>
          </w:p>
        </w:tc>
        <w:tc>
          <w:tcPr>
            <w:tcW w:w="4380" w:type="dxa"/>
            <w:vAlign w:val="bottom"/>
            <w:tcBorders>
              <w:top w:val="single" w:sz="8" w:color="0000EE"/>
              <w:bottom w:val="single" w:sz="8" w:color="0000EE"/>
            </w:tcBorders>
            <w:gridSpan w:val="2"/>
          </w:tcPr>
          <w:p>
            <w:pPr>
              <w:spacing w:after="0" w:line="196" w:lineRule="exact"/>
              <w:rPr>
                <w:rFonts w:ascii="Arial" w:cs="Arial" w:eastAsia="Arial" w:hAnsi="Arial"/>
                <w:sz w:val="18"/>
                <w:szCs w:val="18"/>
                <w:color w:val="0000EE"/>
                <w:w w:val="95"/>
              </w:rPr>
            </w:pPr>
            <w:hyperlink w:anchor="page152">
              <w:r>
                <w:rPr>
                  <w:rFonts w:ascii="Arial" w:cs="Arial" w:eastAsia="Arial" w:hAnsi="Arial"/>
                  <w:sz w:val="18"/>
                  <w:szCs w:val="18"/>
                  <w:color w:val="0000EE"/>
                  <w:w w:val="95"/>
                </w:rPr>
                <w:t>ENDED DECEMBER 31, 2018 AND 2017 (UNAUDITED)</w:t>
              </w:r>
            </w:hyperlink>
          </w:p>
        </w:tc>
        <w:tc>
          <w:tcPr>
            <w:tcW w:w="4680" w:type="dxa"/>
            <w:vAlign w:val="bottom"/>
            <w:tcBorders>
              <w:top w:val="single" w:sz="8" w:color="0000EE"/>
            </w:tcBorders>
            <w:gridSpan w:val="4"/>
          </w:tcPr>
          <w:p>
            <w:pPr>
              <w:spacing w:after="0"/>
              <w:rPr>
                <w:sz w:val="17"/>
                <w:szCs w:val="17"/>
                <w:color w:val="auto"/>
              </w:rPr>
            </w:pPr>
          </w:p>
        </w:tc>
        <w:tc>
          <w:tcPr>
            <w:tcW w:w="540" w:type="dxa"/>
            <w:vAlign w:val="bottom"/>
            <w:gridSpan w:val="2"/>
          </w:tcPr>
          <w:p>
            <w:pPr>
              <w:spacing w:after="0"/>
              <w:rPr>
                <w:sz w:val="17"/>
                <w:szCs w:val="17"/>
                <w:color w:val="auto"/>
              </w:rPr>
            </w:pPr>
          </w:p>
        </w:tc>
        <w:tc>
          <w:tcPr>
            <w:tcW w:w="1180" w:type="dxa"/>
            <w:vAlign w:val="bottom"/>
          </w:tcPr>
          <w:p>
            <w:pPr>
              <w:jc w:val="right"/>
              <w:spacing w:after="0" w:line="196" w:lineRule="exact"/>
              <w:rPr>
                <w:sz w:val="20"/>
                <w:szCs w:val="20"/>
                <w:color w:val="auto"/>
              </w:rPr>
            </w:pPr>
            <w:r>
              <w:rPr>
                <w:rFonts w:ascii="Arial" w:cs="Arial" w:eastAsia="Arial" w:hAnsi="Arial"/>
                <w:sz w:val="18"/>
                <w:szCs w:val="18"/>
                <w:color w:val="auto"/>
              </w:rPr>
              <w:t>F-53</w:t>
            </w:r>
          </w:p>
        </w:tc>
      </w:tr>
      <w:tr>
        <w:trPr>
          <w:trHeight w:val="304"/>
        </w:trPr>
        <w:tc>
          <w:tcPr>
            <w:tcW w:w="9780" w:type="dxa"/>
            <w:vAlign w:val="bottom"/>
            <w:gridSpan w:val="9"/>
          </w:tcPr>
          <w:p>
            <w:pPr>
              <w:spacing w:after="0"/>
              <w:rPr>
                <w:rFonts w:ascii="Arial" w:cs="Arial" w:eastAsia="Arial" w:hAnsi="Arial"/>
                <w:sz w:val="18"/>
                <w:szCs w:val="18"/>
                <w:color w:val="0000EE"/>
              </w:rPr>
            </w:pPr>
            <w:hyperlink w:anchor="page153">
              <w:r>
                <w:rPr>
                  <w:rFonts w:ascii="Arial" w:cs="Arial" w:eastAsia="Arial" w:hAnsi="Arial"/>
                  <w:sz w:val="18"/>
                  <w:szCs w:val="18"/>
                  <w:color w:val="0000EE"/>
                </w:rPr>
                <w:t>CONSOLIDATED FINANCIAL POSITION AS OF DECEMBER 31, 2018 AND 30 JUNE 2018 (UNAUDITED)</w:t>
              </w:r>
            </w:hyperlink>
          </w:p>
        </w:tc>
        <w:tc>
          <w:tcPr>
            <w:tcW w:w="1180" w:type="dxa"/>
            <w:vAlign w:val="bottom"/>
          </w:tcPr>
          <w:p>
            <w:pPr>
              <w:jc w:val="right"/>
              <w:spacing w:after="0"/>
              <w:rPr>
                <w:sz w:val="20"/>
                <w:szCs w:val="20"/>
                <w:color w:val="auto"/>
              </w:rPr>
            </w:pPr>
            <w:r>
              <w:rPr>
                <w:rFonts w:ascii="Arial" w:cs="Arial" w:eastAsia="Arial" w:hAnsi="Arial"/>
                <w:sz w:val="18"/>
                <w:szCs w:val="18"/>
                <w:color w:val="auto"/>
              </w:rPr>
              <w:t>F-54</w:t>
            </w:r>
          </w:p>
        </w:tc>
      </w:tr>
      <w:tr>
        <w:trPr>
          <w:trHeight w:val="20"/>
        </w:trPr>
        <w:tc>
          <w:tcPr>
            <w:tcW w:w="180" w:type="dxa"/>
            <w:vAlign w:val="bottom"/>
            <w:shd w:val="clear" w:color="auto" w:fill="0000EE"/>
          </w:tcPr>
          <w:p>
            <w:pPr>
              <w:spacing w:after="0" w:line="20" w:lineRule="exact"/>
              <w:rPr>
                <w:sz w:val="1"/>
                <w:szCs w:val="1"/>
                <w:color w:val="auto"/>
              </w:rPr>
            </w:pPr>
          </w:p>
        </w:tc>
        <w:tc>
          <w:tcPr>
            <w:tcW w:w="1180" w:type="dxa"/>
            <w:vAlign w:val="bottom"/>
            <w:shd w:val="clear" w:color="auto" w:fill="0000EE"/>
          </w:tcPr>
          <w:p>
            <w:pPr>
              <w:spacing w:after="0" w:line="20" w:lineRule="exact"/>
              <w:rPr>
                <w:sz w:val="1"/>
                <w:szCs w:val="1"/>
                <w:color w:val="auto"/>
              </w:rPr>
            </w:pPr>
          </w:p>
        </w:tc>
        <w:tc>
          <w:tcPr>
            <w:tcW w:w="6960" w:type="dxa"/>
            <w:vAlign w:val="bottom"/>
            <w:gridSpan w:val="2"/>
            <w:shd w:val="clear" w:color="auto" w:fill="0000EE"/>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r>
      <w:tr>
        <w:trPr>
          <w:trHeight w:val="304"/>
        </w:trPr>
        <w:tc>
          <w:tcPr>
            <w:tcW w:w="9780" w:type="dxa"/>
            <w:vAlign w:val="bottom"/>
            <w:gridSpan w:val="9"/>
          </w:tcPr>
          <w:p>
            <w:pPr>
              <w:spacing w:after="0"/>
              <w:rPr>
                <w:rFonts w:ascii="Arial" w:cs="Arial" w:eastAsia="Arial" w:hAnsi="Arial"/>
                <w:sz w:val="18"/>
                <w:szCs w:val="18"/>
                <w:color w:val="0000EE"/>
              </w:rPr>
            </w:pPr>
            <w:hyperlink w:anchor="page154">
              <w:r>
                <w:rPr>
                  <w:rFonts w:ascii="Arial" w:cs="Arial" w:eastAsia="Arial" w:hAnsi="Arial"/>
                  <w:sz w:val="18"/>
                  <w:szCs w:val="18"/>
                  <w:color w:val="0000EE"/>
                </w:rPr>
                <w:t>CONSOLIDATED STATEMENTS OF CASH FLOWS FOR THE HALF-YEAR ENDED DECEMBER 31, 2018 AND 2017</w:t>
              </w:r>
            </w:hyperlink>
          </w:p>
        </w:tc>
        <w:tc>
          <w:tcPr>
            <w:tcW w:w="1180" w:type="dxa"/>
            <w:vAlign w:val="bottom"/>
          </w:tcPr>
          <w:p>
            <w:pPr>
              <w:spacing w:after="0"/>
              <w:rPr>
                <w:sz w:val="24"/>
                <w:szCs w:val="24"/>
                <w:color w:val="auto"/>
              </w:rPr>
            </w:pPr>
          </w:p>
        </w:tc>
      </w:tr>
      <w:tr>
        <w:trPr>
          <w:trHeight w:val="196"/>
        </w:trPr>
        <w:tc>
          <w:tcPr>
            <w:tcW w:w="180" w:type="dxa"/>
            <w:vAlign w:val="bottom"/>
            <w:tcBorders>
              <w:top w:val="single" w:sz="8" w:color="0000EE"/>
            </w:tcBorders>
          </w:tcPr>
          <w:p>
            <w:pPr>
              <w:spacing w:after="0"/>
              <w:rPr>
                <w:sz w:val="17"/>
                <w:szCs w:val="17"/>
                <w:color w:val="auto"/>
              </w:rPr>
            </w:pPr>
          </w:p>
        </w:tc>
        <w:tc>
          <w:tcPr>
            <w:tcW w:w="8920" w:type="dxa"/>
            <w:vAlign w:val="bottom"/>
            <w:tcBorders>
              <w:top w:val="single" w:sz="8" w:color="0000EE"/>
            </w:tcBorders>
            <w:gridSpan w:val="5"/>
          </w:tcPr>
          <w:p>
            <w:pPr>
              <w:spacing w:after="0" w:line="196" w:lineRule="exact"/>
              <w:rPr>
                <w:rFonts w:ascii="Arial" w:cs="Arial" w:eastAsia="Arial" w:hAnsi="Arial"/>
                <w:sz w:val="18"/>
                <w:szCs w:val="18"/>
                <w:color w:val="0000EE"/>
              </w:rPr>
            </w:pPr>
            <w:hyperlink w:anchor="page154">
              <w:r>
                <w:rPr>
                  <w:rFonts w:ascii="Arial" w:cs="Arial" w:eastAsia="Arial" w:hAnsi="Arial"/>
                  <w:sz w:val="18"/>
                  <w:szCs w:val="18"/>
                  <w:color w:val="0000EE"/>
                </w:rPr>
                <w:t>(UNAUDITED)</w:t>
              </w:r>
            </w:hyperlink>
          </w:p>
        </w:tc>
        <w:tc>
          <w:tcPr>
            <w:tcW w:w="680" w:type="dxa"/>
            <w:vAlign w:val="bottom"/>
            <w:gridSpan w:val="3"/>
          </w:tcPr>
          <w:p>
            <w:pPr>
              <w:spacing w:after="0"/>
              <w:rPr>
                <w:sz w:val="17"/>
                <w:szCs w:val="17"/>
                <w:color w:val="auto"/>
              </w:rPr>
            </w:pPr>
          </w:p>
        </w:tc>
        <w:tc>
          <w:tcPr>
            <w:tcW w:w="1180" w:type="dxa"/>
            <w:vAlign w:val="bottom"/>
          </w:tcPr>
          <w:p>
            <w:pPr>
              <w:jc w:val="right"/>
              <w:spacing w:after="0" w:line="196" w:lineRule="exact"/>
              <w:rPr>
                <w:sz w:val="20"/>
                <w:szCs w:val="20"/>
                <w:color w:val="auto"/>
              </w:rPr>
            </w:pPr>
            <w:r>
              <w:rPr>
                <w:rFonts w:ascii="Arial" w:cs="Arial" w:eastAsia="Arial" w:hAnsi="Arial"/>
                <w:sz w:val="18"/>
                <w:szCs w:val="18"/>
                <w:color w:val="auto"/>
              </w:rPr>
              <w:t>F-55</w:t>
            </w:r>
          </w:p>
        </w:tc>
      </w:tr>
      <w:tr>
        <w:trPr>
          <w:trHeight w:val="20"/>
        </w:trPr>
        <w:tc>
          <w:tcPr>
            <w:tcW w:w="180" w:type="dxa"/>
            <w:vAlign w:val="bottom"/>
          </w:tcPr>
          <w:p>
            <w:pPr>
              <w:spacing w:after="0" w:line="20" w:lineRule="exact"/>
              <w:rPr>
                <w:sz w:val="1"/>
                <w:szCs w:val="1"/>
                <w:color w:val="auto"/>
              </w:rPr>
            </w:pPr>
          </w:p>
        </w:tc>
        <w:tc>
          <w:tcPr>
            <w:tcW w:w="1180" w:type="dxa"/>
            <w:vAlign w:val="bottom"/>
            <w:shd w:val="clear" w:color="auto" w:fill="0000EE"/>
          </w:tcPr>
          <w:p>
            <w:pPr>
              <w:spacing w:after="0" w:line="20" w:lineRule="exact"/>
              <w:rPr>
                <w:sz w:val="1"/>
                <w:szCs w:val="1"/>
                <w:color w:val="auto"/>
              </w:rPr>
            </w:pPr>
          </w:p>
        </w:tc>
        <w:tc>
          <w:tcPr>
            <w:tcW w:w="7680" w:type="dxa"/>
            <w:vAlign w:val="bottom"/>
            <w:gridSpan w:val="3"/>
          </w:tcPr>
          <w:p>
            <w:pPr>
              <w:spacing w:after="0" w:line="20" w:lineRule="exact"/>
              <w:rPr>
                <w:sz w:val="1"/>
                <w:szCs w:val="1"/>
                <w:color w:val="auto"/>
              </w:rPr>
            </w:pPr>
          </w:p>
        </w:tc>
        <w:tc>
          <w:tcPr>
            <w:tcW w:w="480" w:type="dxa"/>
            <w:vAlign w:val="bottom"/>
            <w:gridSpan w:val="3"/>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r>
      <w:tr>
        <w:trPr>
          <w:trHeight w:val="304"/>
        </w:trPr>
        <w:tc>
          <w:tcPr>
            <w:tcW w:w="9040" w:type="dxa"/>
            <w:vAlign w:val="bottom"/>
            <w:tcBorders>
              <w:bottom w:val="single" w:sz="8" w:color="0000EE"/>
            </w:tcBorders>
            <w:gridSpan w:val="5"/>
          </w:tcPr>
          <w:p>
            <w:pPr>
              <w:spacing w:after="0"/>
              <w:rPr>
                <w:rFonts w:ascii="Arial" w:cs="Arial" w:eastAsia="Arial" w:hAnsi="Arial"/>
                <w:sz w:val="18"/>
                <w:szCs w:val="18"/>
                <w:color w:val="0000EE"/>
                <w:w w:val="96"/>
              </w:rPr>
            </w:pPr>
            <w:hyperlink w:anchor="page155">
              <w:r>
                <w:rPr>
                  <w:rFonts w:ascii="Arial" w:cs="Arial" w:eastAsia="Arial" w:hAnsi="Arial"/>
                  <w:sz w:val="18"/>
                  <w:szCs w:val="18"/>
                  <w:color w:val="0000EE"/>
                  <w:w w:val="96"/>
                </w:rPr>
                <w:t>CONSOLIDATED STATEMENTS OF CHANGES IN EQUITY AS OF DECEMBER 31, 2018 AND 2017 (UNAUDITED)</w:t>
              </w:r>
            </w:hyperlink>
          </w:p>
        </w:tc>
        <w:tc>
          <w:tcPr>
            <w:tcW w:w="740" w:type="dxa"/>
            <w:vAlign w:val="bottom"/>
            <w:gridSpan w:val="4"/>
          </w:tcPr>
          <w:p>
            <w:pPr>
              <w:spacing w:after="0"/>
              <w:rPr>
                <w:sz w:val="24"/>
                <w:szCs w:val="24"/>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F-56</w:t>
            </w:r>
          </w:p>
        </w:tc>
      </w:tr>
      <w:tr>
        <w:trPr>
          <w:trHeight w:val="304"/>
        </w:trPr>
        <w:tc>
          <w:tcPr>
            <w:tcW w:w="9780" w:type="dxa"/>
            <w:vAlign w:val="bottom"/>
            <w:gridSpan w:val="9"/>
          </w:tcPr>
          <w:p>
            <w:pPr>
              <w:spacing w:after="0"/>
              <w:rPr>
                <w:rFonts w:ascii="Arial" w:cs="Arial" w:eastAsia="Arial" w:hAnsi="Arial"/>
                <w:sz w:val="18"/>
                <w:szCs w:val="18"/>
                <w:color w:val="0000EE"/>
                <w:w w:val="98"/>
              </w:rPr>
            </w:pPr>
            <w:hyperlink w:anchor="page156">
              <w:r>
                <w:rPr>
                  <w:rFonts w:ascii="Arial" w:cs="Arial" w:eastAsia="Arial" w:hAnsi="Arial"/>
                  <w:sz w:val="18"/>
                  <w:szCs w:val="18"/>
                  <w:color w:val="0000EE"/>
                  <w:w w:val="98"/>
                </w:rPr>
                <w:t>NOTES TO CONSOLIDATED FINANCIAL STATEMENTS FOR THE HALF-YEAR ENDED DECEMBER 31, 2018 AND 2017</w:t>
              </w:r>
            </w:hyperlink>
          </w:p>
        </w:tc>
        <w:tc>
          <w:tcPr>
            <w:tcW w:w="1180" w:type="dxa"/>
            <w:vAlign w:val="bottom"/>
          </w:tcPr>
          <w:p>
            <w:pPr>
              <w:spacing w:after="0"/>
              <w:rPr>
                <w:sz w:val="24"/>
                <w:szCs w:val="24"/>
                <w:color w:val="auto"/>
              </w:rPr>
            </w:pPr>
          </w:p>
        </w:tc>
      </w:tr>
      <w:tr>
        <w:trPr>
          <w:trHeight w:val="196"/>
        </w:trPr>
        <w:tc>
          <w:tcPr>
            <w:tcW w:w="180" w:type="dxa"/>
            <w:vAlign w:val="bottom"/>
            <w:tcBorders>
              <w:top w:val="single" w:sz="8" w:color="0000EE"/>
            </w:tcBorders>
          </w:tcPr>
          <w:p>
            <w:pPr>
              <w:spacing w:after="0"/>
              <w:rPr>
                <w:sz w:val="17"/>
                <w:szCs w:val="17"/>
                <w:color w:val="auto"/>
              </w:rPr>
            </w:pPr>
          </w:p>
        </w:tc>
        <w:tc>
          <w:tcPr>
            <w:tcW w:w="9340" w:type="dxa"/>
            <w:vAlign w:val="bottom"/>
            <w:tcBorders>
              <w:top w:val="single" w:sz="8" w:color="0000EE"/>
            </w:tcBorders>
            <w:gridSpan w:val="7"/>
          </w:tcPr>
          <w:p>
            <w:pPr>
              <w:spacing w:after="0" w:line="196" w:lineRule="exact"/>
              <w:rPr>
                <w:rFonts w:ascii="Arial" w:cs="Arial" w:eastAsia="Arial" w:hAnsi="Arial"/>
                <w:sz w:val="18"/>
                <w:szCs w:val="18"/>
                <w:color w:val="0000EE"/>
              </w:rPr>
            </w:pPr>
            <w:hyperlink w:anchor="page156">
              <w:r>
                <w:rPr>
                  <w:rFonts w:ascii="Arial" w:cs="Arial" w:eastAsia="Arial" w:hAnsi="Arial"/>
                  <w:sz w:val="18"/>
                  <w:szCs w:val="18"/>
                  <w:color w:val="0000EE"/>
                </w:rPr>
                <w:t>(UNAUDITED)</w:t>
              </w:r>
            </w:hyperlink>
          </w:p>
        </w:tc>
        <w:tc>
          <w:tcPr>
            <w:tcW w:w="260" w:type="dxa"/>
            <w:vAlign w:val="bottom"/>
          </w:tcPr>
          <w:p>
            <w:pPr>
              <w:spacing w:after="0"/>
              <w:rPr>
                <w:sz w:val="17"/>
                <w:szCs w:val="17"/>
                <w:color w:val="auto"/>
              </w:rPr>
            </w:pPr>
          </w:p>
        </w:tc>
        <w:tc>
          <w:tcPr>
            <w:tcW w:w="1180" w:type="dxa"/>
            <w:vAlign w:val="bottom"/>
          </w:tcPr>
          <w:p>
            <w:pPr>
              <w:jc w:val="right"/>
              <w:spacing w:after="0" w:line="196" w:lineRule="exact"/>
              <w:rPr>
                <w:sz w:val="20"/>
                <w:szCs w:val="20"/>
                <w:color w:val="auto"/>
              </w:rPr>
            </w:pPr>
            <w:r>
              <w:rPr>
                <w:rFonts w:ascii="Arial" w:cs="Arial" w:eastAsia="Arial" w:hAnsi="Arial"/>
                <w:sz w:val="18"/>
                <w:szCs w:val="18"/>
                <w:color w:val="auto"/>
              </w:rPr>
              <w:t>F-57 to F-66</w:t>
            </w:r>
          </w:p>
        </w:tc>
      </w:tr>
      <w:tr>
        <w:trPr>
          <w:trHeight w:val="385"/>
        </w:trPr>
        <w:tc>
          <w:tcPr>
            <w:tcW w:w="180" w:type="dxa"/>
            <w:vAlign w:val="bottom"/>
          </w:tcPr>
          <w:p>
            <w:pPr>
              <w:spacing w:after="0"/>
              <w:rPr>
                <w:sz w:val="24"/>
                <w:szCs w:val="24"/>
                <w:color w:val="auto"/>
              </w:rPr>
            </w:pPr>
          </w:p>
        </w:tc>
        <w:tc>
          <w:tcPr>
            <w:tcW w:w="1180" w:type="dxa"/>
            <w:vAlign w:val="bottom"/>
            <w:tcBorders>
              <w:top w:val="single" w:sz="8" w:color="0000EE"/>
            </w:tcBorders>
          </w:tcPr>
          <w:p>
            <w:pPr>
              <w:spacing w:after="0"/>
              <w:rPr>
                <w:sz w:val="24"/>
                <w:szCs w:val="24"/>
                <w:color w:val="auto"/>
              </w:rPr>
            </w:pPr>
          </w:p>
        </w:tc>
        <w:tc>
          <w:tcPr>
            <w:tcW w:w="3200" w:type="dxa"/>
            <w:vAlign w:val="bottom"/>
          </w:tcPr>
          <w:p>
            <w:pPr>
              <w:spacing w:after="0"/>
              <w:rPr>
                <w:sz w:val="24"/>
                <w:szCs w:val="24"/>
                <w:color w:val="auto"/>
              </w:rPr>
            </w:pPr>
          </w:p>
        </w:tc>
        <w:tc>
          <w:tcPr>
            <w:tcW w:w="5220" w:type="dxa"/>
            <w:vAlign w:val="bottom"/>
            <w:gridSpan w:val="6"/>
          </w:tcPr>
          <w:p>
            <w:pPr>
              <w:ind w:left="820"/>
              <w:spacing w:after="0"/>
              <w:rPr>
                <w:sz w:val="20"/>
                <w:szCs w:val="20"/>
                <w:color w:val="auto"/>
              </w:rPr>
            </w:pPr>
            <w:r>
              <w:rPr>
                <w:rFonts w:ascii="Arial" w:cs="Arial" w:eastAsia="Arial" w:hAnsi="Arial"/>
                <w:sz w:val="18"/>
                <w:szCs w:val="18"/>
                <w:color w:val="auto"/>
              </w:rPr>
              <w:t>F-1</w:t>
            </w:r>
          </w:p>
        </w:tc>
        <w:tc>
          <w:tcPr>
            <w:tcW w:w="1180" w:type="dxa"/>
            <w:vAlign w:val="bottom"/>
          </w:tcPr>
          <w:p>
            <w:pPr>
              <w:spacing w:after="0"/>
              <w:rPr>
                <w:sz w:val="24"/>
                <w:szCs w:val="24"/>
                <w:color w:val="auto"/>
              </w:rPr>
            </w:pPr>
          </w:p>
        </w:tc>
      </w:tr>
    </w:tbl>
    <w:p>
      <w:pPr>
        <w:sectPr>
          <w:pgSz w:w="11900" w:h="16838" w:orient="portrait"/>
          <w:cols w:equalWidth="0" w:num="1">
            <w:col w:w="11160"/>
          </w:cols>
          <w:pgMar w:left="240" w:top="446" w:right="499" w:bottom="1440" w:gutter="0" w:footer="0" w:header="0"/>
        </w:sectPr>
      </w:pPr>
    </w:p>
    <w:bookmarkStart w:id="100" w:name="page101"/>
    <w:bookmarkEnd w:id="10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4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2640"/>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256" w:lineRule="exact"/>
        <w:rPr>
          <w:sz w:val="20"/>
          <w:szCs w:val="20"/>
          <w:color w:val="auto"/>
        </w:rPr>
      </w:pPr>
    </w:p>
    <w:p>
      <w:pPr>
        <w:ind w:left="1420"/>
        <w:spacing w:after="0"/>
        <w:rPr>
          <w:sz w:val="20"/>
          <w:szCs w:val="20"/>
          <w:color w:val="auto"/>
        </w:rPr>
      </w:pPr>
      <w:r>
        <w:rPr>
          <w:rFonts w:ascii="Arial" w:cs="Arial" w:eastAsia="Arial" w:hAnsi="Arial"/>
          <w:sz w:val="18"/>
          <w:szCs w:val="18"/>
          <w:color w:val="auto"/>
        </w:rPr>
        <w:t>Board of Directors and Shareholders</w:t>
      </w:r>
    </w:p>
    <w:p>
      <w:pPr>
        <w:spacing w:after="0" w:line="23" w:lineRule="exact"/>
        <w:rPr>
          <w:sz w:val="20"/>
          <w:szCs w:val="20"/>
          <w:color w:val="auto"/>
        </w:rPr>
      </w:pPr>
    </w:p>
    <w:p>
      <w:pPr>
        <w:ind w:left="1420"/>
        <w:spacing w:after="0"/>
        <w:rPr>
          <w:sz w:val="20"/>
          <w:szCs w:val="20"/>
          <w:color w:val="auto"/>
        </w:rPr>
      </w:pPr>
      <w:r>
        <w:rPr>
          <w:rFonts w:ascii="Arial" w:cs="Arial" w:eastAsia="Arial" w:hAnsi="Arial"/>
          <w:sz w:val="18"/>
          <w:szCs w:val="18"/>
          <w:color w:val="auto"/>
        </w:rPr>
        <w:t>Avita Medical Ltd.</w:t>
      </w:r>
    </w:p>
    <w:p>
      <w:pPr>
        <w:spacing w:after="0" w:line="355" w:lineRule="exact"/>
        <w:rPr>
          <w:sz w:val="20"/>
          <w:szCs w:val="20"/>
          <w:color w:val="auto"/>
        </w:rPr>
      </w:pPr>
    </w:p>
    <w:p>
      <w:pPr>
        <w:ind w:left="1420"/>
        <w:spacing w:after="0"/>
        <w:rPr>
          <w:sz w:val="20"/>
          <w:szCs w:val="20"/>
          <w:color w:val="auto"/>
        </w:rPr>
      </w:pPr>
      <w:r>
        <w:rPr>
          <w:rFonts w:ascii="Arial" w:cs="Arial" w:eastAsia="Arial" w:hAnsi="Arial"/>
          <w:sz w:val="18"/>
          <w:szCs w:val="18"/>
          <w:b w:val="1"/>
          <w:bCs w:val="1"/>
          <w:color w:val="auto"/>
        </w:rPr>
        <w:t>Opinion on the financial statements</w:t>
      </w:r>
    </w:p>
    <w:p>
      <w:pPr>
        <w:spacing w:after="0" w:line="135" w:lineRule="exact"/>
        <w:rPr>
          <w:sz w:val="20"/>
          <w:szCs w:val="20"/>
          <w:color w:val="auto"/>
        </w:rPr>
      </w:pPr>
    </w:p>
    <w:p>
      <w:pPr>
        <w:ind w:left="1420" w:right="60"/>
        <w:spacing w:after="0" w:line="255" w:lineRule="auto"/>
        <w:rPr>
          <w:sz w:val="20"/>
          <w:szCs w:val="20"/>
          <w:color w:val="auto"/>
        </w:rPr>
      </w:pPr>
      <w:r>
        <w:rPr>
          <w:rFonts w:ascii="Arial" w:cs="Arial" w:eastAsia="Arial" w:hAnsi="Arial"/>
          <w:sz w:val="18"/>
          <w:szCs w:val="18"/>
          <w:color w:val="auto"/>
        </w:rPr>
        <w:t>We have audited the accompanying consolidated statement of financial position of Avita Medical Ltd. and subsidiaries (the “Company”) as of June, 30 2018 and 2017, the related consolidated statements of profit or loss and other comprehensive income, consolidated changes in equity, and consolidated statement of cash flows for each of the three years in the period ended June 30, 2018 and the related notes (collectively referred to as the “financial statements”). In our opinion, the financial statements present fairly, in all material respects, the financial position of the Company as of June 30, 2018 and 2017, and the results of its operations and its cash flows for each of the three years in the period ended June 30, 2018, in conformity with International Financial Reporting Standards, as issued by the International Accounting Standards Board.</w:t>
      </w:r>
    </w:p>
    <w:p>
      <w:pPr>
        <w:spacing w:after="0" w:line="334" w:lineRule="exact"/>
        <w:rPr>
          <w:sz w:val="20"/>
          <w:szCs w:val="20"/>
          <w:color w:val="auto"/>
        </w:rPr>
      </w:pPr>
    </w:p>
    <w:p>
      <w:pPr>
        <w:ind w:left="1420"/>
        <w:spacing w:after="0"/>
        <w:rPr>
          <w:sz w:val="20"/>
          <w:szCs w:val="20"/>
          <w:color w:val="auto"/>
        </w:rPr>
      </w:pPr>
      <w:r>
        <w:rPr>
          <w:rFonts w:ascii="Arial" w:cs="Arial" w:eastAsia="Arial" w:hAnsi="Arial"/>
          <w:sz w:val="18"/>
          <w:szCs w:val="18"/>
          <w:b w:val="1"/>
          <w:bCs w:val="1"/>
          <w:color w:val="auto"/>
        </w:rPr>
        <w:t>Basis for opinion</w:t>
      </w:r>
    </w:p>
    <w:p>
      <w:pPr>
        <w:spacing w:after="0" w:line="135" w:lineRule="exact"/>
        <w:rPr>
          <w:sz w:val="20"/>
          <w:szCs w:val="20"/>
          <w:color w:val="auto"/>
        </w:rPr>
      </w:pPr>
    </w:p>
    <w:p>
      <w:pPr>
        <w:ind w:left="1420" w:right="140"/>
        <w:spacing w:after="0" w:line="302" w:lineRule="auto"/>
        <w:rPr>
          <w:sz w:val="20"/>
          <w:szCs w:val="20"/>
          <w:color w:val="auto"/>
        </w:rPr>
      </w:pPr>
      <w:r>
        <w:rPr>
          <w:rFonts w:ascii="Arial" w:cs="Arial" w:eastAsia="Arial" w:hAnsi="Arial"/>
          <w:sz w:val="16"/>
          <w:szCs w:val="16"/>
          <w:color w:val="auto"/>
        </w:rPr>
        <w:t>These financial statements are the responsibility of the Company’s management. Our responsibility is to express an opinion on the Company’s financial statements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181" w:lineRule="exact"/>
        <w:rPr>
          <w:sz w:val="20"/>
          <w:szCs w:val="20"/>
          <w:color w:val="auto"/>
        </w:rPr>
      </w:pPr>
    </w:p>
    <w:p>
      <w:pPr>
        <w:ind w:left="1420"/>
        <w:spacing w:after="0" w:line="297" w:lineRule="auto"/>
        <w:rPr>
          <w:sz w:val="20"/>
          <w:szCs w:val="20"/>
          <w:color w:val="auto"/>
        </w:rPr>
      </w:pPr>
      <w:r>
        <w:rPr>
          <w:rFonts w:ascii="Arial" w:cs="Arial" w:eastAsia="Arial" w:hAnsi="Arial"/>
          <w:sz w:val="16"/>
          <w:szCs w:val="16"/>
          <w:color w:val="auto"/>
        </w:rPr>
        <w:t>We conducted our audits in accordance with the standards of the PCAOB. Those standards require that we plan and perform the audit to obtain reasonable assurance about whether the financial statements are free of material misstatement, whether due to error or fraud. The Company is not required to have, nor were we engaged to perform, an audit of its internal control over financial reporting. As part of our audits we are required to obtain an understanding of internal control over financial reporting but not for the purpose of expressing an opinion on the effectiveness of the Company’s internal control over financial reporting. Accordingly, we express no such opinion.</w:t>
      </w:r>
    </w:p>
    <w:p>
      <w:pPr>
        <w:spacing w:after="0" w:line="199" w:lineRule="exact"/>
        <w:rPr>
          <w:sz w:val="20"/>
          <w:szCs w:val="20"/>
          <w:color w:val="auto"/>
        </w:rPr>
      </w:pPr>
    </w:p>
    <w:p>
      <w:pPr>
        <w:ind w:left="1420" w:right="60"/>
        <w:spacing w:after="0" w:line="257" w:lineRule="auto"/>
        <w:rPr>
          <w:sz w:val="20"/>
          <w:szCs w:val="20"/>
          <w:color w:val="auto"/>
        </w:rPr>
      </w:pPr>
      <w:r>
        <w:rPr>
          <w:rFonts w:ascii="Arial" w:cs="Arial" w:eastAsia="Arial" w:hAnsi="Arial"/>
          <w:sz w:val="18"/>
          <w:szCs w:val="18"/>
          <w:color w:val="auto"/>
        </w:rPr>
        <w:t>Our audits included performing procedures to assess the risks of material misstatement of the financial statements, whether due to error or fraud, and performing procedures that respond to those risks. Such procedures included examining, on a test basis, evidence supporting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w:t>
      </w:r>
    </w:p>
    <w:p>
      <w:pPr>
        <w:spacing w:after="0" w:line="215" w:lineRule="exact"/>
        <w:rPr>
          <w:sz w:val="20"/>
          <w:szCs w:val="20"/>
          <w:color w:val="auto"/>
        </w:rPr>
      </w:pPr>
    </w:p>
    <w:p>
      <w:pPr>
        <w:ind w:left="1420"/>
        <w:spacing w:after="0"/>
        <w:rPr>
          <w:sz w:val="20"/>
          <w:szCs w:val="20"/>
          <w:color w:val="auto"/>
        </w:rPr>
      </w:pPr>
      <w:r>
        <w:rPr>
          <w:rFonts w:ascii="Arial" w:cs="Arial" w:eastAsia="Arial" w:hAnsi="Arial"/>
          <w:sz w:val="18"/>
          <w:szCs w:val="18"/>
          <w:color w:val="auto"/>
        </w:rPr>
        <w:t>/s/ GRANT THORNTON AUDIT PTY LTD</w:t>
      </w:r>
    </w:p>
    <w:p>
      <w:pPr>
        <w:spacing w:after="0" w:line="252" w:lineRule="exact"/>
        <w:rPr>
          <w:sz w:val="20"/>
          <w:szCs w:val="20"/>
          <w:color w:val="auto"/>
        </w:rPr>
      </w:pPr>
    </w:p>
    <w:p>
      <w:pPr>
        <w:ind w:left="1420"/>
        <w:spacing w:after="0"/>
        <w:rPr>
          <w:sz w:val="20"/>
          <w:szCs w:val="20"/>
          <w:color w:val="auto"/>
        </w:rPr>
      </w:pPr>
      <w:r>
        <w:rPr>
          <w:rFonts w:ascii="Arial" w:cs="Arial" w:eastAsia="Arial" w:hAnsi="Arial"/>
          <w:sz w:val="18"/>
          <w:szCs w:val="18"/>
          <w:color w:val="auto"/>
        </w:rPr>
        <w:t>We have served as the Company’s auditor since 2011.</w:t>
      </w:r>
    </w:p>
    <w:p>
      <w:pPr>
        <w:spacing w:after="0" w:line="252" w:lineRule="exact"/>
        <w:rPr>
          <w:sz w:val="20"/>
          <w:szCs w:val="20"/>
          <w:color w:val="auto"/>
        </w:rPr>
      </w:pPr>
    </w:p>
    <w:p>
      <w:pPr>
        <w:ind w:left="1420"/>
        <w:spacing w:after="0"/>
        <w:rPr>
          <w:sz w:val="20"/>
          <w:szCs w:val="20"/>
          <w:color w:val="auto"/>
        </w:rPr>
      </w:pPr>
      <w:r>
        <w:rPr>
          <w:rFonts w:ascii="Arial" w:cs="Arial" w:eastAsia="Arial" w:hAnsi="Arial"/>
          <w:sz w:val="18"/>
          <w:szCs w:val="18"/>
          <w:color w:val="auto"/>
        </w:rPr>
        <w:t>Perth, Western Australia</w:t>
      </w:r>
    </w:p>
    <w:p>
      <w:pPr>
        <w:spacing w:after="0" w:line="23" w:lineRule="exact"/>
        <w:rPr>
          <w:sz w:val="20"/>
          <w:szCs w:val="20"/>
          <w:color w:val="auto"/>
        </w:rPr>
      </w:pPr>
    </w:p>
    <w:p>
      <w:pPr>
        <w:ind w:left="1420"/>
        <w:spacing w:after="0"/>
        <w:rPr>
          <w:sz w:val="20"/>
          <w:szCs w:val="20"/>
          <w:color w:val="auto"/>
        </w:rPr>
      </w:pPr>
      <w:r>
        <w:rPr>
          <w:rFonts w:ascii="Arial" w:cs="Arial" w:eastAsia="Arial" w:hAnsi="Arial"/>
          <w:sz w:val="18"/>
          <w:szCs w:val="18"/>
          <w:color w:val="auto"/>
        </w:rPr>
        <w:t>September 19, 2019</w:t>
      </w:r>
    </w:p>
    <w:p>
      <w:pPr>
        <w:spacing w:after="0" w:line="157"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F-2</w:t>
      </w:r>
    </w:p>
    <w:p>
      <w:pPr>
        <w:sectPr>
          <w:pgSz w:w="11900" w:h="16838" w:orient="portrait"/>
          <w:cols w:equalWidth="0" w:num="1">
            <w:col w:w="11220"/>
          </w:cols>
          <w:pgMar w:left="240" w:top="459" w:right="439" w:bottom="1440" w:gutter="0" w:footer="0" w:header="0"/>
        </w:sectPr>
      </w:pPr>
    </w:p>
    <w:bookmarkStart w:id="101" w:name="page102"/>
    <w:bookmarkEnd w:id="10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4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339"/>
        <w:spacing w:after="0"/>
        <w:rPr>
          <w:sz w:val="20"/>
          <w:szCs w:val="20"/>
          <w:color w:val="auto"/>
        </w:rPr>
      </w:pPr>
      <w:r>
        <w:rPr>
          <w:rFonts w:ascii="Arial" w:cs="Arial" w:eastAsia="Arial" w:hAnsi="Arial"/>
          <w:sz w:val="18"/>
          <w:szCs w:val="18"/>
          <w:b w:val="1"/>
          <w:bCs w:val="1"/>
          <w:color w:val="auto"/>
        </w:rPr>
        <w:t>Consent of Independent Registered Public Accounting Firm</w:t>
      </w:r>
    </w:p>
    <w:p>
      <w:pPr>
        <w:spacing w:after="0" w:line="229" w:lineRule="exact"/>
        <w:rPr>
          <w:sz w:val="20"/>
          <w:szCs w:val="20"/>
          <w:color w:val="auto"/>
        </w:rPr>
      </w:pPr>
    </w:p>
    <w:p>
      <w:pPr>
        <w:ind w:left="200"/>
        <w:spacing w:after="0" w:line="264" w:lineRule="auto"/>
        <w:rPr>
          <w:sz w:val="20"/>
          <w:szCs w:val="20"/>
          <w:color w:val="auto"/>
        </w:rPr>
      </w:pPr>
      <w:r>
        <w:rPr>
          <w:rFonts w:ascii="Arial" w:cs="Arial" w:eastAsia="Arial" w:hAnsi="Arial"/>
          <w:sz w:val="18"/>
          <w:szCs w:val="18"/>
          <w:color w:val="auto"/>
        </w:rPr>
        <w:t>We have issued our report dated September 19, 2019 with respect to the consolidated financial statements of Avita Medical Ltd contained in the Registration Statement. We consent to the use of the aforementioned report in the Registration Statement and to the use of our name as it appears under the caption “Experts.”</w:t>
      </w:r>
    </w:p>
    <w:p>
      <w:pPr>
        <w:spacing w:after="0" w:line="181" w:lineRule="exact"/>
        <w:rPr>
          <w:sz w:val="20"/>
          <w:szCs w:val="20"/>
          <w:color w:val="auto"/>
        </w:rPr>
      </w:pPr>
    </w:p>
    <w:p>
      <w:pPr>
        <w:ind w:left="200"/>
        <w:spacing w:after="0"/>
        <w:rPr>
          <w:sz w:val="20"/>
          <w:szCs w:val="20"/>
          <w:color w:val="auto"/>
        </w:rPr>
      </w:pPr>
      <w:r>
        <w:rPr>
          <w:rFonts w:ascii="Arial" w:cs="Arial" w:eastAsia="Arial" w:hAnsi="Arial"/>
          <w:sz w:val="18"/>
          <w:szCs w:val="18"/>
          <w:color w:val="auto"/>
        </w:rPr>
        <w:t>/s/ GRANT THORNTON AUDIT PTY LTD</w:t>
      </w:r>
    </w:p>
    <w:p>
      <w:pPr>
        <w:spacing w:after="0" w:line="225" w:lineRule="exact"/>
        <w:rPr>
          <w:sz w:val="20"/>
          <w:szCs w:val="20"/>
          <w:color w:val="auto"/>
        </w:rPr>
      </w:pPr>
    </w:p>
    <w:p>
      <w:pPr>
        <w:ind w:left="200"/>
        <w:spacing w:after="0"/>
        <w:rPr>
          <w:sz w:val="20"/>
          <w:szCs w:val="20"/>
          <w:color w:val="auto"/>
        </w:rPr>
      </w:pPr>
      <w:r>
        <w:rPr>
          <w:rFonts w:ascii="Arial" w:cs="Arial" w:eastAsia="Arial" w:hAnsi="Arial"/>
          <w:sz w:val="18"/>
          <w:szCs w:val="18"/>
          <w:color w:val="auto"/>
        </w:rPr>
        <w:t>Perth, Western Australia, Australia</w:t>
      </w:r>
    </w:p>
    <w:p>
      <w:pPr>
        <w:spacing w:after="0" w:line="23" w:lineRule="exact"/>
        <w:rPr>
          <w:sz w:val="20"/>
          <w:szCs w:val="20"/>
          <w:color w:val="auto"/>
        </w:rPr>
      </w:pPr>
    </w:p>
    <w:p>
      <w:pPr>
        <w:ind w:left="200"/>
        <w:spacing w:after="0"/>
        <w:rPr>
          <w:sz w:val="20"/>
          <w:szCs w:val="20"/>
          <w:color w:val="auto"/>
        </w:rPr>
      </w:pPr>
      <w:r>
        <w:rPr>
          <w:rFonts w:ascii="Arial" w:cs="Arial" w:eastAsia="Arial" w:hAnsi="Arial"/>
          <w:sz w:val="18"/>
          <w:szCs w:val="18"/>
          <w:color w:val="auto"/>
        </w:rPr>
        <w:t>September 19, 2019</w:t>
      </w:r>
    </w:p>
    <w:p>
      <w:pPr>
        <w:spacing w:after="0" w:line="143" w:lineRule="exact"/>
        <w:rPr>
          <w:sz w:val="20"/>
          <w:szCs w:val="20"/>
          <w:color w:val="auto"/>
        </w:rPr>
      </w:pPr>
    </w:p>
    <w:p>
      <w:pPr>
        <w:jc w:val="center"/>
        <w:ind w:right="-339"/>
        <w:spacing w:after="0"/>
        <w:rPr>
          <w:sz w:val="20"/>
          <w:szCs w:val="20"/>
          <w:color w:val="auto"/>
        </w:rPr>
      </w:pPr>
      <w:r>
        <w:rPr>
          <w:rFonts w:ascii="Arial" w:cs="Arial" w:eastAsia="Arial" w:hAnsi="Arial"/>
          <w:sz w:val="18"/>
          <w:szCs w:val="18"/>
          <w:color w:val="auto"/>
        </w:rPr>
        <w:t>F-3</w:t>
      </w:r>
    </w:p>
    <w:p>
      <w:pPr>
        <w:sectPr>
          <w:pgSz w:w="11900" w:h="16838" w:orient="portrait"/>
          <w:cols w:equalWidth="0" w:num="1">
            <w:col w:w="11100"/>
          </w:cols>
          <w:pgMar w:left="240" w:top="459" w:right="559" w:bottom="1440" w:gutter="0" w:footer="0" w:header="0"/>
        </w:sectPr>
      </w:pPr>
    </w:p>
    <w:bookmarkStart w:id="102" w:name="page103"/>
    <w:bookmarkEnd w:id="10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4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AVITA MEDICAL LIMITED</w:t>
      </w:r>
    </w:p>
    <w:p>
      <w:pPr>
        <w:spacing w:after="0" w:line="27"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CONSOLIDATED STATEMENT OF PROFIT OR LOSS AND OTHER COMPREHENSIVE LOSS</w:t>
      </w:r>
    </w:p>
    <w:p>
      <w:pPr>
        <w:spacing w:after="0" w:line="9"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(IN AUSTRALIAN DOLLARS)</w:t>
      </w:r>
    </w:p>
    <w:p>
      <w:pPr>
        <w:spacing w:after="0" w:line="217" w:lineRule="exact"/>
        <w:rPr>
          <w:sz w:val="20"/>
          <w:szCs w:val="20"/>
          <w:color w:val="auto"/>
        </w:rPr>
      </w:pPr>
    </w:p>
    <w:tbl>
      <w:tblPr>
        <w:tblLayout w:type="fixed"/>
        <w:tblInd w:w="20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520" w:type="dxa"/>
            <w:vAlign w:val="bottom"/>
          </w:tcPr>
          <w:p>
            <w:pPr>
              <w:spacing w:after="0"/>
              <w:rPr>
                <w:sz w:val="14"/>
                <w:szCs w:val="14"/>
                <w:color w:val="auto"/>
              </w:rPr>
            </w:pPr>
          </w:p>
        </w:tc>
        <w:tc>
          <w:tcPr>
            <w:tcW w:w="820" w:type="dxa"/>
            <w:vAlign w:val="bottom"/>
            <w:vMerge w:val="restart"/>
          </w:tcPr>
          <w:p>
            <w:pPr>
              <w:ind w:left="260"/>
              <w:spacing w:after="0"/>
              <w:rPr>
                <w:sz w:val="20"/>
                <w:szCs w:val="20"/>
                <w:color w:val="auto"/>
              </w:rPr>
            </w:pPr>
            <w:r>
              <w:rPr>
                <w:rFonts w:ascii="Arial" w:cs="Arial" w:eastAsia="Arial" w:hAnsi="Arial"/>
                <w:sz w:val="14"/>
                <w:szCs w:val="14"/>
                <w:b w:val="1"/>
                <w:bCs w:val="1"/>
                <w:color w:val="auto"/>
              </w:rPr>
              <w:t>Notes</w:t>
            </w:r>
          </w:p>
        </w:tc>
        <w:tc>
          <w:tcPr>
            <w:tcW w:w="2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80" w:type="dxa"/>
            <w:vAlign w:val="bottom"/>
            <w:vMerge w:val="restart"/>
          </w:tcPr>
          <w:p>
            <w:pPr>
              <w:jc w:val="right"/>
              <w:ind w:right="311"/>
              <w:spacing w:after="0"/>
              <w:rPr>
                <w:sz w:val="20"/>
                <w:szCs w:val="20"/>
                <w:color w:val="auto"/>
              </w:rPr>
            </w:pPr>
            <w:r>
              <w:rPr>
                <w:rFonts w:ascii="Arial" w:cs="Arial" w:eastAsia="Arial" w:hAnsi="Arial"/>
                <w:sz w:val="14"/>
                <w:szCs w:val="14"/>
                <w:b w:val="1"/>
                <w:bCs w:val="1"/>
                <w:color w:val="auto"/>
              </w:rPr>
              <w:t>2018</w:t>
            </w:r>
          </w:p>
        </w:tc>
        <w:tc>
          <w:tcPr>
            <w:tcW w:w="240" w:type="dxa"/>
            <w:vAlign w:val="bottom"/>
          </w:tcPr>
          <w:p>
            <w:pPr>
              <w:spacing w:after="0"/>
              <w:rPr>
                <w:sz w:val="14"/>
                <w:szCs w:val="14"/>
                <w:color w:val="auto"/>
              </w:rPr>
            </w:pPr>
          </w:p>
        </w:tc>
        <w:tc>
          <w:tcPr>
            <w:tcW w:w="1660" w:type="dxa"/>
            <w:vAlign w:val="bottom"/>
            <w:gridSpan w:val="4"/>
          </w:tcPr>
          <w:p>
            <w:pPr>
              <w:jc w:val="right"/>
              <w:ind w:right="180"/>
              <w:spacing w:after="0"/>
              <w:rPr>
                <w:sz w:val="20"/>
                <w:szCs w:val="20"/>
                <w:color w:val="auto"/>
              </w:rPr>
            </w:pPr>
            <w:r>
              <w:rPr>
                <w:rFonts w:ascii="Arial" w:cs="Arial" w:eastAsia="Arial" w:hAnsi="Arial"/>
                <w:sz w:val="14"/>
                <w:szCs w:val="14"/>
                <w:b w:val="1"/>
                <w:bCs w:val="1"/>
                <w:color w:val="auto"/>
              </w:rPr>
              <w:t>Year Ended June 30,</w:t>
            </w:r>
          </w:p>
        </w:tc>
        <w:tc>
          <w:tcPr>
            <w:tcW w:w="2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80" w:type="dxa"/>
            <w:vAlign w:val="bottom"/>
            <w:vMerge w:val="restart"/>
          </w:tcPr>
          <w:p>
            <w:pPr>
              <w:jc w:val="right"/>
              <w:ind w:right="331"/>
              <w:spacing w:after="0"/>
              <w:rPr>
                <w:sz w:val="20"/>
                <w:szCs w:val="20"/>
                <w:color w:val="auto"/>
              </w:rPr>
            </w:pPr>
            <w:r>
              <w:rPr>
                <w:rFonts w:ascii="Arial" w:cs="Arial" w:eastAsia="Arial" w:hAnsi="Arial"/>
                <w:sz w:val="14"/>
                <w:szCs w:val="14"/>
                <w:b w:val="1"/>
                <w:bCs w:val="1"/>
                <w:color w:val="auto"/>
              </w:rPr>
              <w:t>2016</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5520" w:type="dxa"/>
            <w:vAlign w:val="bottom"/>
            <w:tcBorders>
              <w:bottom w:val="single" w:sz="8" w:color="CCEEFF"/>
            </w:tcBorders>
          </w:tcPr>
          <w:p>
            <w:pPr>
              <w:spacing w:after="0"/>
              <w:rPr>
                <w:sz w:val="14"/>
                <w:szCs w:val="14"/>
                <w:color w:val="auto"/>
              </w:rPr>
            </w:pPr>
          </w:p>
        </w:tc>
        <w:tc>
          <w:tcPr>
            <w:tcW w:w="820" w:type="dxa"/>
            <w:vAlign w:val="bottom"/>
            <w:tcBorders>
              <w:bottom w:val="single" w:sz="8" w:color="CCEEFF"/>
            </w:tcBorders>
            <w:vMerge w:val="continue"/>
          </w:tcPr>
          <w:p>
            <w:pPr>
              <w:spacing w:after="0"/>
              <w:rPr>
                <w:sz w:val="14"/>
                <w:szCs w:val="14"/>
                <w:color w:val="auto"/>
              </w:rPr>
            </w:pPr>
          </w:p>
        </w:tc>
        <w:tc>
          <w:tcPr>
            <w:tcW w:w="240" w:type="dxa"/>
            <w:vAlign w:val="bottom"/>
            <w:tcBorders>
              <w:bottom w:val="single" w:sz="8" w:color="CCEEFF"/>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vMerge w:val="continue"/>
          </w:tcPr>
          <w:p>
            <w:pPr>
              <w:spacing w:after="0"/>
              <w:rPr>
                <w:sz w:val="14"/>
                <w:szCs w:val="14"/>
                <w:color w:val="auto"/>
              </w:rPr>
            </w:pPr>
          </w:p>
        </w:tc>
        <w:tc>
          <w:tcPr>
            <w:tcW w:w="240" w:type="dxa"/>
            <w:vAlign w:val="bottom"/>
            <w:tcBorders>
              <w:bottom w:val="single" w:sz="8" w:color="CCEEFF"/>
            </w:tcBorders>
          </w:tcPr>
          <w:p>
            <w:pPr>
              <w:spacing w:after="0"/>
              <w:rPr>
                <w:sz w:val="14"/>
                <w:szCs w:val="14"/>
                <w:color w:val="auto"/>
              </w:rPr>
            </w:pPr>
          </w:p>
        </w:tc>
        <w:tc>
          <w:tcPr>
            <w:tcW w:w="260" w:type="dxa"/>
            <w:vAlign w:val="bottom"/>
            <w:tcBorders>
              <w:bottom w:val="single" w:sz="8" w:color="CCEEFF"/>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jc w:val="right"/>
              <w:ind w:right="331"/>
              <w:spacing w:after="0"/>
              <w:rPr>
                <w:sz w:val="20"/>
                <w:szCs w:val="20"/>
                <w:color w:val="auto"/>
              </w:rPr>
            </w:pPr>
            <w:r>
              <w:rPr>
                <w:rFonts w:ascii="Arial" w:cs="Arial" w:eastAsia="Arial" w:hAnsi="Arial"/>
                <w:sz w:val="14"/>
                <w:szCs w:val="14"/>
                <w:b w:val="1"/>
                <w:bCs w:val="1"/>
                <w:color w:val="auto"/>
              </w:rPr>
              <w:t>2017</w:t>
            </w:r>
          </w:p>
        </w:tc>
        <w:tc>
          <w:tcPr>
            <w:tcW w:w="280" w:type="dxa"/>
            <w:vAlign w:val="bottom"/>
            <w:tcBorders>
              <w:bottom w:val="single" w:sz="8" w:color="CCEEFF"/>
            </w:tcBorders>
          </w:tcPr>
          <w:p>
            <w:pPr>
              <w:spacing w:after="0"/>
              <w:rPr>
                <w:sz w:val="14"/>
                <w:szCs w:val="14"/>
                <w:color w:val="auto"/>
              </w:rPr>
            </w:pPr>
          </w:p>
        </w:tc>
        <w:tc>
          <w:tcPr>
            <w:tcW w:w="220" w:type="dxa"/>
            <w:vAlign w:val="bottom"/>
            <w:tcBorders>
              <w:bottom w:val="single" w:sz="8" w:color="CCEEFF"/>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vMerge w:val="continue"/>
          </w:tcPr>
          <w:p>
            <w:pPr>
              <w:spacing w:after="0"/>
              <w:rPr>
                <w:sz w:val="14"/>
                <w:szCs w:val="14"/>
                <w:color w:val="auto"/>
              </w:rPr>
            </w:pPr>
          </w:p>
        </w:tc>
        <w:tc>
          <w:tcPr>
            <w:tcW w:w="12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5520" w:type="dxa"/>
            <w:vAlign w:val="bottom"/>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Continuing operations</w:t>
            </w:r>
          </w:p>
        </w:tc>
        <w:tc>
          <w:tcPr>
            <w:tcW w:w="8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20" w:type="dxa"/>
            <w:vAlign w:val="bottom"/>
          </w:tcPr>
          <w:p>
            <w:pPr>
              <w:spacing w:after="0"/>
              <w:rPr>
                <w:sz w:val="20"/>
                <w:szCs w:val="20"/>
                <w:color w:val="auto"/>
              </w:rPr>
            </w:pPr>
            <w:r>
              <w:rPr>
                <w:rFonts w:ascii="Arial" w:cs="Arial" w:eastAsia="Arial" w:hAnsi="Arial"/>
                <w:sz w:val="18"/>
                <w:szCs w:val="18"/>
                <w:color w:val="auto"/>
              </w:rPr>
              <w:t>Sale of goods</w:t>
            </w:r>
          </w:p>
        </w:tc>
        <w:tc>
          <w:tcPr>
            <w:tcW w:w="820" w:type="dxa"/>
            <w:vAlign w:val="bottom"/>
          </w:tcPr>
          <w:p>
            <w:pPr>
              <w:jc w:val="center"/>
              <w:ind w:left="31"/>
              <w:spacing w:after="0"/>
              <w:rPr>
                <w:sz w:val="20"/>
                <w:szCs w:val="20"/>
                <w:color w:val="auto"/>
              </w:rPr>
            </w:pPr>
            <w:r>
              <w:rPr>
                <w:rFonts w:ascii="Arial" w:cs="Arial" w:eastAsia="Arial" w:hAnsi="Arial"/>
                <w:sz w:val="18"/>
                <w:szCs w:val="18"/>
                <w:color w:val="auto"/>
                <w:w w:val="99"/>
              </w:rPr>
              <w:t>4</w:t>
            </w:r>
          </w:p>
        </w:tc>
        <w:tc>
          <w:tcPr>
            <w:tcW w:w="460" w:type="dxa"/>
            <w:vAlign w:val="bottom"/>
            <w:gridSpan w:val="2"/>
          </w:tcPr>
          <w:p>
            <w:pPr>
              <w:ind w:left="240"/>
              <w:spacing w:after="0"/>
              <w:rPr>
                <w:sz w:val="20"/>
                <w:szCs w:val="20"/>
                <w:color w:val="auto"/>
              </w:rPr>
            </w:pPr>
            <w:r>
              <w:rPr>
                <w:rFonts w:ascii="Arial" w:cs="Arial" w:eastAsia="Arial" w:hAnsi="Arial"/>
                <w:sz w:val="18"/>
                <w:szCs w:val="18"/>
                <w:color w:val="auto"/>
                <w:w w:val="90"/>
              </w:rPr>
              <w:t>A$</w:t>
            </w:r>
          </w:p>
        </w:tc>
        <w:tc>
          <w:tcPr>
            <w:tcW w:w="880" w:type="dxa"/>
            <w:vAlign w:val="bottom"/>
          </w:tcPr>
          <w:p>
            <w:pPr>
              <w:jc w:val="right"/>
              <w:spacing w:after="0"/>
              <w:rPr>
                <w:sz w:val="20"/>
                <w:szCs w:val="20"/>
                <w:color w:val="auto"/>
              </w:rPr>
            </w:pPr>
            <w:r>
              <w:rPr>
                <w:rFonts w:ascii="Arial" w:cs="Arial" w:eastAsia="Arial" w:hAnsi="Arial"/>
                <w:sz w:val="18"/>
                <w:szCs w:val="18"/>
                <w:color w:val="auto"/>
              </w:rPr>
              <w:t>1,198,861</w:t>
            </w:r>
          </w:p>
        </w:tc>
        <w:tc>
          <w:tcPr>
            <w:tcW w:w="240" w:type="dxa"/>
            <w:vAlign w:val="bottom"/>
          </w:tcPr>
          <w:p>
            <w:pPr>
              <w:spacing w:after="0"/>
              <w:rPr>
                <w:sz w:val="18"/>
                <w:szCs w:val="18"/>
                <w:color w:val="auto"/>
              </w:rPr>
            </w:pPr>
          </w:p>
        </w:tc>
        <w:tc>
          <w:tcPr>
            <w:tcW w:w="500" w:type="dxa"/>
            <w:vAlign w:val="bottom"/>
            <w:gridSpan w:val="2"/>
          </w:tcPr>
          <w:p>
            <w:pPr>
              <w:ind w:left="260"/>
              <w:spacing w:after="0"/>
              <w:rPr>
                <w:sz w:val="20"/>
                <w:szCs w:val="20"/>
                <w:color w:val="auto"/>
              </w:rPr>
            </w:pPr>
            <w:r>
              <w:rPr>
                <w:rFonts w:ascii="Arial" w:cs="Arial" w:eastAsia="Arial" w:hAnsi="Arial"/>
                <w:sz w:val="18"/>
                <w:szCs w:val="18"/>
                <w:color w:val="auto"/>
                <w:w w:val="99"/>
              </w:rPr>
              <w:t>A$</w:t>
            </w:r>
          </w:p>
        </w:tc>
        <w:tc>
          <w:tcPr>
            <w:tcW w:w="880" w:type="dxa"/>
            <w:vAlign w:val="bottom"/>
          </w:tcPr>
          <w:p>
            <w:pPr>
              <w:jc w:val="right"/>
              <w:spacing w:after="0"/>
              <w:rPr>
                <w:sz w:val="20"/>
                <w:szCs w:val="20"/>
                <w:color w:val="auto"/>
              </w:rPr>
            </w:pPr>
            <w:r>
              <w:rPr>
                <w:rFonts w:ascii="Arial" w:cs="Arial" w:eastAsia="Arial" w:hAnsi="Arial"/>
                <w:sz w:val="18"/>
                <w:szCs w:val="18"/>
                <w:color w:val="auto"/>
              </w:rPr>
              <w:t>901,376</w:t>
            </w:r>
          </w:p>
        </w:tc>
        <w:tc>
          <w:tcPr>
            <w:tcW w:w="280" w:type="dxa"/>
            <w:vAlign w:val="bottom"/>
          </w:tcPr>
          <w:p>
            <w:pPr>
              <w:spacing w:after="0"/>
              <w:rPr>
                <w:sz w:val="18"/>
                <w:szCs w:val="18"/>
                <w:color w:val="auto"/>
              </w:rPr>
            </w:pPr>
          </w:p>
        </w:tc>
        <w:tc>
          <w:tcPr>
            <w:tcW w:w="440" w:type="dxa"/>
            <w:vAlign w:val="bottom"/>
            <w:gridSpan w:val="2"/>
          </w:tcPr>
          <w:p>
            <w:pPr>
              <w:jc w:val="right"/>
              <w:spacing w:after="0"/>
              <w:rPr>
                <w:sz w:val="20"/>
                <w:szCs w:val="20"/>
                <w:color w:val="auto"/>
              </w:rPr>
            </w:pPr>
            <w:r>
              <w:rPr>
                <w:rFonts w:ascii="Arial" w:cs="Arial" w:eastAsia="Arial" w:hAnsi="Arial"/>
                <w:sz w:val="18"/>
                <w:szCs w:val="18"/>
                <w:color w:val="auto"/>
              </w:rPr>
              <w:t>A$</w:t>
            </w:r>
          </w:p>
        </w:tc>
        <w:tc>
          <w:tcPr>
            <w:tcW w:w="880" w:type="dxa"/>
            <w:vAlign w:val="bottom"/>
          </w:tcPr>
          <w:p>
            <w:pPr>
              <w:jc w:val="right"/>
              <w:spacing w:after="0"/>
              <w:rPr>
                <w:sz w:val="20"/>
                <w:szCs w:val="20"/>
                <w:color w:val="auto"/>
              </w:rPr>
            </w:pPr>
            <w:r>
              <w:rPr>
                <w:rFonts w:ascii="Arial" w:cs="Arial" w:eastAsia="Arial" w:hAnsi="Arial"/>
                <w:sz w:val="18"/>
                <w:szCs w:val="18"/>
                <w:color w:val="auto"/>
              </w:rPr>
              <w:t>1,002,007</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20" w:type="dxa"/>
            <w:vAlign w:val="bottom"/>
            <w:shd w:val="clear" w:color="auto" w:fill="CCEEFF"/>
          </w:tcPr>
          <w:p>
            <w:pPr>
              <w:spacing w:after="0"/>
              <w:rPr>
                <w:sz w:val="20"/>
                <w:szCs w:val="20"/>
                <w:color w:val="auto"/>
              </w:rPr>
            </w:pPr>
            <w:r>
              <w:rPr>
                <w:rFonts w:ascii="Arial" w:cs="Arial" w:eastAsia="Arial" w:hAnsi="Arial"/>
                <w:sz w:val="18"/>
                <w:szCs w:val="18"/>
                <w:color w:val="auto"/>
              </w:rPr>
              <w:t>Cost of sales</w:t>
            </w:r>
          </w:p>
        </w:tc>
        <w:tc>
          <w:tcPr>
            <w:tcW w:w="820" w:type="dxa"/>
            <w:vAlign w:val="bottom"/>
            <w:shd w:val="clear" w:color="auto" w:fill="CCEEFF"/>
          </w:tcPr>
          <w:p>
            <w:pPr>
              <w:jc w:val="center"/>
              <w:ind w:left="31"/>
              <w:spacing w:after="0"/>
              <w:rPr>
                <w:sz w:val="20"/>
                <w:szCs w:val="20"/>
                <w:color w:val="auto"/>
              </w:rPr>
            </w:pPr>
            <w:r>
              <w:rPr>
                <w:rFonts w:ascii="Arial" w:cs="Arial" w:eastAsia="Arial" w:hAnsi="Arial"/>
                <w:sz w:val="18"/>
                <w:szCs w:val="18"/>
                <w:color w:val="auto"/>
                <w:w w:val="99"/>
              </w:rPr>
              <w:t>4</w:t>
            </w:r>
          </w:p>
        </w:tc>
        <w:tc>
          <w:tcPr>
            <w:tcW w:w="2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(511,646)</w:t>
            </w:r>
          </w:p>
        </w:tc>
        <w:tc>
          <w:tcPr>
            <w:tcW w:w="2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(463,285)</w:t>
            </w: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(401,568)</w:t>
            </w:r>
          </w:p>
        </w:tc>
        <w:tc>
          <w:tcPr>
            <w:tcW w:w="0" w:type="dxa"/>
            <w:vAlign w:val="bottom"/>
          </w:tcPr>
          <w:p>
            <w:pPr>
              <w:spacing w:after="0"/>
              <w:rPr>
                <w:sz w:val="1"/>
                <w:szCs w:val="1"/>
                <w:color w:val="auto"/>
              </w:rPr>
            </w:pPr>
          </w:p>
        </w:tc>
      </w:tr>
      <w:tr>
        <w:trPr>
          <w:trHeight w:val="228"/>
        </w:trPr>
        <w:tc>
          <w:tcPr>
            <w:tcW w:w="5540" w:type="dxa"/>
            <w:vAlign w:val="bottom"/>
            <w:gridSpan w:val="2"/>
          </w:tcPr>
          <w:p>
            <w:pPr>
              <w:spacing w:after="0"/>
              <w:rPr>
                <w:sz w:val="20"/>
                <w:szCs w:val="20"/>
                <w:color w:val="auto"/>
              </w:rPr>
            </w:pPr>
            <w:r>
              <w:rPr>
                <w:rFonts w:ascii="Arial" w:cs="Arial" w:eastAsia="Arial" w:hAnsi="Arial"/>
                <w:sz w:val="18"/>
                <w:szCs w:val="18"/>
                <w:b w:val="1"/>
                <w:bCs w:val="1"/>
                <w:color w:val="auto"/>
              </w:rPr>
              <w:t>Gross profit</w:t>
            </w:r>
          </w:p>
        </w:tc>
        <w:tc>
          <w:tcPr>
            <w:tcW w:w="8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687,215</w:t>
            </w:r>
          </w:p>
        </w:tc>
        <w:tc>
          <w:tcPr>
            <w:tcW w:w="2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438,091</w:t>
            </w:r>
          </w:p>
        </w:tc>
        <w:tc>
          <w:tcPr>
            <w:tcW w:w="2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600,439</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3"/>
        </w:trPr>
        <w:tc>
          <w:tcPr>
            <w:tcW w:w="20" w:type="dxa"/>
            <w:vAlign w:val="bottom"/>
            <w:vMerge w:val="restart"/>
          </w:tcPr>
          <w:p>
            <w:pPr>
              <w:spacing w:after="0"/>
              <w:rPr>
                <w:sz w:val="8"/>
                <w:szCs w:val="8"/>
                <w:color w:val="auto"/>
              </w:rPr>
            </w:pPr>
          </w:p>
        </w:tc>
        <w:tc>
          <w:tcPr>
            <w:tcW w:w="5520" w:type="dxa"/>
            <w:vAlign w:val="bottom"/>
          </w:tcPr>
          <w:p>
            <w:pPr>
              <w:spacing w:after="0"/>
              <w:rPr>
                <w:sz w:val="8"/>
                <w:szCs w:val="8"/>
                <w:color w:val="auto"/>
              </w:rPr>
            </w:pPr>
          </w:p>
        </w:tc>
        <w:tc>
          <w:tcPr>
            <w:tcW w:w="820" w:type="dxa"/>
            <w:vAlign w:val="bottom"/>
          </w:tcPr>
          <w:p>
            <w:pPr>
              <w:spacing w:after="0"/>
              <w:rPr>
                <w:sz w:val="8"/>
                <w:szCs w:val="8"/>
                <w:color w:val="auto"/>
              </w:rPr>
            </w:pPr>
          </w:p>
        </w:tc>
        <w:tc>
          <w:tcPr>
            <w:tcW w:w="240" w:type="dxa"/>
            <w:vAlign w:val="bottom"/>
          </w:tcPr>
          <w:p>
            <w:pPr>
              <w:spacing w:after="0"/>
              <w:rPr>
                <w:sz w:val="8"/>
                <w:szCs w:val="8"/>
                <w:color w:val="auto"/>
              </w:rPr>
            </w:pPr>
          </w:p>
        </w:tc>
        <w:tc>
          <w:tcPr>
            <w:tcW w:w="220" w:type="dxa"/>
            <w:vAlign w:val="bottom"/>
          </w:tcPr>
          <w:p>
            <w:pPr>
              <w:spacing w:after="0"/>
              <w:rPr>
                <w:sz w:val="8"/>
                <w:szCs w:val="8"/>
                <w:color w:val="auto"/>
              </w:rPr>
            </w:pPr>
          </w:p>
        </w:tc>
        <w:tc>
          <w:tcPr>
            <w:tcW w:w="880" w:type="dxa"/>
            <w:vAlign w:val="bottom"/>
          </w:tcPr>
          <w:p>
            <w:pPr>
              <w:spacing w:after="0"/>
              <w:rPr>
                <w:sz w:val="8"/>
                <w:szCs w:val="8"/>
                <w:color w:val="auto"/>
              </w:rPr>
            </w:pPr>
          </w:p>
        </w:tc>
        <w:tc>
          <w:tcPr>
            <w:tcW w:w="240" w:type="dxa"/>
            <w:vAlign w:val="bottom"/>
          </w:tcPr>
          <w:p>
            <w:pPr>
              <w:spacing w:after="0"/>
              <w:rPr>
                <w:sz w:val="8"/>
                <w:szCs w:val="8"/>
                <w:color w:val="auto"/>
              </w:rPr>
            </w:pPr>
          </w:p>
        </w:tc>
        <w:tc>
          <w:tcPr>
            <w:tcW w:w="260" w:type="dxa"/>
            <w:vAlign w:val="bottom"/>
          </w:tcPr>
          <w:p>
            <w:pPr>
              <w:spacing w:after="0"/>
              <w:rPr>
                <w:sz w:val="8"/>
                <w:szCs w:val="8"/>
                <w:color w:val="auto"/>
              </w:rPr>
            </w:pPr>
          </w:p>
        </w:tc>
        <w:tc>
          <w:tcPr>
            <w:tcW w:w="240" w:type="dxa"/>
            <w:vAlign w:val="bottom"/>
          </w:tcPr>
          <w:p>
            <w:pPr>
              <w:spacing w:after="0"/>
              <w:rPr>
                <w:sz w:val="8"/>
                <w:szCs w:val="8"/>
                <w:color w:val="auto"/>
              </w:rPr>
            </w:pPr>
          </w:p>
        </w:tc>
        <w:tc>
          <w:tcPr>
            <w:tcW w:w="880" w:type="dxa"/>
            <w:vAlign w:val="bottom"/>
          </w:tcPr>
          <w:p>
            <w:pPr>
              <w:spacing w:after="0"/>
              <w:rPr>
                <w:sz w:val="8"/>
                <w:szCs w:val="8"/>
                <w:color w:val="auto"/>
              </w:rPr>
            </w:pPr>
          </w:p>
        </w:tc>
        <w:tc>
          <w:tcPr>
            <w:tcW w:w="280" w:type="dxa"/>
            <w:vAlign w:val="bottom"/>
          </w:tcPr>
          <w:p>
            <w:pPr>
              <w:spacing w:after="0"/>
              <w:rPr>
                <w:sz w:val="8"/>
                <w:szCs w:val="8"/>
                <w:color w:val="auto"/>
              </w:rPr>
            </w:pPr>
          </w:p>
        </w:tc>
        <w:tc>
          <w:tcPr>
            <w:tcW w:w="220" w:type="dxa"/>
            <w:vAlign w:val="bottom"/>
          </w:tcPr>
          <w:p>
            <w:pPr>
              <w:spacing w:after="0"/>
              <w:rPr>
                <w:sz w:val="8"/>
                <w:szCs w:val="8"/>
                <w:color w:val="auto"/>
              </w:rPr>
            </w:pPr>
          </w:p>
        </w:tc>
        <w:tc>
          <w:tcPr>
            <w:tcW w:w="220" w:type="dxa"/>
            <w:vAlign w:val="bottom"/>
          </w:tcPr>
          <w:p>
            <w:pPr>
              <w:spacing w:after="0"/>
              <w:rPr>
                <w:sz w:val="8"/>
                <w:szCs w:val="8"/>
                <w:color w:val="auto"/>
              </w:rPr>
            </w:pPr>
          </w:p>
        </w:tc>
        <w:tc>
          <w:tcPr>
            <w:tcW w:w="880" w:type="dxa"/>
            <w:vAlign w:val="bottom"/>
          </w:tcPr>
          <w:p>
            <w:pPr>
              <w:spacing w:after="0"/>
              <w:rPr>
                <w:sz w:val="8"/>
                <w:szCs w:val="8"/>
                <w:color w:val="auto"/>
              </w:rPr>
            </w:pPr>
          </w:p>
        </w:tc>
        <w:tc>
          <w:tcPr>
            <w:tcW w:w="1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520" w:type="dxa"/>
            <w:vAlign w:val="bottom"/>
            <w:shd w:val="clear" w:color="auto" w:fill="CCEEFF"/>
          </w:tcPr>
          <w:p>
            <w:pPr>
              <w:spacing w:after="0"/>
              <w:rPr>
                <w:sz w:val="20"/>
                <w:szCs w:val="20"/>
                <w:color w:val="auto"/>
              </w:rPr>
            </w:pPr>
            <w:r>
              <w:rPr>
                <w:rFonts w:ascii="Arial" w:cs="Arial" w:eastAsia="Arial" w:hAnsi="Arial"/>
                <w:sz w:val="18"/>
                <w:szCs w:val="18"/>
                <w:color w:val="auto"/>
              </w:rPr>
              <w:t>BARDA income</w:t>
            </w:r>
          </w:p>
        </w:tc>
        <w:tc>
          <w:tcPr>
            <w:tcW w:w="820" w:type="dxa"/>
            <w:vAlign w:val="bottom"/>
            <w:shd w:val="clear" w:color="auto" w:fill="CCEEFF"/>
          </w:tcPr>
          <w:p>
            <w:pPr>
              <w:jc w:val="center"/>
              <w:ind w:left="31"/>
              <w:spacing w:after="0"/>
              <w:rPr>
                <w:sz w:val="20"/>
                <w:szCs w:val="20"/>
                <w:color w:val="auto"/>
              </w:rPr>
            </w:pPr>
            <w:r>
              <w:rPr>
                <w:rFonts w:ascii="Arial" w:cs="Arial" w:eastAsia="Arial" w:hAnsi="Arial"/>
                <w:sz w:val="18"/>
                <w:szCs w:val="18"/>
                <w:color w:val="auto"/>
                <w:w w:val="99"/>
              </w:rPr>
              <w:t>4</w:t>
            </w:r>
          </w:p>
        </w:tc>
        <w:tc>
          <w:tcPr>
            <w:tcW w:w="2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10,104,081</w:t>
            </w:r>
          </w:p>
        </w:tc>
        <w:tc>
          <w:tcPr>
            <w:tcW w:w="2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6,886,236</w:t>
            </w: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2,424,357</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520" w:type="dxa"/>
            <w:vAlign w:val="bottom"/>
          </w:tcPr>
          <w:p>
            <w:pPr>
              <w:spacing w:after="0"/>
              <w:rPr>
                <w:sz w:val="20"/>
                <w:szCs w:val="20"/>
                <w:color w:val="auto"/>
              </w:rPr>
            </w:pPr>
            <w:r>
              <w:rPr>
                <w:rFonts w:ascii="Arial" w:cs="Arial" w:eastAsia="Arial" w:hAnsi="Arial"/>
                <w:sz w:val="18"/>
                <w:szCs w:val="18"/>
                <w:color w:val="auto"/>
              </w:rPr>
              <w:t>Other income</w:t>
            </w:r>
          </w:p>
        </w:tc>
        <w:tc>
          <w:tcPr>
            <w:tcW w:w="820" w:type="dxa"/>
            <w:vAlign w:val="bottom"/>
          </w:tcPr>
          <w:p>
            <w:pPr>
              <w:jc w:val="center"/>
              <w:ind w:left="31"/>
              <w:spacing w:after="0"/>
              <w:rPr>
                <w:sz w:val="20"/>
                <w:szCs w:val="20"/>
                <w:color w:val="auto"/>
              </w:rPr>
            </w:pPr>
            <w:r>
              <w:rPr>
                <w:rFonts w:ascii="Arial" w:cs="Arial" w:eastAsia="Arial" w:hAnsi="Arial"/>
                <w:sz w:val="18"/>
                <w:szCs w:val="18"/>
                <w:color w:val="auto"/>
                <w:w w:val="99"/>
              </w:rPr>
              <w:t>4</w:t>
            </w:r>
          </w:p>
        </w:tc>
        <w:tc>
          <w:tcPr>
            <w:tcW w:w="24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68,617</w:t>
            </w:r>
          </w:p>
        </w:tc>
        <w:tc>
          <w:tcPr>
            <w:tcW w:w="2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344,734</w:t>
            </w:r>
          </w:p>
        </w:tc>
        <w:tc>
          <w:tcPr>
            <w:tcW w:w="2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120,160</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 other income</w:t>
            </w:r>
          </w:p>
        </w:tc>
        <w:tc>
          <w:tcPr>
            <w:tcW w:w="8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95"/>
              </w:rPr>
              <w:t>10,172,698</w:t>
            </w:r>
          </w:p>
        </w:tc>
        <w:tc>
          <w:tcPr>
            <w:tcW w:w="2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7,230,970</w:t>
            </w: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2,544,517</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24"/>
        </w:trPr>
        <w:tc>
          <w:tcPr>
            <w:tcW w:w="5540" w:type="dxa"/>
            <w:vAlign w:val="bottom"/>
            <w:gridSpan w:val="2"/>
          </w:tcPr>
          <w:p>
            <w:pPr>
              <w:spacing w:after="0"/>
              <w:rPr>
                <w:sz w:val="20"/>
                <w:szCs w:val="20"/>
                <w:color w:val="auto"/>
              </w:rPr>
            </w:pPr>
            <w:r>
              <w:rPr>
                <w:rFonts w:ascii="Arial" w:cs="Arial" w:eastAsia="Arial" w:hAnsi="Arial"/>
                <w:sz w:val="18"/>
                <w:szCs w:val="18"/>
                <w:b w:val="1"/>
                <w:bCs w:val="1"/>
                <w:color w:val="auto"/>
              </w:rPr>
              <w:t>Operating costs</w:t>
            </w:r>
          </w:p>
        </w:tc>
        <w:tc>
          <w:tcPr>
            <w:tcW w:w="8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20" w:type="dxa"/>
            <w:vAlign w:val="bottom"/>
            <w:shd w:val="clear" w:color="auto" w:fill="CCEEFF"/>
          </w:tcPr>
          <w:p>
            <w:pPr>
              <w:spacing w:after="0"/>
              <w:rPr>
                <w:sz w:val="20"/>
                <w:szCs w:val="20"/>
                <w:color w:val="auto"/>
              </w:rPr>
            </w:pPr>
            <w:r>
              <w:rPr>
                <w:rFonts w:ascii="Arial" w:cs="Arial" w:eastAsia="Arial" w:hAnsi="Arial"/>
                <w:sz w:val="18"/>
                <w:szCs w:val="18"/>
                <w:color w:val="auto"/>
              </w:rPr>
              <w:t>Sales and marketing expenses</w:t>
            </w:r>
          </w:p>
        </w:tc>
        <w:tc>
          <w:tcPr>
            <w:tcW w:w="8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9"/>
              </w:rPr>
              <w:t>(8,936,441)</w:t>
            </w:r>
          </w:p>
        </w:tc>
        <w:tc>
          <w:tcPr>
            <w:tcW w:w="2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97"/>
              </w:rPr>
              <w:t>(5,201,761)</w:t>
            </w: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9"/>
              </w:rPr>
              <w:t>(5,042,189)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20" w:type="dxa"/>
            <w:vAlign w:val="bottom"/>
          </w:tcPr>
          <w:p>
            <w:pPr>
              <w:spacing w:after="0"/>
              <w:rPr>
                <w:sz w:val="20"/>
                <w:szCs w:val="20"/>
                <w:color w:val="auto"/>
              </w:rPr>
            </w:pPr>
            <w:r>
              <w:rPr>
                <w:rFonts w:ascii="Arial" w:cs="Arial" w:eastAsia="Arial" w:hAnsi="Arial"/>
                <w:sz w:val="18"/>
                <w:szCs w:val="18"/>
                <w:color w:val="auto"/>
              </w:rPr>
              <w:t>Product development expenses</w:t>
            </w:r>
          </w:p>
        </w:tc>
        <w:tc>
          <w:tcPr>
            <w:tcW w:w="8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w w:val="90"/>
              </w:rPr>
              <w:t>(12,606,127)</w:t>
            </w: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60" w:type="dxa"/>
            <w:vAlign w:val="bottom"/>
            <w:gridSpan w:val="2"/>
          </w:tcPr>
          <w:p>
            <w:pPr>
              <w:jc w:val="right"/>
              <w:ind w:right="200"/>
              <w:spacing w:after="0"/>
              <w:rPr>
                <w:sz w:val="20"/>
                <w:szCs w:val="20"/>
                <w:color w:val="auto"/>
              </w:rPr>
            </w:pPr>
            <w:r>
              <w:rPr>
                <w:rFonts w:ascii="Arial" w:cs="Arial" w:eastAsia="Arial" w:hAnsi="Arial"/>
                <w:sz w:val="18"/>
                <w:szCs w:val="18"/>
                <w:color w:val="auto"/>
                <w:w w:val="88"/>
              </w:rPr>
              <w:t>(11,161,970)</w:t>
            </w: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gridSpan w:val="2"/>
          </w:tcPr>
          <w:p>
            <w:pPr>
              <w:jc w:val="right"/>
              <w:spacing w:after="0"/>
              <w:rPr>
                <w:sz w:val="20"/>
                <w:szCs w:val="20"/>
                <w:color w:val="auto"/>
              </w:rPr>
            </w:pPr>
            <w:r>
              <w:rPr>
                <w:rFonts w:ascii="Arial" w:cs="Arial" w:eastAsia="Arial" w:hAnsi="Arial"/>
                <w:sz w:val="18"/>
                <w:szCs w:val="18"/>
                <w:color w:val="auto"/>
                <w:w w:val="99"/>
              </w:rPr>
              <w:t>(6,018,184)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20" w:type="dxa"/>
            <w:vAlign w:val="bottom"/>
            <w:shd w:val="clear" w:color="auto" w:fill="CCEEFF"/>
          </w:tcPr>
          <w:p>
            <w:pPr>
              <w:spacing w:after="0"/>
              <w:rPr>
                <w:sz w:val="20"/>
                <w:szCs w:val="20"/>
                <w:color w:val="auto"/>
              </w:rPr>
            </w:pPr>
            <w:r>
              <w:rPr>
                <w:rFonts w:ascii="Arial" w:cs="Arial" w:eastAsia="Arial" w:hAnsi="Arial"/>
                <w:sz w:val="18"/>
                <w:szCs w:val="18"/>
                <w:color w:val="auto"/>
              </w:rPr>
              <w:t>Corporate and administrative expenses</w:t>
            </w:r>
          </w:p>
        </w:tc>
        <w:tc>
          <w:tcPr>
            <w:tcW w:w="8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9"/>
              </w:rPr>
              <w:t>(5,360,553)</w:t>
            </w:r>
          </w:p>
        </w:tc>
        <w:tc>
          <w:tcPr>
            <w:tcW w:w="2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97"/>
              </w:rPr>
              <w:t>(2,264,594)</w:t>
            </w: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9"/>
              </w:rPr>
              <w:t>(2,371,747)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20" w:type="dxa"/>
            <w:vAlign w:val="bottom"/>
          </w:tcPr>
          <w:p>
            <w:pPr>
              <w:spacing w:after="0"/>
              <w:rPr>
                <w:sz w:val="20"/>
                <w:szCs w:val="20"/>
                <w:color w:val="auto"/>
              </w:rPr>
            </w:pPr>
            <w:r>
              <w:rPr>
                <w:rFonts w:ascii="Arial" w:cs="Arial" w:eastAsia="Arial" w:hAnsi="Arial"/>
                <w:sz w:val="18"/>
                <w:szCs w:val="18"/>
                <w:color w:val="auto"/>
              </w:rPr>
              <w:t>Share-based payment expenses</w:t>
            </w:r>
          </w:p>
        </w:tc>
        <w:tc>
          <w:tcPr>
            <w:tcW w:w="820" w:type="dxa"/>
            <w:vAlign w:val="bottom"/>
          </w:tcPr>
          <w:p>
            <w:pPr>
              <w:jc w:val="center"/>
              <w:ind w:left="31"/>
              <w:spacing w:after="0"/>
              <w:rPr>
                <w:sz w:val="20"/>
                <w:szCs w:val="20"/>
                <w:color w:val="auto"/>
              </w:rPr>
            </w:pPr>
            <w:r>
              <w:rPr>
                <w:rFonts w:ascii="Arial" w:cs="Arial" w:eastAsia="Arial" w:hAnsi="Arial"/>
                <w:sz w:val="18"/>
                <w:szCs w:val="18"/>
                <w:color w:val="auto"/>
                <w:w w:val="89"/>
              </w:rPr>
              <w:t>18</w:t>
            </w: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w w:val="99"/>
              </w:rPr>
              <w:t>(1,835,157)</w:t>
            </w: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60" w:type="dxa"/>
            <w:vAlign w:val="bottom"/>
            <w:gridSpan w:val="2"/>
          </w:tcPr>
          <w:p>
            <w:pPr>
              <w:jc w:val="right"/>
              <w:ind w:right="200"/>
              <w:spacing w:after="0"/>
              <w:rPr>
                <w:sz w:val="20"/>
                <w:szCs w:val="20"/>
                <w:color w:val="auto"/>
              </w:rPr>
            </w:pPr>
            <w:r>
              <w:rPr>
                <w:rFonts w:ascii="Arial" w:cs="Arial" w:eastAsia="Arial" w:hAnsi="Arial"/>
                <w:sz w:val="18"/>
                <w:szCs w:val="18"/>
                <w:color w:val="auto"/>
                <w:w w:val="97"/>
              </w:rPr>
              <w:t>(1,587,243)</w:t>
            </w: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gridSpan w:val="2"/>
          </w:tcPr>
          <w:p>
            <w:pPr>
              <w:jc w:val="right"/>
              <w:spacing w:after="0"/>
              <w:rPr>
                <w:sz w:val="20"/>
                <w:szCs w:val="20"/>
                <w:color w:val="auto"/>
              </w:rPr>
            </w:pPr>
            <w:r>
              <w:rPr>
                <w:rFonts w:ascii="Arial" w:cs="Arial" w:eastAsia="Arial" w:hAnsi="Arial"/>
                <w:sz w:val="18"/>
                <w:szCs w:val="18"/>
                <w:color w:val="auto"/>
              </w:rPr>
              <w:t>(956,658)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20" w:type="dxa"/>
            <w:vAlign w:val="bottom"/>
            <w:shd w:val="clear" w:color="auto" w:fill="CCEEFF"/>
          </w:tcPr>
          <w:p>
            <w:pPr>
              <w:spacing w:after="0"/>
              <w:rPr>
                <w:sz w:val="20"/>
                <w:szCs w:val="20"/>
                <w:color w:val="auto"/>
              </w:rPr>
            </w:pPr>
            <w:r>
              <w:rPr>
                <w:rFonts w:ascii="Arial" w:cs="Arial" w:eastAsia="Arial" w:hAnsi="Arial"/>
                <w:sz w:val="18"/>
                <w:szCs w:val="18"/>
                <w:color w:val="auto"/>
              </w:rPr>
              <w:t>Finance costs</w:t>
            </w:r>
          </w:p>
        </w:tc>
        <w:tc>
          <w:tcPr>
            <w:tcW w:w="820" w:type="dxa"/>
            <w:vAlign w:val="bottom"/>
            <w:shd w:val="clear" w:color="auto" w:fill="CCEEFF"/>
          </w:tcPr>
          <w:p>
            <w:pPr>
              <w:jc w:val="center"/>
              <w:ind w:left="31"/>
              <w:spacing w:after="0"/>
              <w:rPr>
                <w:sz w:val="20"/>
                <w:szCs w:val="20"/>
                <w:color w:val="auto"/>
              </w:rPr>
            </w:pPr>
            <w:r>
              <w:rPr>
                <w:rFonts w:ascii="Arial" w:cs="Arial" w:eastAsia="Arial" w:hAnsi="Arial"/>
                <w:sz w:val="18"/>
                <w:szCs w:val="18"/>
                <w:color w:val="auto"/>
                <w:w w:val="99"/>
              </w:rPr>
              <w:t>4</w:t>
            </w:r>
          </w:p>
        </w:tc>
        <w:tc>
          <w:tcPr>
            <w:tcW w:w="2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(26,586)</w:t>
            </w:r>
          </w:p>
        </w:tc>
        <w:tc>
          <w:tcPr>
            <w:tcW w:w="2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(12,754)</w:t>
            </w: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r>
        <w:trPr>
          <w:trHeight w:val="230"/>
        </w:trPr>
        <w:tc>
          <w:tcPr>
            <w:tcW w:w="5540" w:type="dxa"/>
            <w:vAlign w:val="bottom"/>
            <w:gridSpan w:val="2"/>
          </w:tcPr>
          <w:p>
            <w:pPr>
              <w:spacing w:after="0"/>
              <w:rPr>
                <w:sz w:val="20"/>
                <w:szCs w:val="20"/>
                <w:color w:val="auto"/>
              </w:rPr>
            </w:pPr>
            <w:r>
              <w:rPr>
                <w:rFonts w:ascii="Arial" w:cs="Arial" w:eastAsia="Arial" w:hAnsi="Arial"/>
                <w:sz w:val="18"/>
                <w:szCs w:val="18"/>
                <w:color w:val="auto"/>
              </w:rPr>
              <w:t>Total operating costs</w:t>
            </w:r>
          </w:p>
        </w:tc>
        <w:tc>
          <w:tcPr>
            <w:tcW w:w="8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20" w:type="dxa"/>
            <w:vAlign w:val="bottom"/>
            <w:tcBorders>
              <w:top w:val="single" w:sz="8" w:color="auto"/>
              <w:bottom w:val="single" w:sz="8" w:color="auto"/>
            </w:tcBorders>
          </w:tcPr>
          <w:p>
            <w:pPr>
              <w:spacing w:after="0"/>
              <w:rPr>
                <w:sz w:val="20"/>
                <w:szCs w:val="20"/>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84"/>
              </w:rPr>
              <w:t>(28,764,864)</w:t>
            </w:r>
          </w:p>
        </w:tc>
        <w:tc>
          <w:tcPr>
            <w:tcW w:w="2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40" w:type="dxa"/>
            <w:vAlign w:val="bottom"/>
            <w:tcBorders>
              <w:top w:val="single" w:sz="8" w:color="auto"/>
              <w:bottom w:val="single" w:sz="8" w:color="auto"/>
            </w:tcBorders>
          </w:tcPr>
          <w:p>
            <w:pPr>
              <w:spacing w:after="0"/>
              <w:rPr>
                <w:sz w:val="20"/>
                <w:szCs w:val="20"/>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84"/>
              </w:rPr>
              <w:t>(20,228,322)</w:t>
            </w:r>
          </w:p>
        </w:tc>
        <w:tc>
          <w:tcPr>
            <w:tcW w:w="2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20" w:type="dxa"/>
            <w:vAlign w:val="bottom"/>
            <w:tcBorders>
              <w:top w:val="single" w:sz="8" w:color="auto"/>
              <w:bottom w:val="single" w:sz="8" w:color="auto"/>
            </w:tcBorders>
          </w:tcPr>
          <w:p>
            <w:pPr>
              <w:spacing w:after="0"/>
              <w:rPr>
                <w:sz w:val="20"/>
                <w:szCs w:val="20"/>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84"/>
              </w:rPr>
              <w:t>(14,388,799)</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20" w:type="dxa"/>
            <w:vAlign w:val="bottom"/>
            <w:shd w:val="clear" w:color="auto" w:fill="CCEEFF"/>
          </w:tcPr>
          <w:p>
            <w:pPr>
              <w:spacing w:after="0"/>
              <w:rPr>
                <w:sz w:val="20"/>
                <w:szCs w:val="20"/>
                <w:color w:val="auto"/>
              </w:rPr>
            </w:pPr>
            <w:r>
              <w:rPr>
                <w:rFonts w:ascii="Arial" w:cs="Arial" w:eastAsia="Arial" w:hAnsi="Arial"/>
                <w:sz w:val="18"/>
                <w:szCs w:val="18"/>
                <w:color w:val="auto"/>
              </w:rPr>
              <w:t>Loss from continuing operations before income tax benefit</w:t>
            </w:r>
          </w:p>
        </w:tc>
        <w:tc>
          <w:tcPr>
            <w:tcW w:w="8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w w:val="90"/>
              </w:rPr>
              <w:t>(17,904,951)</w:t>
            </w:r>
          </w:p>
        </w:tc>
        <w:tc>
          <w:tcPr>
            <w:tcW w:w="2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b w:val="1"/>
                <w:bCs w:val="1"/>
                <w:color w:val="auto"/>
                <w:w w:val="88"/>
              </w:rPr>
              <w:t>(12,559,261)</w:t>
            </w: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w w:val="90"/>
              </w:rPr>
              <w:t>(11,243,843)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20" w:type="dxa"/>
            <w:vAlign w:val="bottom"/>
          </w:tcPr>
          <w:p>
            <w:pPr>
              <w:spacing w:after="0"/>
              <w:rPr>
                <w:sz w:val="20"/>
                <w:szCs w:val="20"/>
                <w:color w:val="auto"/>
              </w:rPr>
            </w:pPr>
            <w:r>
              <w:rPr>
                <w:rFonts w:ascii="Arial" w:cs="Arial" w:eastAsia="Arial" w:hAnsi="Arial"/>
                <w:sz w:val="18"/>
                <w:szCs w:val="18"/>
                <w:color w:val="auto"/>
              </w:rPr>
              <w:t>Profit for the period from discontinued operations</w:t>
            </w:r>
          </w:p>
        </w:tc>
        <w:tc>
          <w:tcPr>
            <w:tcW w:w="8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6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2,493,947</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20" w:type="dxa"/>
            <w:vAlign w:val="bottom"/>
            <w:shd w:val="clear" w:color="auto" w:fill="CCEEFF"/>
          </w:tcPr>
          <w:p>
            <w:pPr>
              <w:spacing w:after="0"/>
              <w:rPr>
                <w:sz w:val="20"/>
                <w:szCs w:val="20"/>
                <w:color w:val="auto"/>
              </w:rPr>
            </w:pPr>
            <w:r>
              <w:rPr>
                <w:rFonts w:ascii="Arial" w:cs="Arial" w:eastAsia="Arial" w:hAnsi="Arial"/>
                <w:sz w:val="18"/>
                <w:szCs w:val="18"/>
                <w:color w:val="auto"/>
              </w:rPr>
              <w:t>Income tax benefit (net)</w:t>
            </w:r>
          </w:p>
        </w:tc>
        <w:tc>
          <w:tcPr>
            <w:tcW w:w="820" w:type="dxa"/>
            <w:vAlign w:val="bottom"/>
            <w:shd w:val="clear" w:color="auto" w:fill="CCEEFF"/>
          </w:tcPr>
          <w:p>
            <w:pPr>
              <w:jc w:val="center"/>
              <w:ind w:left="31"/>
              <w:spacing w:after="0"/>
              <w:rPr>
                <w:sz w:val="20"/>
                <w:szCs w:val="20"/>
                <w:color w:val="auto"/>
              </w:rPr>
            </w:pPr>
            <w:r>
              <w:rPr>
                <w:rFonts w:ascii="Arial" w:cs="Arial" w:eastAsia="Arial" w:hAnsi="Arial"/>
                <w:sz w:val="18"/>
                <w:szCs w:val="18"/>
                <w:color w:val="auto"/>
                <w:w w:val="99"/>
              </w:rPr>
              <w:t>6</w:t>
            </w:r>
          </w:p>
        </w:tc>
        <w:tc>
          <w:tcPr>
            <w:tcW w:w="24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1,385,796</w:t>
            </w:r>
          </w:p>
        </w:tc>
        <w:tc>
          <w:tcPr>
            <w:tcW w:w="2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1,048,237</w:t>
            </w: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971,881</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5540" w:type="dxa"/>
            <w:vAlign w:val="bottom"/>
            <w:gridSpan w:val="2"/>
          </w:tcPr>
          <w:p>
            <w:pPr>
              <w:spacing w:after="0"/>
              <w:rPr>
                <w:sz w:val="20"/>
                <w:szCs w:val="20"/>
                <w:color w:val="auto"/>
              </w:rPr>
            </w:pPr>
            <w:r>
              <w:rPr>
                <w:rFonts w:ascii="Arial" w:cs="Arial" w:eastAsia="Arial" w:hAnsi="Arial"/>
                <w:sz w:val="18"/>
                <w:szCs w:val="18"/>
                <w:b w:val="1"/>
                <w:bCs w:val="1"/>
                <w:color w:val="auto"/>
              </w:rPr>
              <w:t>Loss for the period</w:t>
            </w:r>
          </w:p>
        </w:tc>
        <w:tc>
          <w:tcPr>
            <w:tcW w:w="820" w:type="dxa"/>
            <w:vAlign w:val="bottom"/>
          </w:tcPr>
          <w:p>
            <w:pPr>
              <w:jc w:val="center"/>
              <w:ind w:left="31"/>
              <w:spacing w:after="0"/>
              <w:rPr>
                <w:sz w:val="20"/>
                <w:szCs w:val="20"/>
                <w:color w:val="auto"/>
              </w:rPr>
            </w:pPr>
            <w:r>
              <w:rPr>
                <w:rFonts w:ascii="Arial" w:cs="Arial" w:eastAsia="Arial" w:hAnsi="Arial"/>
                <w:sz w:val="18"/>
                <w:szCs w:val="18"/>
                <w:color w:val="auto"/>
                <w:w w:val="99"/>
              </w:rPr>
              <w:t>5</w:t>
            </w:r>
          </w:p>
        </w:tc>
        <w:tc>
          <w:tcPr>
            <w:tcW w:w="2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b w:val="1"/>
                <w:bCs w:val="1"/>
                <w:color w:val="auto"/>
                <w:w w:val="84"/>
              </w:rPr>
              <w:t>(16,519,155)</w:t>
            </w:r>
          </w:p>
        </w:tc>
        <w:tc>
          <w:tcPr>
            <w:tcW w:w="2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b w:val="1"/>
                <w:bCs w:val="1"/>
                <w:color w:val="auto"/>
                <w:w w:val="84"/>
              </w:rPr>
              <w:t>(11,511,024)</w:t>
            </w:r>
          </w:p>
        </w:tc>
        <w:tc>
          <w:tcPr>
            <w:tcW w:w="2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b w:val="1"/>
                <w:bCs w:val="1"/>
                <w:color w:val="auto"/>
                <w:w w:val="93"/>
              </w:rPr>
              <w:t>(7,778,015)</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3"/>
        </w:trPr>
        <w:tc>
          <w:tcPr>
            <w:tcW w:w="20" w:type="dxa"/>
            <w:vAlign w:val="bottom"/>
            <w:vMerge w:val="restart"/>
          </w:tcPr>
          <w:p>
            <w:pPr>
              <w:spacing w:after="0"/>
              <w:rPr>
                <w:sz w:val="8"/>
                <w:szCs w:val="8"/>
                <w:color w:val="auto"/>
              </w:rPr>
            </w:pPr>
          </w:p>
        </w:tc>
        <w:tc>
          <w:tcPr>
            <w:tcW w:w="5520" w:type="dxa"/>
            <w:vAlign w:val="bottom"/>
          </w:tcPr>
          <w:p>
            <w:pPr>
              <w:spacing w:after="0"/>
              <w:rPr>
                <w:sz w:val="8"/>
                <w:szCs w:val="8"/>
                <w:color w:val="auto"/>
              </w:rPr>
            </w:pPr>
          </w:p>
        </w:tc>
        <w:tc>
          <w:tcPr>
            <w:tcW w:w="820" w:type="dxa"/>
            <w:vAlign w:val="bottom"/>
          </w:tcPr>
          <w:p>
            <w:pPr>
              <w:spacing w:after="0"/>
              <w:rPr>
                <w:sz w:val="8"/>
                <w:szCs w:val="8"/>
                <w:color w:val="auto"/>
              </w:rPr>
            </w:pPr>
          </w:p>
        </w:tc>
        <w:tc>
          <w:tcPr>
            <w:tcW w:w="240" w:type="dxa"/>
            <w:vAlign w:val="bottom"/>
          </w:tcPr>
          <w:p>
            <w:pPr>
              <w:spacing w:after="0"/>
              <w:rPr>
                <w:sz w:val="8"/>
                <w:szCs w:val="8"/>
                <w:color w:val="auto"/>
              </w:rPr>
            </w:pPr>
          </w:p>
        </w:tc>
        <w:tc>
          <w:tcPr>
            <w:tcW w:w="220" w:type="dxa"/>
            <w:vAlign w:val="bottom"/>
          </w:tcPr>
          <w:p>
            <w:pPr>
              <w:spacing w:after="0"/>
              <w:rPr>
                <w:sz w:val="8"/>
                <w:szCs w:val="8"/>
                <w:color w:val="auto"/>
              </w:rPr>
            </w:pPr>
          </w:p>
        </w:tc>
        <w:tc>
          <w:tcPr>
            <w:tcW w:w="880" w:type="dxa"/>
            <w:vAlign w:val="bottom"/>
          </w:tcPr>
          <w:p>
            <w:pPr>
              <w:spacing w:after="0"/>
              <w:rPr>
                <w:sz w:val="8"/>
                <w:szCs w:val="8"/>
                <w:color w:val="auto"/>
              </w:rPr>
            </w:pPr>
          </w:p>
        </w:tc>
        <w:tc>
          <w:tcPr>
            <w:tcW w:w="240" w:type="dxa"/>
            <w:vAlign w:val="bottom"/>
          </w:tcPr>
          <w:p>
            <w:pPr>
              <w:spacing w:after="0"/>
              <w:rPr>
                <w:sz w:val="8"/>
                <w:szCs w:val="8"/>
                <w:color w:val="auto"/>
              </w:rPr>
            </w:pPr>
          </w:p>
        </w:tc>
        <w:tc>
          <w:tcPr>
            <w:tcW w:w="260" w:type="dxa"/>
            <w:vAlign w:val="bottom"/>
          </w:tcPr>
          <w:p>
            <w:pPr>
              <w:spacing w:after="0"/>
              <w:rPr>
                <w:sz w:val="8"/>
                <w:szCs w:val="8"/>
                <w:color w:val="auto"/>
              </w:rPr>
            </w:pPr>
          </w:p>
        </w:tc>
        <w:tc>
          <w:tcPr>
            <w:tcW w:w="240" w:type="dxa"/>
            <w:vAlign w:val="bottom"/>
          </w:tcPr>
          <w:p>
            <w:pPr>
              <w:spacing w:after="0"/>
              <w:rPr>
                <w:sz w:val="8"/>
                <w:szCs w:val="8"/>
                <w:color w:val="auto"/>
              </w:rPr>
            </w:pPr>
          </w:p>
        </w:tc>
        <w:tc>
          <w:tcPr>
            <w:tcW w:w="880" w:type="dxa"/>
            <w:vAlign w:val="bottom"/>
          </w:tcPr>
          <w:p>
            <w:pPr>
              <w:spacing w:after="0"/>
              <w:rPr>
                <w:sz w:val="8"/>
                <w:szCs w:val="8"/>
                <w:color w:val="auto"/>
              </w:rPr>
            </w:pPr>
          </w:p>
        </w:tc>
        <w:tc>
          <w:tcPr>
            <w:tcW w:w="280" w:type="dxa"/>
            <w:vAlign w:val="bottom"/>
          </w:tcPr>
          <w:p>
            <w:pPr>
              <w:spacing w:after="0"/>
              <w:rPr>
                <w:sz w:val="8"/>
                <w:szCs w:val="8"/>
                <w:color w:val="auto"/>
              </w:rPr>
            </w:pPr>
          </w:p>
        </w:tc>
        <w:tc>
          <w:tcPr>
            <w:tcW w:w="220" w:type="dxa"/>
            <w:vAlign w:val="bottom"/>
          </w:tcPr>
          <w:p>
            <w:pPr>
              <w:spacing w:after="0"/>
              <w:rPr>
                <w:sz w:val="8"/>
                <w:szCs w:val="8"/>
                <w:color w:val="auto"/>
              </w:rPr>
            </w:pPr>
          </w:p>
        </w:tc>
        <w:tc>
          <w:tcPr>
            <w:tcW w:w="220" w:type="dxa"/>
            <w:vAlign w:val="bottom"/>
          </w:tcPr>
          <w:p>
            <w:pPr>
              <w:spacing w:after="0"/>
              <w:rPr>
                <w:sz w:val="8"/>
                <w:szCs w:val="8"/>
                <w:color w:val="auto"/>
              </w:rPr>
            </w:pPr>
          </w:p>
        </w:tc>
        <w:tc>
          <w:tcPr>
            <w:tcW w:w="880" w:type="dxa"/>
            <w:vAlign w:val="bottom"/>
          </w:tcPr>
          <w:p>
            <w:pPr>
              <w:spacing w:after="0"/>
              <w:rPr>
                <w:sz w:val="8"/>
                <w:szCs w:val="8"/>
                <w:color w:val="auto"/>
              </w:rPr>
            </w:pPr>
          </w:p>
        </w:tc>
        <w:tc>
          <w:tcPr>
            <w:tcW w:w="1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5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Other comprehensive income (loss)</w:t>
            </w:r>
          </w:p>
        </w:tc>
        <w:tc>
          <w:tcPr>
            <w:tcW w:w="8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20" w:type="dxa"/>
            <w:vAlign w:val="bottom"/>
          </w:tcPr>
          <w:p>
            <w:pPr>
              <w:spacing w:after="0"/>
              <w:rPr>
                <w:sz w:val="20"/>
                <w:szCs w:val="20"/>
                <w:color w:val="auto"/>
              </w:rPr>
            </w:pPr>
            <w:r>
              <w:rPr>
                <w:rFonts w:ascii="Arial" w:cs="Arial" w:eastAsia="Arial" w:hAnsi="Arial"/>
                <w:sz w:val="18"/>
                <w:szCs w:val="18"/>
                <w:i w:val="1"/>
                <w:iCs w:val="1"/>
                <w:color w:val="auto"/>
              </w:rPr>
              <w:t>Items that may be reclassified subsequently to profit and loss:</w:t>
            </w:r>
          </w:p>
        </w:tc>
        <w:tc>
          <w:tcPr>
            <w:tcW w:w="8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20" w:type="dxa"/>
            <w:vAlign w:val="bottom"/>
            <w:shd w:val="clear" w:color="auto" w:fill="CCEEFF"/>
          </w:tcPr>
          <w:p>
            <w:pPr>
              <w:spacing w:after="0"/>
              <w:rPr>
                <w:sz w:val="20"/>
                <w:szCs w:val="20"/>
                <w:color w:val="auto"/>
              </w:rPr>
            </w:pPr>
            <w:r>
              <w:rPr>
                <w:rFonts w:ascii="Arial" w:cs="Arial" w:eastAsia="Arial" w:hAnsi="Arial"/>
                <w:sz w:val="18"/>
                <w:szCs w:val="18"/>
                <w:color w:val="auto"/>
              </w:rPr>
              <w:t>Foreign currency translation</w:t>
            </w:r>
          </w:p>
        </w:tc>
        <w:tc>
          <w:tcPr>
            <w:tcW w:w="8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563,279</w:t>
            </w:r>
          </w:p>
        </w:tc>
        <w:tc>
          <w:tcPr>
            <w:tcW w:w="2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(83,293)</w:t>
            </w: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(169,100)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20" w:type="dxa"/>
            <w:vAlign w:val="bottom"/>
          </w:tcPr>
          <w:p>
            <w:pPr>
              <w:spacing w:after="0"/>
              <w:rPr>
                <w:sz w:val="20"/>
                <w:szCs w:val="20"/>
                <w:color w:val="auto"/>
              </w:rPr>
            </w:pPr>
            <w:r>
              <w:rPr>
                <w:rFonts w:ascii="Arial" w:cs="Arial" w:eastAsia="Arial" w:hAnsi="Arial"/>
                <w:sz w:val="18"/>
                <w:szCs w:val="18"/>
                <w:color w:val="auto"/>
              </w:rPr>
              <w:t>Fair value gain on available for sale financial assets</w:t>
            </w:r>
          </w:p>
        </w:tc>
        <w:tc>
          <w:tcPr>
            <w:tcW w:w="8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60" w:type="dxa"/>
            <w:vAlign w:val="bottom"/>
            <w:gridSpan w:val="2"/>
          </w:tcPr>
          <w:p>
            <w:pPr>
              <w:jc w:val="right"/>
              <w:ind w:right="200"/>
              <w:spacing w:after="0"/>
              <w:rPr>
                <w:sz w:val="20"/>
                <w:szCs w:val="20"/>
                <w:color w:val="auto"/>
              </w:rPr>
            </w:pPr>
            <w:r>
              <w:rPr>
                <w:rFonts w:ascii="Arial" w:cs="Arial" w:eastAsia="Arial" w:hAnsi="Arial"/>
                <w:sz w:val="18"/>
                <w:szCs w:val="18"/>
                <w:color w:val="auto"/>
              </w:rPr>
              <w:t>(265,261)</w:t>
            </w: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265,261</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520" w:type="dxa"/>
            <w:vAlign w:val="bottom"/>
          </w:tcPr>
          <w:p>
            <w:pPr>
              <w:spacing w:after="0"/>
              <w:rPr>
                <w:sz w:val="2"/>
                <w:szCs w:val="2"/>
                <w:color w:val="auto"/>
              </w:rPr>
            </w:pPr>
          </w:p>
        </w:tc>
        <w:tc>
          <w:tcPr>
            <w:tcW w:w="820" w:type="dxa"/>
            <w:vAlign w:val="bottom"/>
          </w:tcPr>
          <w:p>
            <w:pPr>
              <w:spacing w:after="0"/>
              <w:rPr>
                <w:sz w:val="2"/>
                <w:szCs w:val="2"/>
                <w:color w:val="auto"/>
              </w:rPr>
            </w:pPr>
          </w:p>
        </w:tc>
        <w:tc>
          <w:tcPr>
            <w:tcW w:w="24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26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22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5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Other comprehensive income (loss) for the period, net of tax</w:t>
            </w:r>
          </w:p>
        </w:tc>
        <w:tc>
          <w:tcPr>
            <w:tcW w:w="8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563,279</w:t>
            </w:r>
          </w:p>
        </w:tc>
        <w:tc>
          <w:tcPr>
            <w:tcW w:w="2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b w:val="1"/>
                <w:bCs w:val="1"/>
                <w:color w:val="auto"/>
              </w:rPr>
              <w:t>(348,554)</w:t>
            </w: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96,161</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5540" w:type="dxa"/>
            <w:vAlign w:val="bottom"/>
            <w:gridSpan w:val="2"/>
          </w:tcPr>
          <w:p>
            <w:pPr>
              <w:spacing w:after="0"/>
              <w:rPr>
                <w:sz w:val="20"/>
                <w:szCs w:val="20"/>
                <w:color w:val="auto"/>
              </w:rPr>
            </w:pPr>
            <w:r>
              <w:rPr>
                <w:rFonts w:ascii="Arial" w:cs="Arial" w:eastAsia="Arial" w:hAnsi="Arial"/>
                <w:sz w:val="18"/>
                <w:szCs w:val="18"/>
                <w:b w:val="1"/>
                <w:bCs w:val="1"/>
                <w:color w:val="auto"/>
              </w:rPr>
              <w:t>Total other comprehensive loss for the period</w:t>
            </w:r>
          </w:p>
        </w:tc>
        <w:tc>
          <w:tcPr>
            <w:tcW w:w="8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2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b w:val="1"/>
                <w:bCs w:val="1"/>
                <w:u w:val="single" w:color="auto"/>
                <w:color w:val="auto"/>
                <w:w w:val="86"/>
              </w:rPr>
              <w:t>A$</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89"/>
              </w:rPr>
              <w:t>(15,955,876</w:t>
            </w:r>
          </w:p>
        </w:tc>
        <w:tc>
          <w:tcPr>
            <w:tcW w:w="240" w:type="dxa"/>
            <w:vAlign w:val="bottom"/>
          </w:tcPr>
          <w:p>
            <w:pPr>
              <w:jc w:val="right"/>
              <w:ind w:right="100"/>
              <w:spacing w:after="0"/>
              <w:rPr>
                <w:sz w:val="20"/>
                <w:szCs w:val="20"/>
                <w:color w:val="auto"/>
              </w:rPr>
            </w:pPr>
            <w:r>
              <w:rPr>
                <w:rFonts w:ascii="Arial" w:cs="Arial" w:eastAsia="Arial" w:hAnsi="Arial"/>
                <w:sz w:val="16"/>
                <w:szCs w:val="16"/>
                <w:b w:val="1"/>
                <w:bCs w:val="1"/>
                <w:color w:val="auto"/>
                <w:w w:val="74"/>
              </w:rPr>
              <w:t>)</w:t>
            </w:r>
          </w:p>
        </w:tc>
        <w:tc>
          <w:tcPr>
            <w:tcW w:w="260" w:type="dxa"/>
            <w:vAlign w:val="bottom"/>
          </w:tcPr>
          <w:p>
            <w:pPr>
              <w:spacing w:after="0"/>
              <w:rPr>
                <w:sz w:val="19"/>
                <w:szCs w:val="19"/>
                <w:color w:val="auto"/>
              </w:rPr>
            </w:pPr>
          </w:p>
        </w:tc>
        <w:tc>
          <w:tcPr>
            <w:tcW w:w="24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b w:val="1"/>
                <w:bCs w:val="1"/>
                <w:u w:val="single" w:color="auto"/>
                <w:color w:val="auto"/>
                <w:w w:val="95"/>
              </w:rPr>
              <w:t>A</w:t>
            </w:r>
            <w:r>
              <w:rPr>
                <w:rFonts w:ascii="Arial" w:cs="Arial" w:eastAsia="Arial" w:hAnsi="Arial"/>
                <w:sz w:val="18"/>
                <w:szCs w:val="18"/>
                <w:b w:val="1"/>
                <w:bCs w:val="1"/>
                <w:color w:val="auto"/>
                <w:w w:val="95"/>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87"/>
              </w:rPr>
              <w:t>(11,859,578</w:t>
            </w:r>
          </w:p>
        </w:tc>
        <w:tc>
          <w:tcPr>
            <w:tcW w:w="280" w:type="dxa"/>
            <w:vAlign w:val="bottom"/>
          </w:tcPr>
          <w:p>
            <w:pPr>
              <w:jc w:val="right"/>
              <w:ind w:right="200"/>
              <w:spacing w:after="0"/>
              <w:rPr>
                <w:sz w:val="20"/>
                <w:szCs w:val="20"/>
                <w:color w:val="auto"/>
              </w:rPr>
            </w:pPr>
            <w:r>
              <w:rPr>
                <w:rFonts w:ascii="Arial" w:cs="Arial" w:eastAsia="Arial" w:hAnsi="Arial"/>
                <w:sz w:val="8"/>
                <w:szCs w:val="8"/>
                <w:b w:val="1"/>
                <w:bCs w:val="1"/>
                <w:color w:val="auto"/>
                <w:w w:val="73"/>
              </w:rPr>
              <w:t>)</w:t>
            </w:r>
          </w:p>
        </w:tc>
        <w:tc>
          <w:tcPr>
            <w:tcW w:w="220" w:type="dxa"/>
            <w:vAlign w:val="bottom"/>
          </w:tcPr>
          <w:p>
            <w:pPr>
              <w:spacing w:after="0"/>
              <w:rPr>
                <w:sz w:val="19"/>
                <w:szCs w:val="19"/>
                <w:color w:val="auto"/>
              </w:rPr>
            </w:pPr>
          </w:p>
        </w:tc>
        <w:tc>
          <w:tcPr>
            <w:tcW w:w="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u w:val="single" w:color="auto"/>
                <w:color w:val="auto"/>
                <w:w w:val="78"/>
              </w:rPr>
              <w:t>A</w:t>
            </w:r>
            <w:r>
              <w:rPr>
                <w:rFonts w:ascii="Arial" w:cs="Arial" w:eastAsia="Arial" w:hAnsi="Arial"/>
                <w:sz w:val="18"/>
                <w:szCs w:val="18"/>
                <w:b w:val="1"/>
                <w:bCs w:val="1"/>
                <w:color w:val="auto"/>
                <w:w w:val="78"/>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9"/>
              </w:rPr>
              <w:t>(7,681,854</w:t>
            </w:r>
          </w:p>
        </w:tc>
        <w:tc>
          <w:tcPr>
            <w:tcW w:w="120" w:type="dxa"/>
            <w:vAlign w:val="bottom"/>
          </w:tcPr>
          <w:p>
            <w:pPr>
              <w:jc w:val="right"/>
              <w:spacing w:after="0"/>
              <w:rPr>
                <w:sz w:val="20"/>
                <w:szCs w:val="20"/>
                <w:color w:val="auto"/>
              </w:rPr>
            </w:pPr>
            <w:r>
              <w:rPr>
                <w:rFonts w:ascii="Arial" w:cs="Arial" w:eastAsia="Arial" w:hAnsi="Arial"/>
                <w:sz w:val="16"/>
                <w:szCs w:val="16"/>
                <w:b w:val="1"/>
                <w:bCs w:val="1"/>
                <w:color w:val="auto"/>
                <w:w w:val="74"/>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5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5520" w:type="dxa"/>
            <w:vAlign w:val="bottom"/>
            <w:shd w:val="clear" w:color="auto" w:fill="CCEEFF"/>
          </w:tcPr>
          <w:p>
            <w:pPr>
              <w:spacing w:after="0"/>
              <w:rPr>
                <w:sz w:val="20"/>
                <w:szCs w:val="20"/>
                <w:color w:val="auto"/>
              </w:rPr>
            </w:pPr>
            <w:r>
              <w:rPr>
                <w:rFonts w:ascii="Arial" w:cs="Arial" w:eastAsia="Arial" w:hAnsi="Arial"/>
                <w:sz w:val="18"/>
                <w:szCs w:val="18"/>
                <w:color w:val="auto"/>
              </w:rPr>
              <w:t>Loss for the period attributable to owners of the parent</w:t>
            </w:r>
          </w:p>
        </w:tc>
        <w:tc>
          <w:tcPr>
            <w:tcW w:w="8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0"/>
              </w:rPr>
              <w:t>(16,519,155)</w:t>
            </w:r>
          </w:p>
        </w:tc>
        <w:tc>
          <w:tcPr>
            <w:tcW w:w="2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88"/>
              </w:rPr>
              <w:t>(11,511,024)</w:t>
            </w: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9"/>
              </w:rPr>
              <w:t>(7,778,015)</w:t>
            </w:r>
          </w:p>
        </w:tc>
        <w:tc>
          <w:tcPr>
            <w:tcW w:w="0" w:type="dxa"/>
            <w:vAlign w:val="bottom"/>
          </w:tcPr>
          <w:p>
            <w:pPr>
              <w:spacing w:after="0"/>
              <w:rPr>
                <w:sz w:val="1"/>
                <w:szCs w:val="1"/>
                <w:color w:val="auto"/>
              </w:rPr>
            </w:pPr>
          </w:p>
        </w:tc>
      </w:tr>
      <w:tr>
        <w:trPr>
          <w:trHeight w:val="230"/>
        </w:trPr>
        <w:tc>
          <w:tcPr>
            <w:tcW w:w="5540" w:type="dxa"/>
            <w:vAlign w:val="bottom"/>
            <w:gridSpan w:val="2"/>
          </w:tcPr>
          <w:p>
            <w:pPr>
              <w:spacing w:after="0"/>
              <w:rPr>
                <w:sz w:val="20"/>
                <w:szCs w:val="20"/>
                <w:color w:val="auto"/>
              </w:rPr>
            </w:pPr>
            <w:r>
              <w:rPr>
                <w:rFonts w:ascii="Arial" w:cs="Arial" w:eastAsia="Arial" w:hAnsi="Arial"/>
                <w:sz w:val="18"/>
                <w:szCs w:val="18"/>
                <w:b w:val="1"/>
                <w:bCs w:val="1"/>
                <w:color w:val="auto"/>
              </w:rPr>
              <w:t>Total comprehensive loss attributable to owners of the parent</w:t>
            </w:r>
          </w:p>
        </w:tc>
        <w:tc>
          <w:tcPr>
            <w:tcW w:w="8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2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b w:val="1"/>
                <w:bCs w:val="1"/>
                <w:u w:val="single" w:color="auto"/>
                <w:color w:val="auto"/>
                <w:w w:val="86"/>
              </w:rPr>
              <w:t>A$</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89"/>
              </w:rPr>
              <w:t>(15,955,876</w:t>
            </w:r>
          </w:p>
        </w:tc>
        <w:tc>
          <w:tcPr>
            <w:tcW w:w="240" w:type="dxa"/>
            <w:vAlign w:val="bottom"/>
          </w:tcPr>
          <w:p>
            <w:pPr>
              <w:jc w:val="right"/>
              <w:ind w:right="100"/>
              <w:spacing w:after="0"/>
              <w:rPr>
                <w:sz w:val="20"/>
                <w:szCs w:val="20"/>
                <w:color w:val="auto"/>
              </w:rPr>
            </w:pPr>
            <w:r>
              <w:rPr>
                <w:rFonts w:ascii="Arial" w:cs="Arial" w:eastAsia="Arial" w:hAnsi="Arial"/>
                <w:sz w:val="16"/>
                <w:szCs w:val="16"/>
                <w:b w:val="1"/>
                <w:bCs w:val="1"/>
                <w:color w:val="auto"/>
                <w:w w:val="74"/>
              </w:rPr>
              <w:t>)</w:t>
            </w:r>
          </w:p>
        </w:tc>
        <w:tc>
          <w:tcPr>
            <w:tcW w:w="260" w:type="dxa"/>
            <w:vAlign w:val="bottom"/>
          </w:tcPr>
          <w:p>
            <w:pPr>
              <w:spacing w:after="0"/>
              <w:rPr>
                <w:sz w:val="20"/>
                <w:szCs w:val="20"/>
                <w:color w:val="auto"/>
              </w:rPr>
            </w:pPr>
          </w:p>
        </w:tc>
        <w:tc>
          <w:tcPr>
            <w:tcW w:w="24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b w:val="1"/>
                <w:bCs w:val="1"/>
                <w:u w:val="single" w:color="auto"/>
                <w:color w:val="auto"/>
                <w:w w:val="95"/>
              </w:rPr>
              <w:t>A</w:t>
            </w:r>
            <w:r>
              <w:rPr>
                <w:rFonts w:ascii="Arial" w:cs="Arial" w:eastAsia="Arial" w:hAnsi="Arial"/>
                <w:sz w:val="18"/>
                <w:szCs w:val="18"/>
                <w:b w:val="1"/>
                <w:bCs w:val="1"/>
                <w:color w:val="auto"/>
                <w:w w:val="95"/>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87"/>
              </w:rPr>
              <w:t>(11,859,578</w:t>
            </w:r>
          </w:p>
        </w:tc>
        <w:tc>
          <w:tcPr>
            <w:tcW w:w="280" w:type="dxa"/>
            <w:vAlign w:val="bottom"/>
          </w:tcPr>
          <w:p>
            <w:pPr>
              <w:jc w:val="right"/>
              <w:ind w:right="200"/>
              <w:spacing w:after="0"/>
              <w:rPr>
                <w:sz w:val="20"/>
                <w:szCs w:val="20"/>
                <w:color w:val="auto"/>
              </w:rPr>
            </w:pPr>
            <w:r>
              <w:rPr>
                <w:rFonts w:ascii="Arial" w:cs="Arial" w:eastAsia="Arial" w:hAnsi="Arial"/>
                <w:sz w:val="8"/>
                <w:szCs w:val="8"/>
                <w:b w:val="1"/>
                <w:bCs w:val="1"/>
                <w:color w:val="auto"/>
                <w:w w:val="73"/>
              </w:rPr>
              <w:t>)</w:t>
            </w:r>
          </w:p>
        </w:tc>
        <w:tc>
          <w:tcPr>
            <w:tcW w:w="220" w:type="dxa"/>
            <w:vAlign w:val="bottom"/>
          </w:tcPr>
          <w:p>
            <w:pPr>
              <w:spacing w:after="0"/>
              <w:rPr>
                <w:sz w:val="20"/>
                <w:szCs w:val="20"/>
                <w:color w:val="auto"/>
              </w:rPr>
            </w:pPr>
          </w:p>
        </w:tc>
        <w:tc>
          <w:tcPr>
            <w:tcW w:w="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u w:val="single" w:color="auto"/>
                <w:color w:val="auto"/>
                <w:w w:val="78"/>
              </w:rPr>
              <w:t>A</w:t>
            </w:r>
            <w:r>
              <w:rPr>
                <w:rFonts w:ascii="Arial" w:cs="Arial" w:eastAsia="Arial" w:hAnsi="Arial"/>
                <w:sz w:val="18"/>
                <w:szCs w:val="18"/>
                <w:b w:val="1"/>
                <w:bCs w:val="1"/>
                <w:color w:val="auto"/>
                <w:w w:val="78"/>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9"/>
              </w:rPr>
              <w:t>(7,681,854</w:t>
            </w:r>
          </w:p>
        </w:tc>
        <w:tc>
          <w:tcPr>
            <w:tcW w:w="120" w:type="dxa"/>
            <w:vAlign w:val="bottom"/>
          </w:tcPr>
          <w:p>
            <w:pPr>
              <w:jc w:val="right"/>
              <w:spacing w:after="0"/>
              <w:rPr>
                <w:sz w:val="20"/>
                <w:szCs w:val="20"/>
                <w:color w:val="auto"/>
              </w:rPr>
            </w:pPr>
            <w:r>
              <w:rPr>
                <w:rFonts w:ascii="Arial" w:cs="Arial" w:eastAsia="Arial" w:hAnsi="Arial"/>
                <w:sz w:val="16"/>
                <w:szCs w:val="16"/>
                <w:b w:val="1"/>
                <w:bCs w:val="1"/>
                <w:color w:val="auto"/>
                <w:w w:val="74"/>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Continuing Operations</w:t>
            </w:r>
          </w:p>
        </w:tc>
        <w:tc>
          <w:tcPr>
            <w:tcW w:w="8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20" w:type="dxa"/>
            <w:vAlign w:val="bottom"/>
          </w:tcPr>
          <w:p>
            <w:pPr>
              <w:spacing w:after="0"/>
              <w:rPr>
                <w:sz w:val="20"/>
                <w:szCs w:val="20"/>
                <w:color w:val="auto"/>
              </w:rPr>
            </w:pPr>
            <w:r>
              <w:rPr>
                <w:rFonts w:ascii="Arial" w:cs="Arial" w:eastAsia="Arial" w:hAnsi="Arial"/>
                <w:sz w:val="18"/>
                <w:szCs w:val="18"/>
                <w:color w:val="auto"/>
                <w:w w:val="96"/>
              </w:rPr>
              <w:t>Basic loss per share attributable to ordinary equity holders of the parent</w:t>
            </w:r>
          </w:p>
        </w:tc>
        <w:tc>
          <w:tcPr>
            <w:tcW w:w="820" w:type="dxa"/>
            <w:vAlign w:val="bottom"/>
          </w:tcPr>
          <w:p>
            <w:pPr>
              <w:jc w:val="center"/>
              <w:ind w:left="31"/>
              <w:spacing w:after="0"/>
              <w:rPr>
                <w:sz w:val="20"/>
                <w:szCs w:val="20"/>
                <w:color w:val="auto"/>
              </w:rPr>
            </w:pPr>
            <w:r>
              <w:rPr>
                <w:rFonts w:ascii="Arial" w:cs="Arial" w:eastAsia="Arial" w:hAnsi="Arial"/>
                <w:sz w:val="18"/>
                <w:szCs w:val="18"/>
                <w:color w:val="auto"/>
                <w:w w:val="99"/>
              </w:rPr>
              <w:t>5</w:t>
            </w:r>
          </w:p>
        </w:tc>
        <w:tc>
          <w:tcPr>
            <w:tcW w:w="460" w:type="dxa"/>
            <w:vAlign w:val="bottom"/>
            <w:gridSpan w:val="2"/>
          </w:tcPr>
          <w:p>
            <w:pPr>
              <w:ind w:left="240"/>
              <w:spacing w:after="0"/>
              <w:rPr>
                <w:sz w:val="20"/>
                <w:szCs w:val="20"/>
                <w:color w:val="auto"/>
              </w:rPr>
            </w:pPr>
            <w:r>
              <w:rPr>
                <w:rFonts w:ascii="Arial" w:cs="Arial" w:eastAsia="Arial" w:hAnsi="Arial"/>
                <w:sz w:val="18"/>
                <w:szCs w:val="18"/>
                <w:color w:val="auto"/>
                <w:w w:val="90"/>
              </w:rPr>
              <w:t>A$</w:t>
            </w:r>
          </w:p>
        </w:tc>
        <w:tc>
          <w:tcPr>
            <w:tcW w:w="1120" w:type="dxa"/>
            <w:vAlign w:val="bottom"/>
            <w:gridSpan w:val="2"/>
          </w:tcPr>
          <w:p>
            <w:pPr>
              <w:jc w:val="right"/>
              <w:ind w:right="160"/>
              <w:spacing w:after="0"/>
              <w:rPr>
                <w:sz w:val="20"/>
                <w:szCs w:val="20"/>
                <w:color w:val="auto"/>
              </w:rPr>
            </w:pPr>
            <w:r>
              <w:rPr>
                <w:rFonts w:ascii="Arial" w:cs="Arial" w:eastAsia="Arial" w:hAnsi="Arial"/>
                <w:sz w:val="18"/>
                <w:szCs w:val="18"/>
                <w:color w:val="auto"/>
                <w:w w:val="90"/>
              </w:rPr>
              <w:t>(1.77) cents</w:t>
            </w:r>
          </w:p>
        </w:tc>
        <w:tc>
          <w:tcPr>
            <w:tcW w:w="500" w:type="dxa"/>
            <w:vAlign w:val="bottom"/>
            <w:gridSpan w:val="2"/>
          </w:tcPr>
          <w:p>
            <w:pPr>
              <w:ind w:left="260"/>
              <w:spacing w:after="0"/>
              <w:rPr>
                <w:sz w:val="20"/>
                <w:szCs w:val="20"/>
                <w:color w:val="auto"/>
              </w:rPr>
            </w:pPr>
            <w:r>
              <w:rPr>
                <w:rFonts w:ascii="Arial" w:cs="Arial" w:eastAsia="Arial" w:hAnsi="Arial"/>
                <w:sz w:val="18"/>
                <w:szCs w:val="18"/>
                <w:color w:val="auto"/>
                <w:w w:val="99"/>
              </w:rPr>
              <w:t>A$</w:t>
            </w:r>
          </w:p>
        </w:tc>
        <w:tc>
          <w:tcPr>
            <w:tcW w:w="1160" w:type="dxa"/>
            <w:vAlign w:val="bottom"/>
            <w:gridSpan w:val="2"/>
          </w:tcPr>
          <w:p>
            <w:pPr>
              <w:jc w:val="right"/>
              <w:ind w:right="260"/>
              <w:spacing w:after="0"/>
              <w:rPr>
                <w:sz w:val="20"/>
                <w:szCs w:val="20"/>
                <w:color w:val="auto"/>
              </w:rPr>
            </w:pPr>
            <w:r>
              <w:rPr>
                <w:rFonts w:ascii="Arial" w:cs="Arial" w:eastAsia="Arial" w:hAnsi="Arial"/>
                <w:sz w:val="18"/>
                <w:szCs w:val="18"/>
                <w:color w:val="auto"/>
                <w:w w:val="88"/>
              </w:rPr>
              <w:t>(1.72) cents</w:t>
            </w:r>
          </w:p>
        </w:tc>
        <w:tc>
          <w:tcPr>
            <w:tcW w:w="440" w:type="dxa"/>
            <w:vAlign w:val="bottom"/>
            <w:gridSpan w:val="2"/>
          </w:tcPr>
          <w:p>
            <w:pPr>
              <w:jc w:val="right"/>
              <w:spacing w:after="0"/>
              <w:rPr>
                <w:sz w:val="20"/>
                <w:szCs w:val="20"/>
                <w:color w:val="auto"/>
              </w:rPr>
            </w:pPr>
            <w:r>
              <w:rPr>
                <w:rFonts w:ascii="Arial" w:cs="Arial" w:eastAsia="Arial" w:hAnsi="Arial"/>
                <w:sz w:val="18"/>
                <w:szCs w:val="18"/>
                <w:color w:val="auto"/>
              </w:rPr>
              <w:t>A$</w:t>
            </w:r>
          </w:p>
        </w:tc>
        <w:tc>
          <w:tcPr>
            <w:tcW w:w="1000" w:type="dxa"/>
            <w:vAlign w:val="bottom"/>
            <w:gridSpan w:val="2"/>
          </w:tcPr>
          <w:p>
            <w:pPr>
              <w:jc w:val="right"/>
              <w:ind w:right="40"/>
              <w:spacing w:after="0"/>
              <w:rPr>
                <w:sz w:val="20"/>
                <w:szCs w:val="20"/>
                <w:color w:val="auto"/>
              </w:rPr>
            </w:pPr>
            <w:r>
              <w:rPr>
                <w:rFonts w:ascii="Arial" w:cs="Arial" w:eastAsia="Arial" w:hAnsi="Arial"/>
                <w:sz w:val="18"/>
                <w:szCs w:val="18"/>
                <w:color w:val="auto"/>
                <w:w w:val="90"/>
              </w:rPr>
              <w:t>(1.56) cents</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20" w:type="dxa"/>
            <w:vAlign w:val="bottom"/>
            <w:shd w:val="clear" w:color="auto" w:fill="CCEEFF"/>
          </w:tcPr>
          <w:p>
            <w:pPr>
              <w:spacing w:after="0"/>
              <w:rPr>
                <w:sz w:val="20"/>
                <w:szCs w:val="20"/>
                <w:color w:val="auto"/>
              </w:rPr>
            </w:pPr>
            <w:r>
              <w:rPr>
                <w:rFonts w:ascii="Arial" w:cs="Arial" w:eastAsia="Arial" w:hAnsi="Arial"/>
                <w:sz w:val="18"/>
                <w:szCs w:val="18"/>
                <w:color w:val="auto"/>
                <w:w w:val="94"/>
              </w:rPr>
              <w:t>Diluted loss per share attributable to ordinary equity holders of the parent</w:t>
            </w:r>
          </w:p>
        </w:tc>
        <w:tc>
          <w:tcPr>
            <w:tcW w:w="820" w:type="dxa"/>
            <w:vAlign w:val="bottom"/>
            <w:shd w:val="clear" w:color="auto" w:fill="CCEEFF"/>
          </w:tcPr>
          <w:p>
            <w:pPr>
              <w:jc w:val="center"/>
              <w:ind w:left="31"/>
              <w:spacing w:after="0"/>
              <w:rPr>
                <w:sz w:val="20"/>
                <w:szCs w:val="20"/>
                <w:color w:val="auto"/>
              </w:rPr>
            </w:pPr>
            <w:r>
              <w:rPr>
                <w:rFonts w:ascii="Arial" w:cs="Arial" w:eastAsia="Arial" w:hAnsi="Arial"/>
                <w:sz w:val="18"/>
                <w:szCs w:val="18"/>
                <w:color w:val="auto"/>
                <w:w w:val="99"/>
              </w:rPr>
              <w:t>5</w:t>
            </w:r>
          </w:p>
        </w:tc>
        <w:tc>
          <w:tcPr>
            <w:tcW w:w="46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w w:val="90"/>
              </w:rPr>
              <w:t>A$</w:t>
            </w:r>
          </w:p>
        </w:tc>
        <w:tc>
          <w:tcPr>
            <w:tcW w:w="11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0"/>
              </w:rPr>
              <w:t>(1.77) cents</w:t>
            </w:r>
          </w:p>
        </w:tc>
        <w:tc>
          <w:tcPr>
            <w:tcW w:w="50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w w:val="99"/>
              </w:rPr>
              <w:t>A$</w:t>
            </w:r>
          </w:p>
        </w:tc>
        <w:tc>
          <w:tcPr>
            <w:tcW w:w="11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w w:val="88"/>
              </w:rPr>
              <w:t>(1.72) cents</w:t>
            </w:r>
          </w:p>
        </w:tc>
        <w:tc>
          <w:tcPr>
            <w:tcW w:w="4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A$</w:t>
            </w:r>
          </w:p>
        </w:tc>
        <w:tc>
          <w:tcPr>
            <w:tcW w:w="10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0"/>
              </w:rPr>
              <w:t>(1.56) cents</w:t>
            </w:r>
          </w:p>
        </w:tc>
        <w:tc>
          <w:tcPr>
            <w:tcW w:w="0" w:type="dxa"/>
            <w:vAlign w:val="bottom"/>
          </w:tcPr>
          <w:p>
            <w:pPr>
              <w:spacing w:after="0"/>
              <w:rPr>
                <w:sz w:val="1"/>
                <w:szCs w:val="1"/>
                <w:color w:val="auto"/>
              </w:rPr>
            </w:pPr>
          </w:p>
        </w:tc>
      </w:tr>
      <w:tr>
        <w:trPr>
          <w:trHeight w:val="324"/>
        </w:trPr>
        <w:tc>
          <w:tcPr>
            <w:tcW w:w="5540" w:type="dxa"/>
            <w:vAlign w:val="bottom"/>
            <w:gridSpan w:val="2"/>
          </w:tcPr>
          <w:p>
            <w:pPr>
              <w:spacing w:after="0"/>
              <w:rPr>
                <w:sz w:val="20"/>
                <w:szCs w:val="20"/>
                <w:color w:val="auto"/>
              </w:rPr>
            </w:pPr>
            <w:r>
              <w:rPr>
                <w:rFonts w:ascii="Arial" w:cs="Arial" w:eastAsia="Arial" w:hAnsi="Arial"/>
                <w:sz w:val="18"/>
                <w:szCs w:val="18"/>
                <w:b w:val="1"/>
                <w:bCs w:val="1"/>
                <w:color w:val="auto"/>
              </w:rPr>
              <w:t>Discontinued Operations</w:t>
            </w:r>
          </w:p>
        </w:tc>
        <w:tc>
          <w:tcPr>
            <w:tcW w:w="8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20" w:type="dxa"/>
            <w:vAlign w:val="bottom"/>
            <w:shd w:val="clear" w:color="auto" w:fill="CCEEFF"/>
          </w:tcPr>
          <w:p>
            <w:pPr>
              <w:spacing w:after="0"/>
              <w:rPr>
                <w:sz w:val="20"/>
                <w:szCs w:val="20"/>
                <w:color w:val="auto"/>
              </w:rPr>
            </w:pPr>
            <w:r>
              <w:rPr>
                <w:rFonts w:ascii="Arial" w:cs="Arial" w:eastAsia="Arial" w:hAnsi="Arial"/>
                <w:sz w:val="18"/>
                <w:szCs w:val="18"/>
                <w:color w:val="auto"/>
                <w:w w:val="96"/>
              </w:rPr>
              <w:t>Basic loss per share attributable to ordinary equity holders of the parent</w:t>
            </w:r>
          </w:p>
        </w:tc>
        <w:tc>
          <w:tcPr>
            <w:tcW w:w="820" w:type="dxa"/>
            <w:vAlign w:val="bottom"/>
            <w:shd w:val="clear" w:color="auto" w:fill="CCEEFF"/>
          </w:tcPr>
          <w:p>
            <w:pPr>
              <w:jc w:val="center"/>
              <w:ind w:left="31"/>
              <w:spacing w:after="0"/>
              <w:rPr>
                <w:sz w:val="20"/>
                <w:szCs w:val="20"/>
                <w:color w:val="auto"/>
              </w:rPr>
            </w:pPr>
            <w:r>
              <w:rPr>
                <w:rFonts w:ascii="Arial" w:cs="Arial" w:eastAsia="Arial" w:hAnsi="Arial"/>
                <w:sz w:val="18"/>
                <w:szCs w:val="18"/>
                <w:color w:val="auto"/>
                <w:w w:val="99"/>
              </w:rPr>
              <w:t>5</w:t>
            </w:r>
          </w:p>
        </w:tc>
        <w:tc>
          <w:tcPr>
            <w:tcW w:w="2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4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A$</w:t>
            </w:r>
          </w:p>
        </w:tc>
        <w:tc>
          <w:tcPr>
            <w:tcW w:w="10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0"/>
              </w:rPr>
              <w:t>(0.05) cents</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520" w:type="dxa"/>
            <w:vAlign w:val="bottom"/>
          </w:tcPr>
          <w:p>
            <w:pPr>
              <w:spacing w:after="0"/>
              <w:rPr>
                <w:sz w:val="20"/>
                <w:szCs w:val="20"/>
                <w:color w:val="auto"/>
              </w:rPr>
            </w:pPr>
            <w:r>
              <w:rPr>
                <w:rFonts w:ascii="Arial" w:cs="Arial" w:eastAsia="Arial" w:hAnsi="Arial"/>
                <w:sz w:val="18"/>
                <w:szCs w:val="18"/>
                <w:color w:val="auto"/>
                <w:w w:val="94"/>
              </w:rPr>
              <w:t>Diluted loss per share attributable to ordinary equity holders of the parent</w:t>
            </w:r>
          </w:p>
        </w:tc>
        <w:tc>
          <w:tcPr>
            <w:tcW w:w="820" w:type="dxa"/>
            <w:vAlign w:val="bottom"/>
          </w:tcPr>
          <w:p>
            <w:pPr>
              <w:jc w:val="center"/>
              <w:ind w:left="31"/>
              <w:spacing w:after="0"/>
              <w:rPr>
                <w:sz w:val="20"/>
                <w:szCs w:val="20"/>
                <w:color w:val="auto"/>
              </w:rPr>
            </w:pPr>
            <w:r>
              <w:rPr>
                <w:rFonts w:ascii="Arial" w:cs="Arial" w:eastAsia="Arial" w:hAnsi="Arial"/>
                <w:sz w:val="18"/>
                <w:szCs w:val="18"/>
                <w:color w:val="auto"/>
                <w:w w:val="99"/>
              </w:rPr>
              <w:t>5</w:t>
            </w:r>
          </w:p>
        </w:tc>
        <w:tc>
          <w:tcPr>
            <w:tcW w:w="2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6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440" w:type="dxa"/>
            <w:vAlign w:val="bottom"/>
            <w:gridSpan w:val="2"/>
          </w:tcPr>
          <w:p>
            <w:pPr>
              <w:jc w:val="right"/>
              <w:spacing w:after="0"/>
              <w:rPr>
                <w:sz w:val="20"/>
                <w:szCs w:val="20"/>
                <w:color w:val="auto"/>
              </w:rPr>
            </w:pPr>
            <w:r>
              <w:rPr>
                <w:rFonts w:ascii="Arial" w:cs="Arial" w:eastAsia="Arial" w:hAnsi="Arial"/>
                <w:sz w:val="18"/>
                <w:szCs w:val="18"/>
                <w:color w:val="auto"/>
              </w:rPr>
              <w:t>A$</w:t>
            </w:r>
          </w:p>
        </w:tc>
        <w:tc>
          <w:tcPr>
            <w:tcW w:w="1000" w:type="dxa"/>
            <w:vAlign w:val="bottom"/>
            <w:gridSpan w:val="2"/>
          </w:tcPr>
          <w:p>
            <w:pPr>
              <w:jc w:val="right"/>
              <w:ind w:right="40"/>
              <w:spacing w:after="0"/>
              <w:rPr>
                <w:sz w:val="20"/>
                <w:szCs w:val="20"/>
                <w:color w:val="auto"/>
              </w:rPr>
            </w:pPr>
            <w:r>
              <w:rPr>
                <w:rFonts w:ascii="Arial" w:cs="Arial" w:eastAsia="Arial" w:hAnsi="Arial"/>
                <w:sz w:val="18"/>
                <w:szCs w:val="18"/>
                <w:color w:val="auto"/>
                <w:w w:val="90"/>
              </w:rPr>
              <w:t>(0.05) cents</w:t>
            </w:r>
          </w:p>
        </w:tc>
        <w:tc>
          <w:tcPr>
            <w:tcW w:w="0" w:type="dxa"/>
            <w:vAlign w:val="bottom"/>
          </w:tcPr>
          <w:p>
            <w:pPr>
              <w:spacing w:after="0"/>
              <w:rPr>
                <w:sz w:val="1"/>
                <w:szCs w:val="1"/>
                <w:color w:val="auto"/>
              </w:rPr>
            </w:pPr>
          </w:p>
        </w:tc>
      </w:tr>
    </w:tbl>
    <w:p>
      <w:pPr>
        <w:spacing w:after="0" w:line="160" w:lineRule="exact"/>
        <w:rPr>
          <w:sz w:val="20"/>
          <w:szCs w:val="20"/>
          <w:color w:val="auto"/>
        </w:rPr>
      </w:pPr>
    </w:p>
    <w:p>
      <w:pPr>
        <w:ind w:left="200"/>
        <w:spacing w:after="0"/>
        <w:rPr>
          <w:sz w:val="20"/>
          <w:szCs w:val="20"/>
          <w:color w:val="auto"/>
        </w:rPr>
      </w:pPr>
      <w:r>
        <w:rPr>
          <w:rFonts w:ascii="Arial" w:cs="Arial" w:eastAsia="Arial" w:hAnsi="Arial"/>
          <w:sz w:val="18"/>
          <w:szCs w:val="18"/>
          <w:color w:val="auto"/>
        </w:rPr>
        <w:t>The accompanying notes form part of the consolidated financial statements.</w:t>
      </w:r>
    </w:p>
    <w:p>
      <w:pPr>
        <w:spacing w:after="0" w:line="158" w:lineRule="exact"/>
        <w:rPr>
          <w:sz w:val="20"/>
          <w:szCs w:val="20"/>
          <w:color w:val="auto"/>
        </w:rPr>
      </w:pPr>
    </w:p>
    <w:p>
      <w:pPr>
        <w:ind w:left="5580"/>
        <w:spacing w:after="0"/>
        <w:rPr>
          <w:sz w:val="20"/>
          <w:szCs w:val="20"/>
          <w:color w:val="auto"/>
        </w:rPr>
      </w:pPr>
      <w:r>
        <w:rPr>
          <w:rFonts w:ascii="Arial" w:cs="Arial" w:eastAsia="Arial" w:hAnsi="Arial"/>
          <w:sz w:val="18"/>
          <w:szCs w:val="18"/>
          <w:color w:val="auto"/>
        </w:rPr>
        <w:t>F-4</w:t>
      </w:r>
    </w:p>
    <w:p>
      <w:pPr>
        <w:sectPr>
          <w:pgSz w:w="11900" w:h="16838" w:orient="portrait"/>
          <w:cols w:equalWidth="0" w:num="1">
            <w:col w:w="11240"/>
          </w:cols>
          <w:pgMar w:left="240" w:top="459" w:right="419" w:bottom="1440" w:gutter="0" w:footer="0" w:header="0"/>
        </w:sectPr>
      </w:pPr>
    </w:p>
    <w:bookmarkStart w:id="103" w:name="page104"/>
    <w:bookmarkEnd w:id="10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5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AVITA MEDICAL LIMITED</w:t>
      </w:r>
    </w:p>
    <w:p>
      <w:pPr>
        <w:spacing w:after="0" w:line="27"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CONSOLIDATED STATEMENT OF FINANCIAL POSITION</w:t>
      </w:r>
    </w:p>
    <w:p>
      <w:pPr>
        <w:spacing w:after="0" w:line="9"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(IN AUSTRALIAN DOLLARS)</w:t>
      </w:r>
    </w:p>
    <w:p>
      <w:pPr>
        <w:spacing w:after="0" w:line="229" w:lineRule="exact"/>
        <w:rPr>
          <w:sz w:val="20"/>
          <w:szCs w:val="20"/>
          <w:color w:val="auto"/>
        </w:rPr>
      </w:pPr>
    </w:p>
    <w:tbl>
      <w:tblPr>
        <w:tblLayout w:type="fixed"/>
        <w:tblInd w:w="200" w:type="dxa"/>
        <w:tblCellMar>
          <w:top w:w="0" w:type="dxa"/>
          <w:left w:w="0" w:type="dxa"/>
          <w:bottom w:w="0" w:type="dxa"/>
          <w:right w:w="0" w:type="dxa"/>
        </w:tblCellMar>
      </w:tblPr>
      <w:tr>
        <w:trPr>
          <w:trHeight w:val="186"/>
        </w:trPr>
        <w:tc>
          <w:tcPr>
            <w:tcW w:w="20" w:type="dxa"/>
            <w:vAlign w:val="bottom"/>
          </w:tcPr>
          <w:p>
            <w:pPr>
              <w:spacing w:after="0"/>
              <w:rPr>
                <w:sz w:val="16"/>
                <w:szCs w:val="16"/>
                <w:color w:val="auto"/>
              </w:rPr>
            </w:pPr>
          </w:p>
        </w:tc>
        <w:tc>
          <w:tcPr>
            <w:tcW w:w="5200" w:type="dxa"/>
            <w:vAlign w:val="bottom"/>
          </w:tcPr>
          <w:p>
            <w:pPr>
              <w:spacing w:after="0"/>
              <w:rPr>
                <w:sz w:val="16"/>
                <w:szCs w:val="16"/>
                <w:color w:val="auto"/>
              </w:rPr>
            </w:pPr>
          </w:p>
        </w:tc>
        <w:tc>
          <w:tcPr>
            <w:tcW w:w="2600" w:type="dxa"/>
            <w:vAlign w:val="bottom"/>
            <w:vMerge w:val="restart"/>
          </w:tcPr>
          <w:p>
            <w:pPr>
              <w:ind w:left="1620"/>
              <w:spacing w:after="0"/>
              <w:rPr>
                <w:sz w:val="20"/>
                <w:szCs w:val="20"/>
                <w:color w:val="auto"/>
              </w:rPr>
            </w:pPr>
            <w:r>
              <w:rPr>
                <w:rFonts w:ascii="Arial" w:cs="Arial" w:eastAsia="Arial" w:hAnsi="Arial"/>
                <w:sz w:val="14"/>
                <w:szCs w:val="14"/>
                <w:b w:val="1"/>
                <w:bCs w:val="1"/>
                <w:color w:val="auto"/>
              </w:rPr>
              <w:t>Notes</w:t>
            </w:r>
          </w:p>
        </w:tc>
        <w:tc>
          <w:tcPr>
            <w:tcW w:w="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80" w:type="dxa"/>
            <w:vAlign w:val="bottom"/>
            <w:vMerge w:val="restart"/>
          </w:tcPr>
          <w:p>
            <w:pPr>
              <w:jc w:val="right"/>
              <w:ind w:right="391"/>
              <w:spacing w:after="0"/>
              <w:rPr>
                <w:sz w:val="20"/>
                <w:szCs w:val="20"/>
                <w:color w:val="auto"/>
              </w:rPr>
            </w:pPr>
            <w:r>
              <w:rPr>
                <w:rFonts w:ascii="Arial" w:cs="Arial" w:eastAsia="Arial" w:hAnsi="Arial"/>
                <w:sz w:val="14"/>
                <w:szCs w:val="14"/>
                <w:b w:val="1"/>
                <w:bCs w:val="1"/>
                <w:color w:val="auto"/>
              </w:rPr>
              <w:t>2018</w:t>
            </w:r>
          </w:p>
        </w:tc>
        <w:tc>
          <w:tcPr>
            <w:tcW w:w="60" w:type="dxa"/>
            <w:vAlign w:val="bottom"/>
          </w:tcPr>
          <w:p>
            <w:pPr>
              <w:spacing w:after="0"/>
              <w:rPr>
                <w:sz w:val="16"/>
                <w:szCs w:val="16"/>
                <w:color w:val="auto"/>
              </w:rPr>
            </w:pPr>
          </w:p>
        </w:tc>
        <w:tc>
          <w:tcPr>
            <w:tcW w:w="840" w:type="dxa"/>
            <w:vAlign w:val="bottom"/>
            <w:gridSpan w:val="2"/>
          </w:tcPr>
          <w:p>
            <w:pPr>
              <w:ind w:left="20"/>
              <w:spacing w:after="0"/>
              <w:rPr>
                <w:sz w:val="20"/>
                <w:szCs w:val="20"/>
                <w:color w:val="auto"/>
              </w:rPr>
            </w:pPr>
            <w:r>
              <w:rPr>
                <w:rFonts w:ascii="Arial" w:cs="Arial" w:eastAsia="Arial" w:hAnsi="Arial"/>
                <w:sz w:val="14"/>
                <w:szCs w:val="14"/>
                <w:b w:val="1"/>
                <w:bCs w:val="1"/>
                <w:color w:val="auto"/>
              </w:rPr>
              <w:t>June 30,</w:t>
            </w:r>
          </w:p>
        </w:tc>
        <w:tc>
          <w:tcPr>
            <w:tcW w:w="980" w:type="dxa"/>
            <w:vAlign w:val="bottom"/>
            <w:vMerge w:val="restart"/>
          </w:tcPr>
          <w:p>
            <w:pPr>
              <w:jc w:val="right"/>
              <w:ind w:right="371"/>
              <w:spacing w:after="0"/>
              <w:rPr>
                <w:sz w:val="20"/>
                <w:szCs w:val="20"/>
                <w:color w:val="auto"/>
              </w:rPr>
            </w:pPr>
            <w:r>
              <w:rPr>
                <w:rFonts w:ascii="Arial" w:cs="Arial" w:eastAsia="Arial" w:hAnsi="Arial"/>
                <w:sz w:val="14"/>
                <w:szCs w:val="14"/>
                <w:b w:val="1"/>
                <w:bCs w:val="1"/>
                <w:color w:val="auto"/>
              </w:rPr>
              <w:t>2017</w:t>
            </w: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5200" w:type="dxa"/>
            <w:vAlign w:val="bottom"/>
            <w:tcBorders>
              <w:bottom w:val="single" w:sz="8" w:color="CCEEFF"/>
            </w:tcBorders>
          </w:tcPr>
          <w:p>
            <w:pPr>
              <w:spacing w:after="0"/>
              <w:rPr>
                <w:sz w:val="11"/>
                <w:szCs w:val="11"/>
                <w:color w:val="auto"/>
              </w:rPr>
            </w:pPr>
          </w:p>
        </w:tc>
        <w:tc>
          <w:tcPr>
            <w:tcW w:w="2600" w:type="dxa"/>
            <w:vAlign w:val="bottom"/>
            <w:tcBorders>
              <w:bottom w:val="single" w:sz="8" w:color="CCEEFF"/>
            </w:tcBorders>
            <w:vMerge w:val="continue"/>
          </w:tcPr>
          <w:p>
            <w:pPr>
              <w:spacing w:after="0"/>
              <w:rPr>
                <w:sz w:val="11"/>
                <w:szCs w:val="11"/>
                <w:color w:val="auto"/>
              </w:rPr>
            </w:pPr>
          </w:p>
        </w:tc>
        <w:tc>
          <w:tcPr>
            <w:tcW w:w="20" w:type="dxa"/>
            <w:vAlign w:val="bottom"/>
            <w:tcBorders>
              <w:bottom w:val="single" w:sz="8" w:color="CCEEFF"/>
            </w:tcBorders>
          </w:tcPr>
          <w:p>
            <w:pPr>
              <w:spacing w:after="0"/>
              <w:rPr>
                <w:sz w:val="11"/>
                <w:szCs w:val="11"/>
                <w:color w:val="auto"/>
              </w:rPr>
            </w:pPr>
          </w:p>
        </w:tc>
        <w:tc>
          <w:tcPr>
            <w:tcW w:w="220" w:type="dxa"/>
            <w:vAlign w:val="bottom"/>
            <w:tcBorders>
              <w:bottom w:val="single" w:sz="8" w:color="auto"/>
            </w:tcBorders>
          </w:tcPr>
          <w:p>
            <w:pPr>
              <w:spacing w:after="0"/>
              <w:rPr>
                <w:sz w:val="11"/>
                <w:szCs w:val="11"/>
                <w:color w:val="auto"/>
              </w:rPr>
            </w:pPr>
          </w:p>
        </w:tc>
        <w:tc>
          <w:tcPr>
            <w:tcW w:w="980" w:type="dxa"/>
            <w:vAlign w:val="bottom"/>
            <w:tcBorders>
              <w:bottom w:val="single" w:sz="8" w:color="auto"/>
            </w:tcBorders>
            <w:vMerge w:val="continue"/>
          </w:tcPr>
          <w:p>
            <w:pPr>
              <w:spacing w:after="0"/>
              <w:rPr>
                <w:sz w:val="11"/>
                <w:szCs w:val="11"/>
                <w:color w:val="auto"/>
              </w:rPr>
            </w:pPr>
          </w:p>
        </w:tc>
        <w:tc>
          <w:tcPr>
            <w:tcW w:w="60" w:type="dxa"/>
            <w:vAlign w:val="bottom"/>
            <w:tcBorders>
              <w:bottom w:val="single" w:sz="8" w:color="CCEEFF"/>
            </w:tcBorders>
          </w:tcPr>
          <w:p>
            <w:pPr>
              <w:spacing w:after="0"/>
              <w:rPr>
                <w:sz w:val="11"/>
                <w:szCs w:val="11"/>
                <w:color w:val="auto"/>
              </w:rPr>
            </w:pPr>
          </w:p>
        </w:tc>
        <w:tc>
          <w:tcPr>
            <w:tcW w:w="620" w:type="dxa"/>
            <w:vAlign w:val="bottom"/>
            <w:tcBorders>
              <w:bottom w:val="single" w:sz="8" w:color="CCEEFF"/>
            </w:tcBorders>
          </w:tcPr>
          <w:p>
            <w:pPr>
              <w:spacing w:after="0"/>
              <w:rPr>
                <w:sz w:val="11"/>
                <w:szCs w:val="11"/>
                <w:color w:val="auto"/>
              </w:rPr>
            </w:pPr>
          </w:p>
        </w:tc>
        <w:tc>
          <w:tcPr>
            <w:tcW w:w="220" w:type="dxa"/>
            <w:vAlign w:val="bottom"/>
            <w:tcBorders>
              <w:bottom w:val="single" w:sz="8" w:color="auto"/>
            </w:tcBorders>
          </w:tcPr>
          <w:p>
            <w:pPr>
              <w:spacing w:after="0"/>
              <w:rPr>
                <w:sz w:val="11"/>
                <w:szCs w:val="11"/>
                <w:color w:val="auto"/>
              </w:rPr>
            </w:pPr>
          </w:p>
        </w:tc>
        <w:tc>
          <w:tcPr>
            <w:tcW w:w="980" w:type="dxa"/>
            <w:vAlign w:val="bottom"/>
            <w:tcBorders>
              <w:bottom w:val="single" w:sz="8" w:color="auto"/>
            </w:tcBorders>
            <w:vMerge w:val="continue"/>
          </w:tcPr>
          <w:p>
            <w:pPr>
              <w:spacing w:after="0"/>
              <w:rPr>
                <w:sz w:val="11"/>
                <w:szCs w:val="11"/>
                <w:color w:val="auto"/>
              </w:rPr>
            </w:pPr>
          </w:p>
        </w:tc>
        <w:tc>
          <w:tcPr>
            <w:tcW w:w="120" w:type="dxa"/>
            <w:vAlign w:val="bottom"/>
            <w:tcBorders>
              <w:bottom w:val="single" w:sz="8" w:color="CCEEFF"/>
            </w:tcBorders>
          </w:tcPr>
          <w:p>
            <w:pPr>
              <w:spacing w:after="0"/>
              <w:rPr>
                <w:sz w:val="11"/>
                <w:szCs w:val="11"/>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5200" w:type="dxa"/>
            <w:vAlign w:val="bottom"/>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ASSETS</w:t>
            </w:r>
          </w:p>
        </w:tc>
        <w:tc>
          <w:tcPr>
            <w:tcW w:w="26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00" w:type="dxa"/>
            <w:vAlign w:val="bottom"/>
          </w:tcPr>
          <w:p>
            <w:pPr>
              <w:spacing w:after="0"/>
              <w:rPr>
                <w:sz w:val="20"/>
                <w:szCs w:val="20"/>
                <w:color w:val="auto"/>
              </w:rPr>
            </w:pPr>
            <w:r>
              <w:rPr>
                <w:rFonts w:ascii="Arial" w:cs="Arial" w:eastAsia="Arial" w:hAnsi="Arial"/>
                <w:sz w:val="18"/>
                <w:szCs w:val="18"/>
                <w:b w:val="1"/>
                <w:bCs w:val="1"/>
                <w:color w:val="auto"/>
              </w:rPr>
              <w:t>Current assets</w:t>
            </w:r>
          </w:p>
        </w:tc>
        <w:tc>
          <w:tcPr>
            <w:tcW w:w="26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0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w:t>
            </w:r>
          </w:p>
        </w:tc>
        <w:tc>
          <w:tcPr>
            <w:tcW w:w="2600" w:type="dxa"/>
            <w:vAlign w:val="bottom"/>
            <w:shd w:val="clear" w:color="auto" w:fill="CCEEFF"/>
          </w:tcPr>
          <w:p>
            <w:pPr>
              <w:jc w:val="center"/>
              <w:ind w:left="972"/>
              <w:spacing w:after="0"/>
              <w:rPr>
                <w:sz w:val="20"/>
                <w:szCs w:val="20"/>
                <w:color w:val="auto"/>
              </w:rPr>
            </w:pPr>
            <w:r>
              <w:rPr>
                <w:rFonts w:ascii="Arial" w:cs="Arial" w:eastAsia="Arial" w:hAnsi="Arial"/>
                <w:sz w:val="18"/>
                <w:szCs w:val="18"/>
                <w:color w:val="auto"/>
                <w:w w:val="99"/>
              </w:rPr>
              <w:t>7</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0"/>
              </w:rPr>
              <w:t>A$</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14,825,532</w:t>
            </w:r>
          </w:p>
        </w:tc>
        <w:tc>
          <w:tcPr>
            <w:tcW w:w="60" w:type="dxa"/>
            <w:vAlign w:val="bottom"/>
            <w:shd w:val="clear" w:color="auto" w:fill="CCEEFF"/>
          </w:tcPr>
          <w:p>
            <w:pPr>
              <w:spacing w:after="0"/>
              <w:rPr>
                <w:sz w:val="18"/>
                <w:szCs w:val="18"/>
                <w:color w:val="auto"/>
              </w:rPr>
            </w:pPr>
          </w:p>
        </w:tc>
        <w:tc>
          <w:tcPr>
            <w:tcW w:w="840" w:type="dxa"/>
            <w:vAlign w:val="bottom"/>
            <w:gridSpan w:val="2"/>
            <w:shd w:val="clear" w:color="auto" w:fill="CCEEFF"/>
          </w:tcPr>
          <w:p>
            <w:pPr>
              <w:ind w:left="620"/>
              <w:spacing w:after="0"/>
              <w:rPr>
                <w:sz w:val="20"/>
                <w:szCs w:val="20"/>
                <w:color w:val="auto"/>
              </w:rPr>
            </w:pPr>
            <w:r>
              <w:rPr>
                <w:rFonts w:ascii="Arial" w:cs="Arial" w:eastAsia="Arial" w:hAnsi="Arial"/>
                <w:sz w:val="18"/>
                <w:szCs w:val="18"/>
                <w:color w:val="auto"/>
                <w:w w:val="90"/>
              </w:rPr>
              <w:t>A$</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3,790,491</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00" w:type="dxa"/>
            <w:vAlign w:val="bottom"/>
          </w:tcPr>
          <w:p>
            <w:pPr>
              <w:spacing w:after="0"/>
              <w:rPr>
                <w:sz w:val="20"/>
                <w:szCs w:val="20"/>
                <w:color w:val="auto"/>
              </w:rPr>
            </w:pPr>
            <w:r>
              <w:rPr>
                <w:rFonts w:ascii="Arial" w:cs="Arial" w:eastAsia="Arial" w:hAnsi="Arial"/>
                <w:sz w:val="18"/>
                <w:szCs w:val="18"/>
                <w:color w:val="auto"/>
              </w:rPr>
              <w:t>Trade and other receivables</w:t>
            </w:r>
          </w:p>
        </w:tc>
        <w:tc>
          <w:tcPr>
            <w:tcW w:w="2600" w:type="dxa"/>
            <w:vAlign w:val="bottom"/>
          </w:tcPr>
          <w:p>
            <w:pPr>
              <w:jc w:val="center"/>
              <w:ind w:left="972"/>
              <w:spacing w:after="0"/>
              <w:rPr>
                <w:sz w:val="20"/>
                <w:szCs w:val="20"/>
                <w:color w:val="auto"/>
              </w:rPr>
            </w:pPr>
            <w:r>
              <w:rPr>
                <w:rFonts w:ascii="Arial" w:cs="Arial" w:eastAsia="Arial" w:hAnsi="Arial"/>
                <w:sz w:val="18"/>
                <w:szCs w:val="18"/>
                <w:color w:val="auto"/>
                <w:w w:val="99"/>
              </w:rPr>
              <w:t>8</w:t>
            </w: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5,437,357</w:t>
            </w:r>
          </w:p>
        </w:tc>
        <w:tc>
          <w:tcPr>
            <w:tcW w:w="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2,070,534</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00" w:type="dxa"/>
            <w:vAlign w:val="bottom"/>
            <w:shd w:val="clear" w:color="auto" w:fill="CCEEFF"/>
          </w:tcPr>
          <w:p>
            <w:pPr>
              <w:spacing w:after="0"/>
              <w:rPr>
                <w:sz w:val="20"/>
                <w:szCs w:val="20"/>
                <w:color w:val="auto"/>
              </w:rPr>
            </w:pPr>
            <w:r>
              <w:rPr>
                <w:rFonts w:ascii="Arial" w:cs="Arial" w:eastAsia="Arial" w:hAnsi="Arial"/>
                <w:sz w:val="18"/>
                <w:szCs w:val="18"/>
                <w:color w:val="auto"/>
              </w:rPr>
              <w:t>Prepayments and other assets</w:t>
            </w:r>
          </w:p>
        </w:tc>
        <w:tc>
          <w:tcPr>
            <w:tcW w:w="26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855,716</w:t>
            </w:r>
          </w:p>
        </w:tc>
        <w:tc>
          <w:tcPr>
            <w:tcW w:w="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382,026</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200" w:type="dxa"/>
            <w:vAlign w:val="bottom"/>
          </w:tcPr>
          <w:p>
            <w:pPr>
              <w:spacing w:after="0"/>
              <w:rPr>
                <w:sz w:val="20"/>
                <w:szCs w:val="20"/>
                <w:color w:val="auto"/>
              </w:rPr>
            </w:pPr>
            <w:r>
              <w:rPr>
                <w:rFonts w:ascii="Arial" w:cs="Arial" w:eastAsia="Arial" w:hAnsi="Arial"/>
                <w:sz w:val="18"/>
                <w:szCs w:val="18"/>
                <w:color w:val="auto"/>
              </w:rPr>
              <w:t>Inventories</w:t>
            </w:r>
          </w:p>
        </w:tc>
        <w:tc>
          <w:tcPr>
            <w:tcW w:w="2600" w:type="dxa"/>
            <w:vAlign w:val="bottom"/>
          </w:tcPr>
          <w:p>
            <w:pPr>
              <w:jc w:val="center"/>
              <w:ind w:left="972"/>
              <w:spacing w:after="0"/>
              <w:rPr>
                <w:sz w:val="20"/>
                <w:szCs w:val="20"/>
                <w:color w:val="auto"/>
              </w:rPr>
            </w:pPr>
            <w:r>
              <w:rPr>
                <w:rFonts w:ascii="Arial" w:cs="Arial" w:eastAsia="Arial" w:hAnsi="Arial"/>
                <w:sz w:val="18"/>
                <w:szCs w:val="18"/>
                <w:color w:val="auto"/>
                <w:w w:val="99"/>
              </w:rPr>
              <w:t>9</w:t>
            </w:r>
          </w:p>
        </w:tc>
        <w:tc>
          <w:tcPr>
            <w:tcW w:w="2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1,155,826</w:t>
            </w:r>
          </w:p>
        </w:tc>
        <w:tc>
          <w:tcPr>
            <w:tcW w:w="6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1,037,490</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 current assets</w:t>
            </w:r>
          </w:p>
        </w:tc>
        <w:tc>
          <w:tcPr>
            <w:tcW w:w="26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22,274,431</w:t>
            </w:r>
          </w:p>
        </w:tc>
        <w:tc>
          <w:tcPr>
            <w:tcW w:w="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7,280,541</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91"/>
        </w:trPr>
        <w:tc>
          <w:tcPr>
            <w:tcW w:w="5220" w:type="dxa"/>
            <w:vAlign w:val="bottom"/>
            <w:gridSpan w:val="2"/>
          </w:tcPr>
          <w:p>
            <w:pPr>
              <w:spacing w:after="0"/>
              <w:rPr>
                <w:sz w:val="20"/>
                <w:szCs w:val="20"/>
                <w:color w:val="auto"/>
              </w:rPr>
            </w:pPr>
            <w:r>
              <w:rPr>
                <w:rFonts w:ascii="Arial" w:cs="Arial" w:eastAsia="Arial" w:hAnsi="Arial"/>
                <w:sz w:val="18"/>
                <w:szCs w:val="18"/>
                <w:b w:val="1"/>
                <w:bCs w:val="1"/>
                <w:color w:val="auto"/>
              </w:rPr>
              <w:t>Non-current assets</w:t>
            </w:r>
          </w:p>
        </w:tc>
        <w:tc>
          <w:tcPr>
            <w:tcW w:w="26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00" w:type="dxa"/>
            <w:vAlign w:val="bottom"/>
            <w:shd w:val="clear" w:color="auto" w:fill="CCEEFF"/>
          </w:tcPr>
          <w:p>
            <w:pPr>
              <w:spacing w:after="0"/>
              <w:rPr>
                <w:sz w:val="20"/>
                <w:szCs w:val="20"/>
                <w:color w:val="auto"/>
              </w:rPr>
            </w:pPr>
            <w:r>
              <w:rPr>
                <w:rFonts w:ascii="Arial" w:cs="Arial" w:eastAsia="Arial" w:hAnsi="Arial"/>
                <w:sz w:val="18"/>
                <w:szCs w:val="18"/>
                <w:color w:val="auto"/>
              </w:rPr>
              <w:t>Plant and equipment</w:t>
            </w:r>
          </w:p>
        </w:tc>
        <w:tc>
          <w:tcPr>
            <w:tcW w:w="2600" w:type="dxa"/>
            <w:vAlign w:val="bottom"/>
            <w:shd w:val="clear" w:color="auto" w:fill="CCEEFF"/>
          </w:tcPr>
          <w:p>
            <w:pPr>
              <w:jc w:val="center"/>
              <w:ind w:left="972"/>
              <w:spacing w:after="0"/>
              <w:rPr>
                <w:sz w:val="20"/>
                <w:szCs w:val="20"/>
                <w:color w:val="auto"/>
              </w:rPr>
            </w:pPr>
            <w:r>
              <w:rPr>
                <w:rFonts w:ascii="Arial" w:cs="Arial" w:eastAsia="Arial" w:hAnsi="Arial"/>
                <w:sz w:val="18"/>
                <w:szCs w:val="18"/>
                <w:color w:val="auto"/>
                <w:w w:val="89"/>
              </w:rPr>
              <w:t>10</w:t>
            </w:r>
          </w:p>
        </w:tc>
        <w:tc>
          <w:tcPr>
            <w:tcW w:w="2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742,583</w:t>
            </w:r>
          </w:p>
        </w:tc>
        <w:tc>
          <w:tcPr>
            <w:tcW w:w="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387,380</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220" w:type="dxa"/>
            <w:vAlign w:val="bottom"/>
            <w:gridSpan w:val="2"/>
          </w:tcPr>
          <w:p>
            <w:pPr>
              <w:spacing w:after="0"/>
              <w:rPr>
                <w:sz w:val="20"/>
                <w:szCs w:val="20"/>
                <w:color w:val="auto"/>
              </w:rPr>
            </w:pPr>
            <w:r>
              <w:rPr>
                <w:rFonts w:ascii="Arial" w:cs="Arial" w:eastAsia="Arial" w:hAnsi="Arial"/>
                <w:sz w:val="18"/>
                <w:szCs w:val="18"/>
                <w:b w:val="1"/>
                <w:bCs w:val="1"/>
                <w:color w:val="auto"/>
              </w:rPr>
              <w:t>Total non-current assets</w:t>
            </w:r>
          </w:p>
        </w:tc>
        <w:tc>
          <w:tcPr>
            <w:tcW w:w="26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742,583</w:t>
            </w:r>
          </w:p>
        </w:tc>
        <w:tc>
          <w:tcPr>
            <w:tcW w:w="6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387,380</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 ASSETS</w:t>
            </w:r>
          </w:p>
        </w:tc>
        <w:tc>
          <w:tcPr>
            <w:tcW w:w="2600" w:type="dxa"/>
            <w:vAlign w:val="bottom"/>
            <w:shd w:val="clear" w:color="auto" w:fill="CCEEFF"/>
          </w:tcPr>
          <w:p>
            <w:pPr>
              <w:spacing w:after="0"/>
              <w:rPr>
                <w:sz w:val="18"/>
                <w:szCs w:val="18"/>
                <w:color w:val="auto"/>
              </w:rPr>
            </w:pP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u w:val="single" w:color="auto"/>
                <w:color w:val="auto"/>
                <w:w w:val="86"/>
              </w:rPr>
              <w:t>A</w:t>
            </w:r>
            <w:r>
              <w:rPr>
                <w:rFonts w:ascii="Arial" w:cs="Arial" w:eastAsia="Arial" w:hAnsi="Arial"/>
                <w:sz w:val="18"/>
                <w:szCs w:val="18"/>
                <w:b w:val="1"/>
                <w:bCs w:val="1"/>
                <w:color w:val="auto"/>
                <w:w w:val="86"/>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23,017,014</w:t>
            </w:r>
          </w:p>
        </w:tc>
        <w:tc>
          <w:tcPr>
            <w:tcW w:w="60" w:type="dxa"/>
            <w:vAlign w:val="bottom"/>
            <w:shd w:val="clear" w:color="auto" w:fill="CCEEFF"/>
          </w:tcPr>
          <w:p>
            <w:pPr>
              <w:spacing w:after="0"/>
              <w:rPr>
                <w:sz w:val="18"/>
                <w:szCs w:val="18"/>
                <w:color w:val="auto"/>
              </w:rPr>
            </w:pPr>
          </w:p>
        </w:tc>
        <w:tc>
          <w:tcPr>
            <w:tcW w:w="840" w:type="dxa"/>
            <w:vAlign w:val="bottom"/>
            <w:gridSpan w:val="2"/>
            <w:shd w:val="clear" w:color="auto" w:fill="CCEEFF"/>
          </w:tcPr>
          <w:p>
            <w:pPr>
              <w:ind w:left="620"/>
              <w:spacing w:after="0"/>
              <w:rPr>
                <w:sz w:val="20"/>
                <w:szCs w:val="20"/>
                <w:color w:val="auto"/>
              </w:rPr>
            </w:pPr>
            <w:r>
              <w:rPr>
                <w:rFonts w:ascii="Arial" w:cs="Arial" w:eastAsia="Arial" w:hAnsi="Arial"/>
                <w:sz w:val="18"/>
                <w:szCs w:val="18"/>
                <w:b w:val="1"/>
                <w:bCs w:val="1"/>
                <w:u w:val="single" w:color="auto"/>
                <w:color w:val="auto"/>
                <w:w w:val="86"/>
              </w:rPr>
              <w:t>A</w:t>
            </w:r>
            <w:r>
              <w:rPr>
                <w:rFonts w:ascii="Arial" w:cs="Arial" w:eastAsia="Arial" w:hAnsi="Arial"/>
                <w:sz w:val="18"/>
                <w:szCs w:val="18"/>
                <w:b w:val="1"/>
                <w:bCs w:val="1"/>
                <w:color w:val="auto"/>
                <w:w w:val="86"/>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7,667,921</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91"/>
        </w:trPr>
        <w:tc>
          <w:tcPr>
            <w:tcW w:w="5220" w:type="dxa"/>
            <w:vAlign w:val="bottom"/>
            <w:gridSpan w:val="2"/>
          </w:tcPr>
          <w:p>
            <w:pPr>
              <w:spacing w:after="0"/>
              <w:rPr>
                <w:sz w:val="20"/>
                <w:szCs w:val="20"/>
                <w:color w:val="auto"/>
              </w:rPr>
            </w:pPr>
            <w:r>
              <w:rPr>
                <w:rFonts w:ascii="Arial" w:cs="Arial" w:eastAsia="Arial" w:hAnsi="Arial"/>
                <w:sz w:val="18"/>
                <w:szCs w:val="18"/>
                <w:b w:val="1"/>
                <w:bCs w:val="1"/>
                <w:color w:val="auto"/>
              </w:rPr>
              <w:t>LIABILITIES</w:t>
            </w:r>
          </w:p>
        </w:tc>
        <w:tc>
          <w:tcPr>
            <w:tcW w:w="26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Borders>
              <w:top w:val="single" w:sz="8" w:color="auto"/>
            </w:tcBorders>
          </w:tcPr>
          <w:p>
            <w:pPr>
              <w:spacing w:after="0"/>
              <w:rPr>
                <w:sz w:val="24"/>
                <w:szCs w:val="24"/>
                <w:color w:val="auto"/>
              </w:rPr>
            </w:pPr>
          </w:p>
        </w:tc>
        <w:tc>
          <w:tcPr>
            <w:tcW w:w="980" w:type="dxa"/>
            <w:vAlign w:val="bottom"/>
            <w:tcBorders>
              <w:top w:val="single" w:sz="8" w:color="auto"/>
            </w:tcBorders>
          </w:tcPr>
          <w:p>
            <w:pPr>
              <w:spacing w:after="0"/>
              <w:rPr>
                <w:sz w:val="24"/>
                <w:szCs w:val="24"/>
                <w:color w:val="auto"/>
              </w:rPr>
            </w:pPr>
          </w:p>
        </w:tc>
        <w:tc>
          <w:tcPr>
            <w:tcW w:w="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20" w:type="dxa"/>
            <w:vAlign w:val="bottom"/>
            <w:tcBorders>
              <w:top w:val="single" w:sz="8" w:color="auto"/>
            </w:tcBorders>
          </w:tcPr>
          <w:p>
            <w:pPr>
              <w:spacing w:after="0"/>
              <w:rPr>
                <w:sz w:val="24"/>
                <w:szCs w:val="24"/>
                <w:color w:val="auto"/>
              </w:rPr>
            </w:pPr>
          </w:p>
        </w:tc>
        <w:tc>
          <w:tcPr>
            <w:tcW w:w="98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Current liabilities</w:t>
            </w:r>
          </w:p>
        </w:tc>
        <w:tc>
          <w:tcPr>
            <w:tcW w:w="26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00" w:type="dxa"/>
            <w:vAlign w:val="bottom"/>
          </w:tcPr>
          <w:p>
            <w:pPr>
              <w:spacing w:after="0"/>
              <w:rPr>
                <w:sz w:val="20"/>
                <w:szCs w:val="20"/>
                <w:color w:val="auto"/>
              </w:rPr>
            </w:pPr>
            <w:r>
              <w:rPr>
                <w:rFonts w:ascii="Arial" w:cs="Arial" w:eastAsia="Arial" w:hAnsi="Arial"/>
                <w:sz w:val="18"/>
                <w:szCs w:val="18"/>
                <w:color w:val="auto"/>
              </w:rPr>
              <w:t>Trade and other payables</w:t>
            </w:r>
          </w:p>
        </w:tc>
        <w:tc>
          <w:tcPr>
            <w:tcW w:w="2600" w:type="dxa"/>
            <w:vAlign w:val="bottom"/>
          </w:tcPr>
          <w:p>
            <w:pPr>
              <w:jc w:val="center"/>
              <w:ind w:left="972"/>
              <w:spacing w:after="0"/>
              <w:rPr>
                <w:sz w:val="20"/>
                <w:szCs w:val="20"/>
                <w:color w:val="auto"/>
              </w:rPr>
            </w:pPr>
            <w:r>
              <w:rPr>
                <w:rFonts w:ascii="Arial" w:cs="Arial" w:eastAsia="Arial" w:hAnsi="Arial"/>
                <w:sz w:val="18"/>
                <w:szCs w:val="18"/>
                <w:color w:val="auto"/>
                <w:w w:val="89"/>
              </w:rPr>
              <w:t>11</w:t>
            </w: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3,487,582</w:t>
            </w:r>
          </w:p>
        </w:tc>
        <w:tc>
          <w:tcPr>
            <w:tcW w:w="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2,363,734</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00" w:type="dxa"/>
            <w:vAlign w:val="bottom"/>
            <w:shd w:val="clear" w:color="auto" w:fill="CCEEFF"/>
          </w:tcPr>
          <w:p>
            <w:pPr>
              <w:spacing w:after="0"/>
              <w:rPr>
                <w:sz w:val="20"/>
                <w:szCs w:val="20"/>
                <w:color w:val="auto"/>
              </w:rPr>
            </w:pPr>
            <w:r>
              <w:rPr>
                <w:rFonts w:ascii="Arial" w:cs="Arial" w:eastAsia="Arial" w:hAnsi="Arial"/>
                <w:sz w:val="18"/>
                <w:szCs w:val="18"/>
                <w:color w:val="auto"/>
              </w:rPr>
              <w:t>Provisions</w:t>
            </w:r>
          </w:p>
        </w:tc>
        <w:tc>
          <w:tcPr>
            <w:tcW w:w="2600" w:type="dxa"/>
            <w:vAlign w:val="bottom"/>
            <w:shd w:val="clear" w:color="auto" w:fill="CCEEFF"/>
          </w:tcPr>
          <w:p>
            <w:pPr>
              <w:jc w:val="center"/>
              <w:ind w:left="972"/>
              <w:spacing w:after="0"/>
              <w:rPr>
                <w:sz w:val="20"/>
                <w:szCs w:val="20"/>
                <w:color w:val="auto"/>
              </w:rPr>
            </w:pPr>
            <w:r>
              <w:rPr>
                <w:rFonts w:ascii="Arial" w:cs="Arial" w:eastAsia="Arial" w:hAnsi="Arial"/>
                <w:sz w:val="18"/>
                <w:szCs w:val="18"/>
                <w:color w:val="auto"/>
                <w:w w:val="89"/>
              </w:rPr>
              <w:t>12</w:t>
            </w:r>
          </w:p>
        </w:tc>
        <w:tc>
          <w:tcPr>
            <w:tcW w:w="2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395,535</w:t>
            </w:r>
          </w:p>
        </w:tc>
        <w:tc>
          <w:tcPr>
            <w:tcW w:w="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182,355</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220" w:type="dxa"/>
            <w:vAlign w:val="bottom"/>
            <w:gridSpan w:val="2"/>
          </w:tcPr>
          <w:p>
            <w:pPr>
              <w:spacing w:after="0"/>
              <w:rPr>
                <w:sz w:val="20"/>
                <w:szCs w:val="20"/>
                <w:color w:val="auto"/>
              </w:rPr>
            </w:pPr>
            <w:r>
              <w:rPr>
                <w:rFonts w:ascii="Arial" w:cs="Arial" w:eastAsia="Arial" w:hAnsi="Arial"/>
                <w:sz w:val="18"/>
                <w:szCs w:val="18"/>
                <w:b w:val="1"/>
                <w:bCs w:val="1"/>
                <w:color w:val="auto"/>
              </w:rPr>
              <w:t>Total current liabilities</w:t>
            </w:r>
          </w:p>
        </w:tc>
        <w:tc>
          <w:tcPr>
            <w:tcW w:w="26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3,883,117</w:t>
            </w:r>
          </w:p>
        </w:tc>
        <w:tc>
          <w:tcPr>
            <w:tcW w:w="6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2,546,089</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00" w:type="dxa"/>
            <w:vAlign w:val="bottom"/>
            <w:shd w:val="clear" w:color="auto" w:fill="CCEEFF"/>
          </w:tcPr>
          <w:p>
            <w:pPr>
              <w:spacing w:after="0"/>
              <w:rPr>
                <w:sz w:val="20"/>
                <w:szCs w:val="20"/>
                <w:color w:val="auto"/>
              </w:rPr>
            </w:pPr>
            <w:r>
              <w:rPr>
                <w:rFonts w:ascii="Arial" w:cs="Arial" w:eastAsia="Arial" w:hAnsi="Arial"/>
                <w:sz w:val="18"/>
                <w:szCs w:val="18"/>
                <w:color w:val="auto"/>
              </w:rPr>
              <w:t>Finance lease</w:t>
            </w:r>
          </w:p>
        </w:tc>
        <w:tc>
          <w:tcPr>
            <w:tcW w:w="26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134,338</w:t>
            </w:r>
          </w:p>
        </w:tc>
        <w:tc>
          <w:tcPr>
            <w:tcW w:w="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5220" w:type="dxa"/>
            <w:vAlign w:val="bottom"/>
            <w:gridSpan w:val="2"/>
          </w:tcPr>
          <w:p>
            <w:pPr>
              <w:spacing w:after="0"/>
              <w:rPr>
                <w:sz w:val="20"/>
                <w:szCs w:val="20"/>
                <w:color w:val="auto"/>
              </w:rPr>
            </w:pPr>
            <w:r>
              <w:rPr>
                <w:rFonts w:ascii="Arial" w:cs="Arial" w:eastAsia="Arial" w:hAnsi="Arial"/>
                <w:sz w:val="18"/>
                <w:szCs w:val="18"/>
                <w:b w:val="1"/>
                <w:bCs w:val="1"/>
                <w:color w:val="auto"/>
              </w:rPr>
              <w:t>Total non-current liabilities</w:t>
            </w:r>
          </w:p>
        </w:tc>
        <w:tc>
          <w:tcPr>
            <w:tcW w:w="26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20" w:type="dxa"/>
            <w:vAlign w:val="bottom"/>
            <w:tcBorders>
              <w:top w:val="single" w:sz="8" w:color="auto"/>
              <w:bottom w:val="single" w:sz="8" w:color="auto"/>
            </w:tcBorders>
          </w:tcPr>
          <w:p>
            <w:pPr>
              <w:spacing w:after="0"/>
              <w:rPr>
                <w:sz w:val="20"/>
                <w:szCs w:val="20"/>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134,338</w:t>
            </w:r>
          </w:p>
        </w:tc>
        <w:tc>
          <w:tcPr>
            <w:tcW w:w="6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220" w:type="dxa"/>
            <w:vAlign w:val="bottom"/>
            <w:tcBorders>
              <w:top w:val="single" w:sz="8" w:color="auto"/>
              <w:bottom w:val="single" w:sz="8" w:color="auto"/>
            </w:tcBorders>
          </w:tcPr>
          <w:p>
            <w:pPr>
              <w:spacing w:after="0"/>
              <w:rPr>
                <w:sz w:val="20"/>
                <w:szCs w:val="20"/>
                <w:color w:val="auto"/>
              </w:rPr>
            </w:pPr>
          </w:p>
        </w:tc>
        <w:tc>
          <w:tcPr>
            <w:tcW w:w="98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b w:val="1"/>
                <w:bCs w:val="1"/>
                <w:color w:val="auto"/>
              </w:rPr>
              <w:t>—</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 LIABILITIES</w:t>
            </w:r>
          </w:p>
        </w:tc>
        <w:tc>
          <w:tcPr>
            <w:tcW w:w="2600" w:type="dxa"/>
            <w:vAlign w:val="bottom"/>
            <w:shd w:val="clear" w:color="auto" w:fill="CCEEFF"/>
          </w:tcPr>
          <w:p>
            <w:pPr>
              <w:spacing w:after="0"/>
              <w:rPr>
                <w:sz w:val="18"/>
                <w:szCs w:val="18"/>
                <w:color w:val="auto"/>
              </w:rPr>
            </w:pP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u w:val="single" w:color="auto"/>
                <w:color w:val="auto"/>
                <w:w w:val="86"/>
              </w:rPr>
              <w:t>A</w:t>
            </w:r>
            <w:r>
              <w:rPr>
                <w:rFonts w:ascii="Arial" w:cs="Arial" w:eastAsia="Arial" w:hAnsi="Arial"/>
                <w:sz w:val="18"/>
                <w:szCs w:val="18"/>
                <w:b w:val="1"/>
                <w:bCs w:val="1"/>
                <w:color w:val="auto"/>
                <w:w w:val="86"/>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4,017,455</w:t>
            </w:r>
          </w:p>
        </w:tc>
        <w:tc>
          <w:tcPr>
            <w:tcW w:w="60" w:type="dxa"/>
            <w:vAlign w:val="bottom"/>
            <w:shd w:val="clear" w:color="auto" w:fill="CCEEFF"/>
          </w:tcPr>
          <w:p>
            <w:pPr>
              <w:spacing w:after="0"/>
              <w:rPr>
                <w:sz w:val="18"/>
                <w:szCs w:val="18"/>
                <w:color w:val="auto"/>
              </w:rPr>
            </w:pPr>
          </w:p>
        </w:tc>
        <w:tc>
          <w:tcPr>
            <w:tcW w:w="840" w:type="dxa"/>
            <w:vAlign w:val="bottom"/>
            <w:gridSpan w:val="2"/>
            <w:shd w:val="clear" w:color="auto" w:fill="CCEEFF"/>
          </w:tcPr>
          <w:p>
            <w:pPr>
              <w:ind w:left="620"/>
              <w:spacing w:after="0"/>
              <w:rPr>
                <w:sz w:val="20"/>
                <w:szCs w:val="20"/>
                <w:color w:val="auto"/>
              </w:rPr>
            </w:pPr>
            <w:r>
              <w:rPr>
                <w:rFonts w:ascii="Arial" w:cs="Arial" w:eastAsia="Arial" w:hAnsi="Arial"/>
                <w:sz w:val="18"/>
                <w:szCs w:val="18"/>
                <w:b w:val="1"/>
                <w:bCs w:val="1"/>
                <w:u w:val="single" w:color="auto"/>
                <w:color w:val="auto"/>
                <w:w w:val="86"/>
              </w:rPr>
              <w:t>A</w:t>
            </w:r>
            <w:r>
              <w:rPr>
                <w:rFonts w:ascii="Arial" w:cs="Arial" w:eastAsia="Arial" w:hAnsi="Arial"/>
                <w:sz w:val="18"/>
                <w:szCs w:val="18"/>
                <w:b w:val="1"/>
                <w:bCs w:val="1"/>
                <w:color w:val="auto"/>
                <w:w w:val="86"/>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2,546,089</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5220" w:type="dxa"/>
            <w:vAlign w:val="bottom"/>
            <w:gridSpan w:val="2"/>
          </w:tcPr>
          <w:p>
            <w:pPr>
              <w:spacing w:after="0"/>
              <w:rPr>
                <w:sz w:val="20"/>
                <w:szCs w:val="20"/>
                <w:color w:val="auto"/>
              </w:rPr>
            </w:pPr>
            <w:r>
              <w:rPr>
                <w:rFonts w:ascii="Arial" w:cs="Arial" w:eastAsia="Arial" w:hAnsi="Arial"/>
                <w:sz w:val="18"/>
                <w:szCs w:val="18"/>
                <w:b w:val="1"/>
                <w:bCs w:val="1"/>
                <w:color w:val="auto"/>
              </w:rPr>
              <w:t>NET ASSETS</w:t>
            </w:r>
          </w:p>
        </w:tc>
        <w:tc>
          <w:tcPr>
            <w:tcW w:w="26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u w:val="single" w:color="auto"/>
                <w:color w:val="auto"/>
                <w:w w:val="78"/>
              </w:rPr>
              <w:t>A</w:t>
            </w:r>
            <w:r>
              <w:rPr>
                <w:rFonts w:ascii="Arial" w:cs="Arial" w:eastAsia="Arial" w:hAnsi="Arial"/>
                <w:sz w:val="18"/>
                <w:szCs w:val="18"/>
                <w:b w:val="1"/>
                <w:bCs w:val="1"/>
                <w:color w:val="auto"/>
                <w:w w:val="78"/>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18,999,559</w:t>
            </w:r>
          </w:p>
        </w:tc>
        <w:tc>
          <w:tcPr>
            <w:tcW w:w="6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2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b w:val="1"/>
                <w:bCs w:val="1"/>
                <w:u w:val="single" w:color="auto"/>
                <w:color w:val="auto"/>
                <w:w w:val="86"/>
              </w:rPr>
              <w:t>A</w:t>
            </w:r>
            <w:r>
              <w:rPr>
                <w:rFonts w:ascii="Arial" w:cs="Arial" w:eastAsia="Arial" w:hAnsi="Arial"/>
                <w:sz w:val="18"/>
                <w:szCs w:val="18"/>
                <w:b w:val="1"/>
                <w:bCs w:val="1"/>
                <w:color w:val="auto"/>
                <w:w w:val="86"/>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5,121,832</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200" w:type="dxa"/>
            <w:vAlign w:val="bottom"/>
          </w:tcPr>
          <w:p>
            <w:pPr>
              <w:spacing w:after="0" w:line="20" w:lineRule="exact"/>
              <w:rPr>
                <w:sz w:val="1"/>
                <w:szCs w:val="1"/>
                <w:color w:val="auto"/>
              </w:rPr>
            </w:pPr>
          </w:p>
        </w:tc>
        <w:tc>
          <w:tcPr>
            <w:tcW w:w="26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52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EQUITY</w:t>
            </w:r>
          </w:p>
        </w:tc>
        <w:tc>
          <w:tcPr>
            <w:tcW w:w="26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00" w:type="dxa"/>
            <w:vAlign w:val="bottom"/>
          </w:tcPr>
          <w:p>
            <w:pPr>
              <w:spacing w:after="0"/>
              <w:rPr>
                <w:sz w:val="20"/>
                <w:szCs w:val="20"/>
                <w:color w:val="auto"/>
              </w:rPr>
            </w:pPr>
            <w:r>
              <w:rPr>
                <w:rFonts w:ascii="Arial" w:cs="Arial" w:eastAsia="Arial" w:hAnsi="Arial"/>
                <w:sz w:val="18"/>
                <w:szCs w:val="18"/>
                <w:color w:val="auto"/>
              </w:rPr>
              <w:t>Equity attributable to equity holders of the parent:</w:t>
            </w:r>
          </w:p>
        </w:tc>
        <w:tc>
          <w:tcPr>
            <w:tcW w:w="26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00" w:type="dxa"/>
            <w:vAlign w:val="bottom"/>
            <w:shd w:val="clear" w:color="auto" w:fill="CCEEFF"/>
          </w:tcPr>
          <w:p>
            <w:pPr>
              <w:spacing w:after="0"/>
              <w:rPr>
                <w:sz w:val="20"/>
                <w:szCs w:val="20"/>
                <w:color w:val="auto"/>
              </w:rPr>
            </w:pPr>
            <w:r>
              <w:rPr>
                <w:rFonts w:ascii="Arial" w:cs="Arial" w:eastAsia="Arial" w:hAnsi="Arial"/>
                <w:sz w:val="18"/>
                <w:szCs w:val="18"/>
                <w:color w:val="auto"/>
              </w:rPr>
              <w:t>Contributed equity</w:t>
            </w:r>
          </w:p>
        </w:tc>
        <w:tc>
          <w:tcPr>
            <w:tcW w:w="2600" w:type="dxa"/>
            <w:vAlign w:val="bottom"/>
            <w:shd w:val="clear" w:color="auto" w:fill="CCEEFF"/>
          </w:tcPr>
          <w:p>
            <w:pPr>
              <w:jc w:val="center"/>
              <w:ind w:left="972"/>
              <w:spacing w:after="0"/>
              <w:rPr>
                <w:sz w:val="20"/>
                <w:szCs w:val="20"/>
                <w:color w:val="auto"/>
              </w:rPr>
            </w:pPr>
            <w:r>
              <w:rPr>
                <w:rFonts w:ascii="Arial" w:cs="Arial" w:eastAsia="Arial" w:hAnsi="Arial"/>
                <w:sz w:val="18"/>
                <w:szCs w:val="18"/>
                <w:color w:val="auto"/>
                <w:w w:val="89"/>
              </w:rPr>
              <w:t>13</w:t>
            </w: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162,801,028</w:t>
            </w:r>
          </w:p>
        </w:tc>
        <w:tc>
          <w:tcPr>
            <w:tcW w:w="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134,806,022</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00" w:type="dxa"/>
            <w:vAlign w:val="bottom"/>
          </w:tcPr>
          <w:p>
            <w:pPr>
              <w:spacing w:after="0"/>
              <w:rPr>
                <w:sz w:val="20"/>
                <w:szCs w:val="20"/>
                <w:color w:val="auto"/>
              </w:rPr>
            </w:pPr>
            <w:r>
              <w:rPr>
                <w:rFonts w:ascii="Arial" w:cs="Arial" w:eastAsia="Arial" w:hAnsi="Arial"/>
                <w:sz w:val="18"/>
                <w:szCs w:val="18"/>
                <w:color w:val="auto"/>
              </w:rPr>
              <w:t>Accumulated losses</w:t>
            </w:r>
          </w:p>
        </w:tc>
        <w:tc>
          <w:tcPr>
            <w:tcW w:w="2600" w:type="dxa"/>
            <w:vAlign w:val="bottom"/>
          </w:tcPr>
          <w:p>
            <w:pPr>
              <w:jc w:val="center"/>
              <w:ind w:left="972"/>
              <w:spacing w:after="0"/>
              <w:rPr>
                <w:sz w:val="20"/>
                <w:szCs w:val="20"/>
                <w:color w:val="auto"/>
              </w:rPr>
            </w:pPr>
            <w:r>
              <w:rPr>
                <w:rFonts w:ascii="Arial" w:cs="Arial" w:eastAsia="Arial" w:hAnsi="Arial"/>
                <w:sz w:val="18"/>
                <w:szCs w:val="18"/>
                <w:color w:val="auto"/>
                <w:w w:val="89"/>
              </w:rPr>
              <w:t>14</w:t>
            </w: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40" w:type="dxa"/>
            <w:vAlign w:val="bottom"/>
            <w:gridSpan w:val="2"/>
          </w:tcPr>
          <w:p>
            <w:pPr>
              <w:jc w:val="right"/>
              <w:ind w:right="20"/>
              <w:spacing w:after="0"/>
              <w:rPr>
                <w:sz w:val="20"/>
                <w:szCs w:val="20"/>
                <w:color w:val="auto"/>
              </w:rPr>
            </w:pPr>
            <w:r>
              <w:rPr>
                <w:rFonts w:ascii="Arial" w:cs="Arial" w:eastAsia="Arial" w:hAnsi="Arial"/>
                <w:sz w:val="18"/>
                <w:szCs w:val="18"/>
                <w:color w:val="auto"/>
                <w:w w:val="89"/>
              </w:rPr>
              <w:t>(148,592,879)</w:t>
            </w:r>
          </w:p>
        </w:tc>
        <w:tc>
          <w:tcPr>
            <w:tcW w:w="6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gridSpan w:val="2"/>
          </w:tcPr>
          <w:p>
            <w:pPr>
              <w:jc w:val="right"/>
              <w:ind w:right="60"/>
              <w:spacing w:after="0"/>
              <w:rPr>
                <w:sz w:val="20"/>
                <w:szCs w:val="20"/>
                <w:color w:val="auto"/>
              </w:rPr>
            </w:pPr>
            <w:r>
              <w:rPr>
                <w:rFonts w:ascii="Arial" w:cs="Arial" w:eastAsia="Arial" w:hAnsi="Arial"/>
                <w:sz w:val="18"/>
                <w:szCs w:val="18"/>
                <w:color w:val="auto"/>
                <w:w w:val="90"/>
              </w:rPr>
              <w:t>(132,218,352)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00" w:type="dxa"/>
            <w:vAlign w:val="bottom"/>
            <w:shd w:val="clear" w:color="auto" w:fill="CCEEFF"/>
          </w:tcPr>
          <w:p>
            <w:pPr>
              <w:spacing w:after="0"/>
              <w:rPr>
                <w:sz w:val="20"/>
                <w:szCs w:val="20"/>
                <w:color w:val="auto"/>
              </w:rPr>
            </w:pPr>
            <w:r>
              <w:rPr>
                <w:rFonts w:ascii="Arial" w:cs="Arial" w:eastAsia="Arial" w:hAnsi="Arial"/>
                <w:sz w:val="18"/>
                <w:szCs w:val="18"/>
                <w:color w:val="auto"/>
              </w:rPr>
              <w:t>Reserves</w:t>
            </w:r>
          </w:p>
        </w:tc>
        <w:tc>
          <w:tcPr>
            <w:tcW w:w="26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4,791,410</w:t>
            </w:r>
          </w:p>
        </w:tc>
        <w:tc>
          <w:tcPr>
            <w:tcW w:w="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2,534,162</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5220" w:type="dxa"/>
            <w:vAlign w:val="bottom"/>
            <w:gridSpan w:val="2"/>
          </w:tcPr>
          <w:p>
            <w:pPr>
              <w:spacing w:after="0"/>
              <w:rPr>
                <w:sz w:val="20"/>
                <w:szCs w:val="20"/>
                <w:color w:val="auto"/>
              </w:rPr>
            </w:pPr>
            <w:r>
              <w:rPr>
                <w:rFonts w:ascii="Arial" w:cs="Arial" w:eastAsia="Arial" w:hAnsi="Arial"/>
                <w:sz w:val="18"/>
                <w:szCs w:val="18"/>
                <w:b w:val="1"/>
                <w:bCs w:val="1"/>
                <w:color w:val="auto"/>
              </w:rPr>
              <w:t>TOTAL EQUITY</w:t>
            </w:r>
          </w:p>
        </w:tc>
        <w:tc>
          <w:tcPr>
            <w:tcW w:w="260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u w:val="single" w:color="auto"/>
                <w:color w:val="auto"/>
                <w:w w:val="78"/>
              </w:rPr>
              <w:t>A</w:t>
            </w:r>
            <w:r>
              <w:rPr>
                <w:rFonts w:ascii="Arial" w:cs="Arial" w:eastAsia="Arial" w:hAnsi="Arial"/>
                <w:sz w:val="18"/>
                <w:szCs w:val="18"/>
                <w:b w:val="1"/>
                <w:bCs w:val="1"/>
                <w:color w:val="auto"/>
                <w:w w:val="78"/>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18,999,559</w:t>
            </w:r>
          </w:p>
        </w:tc>
        <w:tc>
          <w:tcPr>
            <w:tcW w:w="6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2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u w:val="single" w:color="auto"/>
                <w:color w:val="auto"/>
                <w:w w:val="86"/>
              </w:rPr>
              <w:t>A</w:t>
            </w:r>
            <w:r>
              <w:rPr>
                <w:rFonts w:ascii="Arial" w:cs="Arial" w:eastAsia="Arial" w:hAnsi="Arial"/>
                <w:sz w:val="18"/>
                <w:szCs w:val="18"/>
                <w:b w:val="1"/>
                <w:bCs w:val="1"/>
                <w:color w:val="auto"/>
                <w:w w:val="86"/>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5,121,832</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200" w:type="dxa"/>
            <w:vAlign w:val="bottom"/>
          </w:tcPr>
          <w:p>
            <w:pPr>
              <w:spacing w:after="0" w:line="20" w:lineRule="exact"/>
              <w:rPr>
                <w:sz w:val="1"/>
                <w:szCs w:val="1"/>
                <w:color w:val="auto"/>
              </w:rPr>
            </w:pPr>
          </w:p>
        </w:tc>
        <w:tc>
          <w:tcPr>
            <w:tcW w:w="26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ind w:left="200"/>
        <w:spacing w:after="0"/>
        <w:rPr>
          <w:sz w:val="20"/>
          <w:szCs w:val="20"/>
          <w:color w:val="auto"/>
        </w:rPr>
      </w:pPr>
      <w:r>
        <w:rPr>
          <w:rFonts w:ascii="Arial" w:cs="Arial" w:eastAsia="Arial" w:hAnsi="Arial"/>
          <w:sz w:val="18"/>
          <w:szCs w:val="18"/>
          <w:color w:val="auto"/>
        </w:rPr>
        <w:t>The accompanying notes form part of the consolidated financial statements.</w:t>
      </w:r>
    </w:p>
    <w:p>
      <w:pPr>
        <w:spacing w:after="0" w:line="158" w:lineRule="exact"/>
        <w:rPr>
          <w:sz w:val="20"/>
          <w:szCs w:val="20"/>
          <w:color w:val="auto"/>
        </w:rPr>
      </w:pPr>
    </w:p>
    <w:p>
      <w:pPr>
        <w:ind w:left="5580"/>
        <w:spacing w:after="0"/>
        <w:rPr>
          <w:sz w:val="20"/>
          <w:szCs w:val="20"/>
          <w:color w:val="auto"/>
        </w:rPr>
      </w:pPr>
      <w:r>
        <w:rPr>
          <w:rFonts w:ascii="Arial" w:cs="Arial" w:eastAsia="Arial" w:hAnsi="Arial"/>
          <w:sz w:val="18"/>
          <w:szCs w:val="18"/>
          <w:color w:val="auto"/>
        </w:rPr>
        <w:t>F-5</w:t>
      </w:r>
    </w:p>
    <w:p>
      <w:pPr>
        <w:sectPr>
          <w:pgSz w:w="11900" w:h="16838" w:orient="portrait"/>
          <w:cols w:equalWidth="0" w:num="1">
            <w:col w:w="11240"/>
          </w:cols>
          <w:pgMar w:left="240" w:top="459" w:right="419" w:bottom="1440" w:gutter="0" w:footer="0" w:header="0"/>
        </w:sectPr>
      </w:pPr>
    </w:p>
    <w:bookmarkStart w:id="104" w:name="page105"/>
    <w:bookmarkEnd w:id="10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5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AVITA MEDICAL LIMITED</w:t>
      </w:r>
    </w:p>
    <w:p>
      <w:pPr>
        <w:spacing w:after="0" w:line="27"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CONSOLIDATED STATEMENT OF CASH FLOWS</w:t>
      </w:r>
    </w:p>
    <w:p>
      <w:pPr>
        <w:spacing w:after="0" w:line="9"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(IN AUSTRALIAN DOLLARS)</w:t>
      </w:r>
    </w:p>
    <w:p>
      <w:pPr>
        <w:spacing w:after="0" w:line="217" w:lineRule="exact"/>
        <w:rPr>
          <w:sz w:val="20"/>
          <w:szCs w:val="20"/>
          <w:color w:val="auto"/>
        </w:rPr>
      </w:pPr>
    </w:p>
    <w:tbl>
      <w:tblPr>
        <w:tblLayout w:type="fixed"/>
        <w:tblInd w:w="20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880" w:type="dxa"/>
            <w:vAlign w:val="bottom"/>
          </w:tcPr>
          <w:p>
            <w:pPr>
              <w:spacing w:after="0"/>
              <w:rPr>
                <w:sz w:val="14"/>
                <w:szCs w:val="14"/>
                <w:color w:val="auto"/>
              </w:rPr>
            </w:pPr>
          </w:p>
        </w:tc>
        <w:tc>
          <w:tcPr>
            <w:tcW w:w="1260" w:type="dxa"/>
            <w:vAlign w:val="bottom"/>
            <w:vMerge w:val="restart"/>
          </w:tcPr>
          <w:p>
            <w:pPr>
              <w:ind w:left="680"/>
              <w:spacing w:after="0"/>
              <w:rPr>
                <w:sz w:val="20"/>
                <w:szCs w:val="20"/>
                <w:color w:val="auto"/>
              </w:rPr>
            </w:pPr>
            <w:r>
              <w:rPr>
                <w:rFonts w:ascii="Arial" w:cs="Arial" w:eastAsia="Arial" w:hAnsi="Arial"/>
                <w:sz w:val="14"/>
                <w:szCs w:val="14"/>
                <w:b w:val="1"/>
                <w:bCs w:val="1"/>
                <w:color w:val="auto"/>
              </w:rPr>
              <w:t>Notes</w:t>
            </w:r>
          </w:p>
        </w:tc>
        <w:tc>
          <w:tcPr>
            <w:tcW w:w="1360" w:type="dxa"/>
            <w:vAlign w:val="bottom"/>
            <w:gridSpan w:val="2"/>
            <w:vMerge w:val="restart"/>
          </w:tcPr>
          <w:p>
            <w:pPr>
              <w:jc w:val="right"/>
              <w:ind w:right="330"/>
              <w:spacing w:after="0"/>
              <w:rPr>
                <w:sz w:val="20"/>
                <w:szCs w:val="20"/>
                <w:color w:val="auto"/>
              </w:rPr>
            </w:pPr>
            <w:r>
              <w:rPr>
                <w:rFonts w:ascii="Arial" w:cs="Arial" w:eastAsia="Arial" w:hAnsi="Arial"/>
                <w:sz w:val="14"/>
                <w:szCs w:val="14"/>
                <w:b w:val="1"/>
                <w:bCs w:val="1"/>
                <w:color w:val="auto"/>
              </w:rPr>
              <w:t>2018</w:t>
            </w:r>
          </w:p>
        </w:tc>
        <w:tc>
          <w:tcPr>
            <w:tcW w:w="280" w:type="dxa"/>
            <w:vAlign w:val="bottom"/>
          </w:tcPr>
          <w:p>
            <w:pPr>
              <w:spacing w:after="0"/>
              <w:rPr>
                <w:sz w:val="14"/>
                <w:szCs w:val="14"/>
                <w:color w:val="auto"/>
              </w:rPr>
            </w:pPr>
          </w:p>
        </w:tc>
        <w:tc>
          <w:tcPr>
            <w:tcW w:w="1760" w:type="dxa"/>
            <w:vAlign w:val="bottom"/>
            <w:gridSpan w:val="4"/>
          </w:tcPr>
          <w:p>
            <w:pPr>
              <w:jc w:val="right"/>
              <w:ind w:right="260"/>
              <w:spacing w:after="0"/>
              <w:rPr>
                <w:sz w:val="20"/>
                <w:szCs w:val="20"/>
                <w:color w:val="auto"/>
              </w:rPr>
            </w:pPr>
            <w:r>
              <w:rPr>
                <w:rFonts w:ascii="Arial" w:cs="Arial" w:eastAsia="Arial" w:hAnsi="Arial"/>
                <w:sz w:val="14"/>
                <w:szCs w:val="14"/>
                <w:b w:val="1"/>
                <w:bCs w:val="1"/>
                <w:color w:val="auto"/>
              </w:rPr>
              <w:t>Year Ended June 30,</w:t>
            </w:r>
          </w:p>
        </w:tc>
        <w:tc>
          <w:tcPr>
            <w:tcW w:w="2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80" w:type="dxa"/>
            <w:vAlign w:val="bottom"/>
            <w:vMerge w:val="restart"/>
          </w:tcPr>
          <w:p>
            <w:pPr>
              <w:jc w:val="right"/>
              <w:ind w:right="331"/>
              <w:spacing w:after="0"/>
              <w:rPr>
                <w:sz w:val="20"/>
                <w:szCs w:val="20"/>
                <w:color w:val="auto"/>
              </w:rPr>
            </w:pPr>
            <w:r>
              <w:rPr>
                <w:rFonts w:ascii="Arial" w:cs="Arial" w:eastAsia="Arial" w:hAnsi="Arial"/>
                <w:sz w:val="14"/>
                <w:szCs w:val="14"/>
                <w:b w:val="1"/>
                <w:bCs w:val="1"/>
                <w:color w:val="auto"/>
              </w:rPr>
              <w:t>2016</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4880" w:type="dxa"/>
            <w:vAlign w:val="bottom"/>
          </w:tcPr>
          <w:p>
            <w:pPr>
              <w:spacing w:after="0"/>
              <w:rPr>
                <w:sz w:val="14"/>
                <w:szCs w:val="14"/>
                <w:color w:val="auto"/>
              </w:rPr>
            </w:pPr>
          </w:p>
        </w:tc>
        <w:tc>
          <w:tcPr>
            <w:tcW w:w="1260" w:type="dxa"/>
            <w:vAlign w:val="bottom"/>
            <w:vMerge w:val="continue"/>
          </w:tcPr>
          <w:p>
            <w:pPr>
              <w:spacing w:after="0"/>
              <w:rPr>
                <w:sz w:val="14"/>
                <w:szCs w:val="14"/>
                <w:color w:val="auto"/>
              </w:rPr>
            </w:pPr>
          </w:p>
        </w:tc>
        <w:tc>
          <w:tcPr>
            <w:tcW w:w="1360" w:type="dxa"/>
            <w:vAlign w:val="bottom"/>
            <w:gridSpan w:val="2"/>
            <w:vMerge w:val="continue"/>
          </w:tcPr>
          <w:p>
            <w:pPr>
              <w:spacing w:after="0"/>
              <w:rPr>
                <w:sz w:val="14"/>
                <w:szCs w:val="14"/>
                <w:color w:val="auto"/>
              </w:rPr>
            </w:pPr>
          </w:p>
        </w:tc>
        <w:tc>
          <w:tcPr>
            <w:tcW w:w="2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80" w:type="dxa"/>
            <w:vAlign w:val="bottom"/>
          </w:tcPr>
          <w:p>
            <w:pPr>
              <w:jc w:val="right"/>
              <w:ind w:right="331"/>
              <w:spacing w:after="0"/>
              <w:rPr>
                <w:sz w:val="20"/>
                <w:szCs w:val="20"/>
                <w:color w:val="auto"/>
              </w:rPr>
            </w:pPr>
            <w:r>
              <w:rPr>
                <w:rFonts w:ascii="Arial" w:cs="Arial" w:eastAsia="Arial" w:hAnsi="Arial"/>
                <w:sz w:val="14"/>
                <w:szCs w:val="14"/>
                <w:b w:val="1"/>
                <w:bCs w:val="1"/>
                <w:color w:val="auto"/>
              </w:rPr>
              <w:t>2017</w:t>
            </w:r>
          </w:p>
        </w:tc>
        <w:tc>
          <w:tcPr>
            <w:tcW w:w="3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8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488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Cash flows from operating activities</w:t>
            </w:r>
          </w:p>
        </w:tc>
        <w:tc>
          <w:tcPr>
            <w:tcW w:w="1260" w:type="dxa"/>
            <w:vAlign w:val="bottom"/>
            <w:tcBorders>
              <w:top w:val="single" w:sz="8" w:color="CCEEFF"/>
            </w:tcBorders>
            <w:shd w:val="clear" w:color="auto" w:fill="CCEEFF"/>
          </w:tcPr>
          <w:p>
            <w:pPr>
              <w:spacing w:after="0"/>
              <w:rPr>
                <w:sz w:val="17"/>
                <w:szCs w:val="17"/>
                <w:color w:val="auto"/>
              </w:rPr>
            </w:pPr>
          </w:p>
        </w:tc>
        <w:tc>
          <w:tcPr>
            <w:tcW w:w="260" w:type="dxa"/>
            <w:vAlign w:val="bottom"/>
            <w:tcBorders>
              <w:top w:val="single" w:sz="8" w:color="CCEEFF"/>
            </w:tcBorders>
            <w:shd w:val="clear" w:color="auto" w:fill="CCEEFF"/>
          </w:tcPr>
          <w:p>
            <w:pPr>
              <w:spacing w:after="0"/>
              <w:rPr>
                <w:sz w:val="17"/>
                <w:szCs w:val="17"/>
                <w:color w:val="auto"/>
              </w:rPr>
            </w:pPr>
          </w:p>
        </w:tc>
        <w:tc>
          <w:tcPr>
            <w:tcW w:w="1100" w:type="dxa"/>
            <w:vAlign w:val="bottom"/>
            <w:tcBorders>
              <w:top w:val="single" w:sz="8" w:color="auto"/>
            </w:tcBorders>
            <w:shd w:val="clear" w:color="auto" w:fill="CCEEFF"/>
          </w:tcPr>
          <w:p>
            <w:pPr>
              <w:spacing w:after="0"/>
              <w:rPr>
                <w:sz w:val="17"/>
                <w:szCs w:val="17"/>
                <w:color w:val="auto"/>
              </w:rPr>
            </w:pPr>
          </w:p>
        </w:tc>
        <w:tc>
          <w:tcPr>
            <w:tcW w:w="280" w:type="dxa"/>
            <w:vAlign w:val="bottom"/>
            <w:tcBorders>
              <w:top w:val="single" w:sz="8" w:color="CCEEFF"/>
            </w:tcBorders>
            <w:shd w:val="clear" w:color="auto" w:fill="CCEEFF"/>
          </w:tcPr>
          <w:p>
            <w:pPr>
              <w:spacing w:after="0"/>
              <w:rPr>
                <w:sz w:val="17"/>
                <w:szCs w:val="17"/>
                <w:color w:val="auto"/>
              </w:rPr>
            </w:pPr>
          </w:p>
        </w:tc>
        <w:tc>
          <w:tcPr>
            <w:tcW w:w="32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spacing w:after="0"/>
              <w:rPr>
                <w:sz w:val="17"/>
                <w:szCs w:val="17"/>
                <w:color w:val="auto"/>
              </w:rPr>
            </w:pPr>
          </w:p>
        </w:tc>
        <w:tc>
          <w:tcPr>
            <w:tcW w:w="880" w:type="dxa"/>
            <w:vAlign w:val="bottom"/>
            <w:tcBorders>
              <w:top w:val="single" w:sz="8" w:color="auto"/>
            </w:tcBorders>
            <w:shd w:val="clear" w:color="auto" w:fill="CCEEFF"/>
          </w:tcPr>
          <w:p>
            <w:pPr>
              <w:spacing w:after="0"/>
              <w:rPr>
                <w:sz w:val="17"/>
                <w:szCs w:val="17"/>
                <w:color w:val="auto"/>
              </w:rPr>
            </w:pPr>
          </w:p>
        </w:tc>
        <w:tc>
          <w:tcPr>
            <w:tcW w:w="340" w:type="dxa"/>
            <w:vAlign w:val="bottom"/>
            <w:tcBorders>
              <w:top w:val="single" w:sz="8" w:color="CCEEFF"/>
            </w:tcBorders>
            <w:shd w:val="clear" w:color="auto" w:fill="CCEEFF"/>
          </w:tcPr>
          <w:p>
            <w:pPr>
              <w:spacing w:after="0"/>
              <w:rPr>
                <w:sz w:val="17"/>
                <w:szCs w:val="17"/>
                <w:color w:val="auto"/>
              </w:rPr>
            </w:pPr>
          </w:p>
        </w:tc>
        <w:tc>
          <w:tcPr>
            <w:tcW w:w="26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spacing w:after="0"/>
              <w:rPr>
                <w:sz w:val="17"/>
                <w:szCs w:val="17"/>
                <w:color w:val="auto"/>
              </w:rPr>
            </w:pPr>
          </w:p>
        </w:tc>
        <w:tc>
          <w:tcPr>
            <w:tcW w:w="88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80" w:type="dxa"/>
            <w:vAlign w:val="bottom"/>
          </w:tcPr>
          <w:p>
            <w:pPr>
              <w:spacing w:after="0"/>
              <w:rPr>
                <w:sz w:val="20"/>
                <w:szCs w:val="20"/>
                <w:color w:val="auto"/>
              </w:rPr>
            </w:pPr>
            <w:r>
              <w:rPr>
                <w:rFonts w:ascii="Arial" w:cs="Arial" w:eastAsia="Arial" w:hAnsi="Arial"/>
                <w:sz w:val="18"/>
                <w:szCs w:val="18"/>
                <w:color w:val="auto"/>
              </w:rPr>
              <w:t>Payments to suppliers and employees</w:t>
            </w:r>
          </w:p>
        </w:tc>
        <w:tc>
          <w:tcPr>
            <w:tcW w:w="1260" w:type="dxa"/>
            <w:vAlign w:val="bottom"/>
          </w:tcPr>
          <w:p>
            <w:pPr>
              <w:spacing w:after="0"/>
              <w:rPr>
                <w:sz w:val="18"/>
                <w:szCs w:val="18"/>
                <w:color w:val="auto"/>
              </w:rPr>
            </w:pPr>
          </w:p>
        </w:tc>
        <w:tc>
          <w:tcPr>
            <w:tcW w:w="1640" w:type="dxa"/>
            <w:vAlign w:val="bottom"/>
            <w:gridSpan w:val="3"/>
          </w:tcPr>
          <w:p>
            <w:pPr>
              <w:ind w:left="240"/>
              <w:spacing w:after="0"/>
              <w:rPr>
                <w:sz w:val="20"/>
                <w:szCs w:val="20"/>
                <w:color w:val="auto"/>
              </w:rPr>
            </w:pPr>
            <w:r>
              <w:rPr>
                <w:rFonts w:ascii="Arial" w:cs="Arial" w:eastAsia="Arial" w:hAnsi="Arial"/>
                <w:sz w:val="18"/>
                <w:szCs w:val="18"/>
                <w:color w:val="auto"/>
              </w:rPr>
              <w:t>A$(25,681,347)</w:t>
            </w:r>
          </w:p>
        </w:tc>
        <w:tc>
          <w:tcPr>
            <w:tcW w:w="540" w:type="dxa"/>
            <w:vAlign w:val="bottom"/>
            <w:gridSpan w:val="2"/>
          </w:tcPr>
          <w:p>
            <w:pPr>
              <w:ind w:left="300"/>
              <w:spacing w:after="0"/>
              <w:rPr>
                <w:sz w:val="20"/>
                <w:szCs w:val="20"/>
                <w:color w:val="auto"/>
              </w:rPr>
            </w:pPr>
            <w:r>
              <w:rPr>
                <w:rFonts w:ascii="Arial" w:cs="Arial" w:eastAsia="Arial" w:hAnsi="Arial"/>
                <w:sz w:val="18"/>
                <w:szCs w:val="18"/>
                <w:color w:val="auto"/>
                <w:w w:val="99"/>
              </w:rPr>
              <w:t>A$</w:t>
            </w:r>
          </w:p>
        </w:tc>
        <w:tc>
          <w:tcPr>
            <w:tcW w:w="1220" w:type="dxa"/>
            <w:vAlign w:val="bottom"/>
            <w:gridSpan w:val="2"/>
          </w:tcPr>
          <w:p>
            <w:pPr>
              <w:jc w:val="right"/>
              <w:ind w:right="280"/>
              <w:spacing w:after="0"/>
              <w:rPr>
                <w:sz w:val="20"/>
                <w:szCs w:val="20"/>
                <w:color w:val="auto"/>
              </w:rPr>
            </w:pPr>
            <w:r>
              <w:rPr>
                <w:rFonts w:ascii="Arial" w:cs="Arial" w:eastAsia="Arial" w:hAnsi="Arial"/>
                <w:sz w:val="18"/>
                <w:szCs w:val="18"/>
                <w:color w:val="auto"/>
                <w:w w:val="90"/>
              </w:rPr>
              <w:t>(17,676,710)</w:t>
            </w:r>
          </w:p>
        </w:tc>
        <w:tc>
          <w:tcPr>
            <w:tcW w:w="480" w:type="dxa"/>
            <w:vAlign w:val="bottom"/>
            <w:gridSpan w:val="2"/>
          </w:tcPr>
          <w:p>
            <w:pPr>
              <w:ind w:left="240"/>
              <w:spacing w:after="0"/>
              <w:rPr>
                <w:sz w:val="20"/>
                <w:szCs w:val="20"/>
                <w:color w:val="auto"/>
              </w:rPr>
            </w:pPr>
            <w:r>
              <w:rPr>
                <w:rFonts w:ascii="Arial" w:cs="Arial" w:eastAsia="Arial" w:hAnsi="Arial"/>
                <w:sz w:val="18"/>
                <w:szCs w:val="18"/>
                <w:color w:val="auto"/>
                <w:w w:val="99"/>
              </w:rPr>
              <w:t>A$</w:t>
            </w:r>
          </w:p>
        </w:tc>
        <w:tc>
          <w:tcPr>
            <w:tcW w:w="1000" w:type="dxa"/>
            <w:vAlign w:val="bottom"/>
            <w:gridSpan w:val="2"/>
          </w:tcPr>
          <w:p>
            <w:pPr>
              <w:jc w:val="right"/>
              <w:ind w:right="60"/>
              <w:spacing w:after="0"/>
              <w:rPr>
                <w:sz w:val="20"/>
                <w:szCs w:val="20"/>
                <w:color w:val="auto"/>
              </w:rPr>
            </w:pPr>
            <w:r>
              <w:rPr>
                <w:rFonts w:ascii="Arial" w:cs="Arial" w:eastAsia="Arial" w:hAnsi="Arial"/>
                <w:sz w:val="18"/>
                <w:szCs w:val="18"/>
                <w:color w:val="auto"/>
                <w:w w:val="90"/>
              </w:rPr>
              <w:t>(14,894,221)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80" w:type="dxa"/>
            <w:vAlign w:val="bottom"/>
            <w:shd w:val="clear" w:color="auto" w:fill="CCEEFF"/>
          </w:tcPr>
          <w:p>
            <w:pPr>
              <w:spacing w:after="0"/>
              <w:rPr>
                <w:sz w:val="20"/>
                <w:szCs w:val="20"/>
                <w:color w:val="auto"/>
              </w:rPr>
            </w:pPr>
            <w:r>
              <w:rPr>
                <w:rFonts w:ascii="Arial" w:cs="Arial" w:eastAsia="Arial" w:hAnsi="Arial"/>
                <w:sz w:val="18"/>
                <w:szCs w:val="18"/>
                <w:color w:val="auto"/>
              </w:rPr>
              <w:t>Interest paid</w:t>
            </w:r>
          </w:p>
        </w:tc>
        <w:tc>
          <w:tcPr>
            <w:tcW w:w="1260" w:type="dxa"/>
            <w:vAlign w:val="bottom"/>
            <w:shd w:val="clear" w:color="auto" w:fill="CCEEFF"/>
          </w:tcPr>
          <w:p>
            <w:pPr>
              <w:spacing w:after="0"/>
              <w:rPr>
                <w:sz w:val="18"/>
                <w:szCs w:val="18"/>
                <w:color w:val="auto"/>
              </w:rPr>
            </w:pPr>
          </w:p>
        </w:tc>
        <w:tc>
          <w:tcPr>
            <w:tcW w:w="164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(26,586)</w:t>
            </w:r>
          </w:p>
        </w:tc>
        <w:tc>
          <w:tcPr>
            <w:tcW w:w="3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(12,754)</w:t>
            </w:r>
          </w:p>
        </w:tc>
        <w:tc>
          <w:tcPr>
            <w:tcW w:w="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80" w:type="dxa"/>
            <w:vAlign w:val="bottom"/>
          </w:tcPr>
          <w:p>
            <w:pPr>
              <w:spacing w:after="0"/>
              <w:rPr>
                <w:sz w:val="20"/>
                <w:szCs w:val="20"/>
                <w:color w:val="auto"/>
              </w:rPr>
            </w:pPr>
            <w:r>
              <w:rPr>
                <w:rFonts w:ascii="Arial" w:cs="Arial" w:eastAsia="Arial" w:hAnsi="Arial"/>
                <w:sz w:val="18"/>
                <w:szCs w:val="18"/>
                <w:color w:val="auto"/>
              </w:rPr>
              <w:t>BARDA receipts and other income received</w:t>
            </w:r>
          </w:p>
        </w:tc>
        <w:tc>
          <w:tcPr>
            <w:tcW w:w="1260" w:type="dxa"/>
            <w:vAlign w:val="bottom"/>
          </w:tcPr>
          <w:p>
            <w:pPr>
              <w:spacing w:after="0"/>
              <w:rPr>
                <w:sz w:val="18"/>
                <w:szCs w:val="18"/>
                <w:color w:val="auto"/>
              </w:rPr>
            </w:pPr>
          </w:p>
        </w:tc>
        <w:tc>
          <w:tcPr>
            <w:tcW w:w="1360" w:type="dxa"/>
            <w:vAlign w:val="bottom"/>
            <w:gridSpan w:val="2"/>
          </w:tcPr>
          <w:p>
            <w:pPr>
              <w:jc w:val="right"/>
              <w:spacing w:after="0"/>
              <w:rPr>
                <w:sz w:val="20"/>
                <w:szCs w:val="20"/>
                <w:color w:val="auto"/>
              </w:rPr>
            </w:pPr>
            <w:r>
              <w:rPr>
                <w:rFonts w:ascii="Arial" w:cs="Arial" w:eastAsia="Arial" w:hAnsi="Arial"/>
                <w:sz w:val="18"/>
                <w:szCs w:val="18"/>
                <w:color w:val="auto"/>
              </w:rPr>
              <w:t>8,141,207</w:t>
            </w:r>
          </w:p>
        </w:tc>
        <w:tc>
          <w:tcPr>
            <w:tcW w:w="2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7,094,061</w:t>
            </w:r>
          </w:p>
        </w:tc>
        <w:tc>
          <w:tcPr>
            <w:tcW w:w="3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2,427,188</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80" w:type="dxa"/>
            <w:vAlign w:val="bottom"/>
            <w:shd w:val="clear" w:color="auto" w:fill="CCEEFF"/>
          </w:tcPr>
          <w:p>
            <w:pPr>
              <w:spacing w:after="0"/>
              <w:rPr>
                <w:sz w:val="20"/>
                <w:szCs w:val="20"/>
                <w:color w:val="auto"/>
              </w:rPr>
            </w:pPr>
            <w:r>
              <w:rPr>
                <w:rFonts w:ascii="Arial" w:cs="Arial" w:eastAsia="Arial" w:hAnsi="Arial"/>
                <w:sz w:val="18"/>
                <w:szCs w:val="18"/>
                <w:color w:val="auto"/>
              </w:rPr>
              <w:t>Receipts from customers</w:t>
            </w:r>
          </w:p>
        </w:tc>
        <w:tc>
          <w:tcPr>
            <w:tcW w:w="126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1,129,046</w:t>
            </w:r>
          </w:p>
        </w:tc>
        <w:tc>
          <w:tcPr>
            <w:tcW w:w="2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928,687</w:t>
            </w:r>
          </w:p>
        </w:tc>
        <w:tc>
          <w:tcPr>
            <w:tcW w:w="3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1,079,549</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80" w:type="dxa"/>
            <w:vAlign w:val="bottom"/>
          </w:tcPr>
          <w:p>
            <w:pPr>
              <w:spacing w:after="0"/>
              <w:rPr>
                <w:sz w:val="20"/>
                <w:szCs w:val="20"/>
                <w:color w:val="auto"/>
              </w:rPr>
            </w:pPr>
            <w:r>
              <w:rPr>
                <w:rFonts w:ascii="Arial" w:cs="Arial" w:eastAsia="Arial" w:hAnsi="Arial"/>
                <w:sz w:val="18"/>
                <w:szCs w:val="18"/>
                <w:color w:val="auto"/>
              </w:rPr>
              <w:t>R&amp;D tax refund received</w:t>
            </w:r>
          </w:p>
        </w:tc>
        <w:tc>
          <w:tcPr>
            <w:tcW w:w="12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8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972,283</w:t>
            </w:r>
          </w:p>
        </w:tc>
        <w:tc>
          <w:tcPr>
            <w:tcW w:w="3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654,060</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80" w:type="dxa"/>
            <w:vAlign w:val="bottom"/>
            <w:shd w:val="clear" w:color="auto" w:fill="CCEEFF"/>
          </w:tcPr>
          <w:p>
            <w:pPr>
              <w:spacing w:after="0"/>
              <w:rPr>
                <w:sz w:val="20"/>
                <w:szCs w:val="20"/>
                <w:color w:val="auto"/>
              </w:rPr>
            </w:pPr>
            <w:r>
              <w:rPr>
                <w:rFonts w:ascii="Arial" w:cs="Arial" w:eastAsia="Arial" w:hAnsi="Arial"/>
                <w:sz w:val="18"/>
                <w:szCs w:val="18"/>
                <w:color w:val="auto"/>
              </w:rPr>
              <w:t>Interest received</w:t>
            </w:r>
          </w:p>
        </w:tc>
        <w:tc>
          <w:tcPr>
            <w:tcW w:w="126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65,656</w:t>
            </w:r>
          </w:p>
        </w:tc>
        <w:tc>
          <w:tcPr>
            <w:tcW w:w="2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123,709</w:t>
            </w:r>
          </w:p>
        </w:tc>
        <w:tc>
          <w:tcPr>
            <w:tcW w:w="3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110,364</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80" w:type="dxa"/>
            <w:vAlign w:val="bottom"/>
          </w:tcPr>
          <w:p>
            <w:pPr>
              <w:spacing w:after="0"/>
              <w:rPr>
                <w:sz w:val="20"/>
                <w:szCs w:val="20"/>
                <w:color w:val="auto"/>
              </w:rPr>
            </w:pPr>
            <w:r>
              <w:rPr>
                <w:rFonts w:ascii="Arial" w:cs="Arial" w:eastAsia="Arial" w:hAnsi="Arial"/>
                <w:sz w:val="18"/>
                <w:szCs w:val="18"/>
                <w:color w:val="auto"/>
              </w:rPr>
              <w:t>Government grants received</w:t>
            </w:r>
          </w:p>
        </w:tc>
        <w:tc>
          <w:tcPr>
            <w:tcW w:w="12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8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13,200</w:t>
            </w:r>
          </w:p>
        </w:tc>
        <w:tc>
          <w:tcPr>
            <w:tcW w:w="3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6,965</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80" w:type="dxa"/>
            <w:vAlign w:val="bottom"/>
            <w:shd w:val="clear" w:color="auto" w:fill="CCEEFF"/>
          </w:tcPr>
          <w:p>
            <w:pPr>
              <w:spacing w:after="0"/>
              <w:rPr>
                <w:sz w:val="20"/>
                <w:szCs w:val="20"/>
                <w:color w:val="auto"/>
              </w:rPr>
            </w:pPr>
            <w:r>
              <w:rPr>
                <w:rFonts w:ascii="Arial" w:cs="Arial" w:eastAsia="Arial" w:hAnsi="Arial"/>
                <w:sz w:val="18"/>
                <w:szCs w:val="18"/>
                <w:color w:val="auto"/>
              </w:rPr>
              <w:t>Proceeds from disposal of discontinued operations</w:t>
            </w:r>
          </w:p>
        </w:tc>
        <w:tc>
          <w:tcPr>
            <w:tcW w:w="12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2,029,478</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880" w:type="dxa"/>
            <w:vAlign w:val="bottom"/>
          </w:tcPr>
          <w:p>
            <w:pPr>
              <w:spacing w:after="0"/>
              <w:rPr>
                <w:sz w:val="20"/>
                <w:szCs w:val="20"/>
                <w:color w:val="auto"/>
              </w:rPr>
            </w:pPr>
            <w:r>
              <w:rPr>
                <w:rFonts w:ascii="Arial" w:cs="Arial" w:eastAsia="Arial" w:hAnsi="Arial"/>
                <w:sz w:val="18"/>
                <w:szCs w:val="18"/>
                <w:color w:val="auto"/>
              </w:rPr>
              <w:t>Net cash from discontinued operations</w:t>
            </w:r>
          </w:p>
        </w:tc>
        <w:tc>
          <w:tcPr>
            <w:tcW w:w="12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648,081</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Net cash flows used in operating activities</w:t>
            </w:r>
          </w:p>
        </w:tc>
        <w:tc>
          <w:tcPr>
            <w:tcW w:w="1260" w:type="dxa"/>
            <w:vAlign w:val="bottom"/>
            <w:shd w:val="clear" w:color="auto" w:fill="CCEEFF"/>
          </w:tcPr>
          <w:p>
            <w:pPr>
              <w:jc w:val="right"/>
              <w:ind w:right="236"/>
              <w:spacing w:after="0"/>
              <w:rPr>
                <w:sz w:val="20"/>
                <w:szCs w:val="20"/>
                <w:color w:val="auto"/>
              </w:rPr>
            </w:pPr>
            <w:r>
              <w:rPr>
                <w:rFonts w:ascii="Arial" w:cs="Arial" w:eastAsia="Arial" w:hAnsi="Arial"/>
                <w:sz w:val="18"/>
                <w:szCs w:val="18"/>
                <w:color w:val="auto"/>
              </w:rPr>
              <w:t>15</w:t>
            </w:r>
          </w:p>
        </w:tc>
        <w:tc>
          <w:tcPr>
            <w:tcW w:w="164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(16,372,024)</w:t>
            </w:r>
          </w:p>
        </w:tc>
        <w:tc>
          <w:tcPr>
            <w:tcW w:w="3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b w:val="1"/>
                <w:bCs w:val="1"/>
                <w:color w:val="auto"/>
                <w:w w:val="99"/>
              </w:rPr>
              <w:t>(8,557,524)</w:t>
            </w:r>
          </w:p>
        </w:tc>
        <w:tc>
          <w:tcPr>
            <w:tcW w:w="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b w:val="1"/>
                <w:bCs w:val="1"/>
                <w:color w:val="auto"/>
                <w:w w:val="99"/>
              </w:rPr>
              <w:t>(7,938,557)</w:t>
            </w:r>
          </w:p>
        </w:tc>
        <w:tc>
          <w:tcPr>
            <w:tcW w:w="0" w:type="dxa"/>
            <w:vAlign w:val="bottom"/>
          </w:tcPr>
          <w:p>
            <w:pPr>
              <w:spacing w:after="0"/>
              <w:rPr>
                <w:sz w:val="1"/>
                <w:szCs w:val="1"/>
                <w:color w:val="auto"/>
              </w:rPr>
            </w:pPr>
          </w:p>
        </w:tc>
      </w:tr>
      <w:tr>
        <w:trPr>
          <w:trHeight w:val="223"/>
        </w:trPr>
        <w:tc>
          <w:tcPr>
            <w:tcW w:w="4900" w:type="dxa"/>
            <w:vAlign w:val="bottom"/>
            <w:gridSpan w:val="2"/>
          </w:tcPr>
          <w:p>
            <w:pPr>
              <w:spacing w:after="0"/>
              <w:rPr>
                <w:sz w:val="20"/>
                <w:szCs w:val="20"/>
                <w:color w:val="auto"/>
              </w:rPr>
            </w:pPr>
            <w:r>
              <w:rPr>
                <w:rFonts w:ascii="Arial" w:cs="Arial" w:eastAsia="Arial" w:hAnsi="Arial"/>
                <w:sz w:val="18"/>
                <w:szCs w:val="18"/>
                <w:b w:val="1"/>
                <w:bCs w:val="1"/>
                <w:color w:val="auto"/>
              </w:rPr>
              <w:t>Cash flows from investing activities</w:t>
            </w:r>
          </w:p>
        </w:tc>
        <w:tc>
          <w:tcPr>
            <w:tcW w:w="12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00" w:type="dxa"/>
            <w:vAlign w:val="bottom"/>
            <w:tcBorders>
              <w:top w:val="single" w:sz="8" w:color="auto"/>
            </w:tcBorders>
          </w:tcPr>
          <w:p>
            <w:pPr>
              <w:spacing w:after="0"/>
              <w:rPr>
                <w:sz w:val="19"/>
                <w:szCs w:val="19"/>
                <w:color w:val="auto"/>
              </w:rPr>
            </w:pPr>
          </w:p>
        </w:tc>
        <w:tc>
          <w:tcPr>
            <w:tcW w:w="2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880" w:type="dxa"/>
            <w:vAlign w:val="bottom"/>
            <w:tcBorders>
              <w:top w:val="single" w:sz="8" w:color="auto"/>
            </w:tcBorders>
          </w:tcPr>
          <w:p>
            <w:pPr>
              <w:spacing w:after="0"/>
              <w:rPr>
                <w:sz w:val="19"/>
                <w:szCs w:val="19"/>
                <w:color w:val="auto"/>
              </w:rPr>
            </w:pPr>
          </w:p>
        </w:tc>
        <w:tc>
          <w:tcPr>
            <w:tcW w:w="3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88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80" w:type="dxa"/>
            <w:vAlign w:val="bottom"/>
            <w:shd w:val="clear" w:color="auto" w:fill="CCEEFF"/>
          </w:tcPr>
          <w:p>
            <w:pPr>
              <w:spacing w:after="0"/>
              <w:rPr>
                <w:sz w:val="20"/>
                <w:szCs w:val="20"/>
                <w:color w:val="auto"/>
              </w:rPr>
            </w:pPr>
            <w:r>
              <w:rPr>
                <w:rFonts w:ascii="Arial" w:cs="Arial" w:eastAsia="Arial" w:hAnsi="Arial"/>
                <w:sz w:val="18"/>
                <w:szCs w:val="18"/>
                <w:color w:val="auto"/>
              </w:rPr>
              <w:t>Payments for plant and equipment</w:t>
            </w:r>
          </w:p>
        </w:tc>
        <w:tc>
          <w:tcPr>
            <w:tcW w:w="1260" w:type="dxa"/>
            <w:vAlign w:val="bottom"/>
            <w:shd w:val="clear" w:color="auto" w:fill="CCEEFF"/>
          </w:tcPr>
          <w:p>
            <w:pPr>
              <w:spacing w:after="0"/>
              <w:rPr>
                <w:sz w:val="18"/>
                <w:szCs w:val="18"/>
                <w:color w:val="auto"/>
              </w:rPr>
            </w:pPr>
          </w:p>
        </w:tc>
        <w:tc>
          <w:tcPr>
            <w:tcW w:w="164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(498,749)</w:t>
            </w:r>
          </w:p>
        </w:tc>
        <w:tc>
          <w:tcPr>
            <w:tcW w:w="3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(432,592)</w:t>
            </w:r>
          </w:p>
        </w:tc>
        <w:tc>
          <w:tcPr>
            <w:tcW w:w="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(48,289)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80" w:type="dxa"/>
            <w:vAlign w:val="bottom"/>
          </w:tcPr>
          <w:p>
            <w:pPr>
              <w:spacing w:after="0"/>
              <w:rPr>
                <w:sz w:val="20"/>
                <w:szCs w:val="20"/>
                <w:color w:val="auto"/>
              </w:rPr>
            </w:pPr>
            <w:r>
              <w:rPr>
                <w:rFonts w:ascii="Arial" w:cs="Arial" w:eastAsia="Arial" w:hAnsi="Arial"/>
                <w:sz w:val="18"/>
                <w:szCs w:val="18"/>
                <w:color w:val="auto"/>
              </w:rPr>
              <w:t>Proceeds from the sale of financial assets</w:t>
            </w:r>
          </w:p>
        </w:tc>
        <w:tc>
          <w:tcPr>
            <w:tcW w:w="12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8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627,837</w:t>
            </w:r>
          </w:p>
        </w:tc>
        <w:tc>
          <w:tcPr>
            <w:tcW w:w="3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80" w:type="dxa"/>
            <w:vAlign w:val="bottom"/>
            <w:shd w:val="clear" w:color="auto" w:fill="CCEEFF"/>
          </w:tcPr>
          <w:p>
            <w:pPr>
              <w:spacing w:after="0"/>
              <w:rPr>
                <w:sz w:val="20"/>
                <w:szCs w:val="20"/>
                <w:color w:val="auto"/>
              </w:rPr>
            </w:pPr>
            <w:r>
              <w:rPr>
                <w:rFonts w:ascii="Arial" w:cs="Arial" w:eastAsia="Arial" w:hAnsi="Arial"/>
                <w:sz w:val="18"/>
                <w:szCs w:val="18"/>
                <w:color w:val="auto"/>
              </w:rPr>
              <w:t>Proceeds from disposal of plant and equipment</w:t>
            </w:r>
          </w:p>
        </w:tc>
        <w:tc>
          <w:tcPr>
            <w:tcW w:w="12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440</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900" w:type="dxa"/>
            <w:vAlign w:val="bottom"/>
            <w:gridSpan w:val="2"/>
          </w:tcPr>
          <w:p>
            <w:pPr>
              <w:spacing w:after="0"/>
              <w:rPr>
                <w:sz w:val="20"/>
                <w:szCs w:val="20"/>
                <w:color w:val="auto"/>
              </w:rPr>
            </w:pPr>
            <w:r>
              <w:rPr>
                <w:rFonts w:ascii="Arial" w:cs="Arial" w:eastAsia="Arial" w:hAnsi="Arial"/>
                <w:sz w:val="18"/>
                <w:szCs w:val="18"/>
                <w:b w:val="1"/>
                <w:bCs w:val="1"/>
                <w:color w:val="auto"/>
              </w:rPr>
              <w:t>Net cash flows (used in)/provided by investing activities</w:t>
            </w:r>
          </w:p>
        </w:tc>
        <w:tc>
          <w:tcPr>
            <w:tcW w:w="12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(498,749)</w:t>
            </w:r>
          </w:p>
        </w:tc>
        <w:tc>
          <w:tcPr>
            <w:tcW w:w="2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20" w:type="dxa"/>
            <w:vAlign w:val="bottom"/>
            <w:tcBorders>
              <w:top w:val="single" w:sz="8" w:color="auto"/>
              <w:bottom w:val="single" w:sz="8" w:color="auto"/>
            </w:tcBorders>
          </w:tcPr>
          <w:p>
            <w:pPr>
              <w:spacing w:after="0"/>
              <w:rPr>
                <w:sz w:val="20"/>
                <w:szCs w:val="20"/>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195,245</w:t>
            </w:r>
          </w:p>
        </w:tc>
        <w:tc>
          <w:tcPr>
            <w:tcW w:w="3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20" w:type="dxa"/>
            <w:vAlign w:val="bottom"/>
            <w:tcBorders>
              <w:top w:val="single" w:sz="8" w:color="auto"/>
              <w:bottom w:val="single" w:sz="8" w:color="auto"/>
            </w:tcBorders>
          </w:tcPr>
          <w:p>
            <w:pPr>
              <w:spacing w:after="0"/>
              <w:rPr>
                <w:sz w:val="20"/>
                <w:szCs w:val="20"/>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(47,849)</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Cash flows from financing activities</w:t>
            </w:r>
          </w:p>
        </w:tc>
        <w:tc>
          <w:tcPr>
            <w:tcW w:w="12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80" w:type="dxa"/>
            <w:vAlign w:val="bottom"/>
          </w:tcPr>
          <w:p>
            <w:pPr>
              <w:spacing w:after="0"/>
              <w:rPr>
                <w:sz w:val="20"/>
                <w:szCs w:val="20"/>
                <w:color w:val="auto"/>
              </w:rPr>
            </w:pPr>
            <w:r>
              <w:rPr>
                <w:rFonts w:ascii="Arial" w:cs="Arial" w:eastAsia="Arial" w:hAnsi="Arial"/>
                <w:sz w:val="18"/>
                <w:szCs w:val="18"/>
                <w:color w:val="auto"/>
              </w:rPr>
              <w:t>Proceeds from issuance of shares and options</w:t>
            </w:r>
          </w:p>
        </w:tc>
        <w:tc>
          <w:tcPr>
            <w:tcW w:w="1260" w:type="dxa"/>
            <w:vAlign w:val="bottom"/>
          </w:tcPr>
          <w:p>
            <w:pPr>
              <w:spacing w:after="0"/>
              <w:rPr>
                <w:sz w:val="18"/>
                <w:szCs w:val="18"/>
                <w:color w:val="auto"/>
              </w:rPr>
            </w:pPr>
          </w:p>
        </w:tc>
        <w:tc>
          <w:tcPr>
            <w:tcW w:w="1360" w:type="dxa"/>
            <w:vAlign w:val="bottom"/>
            <w:gridSpan w:val="2"/>
          </w:tcPr>
          <w:p>
            <w:pPr>
              <w:jc w:val="right"/>
              <w:spacing w:after="0"/>
              <w:rPr>
                <w:sz w:val="20"/>
                <w:szCs w:val="20"/>
                <w:color w:val="auto"/>
              </w:rPr>
            </w:pPr>
            <w:r>
              <w:rPr>
                <w:rFonts w:ascii="Arial" w:cs="Arial" w:eastAsia="Arial" w:hAnsi="Arial"/>
                <w:sz w:val="18"/>
                <w:szCs w:val="18"/>
                <w:color w:val="auto"/>
              </w:rPr>
              <w:t>29,760,563</w:t>
            </w:r>
          </w:p>
        </w:tc>
        <w:tc>
          <w:tcPr>
            <w:tcW w:w="2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9,048,102</w:t>
            </w:r>
          </w:p>
        </w:tc>
        <w:tc>
          <w:tcPr>
            <w:tcW w:w="3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w w:val="95"/>
              </w:rPr>
              <w:t>10,025,584</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80" w:type="dxa"/>
            <w:vAlign w:val="bottom"/>
            <w:shd w:val="clear" w:color="auto" w:fill="CCEEFF"/>
          </w:tcPr>
          <w:p>
            <w:pPr>
              <w:spacing w:after="0"/>
              <w:rPr>
                <w:sz w:val="20"/>
                <w:szCs w:val="20"/>
                <w:color w:val="auto"/>
              </w:rPr>
            </w:pPr>
            <w:r>
              <w:rPr>
                <w:rFonts w:ascii="Arial" w:cs="Arial" w:eastAsia="Arial" w:hAnsi="Arial"/>
                <w:sz w:val="18"/>
                <w:szCs w:val="18"/>
                <w:color w:val="auto"/>
              </w:rPr>
              <w:t>Capital raising expenses</w:t>
            </w:r>
          </w:p>
        </w:tc>
        <w:tc>
          <w:tcPr>
            <w:tcW w:w="1260" w:type="dxa"/>
            <w:vAlign w:val="bottom"/>
            <w:shd w:val="clear" w:color="auto" w:fill="CCEEFF"/>
          </w:tcPr>
          <w:p>
            <w:pPr>
              <w:spacing w:after="0"/>
              <w:rPr>
                <w:sz w:val="18"/>
                <w:szCs w:val="18"/>
                <w:color w:val="auto"/>
              </w:rPr>
            </w:pPr>
          </w:p>
        </w:tc>
        <w:tc>
          <w:tcPr>
            <w:tcW w:w="164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(1,825,643)</w:t>
            </w:r>
          </w:p>
        </w:tc>
        <w:tc>
          <w:tcPr>
            <w:tcW w:w="3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(506,452)</w:t>
            </w:r>
          </w:p>
        </w:tc>
        <w:tc>
          <w:tcPr>
            <w:tcW w:w="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(664,754)</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880" w:type="dxa"/>
            <w:vAlign w:val="bottom"/>
          </w:tcPr>
          <w:p>
            <w:pPr>
              <w:spacing w:after="0"/>
              <w:rPr>
                <w:sz w:val="20"/>
                <w:szCs w:val="20"/>
                <w:color w:val="auto"/>
              </w:rPr>
            </w:pPr>
            <w:r>
              <w:rPr>
                <w:rFonts w:ascii="Arial" w:cs="Arial" w:eastAsia="Arial" w:hAnsi="Arial"/>
                <w:sz w:val="18"/>
                <w:szCs w:val="18"/>
                <w:color w:val="auto"/>
              </w:rPr>
              <w:t>Purchase of finance leased asset</w:t>
            </w:r>
          </w:p>
        </w:tc>
        <w:tc>
          <w:tcPr>
            <w:tcW w:w="12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20" w:type="dxa"/>
            <w:vAlign w:val="bottom"/>
            <w:gridSpan w:val="2"/>
          </w:tcPr>
          <w:p>
            <w:pPr>
              <w:jc w:val="right"/>
              <w:ind w:right="280"/>
              <w:spacing w:after="0"/>
              <w:rPr>
                <w:sz w:val="20"/>
                <w:szCs w:val="20"/>
                <w:color w:val="auto"/>
              </w:rPr>
            </w:pPr>
            <w:r>
              <w:rPr>
                <w:rFonts w:ascii="Arial" w:cs="Arial" w:eastAsia="Arial" w:hAnsi="Arial"/>
                <w:sz w:val="18"/>
                <w:szCs w:val="18"/>
                <w:color w:val="auto"/>
              </w:rPr>
              <w:t>(303,521)</w:t>
            </w:r>
          </w:p>
        </w:tc>
        <w:tc>
          <w:tcPr>
            <w:tcW w:w="2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Net cash flows provided by financing activities</w:t>
            </w:r>
          </w:p>
        </w:tc>
        <w:tc>
          <w:tcPr>
            <w:tcW w:w="12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27,934,920</w:t>
            </w:r>
          </w:p>
        </w:tc>
        <w:tc>
          <w:tcPr>
            <w:tcW w:w="2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20" w:type="dxa"/>
            <w:vAlign w:val="bottom"/>
            <w:tcBorders>
              <w:top w:val="single" w:sz="8" w:color="auto"/>
              <w:bottom w:val="single" w:sz="8" w:color="auto"/>
            </w:tcBorders>
            <w:shd w:val="clear" w:color="auto" w:fill="CCEEFF"/>
          </w:tcPr>
          <w:p>
            <w:pPr>
              <w:spacing w:after="0"/>
              <w:rPr>
                <w:sz w:val="18"/>
                <w:szCs w:val="18"/>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8,238,129</w:t>
            </w:r>
          </w:p>
        </w:tc>
        <w:tc>
          <w:tcPr>
            <w:tcW w:w="3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20" w:type="dxa"/>
            <w:vAlign w:val="bottom"/>
            <w:tcBorders>
              <w:top w:val="single" w:sz="8" w:color="auto"/>
              <w:bottom w:val="single" w:sz="8" w:color="auto"/>
            </w:tcBorders>
            <w:shd w:val="clear" w:color="auto" w:fill="CCEEFF"/>
          </w:tcPr>
          <w:p>
            <w:pPr>
              <w:spacing w:after="0"/>
              <w:rPr>
                <w:sz w:val="18"/>
                <w:szCs w:val="18"/>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9,360,830</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4900" w:type="dxa"/>
            <w:vAlign w:val="bottom"/>
            <w:gridSpan w:val="2"/>
          </w:tcPr>
          <w:p>
            <w:pPr>
              <w:spacing w:after="0"/>
              <w:rPr>
                <w:sz w:val="20"/>
                <w:szCs w:val="20"/>
                <w:color w:val="auto"/>
              </w:rPr>
            </w:pPr>
            <w:r>
              <w:rPr>
                <w:rFonts w:ascii="Arial" w:cs="Arial" w:eastAsia="Arial" w:hAnsi="Arial"/>
                <w:sz w:val="18"/>
                <w:szCs w:val="18"/>
                <w:b w:val="1"/>
                <w:bCs w:val="1"/>
                <w:color w:val="auto"/>
              </w:rPr>
              <w:t>Net increase/(decrease) in cash and cash equivalents</w:t>
            </w:r>
          </w:p>
        </w:tc>
        <w:tc>
          <w:tcPr>
            <w:tcW w:w="12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b w:val="1"/>
                <w:bCs w:val="1"/>
                <w:color w:val="auto"/>
              </w:rPr>
              <w:t>11,064,147</w:t>
            </w:r>
          </w:p>
        </w:tc>
        <w:tc>
          <w:tcPr>
            <w:tcW w:w="2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b w:val="1"/>
                <w:bCs w:val="1"/>
                <w:color w:val="auto"/>
              </w:rPr>
              <w:t>(124,150)</w:t>
            </w:r>
          </w:p>
        </w:tc>
        <w:tc>
          <w:tcPr>
            <w:tcW w:w="3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b w:val="1"/>
                <w:bCs w:val="1"/>
                <w:color w:val="auto"/>
              </w:rPr>
              <w:t>1,374,424</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Cash and cash equivalents at beginning of period</w:t>
            </w:r>
          </w:p>
        </w:tc>
        <w:tc>
          <w:tcPr>
            <w:tcW w:w="126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3,790,491</w:t>
            </w:r>
          </w:p>
        </w:tc>
        <w:tc>
          <w:tcPr>
            <w:tcW w:w="2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4,171,879</w:t>
            </w:r>
          </w:p>
        </w:tc>
        <w:tc>
          <w:tcPr>
            <w:tcW w:w="3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2,966,555</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80" w:type="dxa"/>
            <w:vAlign w:val="bottom"/>
          </w:tcPr>
          <w:p>
            <w:pPr>
              <w:spacing w:after="0"/>
              <w:rPr>
                <w:sz w:val="20"/>
                <w:szCs w:val="20"/>
                <w:color w:val="auto"/>
              </w:rPr>
            </w:pPr>
            <w:r>
              <w:rPr>
                <w:rFonts w:ascii="Arial" w:cs="Arial" w:eastAsia="Arial" w:hAnsi="Arial"/>
                <w:sz w:val="18"/>
                <w:szCs w:val="18"/>
                <w:color w:val="auto"/>
              </w:rPr>
              <w:t>Impact of foreign exchange</w:t>
            </w:r>
          </w:p>
        </w:tc>
        <w:tc>
          <w:tcPr>
            <w:tcW w:w="12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80" w:type="dxa"/>
            <w:vAlign w:val="bottom"/>
            <w:gridSpan w:val="2"/>
          </w:tcPr>
          <w:p>
            <w:pPr>
              <w:jc w:val="right"/>
              <w:ind w:right="220"/>
              <w:spacing w:after="0"/>
              <w:rPr>
                <w:sz w:val="20"/>
                <w:szCs w:val="20"/>
                <w:color w:val="auto"/>
              </w:rPr>
            </w:pPr>
            <w:r>
              <w:rPr>
                <w:rFonts w:ascii="Arial" w:cs="Arial" w:eastAsia="Arial" w:hAnsi="Arial"/>
                <w:sz w:val="18"/>
                <w:szCs w:val="18"/>
                <w:color w:val="auto"/>
              </w:rPr>
              <w:t>(29,106)</w:t>
            </w:r>
          </w:p>
        </w:tc>
        <w:tc>
          <w:tcPr>
            <w:tcW w:w="3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20" w:type="dxa"/>
            <w:vAlign w:val="bottom"/>
            <w:gridSpan w:val="2"/>
          </w:tcPr>
          <w:p>
            <w:pPr>
              <w:jc w:val="right"/>
              <w:ind w:right="280"/>
              <w:spacing w:after="0"/>
              <w:rPr>
                <w:sz w:val="20"/>
                <w:szCs w:val="20"/>
                <w:color w:val="auto"/>
              </w:rPr>
            </w:pPr>
            <w:r>
              <w:rPr>
                <w:rFonts w:ascii="Arial" w:cs="Arial" w:eastAsia="Arial" w:hAnsi="Arial"/>
                <w:sz w:val="18"/>
                <w:szCs w:val="18"/>
                <w:color w:val="auto"/>
              </w:rPr>
              <w:t>(257,238)</w:t>
            </w: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gridSpan w:val="2"/>
          </w:tcPr>
          <w:p>
            <w:pPr>
              <w:jc w:val="right"/>
              <w:ind w:right="60"/>
              <w:spacing w:after="0"/>
              <w:rPr>
                <w:sz w:val="20"/>
                <w:szCs w:val="20"/>
                <w:color w:val="auto"/>
              </w:rPr>
            </w:pPr>
            <w:r>
              <w:rPr>
                <w:rFonts w:ascii="Arial" w:cs="Arial" w:eastAsia="Arial" w:hAnsi="Arial"/>
                <w:sz w:val="18"/>
                <w:szCs w:val="18"/>
                <w:color w:val="auto"/>
              </w:rPr>
              <w:t>(169,100)</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880" w:type="dxa"/>
            <w:vAlign w:val="bottom"/>
          </w:tcPr>
          <w:p>
            <w:pPr>
              <w:spacing w:after="0"/>
              <w:rPr>
                <w:sz w:val="2"/>
                <w:szCs w:val="2"/>
                <w:color w:val="auto"/>
              </w:rPr>
            </w:pPr>
          </w:p>
        </w:tc>
        <w:tc>
          <w:tcPr>
            <w:tcW w:w="12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32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26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8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Cash and cash equivalents at end of period</w:t>
            </w:r>
          </w:p>
        </w:tc>
        <w:tc>
          <w:tcPr>
            <w:tcW w:w="1260" w:type="dxa"/>
            <w:vAlign w:val="bottom"/>
            <w:shd w:val="clear" w:color="auto" w:fill="CCEEFF"/>
          </w:tcPr>
          <w:p>
            <w:pPr>
              <w:jc w:val="right"/>
              <w:ind w:right="296"/>
              <w:spacing w:after="0"/>
              <w:rPr>
                <w:sz w:val="20"/>
                <w:szCs w:val="20"/>
                <w:color w:val="auto"/>
              </w:rPr>
            </w:pPr>
            <w:r>
              <w:rPr>
                <w:rFonts w:ascii="Arial" w:cs="Arial" w:eastAsia="Arial" w:hAnsi="Arial"/>
                <w:sz w:val="18"/>
                <w:szCs w:val="18"/>
                <w:color w:val="auto"/>
              </w:rPr>
              <w:t>7</w:t>
            </w:r>
          </w:p>
        </w:tc>
        <w:tc>
          <w:tcPr>
            <w:tcW w:w="1640" w:type="dxa"/>
            <w:vAlign w:val="bottom"/>
            <w:gridSpan w:val="3"/>
            <w:shd w:val="clear" w:color="auto" w:fill="CCEEFF"/>
          </w:tcPr>
          <w:p>
            <w:pPr>
              <w:ind w:left="240"/>
              <w:spacing w:after="0"/>
              <w:rPr>
                <w:sz w:val="20"/>
                <w:szCs w:val="20"/>
                <w:color w:val="auto"/>
              </w:rPr>
            </w:pPr>
            <w:r>
              <w:rPr>
                <w:rFonts w:ascii="Arial" w:cs="Arial" w:eastAsia="Arial" w:hAnsi="Arial"/>
                <w:sz w:val="18"/>
                <w:szCs w:val="18"/>
                <w:b w:val="1"/>
                <w:bCs w:val="1"/>
                <w:u w:val="single" w:color="auto"/>
                <w:color w:val="auto"/>
              </w:rPr>
              <w:t>A</w:t>
            </w:r>
            <w:r>
              <w:rPr>
                <w:rFonts w:ascii="Arial" w:cs="Arial" w:eastAsia="Arial" w:hAnsi="Arial"/>
                <w:sz w:val="18"/>
                <w:szCs w:val="18"/>
                <w:b w:val="1"/>
                <w:bCs w:val="1"/>
                <w:color w:val="auto"/>
              </w:rPr>
              <w:t>$ 14,825,532</w:t>
            </w:r>
          </w:p>
        </w:tc>
        <w:tc>
          <w:tcPr>
            <w:tcW w:w="540" w:type="dxa"/>
            <w:vAlign w:val="bottom"/>
            <w:gridSpan w:val="2"/>
            <w:shd w:val="clear" w:color="auto" w:fill="CCEEFF"/>
          </w:tcPr>
          <w:p>
            <w:pPr>
              <w:ind w:left="300"/>
              <w:spacing w:after="0"/>
              <w:rPr>
                <w:sz w:val="20"/>
                <w:szCs w:val="20"/>
                <w:color w:val="auto"/>
              </w:rPr>
            </w:pPr>
            <w:r>
              <w:rPr>
                <w:rFonts w:ascii="Arial" w:cs="Arial" w:eastAsia="Arial" w:hAnsi="Arial"/>
                <w:sz w:val="18"/>
                <w:szCs w:val="18"/>
                <w:b w:val="1"/>
                <w:bCs w:val="1"/>
                <w:u w:val="single" w:color="auto"/>
                <w:color w:val="auto"/>
                <w:w w:val="95"/>
              </w:rPr>
              <w:t>A</w:t>
            </w:r>
            <w:r>
              <w:rPr>
                <w:rFonts w:ascii="Arial" w:cs="Arial" w:eastAsia="Arial" w:hAnsi="Arial"/>
                <w:sz w:val="18"/>
                <w:szCs w:val="18"/>
                <w:b w:val="1"/>
                <w:bCs w:val="1"/>
                <w:color w:val="auto"/>
                <w:w w:val="95"/>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3,790,491</w:t>
            </w:r>
          </w:p>
        </w:tc>
        <w:tc>
          <w:tcPr>
            <w:tcW w:w="340" w:type="dxa"/>
            <w:vAlign w:val="bottom"/>
            <w:shd w:val="clear" w:color="auto" w:fill="CCEEFF"/>
          </w:tcPr>
          <w:p>
            <w:pPr>
              <w:spacing w:after="0"/>
              <w:rPr>
                <w:sz w:val="18"/>
                <w:szCs w:val="18"/>
                <w:color w:val="auto"/>
              </w:rPr>
            </w:pPr>
          </w:p>
        </w:tc>
        <w:tc>
          <w:tcPr>
            <w:tcW w:w="480" w:type="dxa"/>
            <w:vAlign w:val="bottom"/>
            <w:gridSpan w:val="2"/>
            <w:shd w:val="clear" w:color="auto" w:fill="CCEEFF"/>
          </w:tcPr>
          <w:p>
            <w:pPr>
              <w:ind w:left="240"/>
              <w:spacing w:after="0"/>
              <w:rPr>
                <w:sz w:val="20"/>
                <w:szCs w:val="20"/>
                <w:color w:val="auto"/>
              </w:rPr>
            </w:pPr>
            <w:r>
              <w:rPr>
                <w:rFonts w:ascii="Arial" w:cs="Arial" w:eastAsia="Arial" w:hAnsi="Arial"/>
                <w:sz w:val="18"/>
                <w:szCs w:val="18"/>
                <w:b w:val="1"/>
                <w:bCs w:val="1"/>
                <w:u w:val="single" w:color="auto"/>
                <w:color w:val="auto"/>
                <w:w w:val="95"/>
              </w:rPr>
              <w:t>A</w:t>
            </w:r>
            <w:r>
              <w:rPr>
                <w:rFonts w:ascii="Arial" w:cs="Arial" w:eastAsia="Arial" w:hAnsi="Arial"/>
                <w:sz w:val="18"/>
                <w:szCs w:val="18"/>
                <w:b w:val="1"/>
                <w:bCs w:val="1"/>
                <w:color w:val="auto"/>
                <w:w w:val="95"/>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4,171,879</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88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ind w:left="200"/>
        <w:spacing w:after="0"/>
        <w:rPr>
          <w:sz w:val="20"/>
          <w:szCs w:val="20"/>
          <w:color w:val="auto"/>
        </w:rPr>
      </w:pPr>
      <w:r>
        <w:rPr>
          <w:rFonts w:ascii="Arial" w:cs="Arial" w:eastAsia="Arial" w:hAnsi="Arial"/>
          <w:sz w:val="18"/>
          <w:szCs w:val="18"/>
          <w:color w:val="auto"/>
        </w:rPr>
        <w:t>The accompanying notes form part of the consolidated financial statements.</w:t>
      </w:r>
    </w:p>
    <w:p>
      <w:pPr>
        <w:spacing w:after="0" w:line="158" w:lineRule="exact"/>
        <w:rPr>
          <w:sz w:val="20"/>
          <w:szCs w:val="20"/>
          <w:color w:val="auto"/>
        </w:rPr>
      </w:pPr>
    </w:p>
    <w:p>
      <w:pPr>
        <w:ind w:left="5580"/>
        <w:spacing w:after="0"/>
        <w:rPr>
          <w:sz w:val="20"/>
          <w:szCs w:val="20"/>
          <w:color w:val="auto"/>
        </w:rPr>
      </w:pPr>
      <w:r>
        <w:rPr>
          <w:rFonts w:ascii="Arial" w:cs="Arial" w:eastAsia="Arial" w:hAnsi="Arial"/>
          <w:sz w:val="18"/>
          <w:szCs w:val="18"/>
          <w:color w:val="auto"/>
        </w:rPr>
        <w:t>F-6</w:t>
      </w:r>
    </w:p>
    <w:p>
      <w:pPr>
        <w:sectPr>
          <w:pgSz w:w="11900" w:h="16838" w:orient="portrait"/>
          <w:cols w:equalWidth="0" w:num="1">
            <w:col w:w="11240"/>
          </w:cols>
          <w:pgMar w:left="240" w:top="459" w:right="419" w:bottom="1440" w:gutter="0" w:footer="0" w:header="0"/>
        </w:sectPr>
      </w:pPr>
    </w:p>
    <w:bookmarkStart w:id="105" w:name="page106"/>
    <w:bookmarkEnd w:id="10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5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AVITA MEDICAL LIMITED</w:t>
      </w:r>
    </w:p>
    <w:p>
      <w:pPr>
        <w:spacing w:after="0" w:line="27"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CONSOLIDATED STATEMENT OF CHANGES IN EQUITY</w:t>
      </w:r>
    </w:p>
    <w:p>
      <w:pPr>
        <w:spacing w:after="0" w:line="9"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(IN AUSTRALIAN DOLLARS)</w:t>
      </w:r>
    </w:p>
    <w:p>
      <w:pPr>
        <w:spacing w:after="0" w:line="217" w:lineRule="exact"/>
        <w:rPr>
          <w:sz w:val="20"/>
          <w:szCs w:val="20"/>
          <w:color w:val="auto"/>
        </w:rPr>
      </w:pPr>
    </w:p>
    <w:tbl>
      <w:tblPr>
        <w:tblLayout w:type="fixed"/>
        <w:tblInd w:w="20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7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320" w:type="dxa"/>
            <w:vAlign w:val="bottom"/>
            <w:gridSpan w:val="2"/>
          </w:tcPr>
          <w:p>
            <w:pPr>
              <w:jc w:val="center"/>
              <w:ind w:right="480"/>
              <w:spacing w:after="0"/>
              <w:rPr>
                <w:sz w:val="20"/>
                <w:szCs w:val="20"/>
                <w:color w:val="auto"/>
              </w:rPr>
            </w:pPr>
            <w:r>
              <w:rPr>
                <w:rFonts w:ascii="Arial" w:cs="Arial" w:eastAsia="Arial" w:hAnsi="Arial"/>
                <w:sz w:val="14"/>
                <w:szCs w:val="14"/>
                <w:b w:val="1"/>
                <w:bCs w:val="1"/>
                <w:color w:val="auto"/>
                <w:w w:val="93"/>
              </w:rPr>
              <w:t>Foreign</w:t>
            </w:r>
          </w:p>
        </w:tc>
        <w:tc>
          <w:tcPr>
            <w:tcW w:w="2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7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380" w:type="dxa"/>
            <w:vAlign w:val="bottom"/>
            <w:gridSpan w:val="2"/>
            <w:vMerge w:val="restart"/>
          </w:tcPr>
          <w:p>
            <w:pPr>
              <w:jc w:val="center"/>
              <w:ind w:right="260"/>
              <w:spacing w:after="0"/>
              <w:rPr>
                <w:sz w:val="20"/>
                <w:szCs w:val="20"/>
                <w:color w:val="auto"/>
              </w:rPr>
            </w:pPr>
            <w:r>
              <w:rPr>
                <w:rFonts w:ascii="Arial" w:cs="Arial" w:eastAsia="Arial" w:hAnsi="Arial"/>
                <w:sz w:val="14"/>
                <w:szCs w:val="14"/>
                <w:b w:val="1"/>
                <w:bCs w:val="1"/>
                <w:color w:val="auto"/>
                <w:w w:val="95"/>
              </w:rPr>
              <w:t>Contributed</w:t>
            </w:r>
          </w:p>
        </w:tc>
        <w:tc>
          <w:tcPr>
            <w:tcW w:w="200" w:type="dxa"/>
            <w:vAlign w:val="bottom"/>
          </w:tcPr>
          <w:p>
            <w:pPr>
              <w:spacing w:after="0"/>
              <w:rPr>
                <w:sz w:val="12"/>
                <w:szCs w:val="12"/>
                <w:color w:val="auto"/>
              </w:rPr>
            </w:pPr>
          </w:p>
        </w:tc>
        <w:tc>
          <w:tcPr>
            <w:tcW w:w="1440" w:type="dxa"/>
            <w:vAlign w:val="bottom"/>
            <w:gridSpan w:val="2"/>
            <w:vMerge w:val="restart"/>
          </w:tcPr>
          <w:p>
            <w:pPr>
              <w:jc w:val="center"/>
              <w:ind w:right="220"/>
              <w:spacing w:after="0"/>
              <w:rPr>
                <w:sz w:val="20"/>
                <w:szCs w:val="20"/>
                <w:color w:val="auto"/>
              </w:rPr>
            </w:pPr>
            <w:r>
              <w:rPr>
                <w:rFonts w:ascii="Arial" w:cs="Arial" w:eastAsia="Arial" w:hAnsi="Arial"/>
                <w:sz w:val="14"/>
                <w:szCs w:val="14"/>
                <w:b w:val="1"/>
                <w:bCs w:val="1"/>
                <w:color w:val="auto"/>
                <w:w w:val="93"/>
              </w:rPr>
              <w:t>Accumulated</w:t>
            </w:r>
          </w:p>
        </w:tc>
        <w:tc>
          <w:tcPr>
            <w:tcW w:w="200" w:type="dxa"/>
            <w:vAlign w:val="bottom"/>
          </w:tcPr>
          <w:p>
            <w:pPr>
              <w:spacing w:after="0"/>
              <w:rPr>
                <w:sz w:val="12"/>
                <w:szCs w:val="12"/>
                <w:color w:val="auto"/>
              </w:rPr>
            </w:pPr>
          </w:p>
        </w:tc>
        <w:tc>
          <w:tcPr>
            <w:tcW w:w="1280" w:type="dxa"/>
            <w:vAlign w:val="bottom"/>
            <w:gridSpan w:val="3"/>
            <w:vMerge w:val="restart"/>
          </w:tcPr>
          <w:p>
            <w:pPr>
              <w:ind w:left="120"/>
              <w:spacing w:after="0"/>
              <w:rPr>
                <w:sz w:val="20"/>
                <w:szCs w:val="20"/>
                <w:color w:val="auto"/>
              </w:rPr>
            </w:pPr>
            <w:r>
              <w:rPr>
                <w:rFonts w:ascii="Arial" w:cs="Arial" w:eastAsia="Arial" w:hAnsi="Arial"/>
                <w:sz w:val="14"/>
                <w:szCs w:val="14"/>
                <w:b w:val="1"/>
                <w:bCs w:val="1"/>
                <w:color w:val="auto"/>
              </w:rPr>
              <w:t>Share-based</w:t>
            </w:r>
          </w:p>
        </w:tc>
        <w:tc>
          <w:tcPr>
            <w:tcW w:w="200" w:type="dxa"/>
            <w:vAlign w:val="bottom"/>
          </w:tcPr>
          <w:p>
            <w:pPr>
              <w:spacing w:after="0"/>
              <w:rPr>
                <w:sz w:val="12"/>
                <w:szCs w:val="12"/>
                <w:color w:val="auto"/>
              </w:rPr>
            </w:pPr>
          </w:p>
        </w:tc>
        <w:tc>
          <w:tcPr>
            <w:tcW w:w="1320" w:type="dxa"/>
            <w:vAlign w:val="bottom"/>
            <w:gridSpan w:val="2"/>
          </w:tcPr>
          <w:p>
            <w:pPr>
              <w:jc w:val="center"/>
              <w:ind w:right="480"/>
              <w:spacing w:after="0" w:line="149" w:lineRule="exact"/>
              <w:rPr>
                <w:sz w:val="20"/>
                <w:szCs w:val="20"/>
                <w:color w:val="auto"/>
              </w:rPr>
            </w:pPr>
            <w:r>
              <w:rPr>
                <w:rFonts w:ascii="Arial" w:cs="Arial" w:eastAsia="Arial" w:hAnsi="Arial"/>
                <w:sz w:val="14"/>
                <w:szCs w:val="14"/>
                <w:b w:val="1"/>
                <w:bCs w:val="1"/>
                <w:color w:val="auto"/>
                <w:w w:val="94"/>
              </w:rPr>
              <w:t>currency</w:t>
            </w:r>
          </w:p>
        </w:tc>
        <w:tc>
          <w:tcPr>
            <w:tcW w:w="2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7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380" w:type="dxa"/>
            <w:vAlign w:val="bottom"/>
            <w:gridSpan w:val="2"/>
            <w:vMerge w:val="continue"/>
          </w:tcPr>
          <w:p>
            <w:pPr>
              <w:spacing w:after="0"/>
              <w:rPr>
                <w:sz w:val="12"/>
                <w:szCs w:val="12"/>
                <w:color w:val="auto"/>
              </w:rPr>
            </w:pPr>
          </w:p>
        </w:tc>
        <w:tc>
          <w:tcPr>
            <w:tcW w:w="200" w:type="dxa"/>
            <w:vAlign w:val="bottom"/>
          </w:tcPr>
          <w:p>
            <w:pPr>
              <w:spacing w:after="0"/>
              <w:rPr>
                <w:sz w:val="12"/>
                <w:szCs w:val="12"/>
                <w:color w:val="auto"/>
              </w:rPr>
            </w:pPr>
          </w:p>
        </w:tc>
        <w:tc>
          <w:tcPr>
            <w:tcW w:w="1440" w:type="dxa"/>
            <w:vAlign w:val="bottom"/>
            <w:gridSpan w:val="2"/>
            <w:vMerge w:val="continue"/>
          </w:tcPr>
          <w:p>
            <w:pPr>
              <w:spacing w:after="0"/>
              <w:rPr>
                <w:sz w:val="12"/>
                <w:szCs w:val="12"/>
                <w:color w:val="auto"/>
              </w:rPr>
            </w:pPr>
          </w:p>
        </w:tc>
        <w:tc>
          <w:tcPr>
            <w:tcW w:w="200" w:type="dxa"/>
            <w:vAlign w:val="bottom"/>
          </w:tcPr>
          <w:p>
            <w:pPr>
              <w:spacing w:after="0"/>
              <w:rPr>
                <w:sz w:val="12"/>
                <w:szCs w:val="12"/>
                <w:color w:val="auto"/>
              </w:rPr>
            </w:pPr>
          </w:p>
        </w:tc>
        <w:tc>
          <w:tcPr>
            <w:tcW w:w="1280" w:type="dxa"/>
            <w:vAlign w:val="bottom"/>
            <w:gridSpan w:val="3"/>
            <w:vMerge w:val="continue"/>
          </w:tcPr>
          <w:p>
            <w:pPr>
              <w:spacing w:after="0"/>
              <w:rPr>
                <w:sz w:val="12"/>
                <w:szCs w:val="12"/>
                <w:color w:val="auto"/>
              </w:rPr>
            </w:pPr>
          </w:p>
        </w:tc>
        <w:tc>
          <w:tcPr>
            <w:tcW w:w="200" w:type="dxa"/>
            <w:vAlign w:val="bottom"/>
          </w:tcPr>
          <w:p>
            <w:pPr>
              <w:spacing w:after="0"/>
              <w:rPr>
                <w:sz w:val="12"/>
                <w:szCs w:val="12"/>
                <w:color w:val="auto"/>
              </w:rPr>
            </w:pPr>
          </w:p>
        </w:tc>
        <w:tc>
          <w:tcPr>
            <w:tcW w:w="1320" w:type="dxa"/>
            <w:vAlign w:val="bottom"/>
            <w:gridSpan w:val="2"/>
          </w:tcPr>
          <w:p>
            <w:pPr>
              <w:jc w:val="center"/>
              <w:ind w:right="480"/>
              <w:spacing w:after="0" w:line="149" w:lineRule="exact"/>
              <w:rPr>
                <w:sz w:val="20"/>
                <w:szCs w:val="20"/>
                <w:color w:val="auto"/>
              </w:rPr>
            </w:pPr>
            <w:r>
              <w:rPr>
                <w:rFonts w:ascii="Arial" w:cs="Arial" w:eastAsia="Arial" w:hAnsi="Arial"/>
                <w:sz w:val="14"/>
                <w:szCs w:val="14"/>
                <w:b w:val="1"/>
                <w:bCs w:val="1"/>
                <w:color w:val="auto"/>
                <w:w w:val="94"/>
              </w:rPr>
              <w:t>translation</w:t>
            </w:r>
          </w:p>
        </w:tc>
        <w:tc>
          <w:tcPr>
            <w:tcW w:w="220" w:type="dxa"/>
            <w:vAlign w:val="bottom"/>
          </w:tcPr>
          <w:p>
            <w:pPr>
              <w:spacing w:after="0"/>
              <w:rPr>
                <w:sz w:val="12"/>
                <w:szCs w:val="12"/>
                <w:color w:val="auto"/>
              </w:rPr>
            </w:pPr>
          </w:p>
        </w:tc>
        <w:tc>
          <w:tcPr>
            <w:tcW w:w="1000" w:type="dxa"/>
            <w:vAlign w:val="bottom"/>
            <w:gridSpan w:val="2"/>
            <w:vMerge w:val="restart"/>
          </w:tcPr>
          <w:p>
            <w:pPr>
              <w:jc w:val="right"/>
              <w:ind w:right="52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37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38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2"/>
              </w:rPr>
              <w:t>equity</w:t>
            </w:r>
          </w:p>
        </w:tc>
        <w:tc>
          <w:tcPr>
            <w:tcW w:w="200" w:type="dxa"/>
            <w:vAlign w:val="bottom"/>
          </w:tcPr>
          <w:p>
            <w:pPr>
              <w:spacing w:after="0"/>
              <w:rPr>
                <w:sz w:val="14"/>
                <w:szCs w:val="14"/>
                <w:color w:val="auto"/>
              </w:rPr>
            </w:pPr>
          </w:p>
        </w:tc>
        <w:tc>
          <w:tcPr>
            <w:tcW w:w="144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77"/>
              </w:rPr>
              <w:t>losses</w:t>
            </w:r>
          </w:p>
        </w:tc>
        <w:tc>
          <w:tcPr>
            <w:tcW w:w="1480" w:type="dxa"/>
            <w:vAlign w:val="bottom"/>
            <w:gridSpan w:val="4"/>
          </w:tcPr>
          <w:p>
            <w:pPr>
              <w:ind w:left="200"/>
              <w:spacing w:after="0"/>
              <w:rPr>
                <w:sz w:val="20"/>
                <w:szCs w:val="20"/>
                <w:color w:val="auto"/>
              </w:rPr>
            </w:pPr>
            <w:r>
              <w:rPr>
                <w:rFonts w:ascii="Arial" w:cs="Arial" w:eastAsia="Arial" w:hAnsi="Arial"/>
                <w:sz w:val="14"/>
                <w:szCs w:val="14"/>
                <w:b w:val="1"/>
                <w:bCs w:val="1"/>
                <w:color w:val="auto"/>
              </w:rPr>
              <w:t>payment reserve</w:t>
            </w:r>
          </w:p>
        </w:tc>
        <w:tc>
          <w:tcPr>
            <w:tcW w:w="200" w:type="dxa"/>
            <w:vAlign w:val="bottom"/>
          </w:tcPr>
          <w:p>
            <w:pPr>
              <w:spacing w:after="0"/>
              <w:rPr>
                <w:sz w:val="14"/>
                <w:szCs w:val="14"/>
                <w:color w:val="auto"/>
              </w:rPr>
            </w:pPr>
          </w:p>
        </w:tc>
        <w:tc>
          <w:tcPr>
            <w:tcW w:w="1320" w:type="dxa"/>
            <w:vAlign w:val="bottom"/>
            <w:gridSpan w:val="2"/>
          </w:tcPr>
          <w:p>
            <w:pPr>
              <w:jc w:val="center"/>
              <w:ind w:right="480"/>
              <w:spacing w:after="0"/>
              <w:rPr>
                <w:sz w:val="20"/>
                <w:szCs w:val="20"/>
                <w:color w:val="auto"/>
              </w:rPr>
            </w:pPr>
            <w:r>
              <w:rPr>
                <w:rFonts w:ascii="Arial" w:cs="Arial" w:eastAsia="Arial" w:hAnsi="Arial"/>
                <w:sz w:val="14"/>
                <w:szCs w:val="14"/>
                <w:b w:val="1"/>
                <w:bCs w:val="1"/>
                <w:color w:val="auto"/>
                <w:w w:val="88"/>
              </w:rPr>
              <w:t>reserve</w:t>
            </w:r>
          </w:p>
        </w:tc>
        <w:tc>
          <w:tcPr>
            <w:tcW w:w="220" w:type="dxa"/>
            <w:vAlign w:val="bottom"/>
          </w:tcPr>
          <w:p>
            <w:pPr>
              <w:spacing w:after="0"/>
              <w:rPr>
                <w:sz w:val="14"/>
                <w:szCs w:val="14"/>
                <w:color w:val="auto"/>
              </w:rPr>
            </w:pPr>
          </w:p>
        </w:tc>
        <w:tc>
          <w:tcPr>
            <w:tcW w:w="100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7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At July 1, 2017</w:t>
            </w:r>
          </w:p>
        </w:tc>
        <w:tc>
          <w:tcPr>
            <w:tcW w:w="20" w:type="dxa"/>
            <w:vAlign w:val="bottom"/>
            <w:tcBorders>
              <w:top w:val="single" w:sz="8" w:color="CCEEFF"/>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b w:val="1"/>
                <w:bCs w:val="1"/>
                <w:color w:val="auto"/>
                <w:w w:val="90"/>
              </w:rPr>
              <w:t>A$134,806,022</w:t>
            </w:r>
          </w:p>
        </w:tc>
        <w:tc>
          <w:tcPr>
            <w:tcW w:w="26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120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b w:val="1"/>
                <w:bCs w:val="1"/>
                <w:color w:val="auto"/>
                <w:w w:val="85"/>
              </w:rPr>
              <w:t>A$ (132,218,352)</w:t>
            </w:r>
          </w:p>
        </w:tc>
        <w:tc>
          <w:tcPr>
            <w:tcW w:w="24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b w:val="1"/>
                <w:bCs w:val="1"/>
                <w:color w:val="auto"/>
              </w:rPr>
              <w:t>A$</w:t>
            </w: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2"/>
              </w:rPr>
              <w:t>2,811,179</w:t>
            </w:r>
          </w:p>
        </w:tc>
        <w:tc>
          <w:tcPr>
            <w:tcW w:w="26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b w:val="1"/>
                <w:bCs w:val="1"/>
                <w:color w:val="auto"/>
                <w:w w:val="85"/>
              </w:rPr>
              <w:t>A$(277,017)</w:t>
            </w:r>
          </w:p>
        </w:tc>
        <w:tc>
          <w:tcPr>
            <w:tcW w:w="46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b w:val="1"/>
                <w:bCs w:val="1"/>
                <w:color w:val="auto"/>
                <w:w w:val="86"/>
              </w:rPr>
              <w:t>A$</w:t>
            </w: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5,121,832</w:t>
            </w:r>
          </w:p>
        </w:tc>
        <w:tc>
          <w:tcPr>
            <w:tcW w:w="12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60" w:type="dxa"/>
            <w:vAlign w:val="bottom"/>
          </w:tcPr>
          <w:p>
            <w:pPr>
              <w:spacing w:after="0"/>
              <w:rPr>
                <w:sz w:val="20"/>
                <w:szCs w:val="20"/>
                <w:color w:val="auto"/>
              </w:rPr>
            </w:pPr>
            <w:r>
              <w:rPr>
                <w:rFonts w:ascii="Arial" w:cs="Arial" w:eastAsia="Arial" w:hAnsi="Arial"/>
                <w:sz w:val="18"/>
                <w:szCs w:val="18"/>
                <w:color w:val="auto"/>
              </w:rPr>
              <w:t>Loss for the period</w:t>
            </w:r>
          </w:p>
        </w:tc>
        <w:tc>
          <w:tcPr>
            <w:tcW w:w="20" w:type="dxa"/>
            <w:vAlign w:val="bottom"/>
          </w:tcPr>
          <w:p>
            <w:pPr>
              <w:spacing w:after="0"/>
              <w:rPr>
                <w:sz w:val="18"/>
                <w:szCs w:val="18"/>
                <w:color w:val="auto"/>
              </w:rPr>
            </w:pPr>
          </w:p>
        </w:tc>
        <w:tc>
          <w:tcPr>
            <w:tcW w:w="138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1640" w:type="dxa"/>
            <w:vAlign w:val="bottom"/>
            <w:gridSpan w:val="3"/>
          </w:tcPr>
          <w:p>
            <w:pPr>
              <w:jc w:val="right"/>
              <w:ind w:right="160"/>
              <w:spacing w:after="0"/>
              <w:rPr>
                <w:sz w:val="20"/>
                <w:szCs w:val="20"/>
                <w:color w:val="auto"/>
              </w:rPr>
            </w:pPr>
            <w:r>
              <w:rPr>
                <w:rFonts w:ascii="Arial" w:cs="Arial" w:eastAsia="Arial" w:hAnsi="Arial"/>
                <w:sz w:val="18"/>
                <w:szCs w:val="18"/>
                <w:color w:val="auto"/>
              </w:rPr>
              <w:t>(16,519,155)</w:t>
            </w:r>
          </w:p>
        </w:tc>
        <w:tc>
          <w:tcPr>
            <w:tcW w:w="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2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320" w:type="dxa"/>
            <w:vAlign w:val="bottom"/>
            <w:gridSpan w:val="2"/>
          </w:tcPr>
          <w:p>
            <w:pPr>
              <w:ind w:left="60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000" w:type="dxa"/>
            <w:vAlign w:val="bottom"/>
            <w:gridSpan w:val="2"/>
          </w:tcPr>
          <w:p>
            <w:pPr>
              <w:jc w:val="right"/>
              <w:ind w:right="60"/>
              <w:spacing w:after="0"/>
              <w:rPr>
                <w:sz w:val="20"/>
                <w:szCs w:val="20"/>
                <w:color w:val="auto"/>
              </w:rPr>
            </w:pPr>
            <w:r>
              <w:rPr>
                <w:rFonts w:ascii="Arial" w:cs="Arial" w:eastAsia="Arial" w:hAnsi="Arial"/>
                <w:sz w:val="18"/>
                <w:szCs w:val="18"/>
                <w:color w:val="auto"/>
                <w:w w:val="90"/>
              </w:rPr>
              <w:t>(16,519,155)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60" w:type="dxa"/>
            <w:vAlign w:val="bottom"/>
            <w:shd w:val="clear" w:color="auto" w:fill="CCEEFF"/>
          </w:tcPr>
          <w:p>
            <w:pPr>
              <w:spacing w:after="0"/>
              <w:rPr>
                <w:sz w:val="20"/>
                <w:szCs w:val="20"/>
                <w:color w:val="auto"/>
              </w:rPr>
            </w:pPr>
            <w:r>
              <w:rPr>
                <w:rFonts w:ascii="Arial" w:cs="Arial" w:eastAsia="Arial" w:hAnsi="Arial"/>
                <w:sz w:val="18"/>
                <w:szCs w:val="18"/>
                <w:color w:val="auto"/>
              </w:rPr>
              <w:t>Other comprehensive income</w:t>
            </w:r>
          </w:p>
        </w:tc>
        <w:tc>
          <w:tcPr>
            <w:tcW w:w="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760" w:type="dxa"/>
            <w:vAlign w:val="bottom"/>
          </w:tcPr>
          <w:p>
            <w:pPr>
              <w:ind w:left="340"/>
              <w:spacing w:after="0"/>
              <w:rPr>
                <w:sz w:val="20"/>
                <w:szCs w:val="20"/>
                <w:color w:val="auto"/>
              </w:rPr>
            </w:pPr>
            <w:r>
              <w:rPr>
                <w:rFonts w:ascii="Arial" w:cs="Arial" w:eastAsia="Arial" w:hAnsi="Arial"/>
                <w:sz w:val="18"/>
                <w:szCs w:val="18"/>
                <w:color w:val="auto"/>
              </w:rPr>
              <w:t>Foreign currency translation</w:t>
            </w:r>
          </w:p>
        </w:tc>
        <w:tc>
          <w:tcPr>
            <w:tcW w:w="20" w:type="dxa"/>
            <w:vAlign w:val="bottom"/>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0" w:type="dxa"/>
            <w:vAlign w:val="bottom"/>
            <w:tcBorders>
              <w:bottom w:val="single" w:sz="8" w:color="auto"/>
            </w:tcBorders>
          </w:tcPr>
          <w:p>
            <w:pPr>
              <w:jc w:val="right"/>
              <w:ind w:right="14"/>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563,279</w:t>
            </w:r>
          </w:p>
        </w:tc>
        <w:tc>
          <w:tcPr>
            <w:tcW w:w="46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563,279</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 comprehensive loss for the year</w:t>
            </w:r>
          </w:p>
        </w:tc>
        <w:tc>
          <w:tcPr>
            <w:tcW w:w="2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b w:val="1"/>
                <w:bCs w:val="1"/>
                <w:color w:val="auto"/>
              </w:rPr>
              <w:t>—</w:t>
            </w:r>
          </w:p>
        </w:tc>
        <w:tc>
          <w:tcPr>
            <w:tcW w:w="164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b w:val="1"/>
                <w:bCs w:val="1"/>
                <w:color w:val="auto"/>
              </w:rPr>
              <w:t>(16,519,155)</w:t>
            </w:r>
          </w:p>
        </w:tc>
        <w:tc>
          <w:tcPr>
            <w:tcW w:w="2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b w:val="1"/>
                <w:bCs w:val="1"/>
                <w:color w:val="auto"/>
              </w:rPr>
              <w:t>—</w:t>
            </w:r>
          </w:p>
        </w:tc>
        <w:tc>
          <w:tcPr>
            <w:tcW w:w="106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563,279</w:t>
            </w:r>
          </w:p>
        </w:tc>
        <w:tc>
          <w:tcPr>
            <w:tcW w:w="4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b w:val="1"/>
                <w:bCs w:val="1"/>
                <w:color w:val="auto"/>
                <w:w w:val="90"/>
              </w:rPr>
              <w:t>(15,955,876)</w:t>
            </w:r>
          </w:p>
        </w:tc>
        <w:tc>
          <w:tcPr>
            <w:tcW w:w="0" w:type="dxa"/>
            <w:vAlign w:val="bottom"/>
          </w:tcPr>
          <w:p>
            <w:pPr>
              <w:spacing w:after="0"/>
              <w:rPr>
                <w:sz w:val="1"/>
                <w:szCs w:val="1"/>
                <w:color w:val="auto"/>
              </w:rPr>
            </w:pPr>
          </w:p>
        </w:tc>
      </w:tr>
      <w:tr>
        <w:trPr>
          <w:trHeight w:val="209"/>
        </w:trPr>
        <w:tc>
          <w:tcPr>
            <w:tcW w:w="3780" w:type="dxa"/>
            <w:vAlign w:val="bottom"/>
            <w:gridSpan w:val="2"/>
          </w:tcPr>
          <w:p>
            <w:pPr>
              <w:spacing w:after="0"/>
              <w:rPr>
                <w:sz w:val="20"/>
                <w:szCs w:val="20"/>
                <w:color w:val="auto"/>
              </w:rPr>
            </w:pPr>
            <w:r>
              <w:rPr>
                <w:rFonts w:ascii="Arial" w:cs="Arial" w:eastAsia="Arial" w:hAnsi="Arial"/>
                <w:sz w:val="18"/>
                <w:szCs w:val="18"/>
                <w:i w:val="1"/>
                <w:iCs w:val="1"/>
                <w:color w:val="auto"/>
              </w:rPr>
              <w:t>Transactions with owners in their capacity as</w:t>
            </w:r>
          </w:p>
        </w:tc>
        <w:tc>
          <w:tcPr>
            <w:tcW w:w="20" w:type="dxa"/>
            <w:vAlign w:val="bottom"/>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0" w:type="dxa"/>
            <w:vAlign w:val="bottom"/>
            <w:tcBorders>
              <w:top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760" w:type="dxa"/>
            <w:vAlign w:val="bottom"/>
            <w:tcBorders>
              <w:top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60" w:type="dxa"/>
            <w:vAlign w:val="bottom"/>
            <w:tcBorders>
              <w:top w:val="single" w:sz="8" w:color="auto"/>
            </w:tcBorders>
          </w:tcPr>
          <w:p>
            <w:pPr>
              <w:spacing w:after="0"/>
              <w:rPr>
                <w:sz w:val="18"/>
                <w:szCs w:val="18"/>
                <w:color w:val="auto"/>
              </w:rPr>
            </w:pPr>
          </w:p>
        </w:tc>
        <w:tc>
          <w:tcPr>
            <w:tcW w:w="46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760" w:type="dxa"/>
            <w:vAlign w:val="bottom"/>
          </w:tcPr>
          <w:p>
            <w:pPr>
              <w:ind w:left="160"/>
              <w:spacing w:after="0"/>
              <w:rPr>
                <w:sz w:val="20"/>
                <w:szCs w:val="20"/>
                <w:color w:val="auto"/>
              </w:rPr>
            </w:pPr>
            <w:r>
              <w:rPr>
                <w:rFonts w:ascii="Arial" w:cs="Arial" w:eastAsia="Arial" w:hAnsi="Arial"/>
                <w:sz w:val="18"/>
                <w:szCs w:val="18"/>
                <w:i w:val="1"/>
                <w:iCs w:val="1"/>
                <w:color w:val="auto"/>
              </w:rPr>
              <w:t>owners:</w:t>
            </w:r>
          </w:p>
        </w:tc>
        <w:tc>
          <w:tcPr>
            <w:tcW w:w="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60" w:type="dxa"/>
            <w:vAlign w:val="bottom"/>
            <w:shd w:val="clear" w:color="auto" w:fill="CCEEFF"/>
          </w:tcPr>
          <w:p>
            <w:pPr>
              <w:spacing w:after="0"/>
              <w:rPr>
                <w:sz w:val="20"/>
                <w:szCs w:val="20"/>
                <w:color w:val="auto"/>
              </w:rPr>
            </w:pPr>
            <w:r>
              <w:rPr>
                <w:rFonts w:ascii="Arial" w:cs="Arial" w:eastAsia="Arial" w:hAnsi="Arial"/>
                <w:sz w:val="18"/>
                <w:szCs w:val="18"/>
                <w:color w:val="auto"/>
              </w:rPr>
              <w:t>Expired options</w:t>
            </w:r>
          </w:p>
        </w:tc>
        <w:tc>
          <w:tcPr>
            <w:tcW w:w="2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14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141,188</w:t>
            </w: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(141,188)</w:t>
            </w:r>
          </w:p>
        </w:tc>
        <w:tc>
          <w:tcPr>
            <w:tcW w:w="20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ind w:left="60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60" w:type="dxa"/>
            <w:vAlign w:val="bottom"/>
          </w:tcPr>
          <w:p>
            <w:pPr>
              <w:spacing w:after="0"/>
              <w:rPr>
                <w:sz w:val="20"/>
                <w:szCs w:val="20"/>
                <w:color w:val="auto"/>
              </w:rPr>
            </w:pPr>
            <w:r>
              <w:rPr>
                <w:rFonts w:ascii="Arial" w:cs="Arial" w:eastAsia="Arial" w:hAnsi="Arial"/>
                <w:sz w:val="18"/>
                <w:szCs w:val="18"/>
                <w:color w:val="auto"/>
              </w:rPr>
              <w:t>Forfeiture options</w:t>
            </w:r>
          </w:p>
        </w:tc>
        <w:tc>
          <w:tcPr>
            <w:tcW w:w="20" w:type="dxa"/>
            <w:vAlign w:val="bottom"/>
          </w:tcPr>
          <w:p>
            <w:pPr>
              <w:spacing w:after="0"/>
              <w:rPr>
                <w:sz w:val="18"/>
                <w:szCs w:val="18"/>
                <w:color w:val="auto"/>
              </w:rPr>
            </w:pPr>
          </w:p>
        </w:tc>
        <w:tc>
          <w:tcPr>
            <w:tcW w:w="138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1400" w:type="dxa"/>
            <w:vAlign w:val="bottom"/>
            <w:gridSpan w:val="2"/>
          </w:tcPr>
          <w:p>
            <w:pPr>
              <w:jc w:val="right"/>
              <w:spacing w:after="0"/>
              <w:rPr>
                <w:sz w:val="20"/>
                <w:szCs w:val="20"/>
                <w:color w:val="auto"/>
              </w:rPr>
            </w:pPr>
            <w:r>
              <w:rPr>
                <w:rFonts w:ascii="Arial" w:cs="Arial" w:eastAsia="Arial" w:hAnsi="Arial"/>
                <w:sz w:val="18"/>
                <w:szCs w:val="18"/>
                <w:color w:val="auto"/>
              </w:rPr>
              <w:t>3,440</w:t>
            </w: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20" w:type="dxa"/>
            <w:vAlign w:val="bottom"/>
            <w:gridSpan w:val="2"/>
          </w:tcPr>
          <w:p>
            <w:pPr>
              <w:jc w:val="right"/>
              <w:ind w:right="200"/>
              <w:spacing w:after="0"/>
              <w:rPr>
                <w:sz w:val="20"/>
                <w:szCs w:val="20"/>
                <w:color w:val="auto"/>
              </w:rPr>
            </w:pPr>
            <w:r>
              <w:rPr>
                <w:rFonts w:ascii="Arial" w:cs="Arial" w:eastAsia="Arial" w:hAnsi="Arial"/>
                <w:sz w:val="18"/>
                <w:szCs w:val="18"/>
                <w:color w:val="auto"/>
              </w:rPr>
              <w:t>(31,832)</w:t>
            </w:r>
          </w:p>
        </w:tc>
        <w:tc>
          <w:tcPr>
            <w:tcW w:w="200" w:type="dxa"/>
            <w:vAlign w:val="bottom"/>
          </w:tcPr>
          <w:p>
            <w:pPr>
              <w:spacing w:after="0"/>
              <w:rPr>
                <w:sz w:val="18"/>
                <w:szCs w:val="18"/>
                <w:color w:val="auto"/>
              </w:rPr>
            </w:pPr>
          </w:p>
        </w:tc>
        <w:tc>
          <w:tcPr>
            <w:tcW w:w="1320" w:type="dxa"/>
            <w:vAlign w:val="bottom"/>
            <w:gridSpan w:val="2"/>
          </w:tcPr>
          <w:p>
            <w:pPr>
              <w:ind w:left="60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000" w:type="dxa"/>
            <w:vAlign w:val="bottom"/>
            <w:gridSpan w:val="2"/>
          </w:tcPr>
          <w:p>
            <w:pPr>
              <w:jc w:val="right"/>
              <w:ind w:right="60"/>
              <w:spacing w:after="0"/>
              <w:rPr>
                <w:sz w:val="20"/>
                <w:szCs w:val="20"/>
                <w:color w:val="auto"/>
              </w:rPr>
            </w:pPr>
            <w:r>
              <w:rPr>
                <w:rFonts w:ascii="Arial" w:cs="Arial" w:eastAsia="Arial" w:hAnsi="Arial"/>
                <w:sz w:val="18"/>
                <w:szCs w:val="18"/>
                <w:color w:val="auto"/>
              </w:rPr>
              <w:t>(28,392)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60" w:type="dxa"/>
            <w:vAlign w:val="bottom"/>
            <w:shd w:val="clear" w:color="auto" w:fill="CCEEFF"/>
          </w:tcPr>
          <w:p>
            <w:pPr>
              <w:spacing w:after="0"/>
              <w:rPr>
                <w:sz w:val="20"/>
                <w:szCs w:val="20"/>
                <w:color w:val="auto"/>
              </w:rPr>
            </w:pPr>
            <w:r>
              <w:rPr>
                <w:rFonts w:ascii="Arial" w:cs="Arial" w:eastAsia="Arial" w:hAnsi="Arial"/>
                <w:sz w:val="18"/>
                <w:szCs w:val="18"/>
                <w:color w:val="auto"/>
              </w:rPr>
              <w:t>Share-based payments</w:t>
            </w:r>
          </w:p>
        </w:tc>
        <w:tc>
          <w:tcPr>
            <w:tcW w:w="2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1,866,989</w:t>
            </w: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ind w:left="60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1,866,989</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60" w:type="dxa"/>
            <w:vAlign w:val="bottom"/>
          </w:tcPr>
          <w:p>
            <w:pPr>
              <w:spacing w:after="0"/>
              <w:rPr>
                <w:sz w:val="20"/>
                <w:szCs w:val="20"/>
                <w:color w:val="auto"/>
              </w:rPr>
            </w:pPr>
            <w:r>
              <w:rPr>
                <w:rFonts w:ascii="Arial" w:cs="Arial" w:eastAsia="Arial" w:hAnsi="Arial"/>
                <w:sz w:val="18"/>
                <w:szCs w:val="18"/>
                <w:color w:val="auto"/>
              </w:rPr>
              <w:t>New shares</w:t>
            </w:r>
          </w:p>
        </w:tc>
        <w:tc>
          <w:tcPr>
            <w:tcW w:w="1140" w:type="dxa"/>
            <w:vAlign w:val="bottom"/>
            <w:gridSpan w:val="2"/>
          </w:tcPr>
          <w:p>
            <w:pPr>
              <w:jc w:val="right"/>
              <w:spacing w:after="0"/>
              <w:rPr>
                <w:sz w:val="20"/>
                <w:szCs w:val="20"/>
                <w:color w:val="auto"/>
              </w:rPr>
            </w:pPr>
            <w:r>
              <w:rPr>
                <w:rFonts w:ascii="Arial" w:cs="Arial" w:eastAsia="Arial" w:hAnsi="Arial"/>
                <w:sz w:val="18"/>
                <w:szCs w:val="18"/>
                <w:color w:val="auto"/>
              </w:rPr>
              <w:t>29,846,859</w:t>
            </w: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4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2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320" w:type="dxa"/>
            <w:vAlign w:val="bottom"/>
            <w:gridSpan w:val="2"/>
          </w:tcPr>
          <w:p>
            <w:pPr>
              <w:ind w:left="60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w w:val="95"/>
              </w:rPr>
              <w:t>29,846,859</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60" w:type="dxa"/>
            <w:vAlign w:val="bottom"/>
            <w:shd w:val="clear" w:color="auto" w:fill="CCEEFF"/>
          </w:tcPr>
          <w:p>
            <w:pPr>
              <w:spacing w:after="0"/>
              <w:rPr>
                <w:sz w:val="20"/>
                <w:szCs w:val="20"/>
                <w:color w:val="auto"/>
              </w:rPr>
            </w:pPr>
            <w:r>
              <w:rPr>
                <w:rFonts w:ascii="Arial" w:cs="Arial" w:eastAsia="Arial" w:hAnsi="Arial"/>
                <w:sz w:val="18"/>
                <w:szCs w:val="18"/>
                <w:color w:val="auto"/>
              </w:rPr>
              <w:t>Cost of share placement</w:t>
            </w:r>
          </w:p>
        </w:tc>
        <w:tc>
          <w:tcPr>
            <w:tcW w:w="140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(1,851,853)</w:t>
            </w:r>
          </w:p>
        </w:tc>
        <w:tc>
          <w:tcPr>
            <w:tcW w:w="20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ind w:left="60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9"/>
              </w:rPr>
              <w:t>(1,851,853)</w:t>
            </w:r>
          </w:p>
        </w:tc>
        <w:tc>
          <w:tcPr>
            <w:tcW w:w="0" w:type="dxa"/>
            <w:vAlign w:val="bottom"/>
          </w:tcPr>
          <w:p>
            <w:pPr>
              <w:spacing w:after="0"/>
              <w:rPr>
                <w:sz w:val="1"/>
                <w:szCs w:val="1"/>
                <w:color w:val="auto"/>
              </w:rPr>
            </w:pPr>
          </w:p>
        </w:tc>
      </w:tr>
      <w:tr>
        <w:trPr>
          <w:trHeight w:val="223"/>
        </w:trPr>
        <w:tc>
          <w:tcPr>
            <w:tcW w:w="3780" w:type="dxa"/>
            <w:vAlign w:val="bottom"/>
            <w:gridSpan w:val="2"/>
          </w:tcPr>
          <w:p>
            <w:pPr>
              <w:spacing w:after="0"/>
              <w:rPr>
                <w:sz w:val="20"/>
                <w:szCs w:val="20"/>
                <w:color w:val="auto"/>
              </w:rPr>
            </w:pPr>
            <w:r>
              <w:rPr>
                <w:rFonts w:ascii="Arial" w:cs="Arial" w:eastAsia="Arial" w:hAnsi="Arial"/>
                <w:sz w:val="18"/>
                <w:szCs w:val="18"/>
                <w:b w:val="1"/>
                <w:bCs w:val="1"/>
                <w:color w:val="auto"/>
              </w:rPr>
              <w:t>Balance at June 30, 2018</w:t>
            </w:r>
          </w:p>
        </w:tc>
        <w:tc>
          <w:tcPr>
            <w:tcW w:w="20" w:type="dxa"/>
            <w:vAlign w:val="bottom"/>
            <w:tcBorders>
              <w:bottom w:val="single" w:sz="8" w:color="auto"/>
            </w:tcBorders>
          </w:tcPr>
          <w:p>
            <w:pPr>
              <w:spacing w:after="0"/>
              <w:rPr>
                <w:sz w:val="19"/>
                <w:szCs w:val="19"/>
                <w:color w:val="auto"/>
              </w:rPr>
            </w:pPr>
          </w:p>
        </w:tc>
        <w:tc>
          <w:tcPr>
            <w:tcW w:w="112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8"/>
                <w:szCs w:val="18"/>
                <w:b w:val="1"/>
                <w:bCs w:val="1"/>
                <w:u w:val="single" w:color="auto"/>
                <w:color w:val="auto"/>
                <w:w w:val="90"/>
              </w:rPr>
              <w:t>A$</w:t>
            </w:r>
            <w:r>
              <w:rPr>
                <w:rFonts w:ascii="Arial" w:cs="Arial" w:eastAsia="Arial" w:hAnsi="Arial"/>
                <w:sz w:val="18"/>
                <w:szCs w:val="18"/>
                <w:b w:val="1"/>
                <w:bCs w:val="1"/>
                <w:color w:val="auto"/>
                <w:w w:val="90"/>
              </w:rPr>
              <w:t>162,801,028</w:t>
            </w:r>
          </w:p>
        </w:tc>
        <w:tc>
          <w:tcPr>
            <w:tcW w:w="2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8"/>
                <w:szCs w:val="18"/>
                <w:b w:val="1"/>
                <w:bCs w:val="1"/>
                <w:u w:val="single" w:color="auto"/>
                <w:color w:val="auto"/>
                <w:w w:val="87"/>
              </w:rPr>
              <w:t>A$</w:t>
            </w:r>
            <w:r>
              <w:rPr>
                <w:rFonts w:ascii="Arial" w:cs="Arial" w:eastAsia="Arial" w:hAnsi="Arial"/>
                <w:sz w:val="18"/>
                <w:szCs w:val="18"/>
                <w:b w:val="1"/>
                <w:bCs w:val="1"/>
                <w:color w:val="auto"/>
                <w:w w:val="87"/>
              </w:rPr>
              <w:t xml:space="preserve"> (148,592,879</w:t>
            </w:r>
          </w:p>
        </w:tc>
        <w:tc>
          <w:tcPr>
            <w:tcW w:w="240" w:type="dxa"/>
            <w:vAlign w:val="bottom"/>
          </w:tcPr>
          <w:p>
            <w:pPr>
              <w:jc w:val="right"/>
              <w:ind w:right="160"/>
              <w:spacing w:after="0"/>
              <w:rPr>
                <w:sz w:val="20"/>
                <w:szCs w:val="20"/>
                <w:color w:val="auto"/>
              </w:rPr>
            </w:pPr>
            <w:r>
              <w:rPr>
                <w:rFonts w:ascii="Arial" w:cs="Arial" w:eastAsia="Arial" w:hAnsi="Arial"/>
                <w:sz w:val="8"/>
                <w:szCs w:val="8"/>
                <w:b w:val="1"/>
                <w:bCs w:val="1"/>
                <w:color w:val="auto"/>
                <w:w w:val="73"/>
              </w:rPr>
              <w:t>)</w:t>
            </w:r>
          </w:p>
        </w:tc>
        <w:tc>
          <w:tcPr>
            <w:tcW w:w="200" w:type="dxa"/>
            <w:vAlign w:val="bottom"/>
          </w:tcPr>
          <w:p>
            <w:pPr>
              <w:spacing w:after="0"/>
              <w:rPr>
                <w:sz w:val="19"/>
                <w:szCs w:val="19"/>
                <w:color w:val="auto"/>
              </w:rPr>
            </w:pPr>
          </w:p>
        </w:tc>
        <w:tc>
          <w:tcPr>
            <w:tcW w:w="26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b w:val="1"/>
                <w:bCs w:val="1"/>
                <w:u w:val="single" w:color="auto"/>
                <w:color w:val="auto"/>
              </w:rPr>
              <w:t>A</w:t>
            </w:r>
            <w:r>
              <w:rPr>
                <w:rFonts w:ascii="Arial" w:cs="Arial" w:eastAsia="Arial" w:hAnsi="Arial"/>
                <w:sz w:val="18"/>
                <w:szCs w:val="18"/>
                <w:b w:val="1"/>
                <w:bCs w:val="1"/>
                <w:color w:val="auto"/>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2"/>
              </w:rPr>
              <w:t>4,505,148</w:t>
            </w:r>
          </w:p>
        </w:tc>
        <w:tc>
          <w:tcPr>
            <w:tcW w:w="2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6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8"/>
                <w:szCs w:val="18"/>
                <w:b w:val="1"/>
                <w:bCs w:val="1"/>
                <w:u w:val="single" w:color="auto"/>
                <w:color w:val="auto"/>
                <w:w w:val="92"/>
              </w:rPr>
              <w:t>A</w:t>
            </w:r>
            <w:r>
              <w:rPr>
                <w:rFonts w:ascii="Arial" w:cs="Arial" w:eastAsia="Arial" w:hAnsi="Arial"/>
                <w:sz w:val="18"/>
                <w:szCs w:val="18"/>
                <w:b w:val="1"/>
                <w:bCs w:val="1"/>
                <w:color w:val="auto"/>
                <w:w w:val="92"/>
              </w:rPr>
              <w:t>$ 286,262</w:t>
            </w:r>
          </w:p>
        </w:tc>
        <w:tc>
          <w:tcPr>
            <w:tcW w:w="460" w:type="dxa"/>
            <w:vAlign w:val="bottom"/>
          </w:tcPr>
          <w:p>
            <w:pPr>
              <w:spacing w:after="0"/>
              <w:rPr>
                <w:sz w:val="19"/>
                <w:szCs w:val="19"/>
                <w:color w:val="auto"/>
              </w:rPr>
            </w:pPr>
          </w:p>
        </w:tc>
        <w:tc>
          <w:tcPr>
            <w:tcW w:w="22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b w:val="1"/>
                <w:bCs w:val="1"/>
                <w:u w:val="single" w:color="auto"/>
                <w:color w:val="auto"/>
                <w:w w:val="86"/>
              </w:rPr>
              <w:t>A</w:t>
            </w:r>
            <w:r>
              <w:rPr>
                <w:rFonts w:ascii="Arial" w:cs="Arial" w:eastAsia="Arial" w:hAnsi="Arial"/>
                <w:sz w:val="18"/>
                <w:szCs w:val="18"/>
                <w:b w:val="1"/>
                <w:bCs w:val="1"/>
                <w:color w:val="auto"/>
                <w:w w:val="86"/>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5"/>
              </w:rPr>
              <w:t>18,999,559</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7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ind w:left="200"/>
        <w:spacing w:after="0"/>
        <w:rPr>
          <w:sz w:val="20"/>
          <w:szCs w:val="20"/>
          <w:color w:val="auto"/>
        </w:rPr>
      </w:pPr>
      <w:r>
        <w:rPr>
          <w:rFonts w:ascii="Arial" w:cs="Arial" w:eastAsia="Arial" w:hAnsi="Arial"/>
          <w:sz w:val="18"/>
          <w:szCs w:val="18"/>
          <w:color w:val="auto"/>
        </w:rPr>
        <w:t>The accompanying notes form part of the consolidated financial statements.</w:t>
      </w:r>
    </w:p>
    <w:p>
      <w:pPr>
        <w:spacing w:after="0" w:line="158" w:lineRule="exact"/>
        <w:rPr>
          <w:sz w:val="20"/>
          <w:szCs w:val="20"/>
          <w:color w:val="auto"/>
        </w:rPr>
      </w:pPr>
    </w:p>
    <w:p>
      <w:pPr>
        <w:ind w:left="5580"/>
        <w:spacing w:after="0"/>
        <w:rPr>
          <w:sz w:val="20"/>
          <w:szCs w:val="20"/>
          <w:color w:val="auto"/>
        </w:rPr>
      </w:pPr>
      <w:r>
        <w:rPr>
          <w:rFonts w:ascii="Arial" w:cs="Arial" w:eastAsia="Arial" w:hAnsi="Arial"/>
          <w:sz w:val="18"/>
          <w:szCs w:val="18"/>
          <w:color w:val="auto"/>
        </w:rPr>
        <w:t>F-7</w:t>
      </w:r>
    </w:p>
    <w:p>
      <w:pPr>
        <w:sectPr>
          <w:pgSz w:w="11900" w:h="16838" w:orient="portrait"/>
          <w:cols w:equalWidth="0" w:num="1">
            <w:col w:w="11240"/>
          </w:cols>
          <w:pgMar w:left="240" w:top="459" w:right="419" w:bottom="1440" w:gutter="0" w:footer="0" w:header="0"/>
        </w:sectPr>
      </w:pPr>
    </w:p>
    <w:bookmarkStart w:id="106" w:name="page107"/>
    <w:bookmarkEnd w:id="10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5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AVITA MEDICAL LIMITED</w:t>
      </w:r>
    </w:p>
    <w:p>
      <w:pPr>
        <w:spacing w:after="0" w:line="27"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CONSOLIDATED STATEMENT OF CHANGES IN EQUITY (CONTINUED)</w:t>
      </w:r>
    </w:p>
    <w:p>
      <w:pPr>
        <w:spacing w:after="0" w:line="9"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(IN AUSTRALIAN DOLLARS)</w:t>
      </w:r>
    </w:p>
    <w:p>
      <w:pPr>
        <w:spacing w:after="0" w:line="217" w:lineRule="exact"/>
        <w:rPr>
          <w:sz w:val="20"/>
          <w:szCs w:val="20"/>
          <w:color w:val="auto"/>
        </w:rPr>
      </w:pPr>
    </w:p>
    <w:tbl>
      <w:tblPr>
        <w:tblLayout w:type="fixed"/>
        <w:tblInd w:w="20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9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60" w:type="dxa"/>
            <w:vAlign w:val="bottom"/>
            <w:gridSpan w:val="2"/>
            <w:vMerge w:val="restart"/>
          </w:tcPr>
          <w:p>
            <w:pPr>
              <w:jc w:val="center"/>
              <w:ind w:right="220"/>
              <w:spacing w:after="0"/>
              <w:rPr>
                <w:sz w:val="20"/>
                <w:szCs w:val="20"/>
                <w:color w:val="auto"/>
              </w:rPr>
            </w:pPr>
            <w:r>
              <w:rPr>
                <w:rFonts w:ascii="Arial" w:cs="Arial" w:eastAsia="Arial" w:hAnsi="Arial"/>
                <w:sz w:val="14"/>
                <w:szCs w:val="14"/>
                <w:b w:val="1"/>
                <w:bCs w:val="1"/>
                <w:color w:val="auto"/>
                <w:w w:val="93"/>
              </w:rPr>
              <w:t>Employee</w:t>
            </w:r>
          </w:p>
        </w:tc>
        <w:tc>
          <w:tcPr>
            <w:tcW w:w="160" w:type="dxa"/>
            <w:vAlign w:val="bottom"/>
          </w:tcPr>
          <w:p>
            <w:pPr>
              <w:spacing w:after="0"/>
              <w:rPr>
                <w:sz w:val="14"/>
                <w:szCs w:val="14"/>
                <w:color w:val="auto"/>
              </w:rPr>
            </w:pPr>
          </w:p>
        </w:tc>
        <w:tc>
          <w:tcPr>
            <w:tcW w:w="1080" w:type="dxa"/>
            <w:vAlign w:val="bottom"/>
            <w:gridSpan w:val="3"/>
            <w:vMerge w:val="restart"/>
          </w:tcPr>
          <w:p>
            <w:pPr>
              <w:ind w:left="140"/>
              <w:spacing w:after="0"/>
              <w:rPr>
                <w:sz w:val="20"/>
                <w:szCs w:val="20"/>
                <w:color w:val="auto"/>
              </w:rPr>
            </w:pPr>
            <w:r>
              <w:rPr>
                <w:rFonts w:ascii="Arial" w:cs="Arial" w:eastAsia="Arial" w:hAnsi="Arial"/>
                <w:sz w:val="14"/>
                <w:szCs w:val="14"/>
                <w:b w:val="1"/>
                <w:bCs w:val="1"/>
                <w:color w:val="auto"/>
              </w:rPr>
              <w:t>Available</w:t>
            </w:r>
          </w:p>
        </w:tc>
        <w:tc>
          <w:tcPr>
            <w:tcW w:w="160" w:type="dxa"/>
            <w:vAlign w:val="bottom"/>
          </w:tcPr>
          <w:p>
            <w:pPr>
              <w:spacing w:after="0"/>
              <w:rPr>
                <w:sz w:val="14"/>
                <w:szCs w:val="14"/>
                <w:color w:val="auto"/>
              </w:rPr>
            </w:pPr>
          </w:p>
        </w:tc>
        <w:tc>
          <w:tcPr>
            <w:tcW w:w="124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3"/>
              </w:rPr>
              <w:t>Foreign</w:t>
            </w:r>
          </w:p>
        </w:tc>
        <w:tc>
          <w:tcPr>
            <w:tcW w:w="2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9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340" w:type="dxa"/>
            <w:vAlign w:val="bottom"/>
            <w:gridSpan w:val="2"/>
            <w:vMerge w:val="restart"/>
          </w:tcPr>
          <w:p>
            <w:pPr>
              <w:jc w:val="center"/>
              <w:ind w:right="220"/>
              <w:spacing w:after="0"/>
              <w:rPr>
                <w:sz w:val="20"/>
                <w:szCs w:val="20"/>
                <w:color w:val="auto"/>
              </w:rPr>
            </w:pPr>
            <w:r>
              <w:rPr>
                <w:rFonts w:ascii="Arial" w:cs="Arial" w:eastAsia="Arial" w:hAnsi="Arial"/>
                <w:sz w:val="14"/>
                <w:szCs w:val="14"/>
                <w:b w:val="1"/>
                <w:bCs w:val="1"/>
                <w:color w:val="auto"/>
                <w:w w:val="95"/>
              </w:rPr>
              <w:t>Contributed</w:t>
            </w:r>
          </w:p>
        </w:tc>
        <w:tc>
          <w:tcPr>
            <w:tcW w:w="160" w:type="dxa"/>
            <w:vAlign w:val="bottom"/>
          </w:tcPr>
          <w:p>
            <w:pPr>
              <w:spacing w:after="0"/>
              <w:rPr>
                <w:sz w:val="12"/>
                <w:szCs w:val="12"/>
                <w:color w:val="auto"/>
              </w:rPr>
            </w:pPr>
          </w:p>
        </w:tc>
        <w:tc>
          <w:tcPr>
            <w:tcW w:w="1400" w:type="dxa"/>
            <w:vAlign w:val="bottom"/>
            <w:gridSpan w:val="2"/>
            <w:vMerge w:val="restart"/>
          </w:tcPr>
          <w:p>
            <w:pPr>
              <w:jc w:val="center"/>
              <w:ind w:right="180"/>
              <w:spacing w:after="0"/>
              <w:rPr>
                <w:sz w:val="20"/>
                <w:szCs w:val="20"/>
                <w:color w:val="auto"/>
              </w:rPr>
            </w:pPr>
            <w:r>
              <w:rPr>
                <w:rFonts w:ascii="Arial" w:cs="Arial" w:eastAsia="Arial" w:hAnsi="Arial"/>
                <w:sz w:val="14"/>
                <w:szCs w:val="14"/>
                <w:b w:val="1"/>
                <w:bCs w:val="1"/>
                <w:color w:val="auto"/>
                <w:w w:val="93"/>
              </w:rPr>
              <w:t>Accumulated</w:t>
            </w:r>
          </w:p>
        </w:tc>
        <w:tc>
          <w:tcPr>
            <w:tcW w:w="160" w:type="dxa"/>
            <w:vAlign w:val="bottom"/>
          </w:tcPr>
          <w:p>
            <w:pPr>
              <w:spacing w:after="0"/>
              <w:rPr>
                <w:sz w:val="12"/>
                <w:szCs w:val="12"/>
                <w:color w:val="auto"/>
              </w:rPr>
            </w:pPr>
          </w:p>
        </w:tc>
        <w:tc>
          <w:tcPr>
            <w:tcW w:w="1160" w:type="dxa"/>
            <w:vAlign w:val="bottom"/>
            <w:gridSpan w:val="2"/>
            <w:vMerge w:val="continue"/>
          </w:tcPr>
          <w:p>
            <w:pPr>
              <w:spacing w:after="0"/>
              <w:rPr>
                <w:sz w:val="12"/>
                <w:szCs w:val="12"/>
                <w:color w:val="auto"/>
              </w:rPr>
            </w:pPr>
          </w:p>
        </w:tc>
        <w:tc>
          <w:tcPr>
            <w:tcW w:w="160" w:type="dxa"/>
            <w:vAlign w:val="bottom"/>
          </w:tcPr>
          <w:p>
            <w:pPr>
              <w:spacing w:after="0"/>
              <w:rPr>
                <w:sz w:val="12"/>
                <w:szCs w:val="12"/>
                <w:color w:val="auto"/>
              </w:rPr>
            </w:pPr>
          </w:p>
        </w:tc>
        <w:tc>
          <w:tcPr>
            <w:tcW w:w="1080" w:type="dxa"/>
            <w:vAlign w:val="bottom"/>
            <w:gridSpan w:val="3"/>
            <w:vMerge w:val="continue"/>
          </w:tcPr>
          <w:p>
            <w:pPr>
              <w:spacing w:after="0"/>
              <w:rPr>
                <w:sz w:val="12"/>
                <w:szCs w:val="12"/>
                <w:color w:val="auto"/>
              </w:rPr>
            </w:pPr>
          </w:p>
        </w:tc>
        <w:tc>
          <w:tcPr>
            <w:tcW w:w="160" w:type="dxa"/>
            <w:vAlign w:val="bottom"/>
          </w:tcPr>
          <w:p>
            <w:pPr>
              <w:spacing w:after="0"/>
              <w:rPr>
                <w:sz w:val="12"/>
                <w:szCs w:val="12"/>
                <w:color w:val="auto"/>
              </w:rPr>
            </w:pPr>
          </w:p>
        </w:tc>
        <w:tc>
          <w:tcPr>
            <w:tcW w:w="124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4"/>
              </w:rPr>
              <w:t>currency</w:t>
            </w:r>
          </w:p>
        </w:tc>
        <w:tc>
          <w:tcPr>
            <w:tcW w:w="2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9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340" w:type="dxa"/>
            <w:vAlign w:val="bottom"/>
            <w:gridSpan w:val="2"/>
            <w:vMerge w:val="continue"/>
          </w:tcPr>
          <w:p>
            <w:pPr>
              <w:spacing w:after="0"/>
              <w:rPr>
                <w:sz w:val="12"/>
                <w:szCs w:val="12"/>
                <w:color w:val="auto"/>
              </w:rPr>
            </w:pPr>
          </w:p>
        </w:tc>
        <w:tc>
          <w:tcPr>
            <w:tcW w:w="160" w:type="dxa"/>
            <w:vAlign w:val="bottom"/>
          </w:tcPr>
          <w:p>
            <w:pPr>
              <w:spacing w:after="0"/>
              <w:rPr>
                <w:sz w:val="12"/>
                <w:szCs w:val="12"/>
                <w:color w:val="auto"/>
              </w:rPr>
            </w:pPr>
          </w:p>
        </w:tc>
        <w:tc>
          <w:tcPr>
            <w:tcW w:w="1400" w:type="dxa"/>
            <w:vAlign w:val="bottom"/>
            <w:gridSpan w:val="2"/>
            <w:vMerge w:val="continue"/>
          </w:tcPr>
          <w:p>
            <w:pPr>
              <w:spacing w:after="0"/>
              <w:rPr>
                <w:sz w:val="12"/>
                <w:szCs w:val="12"/>
                <w:color w:val="auto"/>
              </w:rPr>
            </w:pPr>
          </w:p>
        </w:tc>
        <w:tc>
          <w:tcPr>
            <w:tcW w:w="160" w:type="dxa"/>
            <w:vAlign w:val="bottom"/>
          </w:tcPr>
          <w:p>
            <w:pPr>
              <w:spacing w:after="0"/>
              <w:rPr>
                <w:sz w:val="12"/>
                <w:szCs w:val="12"/>
                <w:color w:val="auto"/>
              </w:rPr>
            </w:pPr>
          </w:p>
        </w:tc>
        <w:tc>
          <w:tcPr>
            <w:tcW w:w="116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92"/>
              </w:rPr>
              <w:t>equity benefit</w:t>
            </w:r>
          </w:p>
        </w:tc>
        <w:tc>
          <w:tcPr>
            <w:tcW w:w="160" w:type="dxa"/>
            <w:vAlign w:val="bottom"/>
          </w:tcPr>
          <w:p>
            <w:pPr>
              <w:spacing w:after="0"/>
              <w:rPr>
                <w:sz w:val="12"/>
                <w:szCs w:val="12"/>
                <w:color w:val="auto"/>
              </w:rPr>
            </w:pPr>
          </w:p>
        </w:tc>
        <w:tc>
          <w:tcPr>
            <w:tcW w:w="1080" w:type="dxa"/>
            <w:vAlign w:val="bottom"/>
            <w:gridSpan w:val="3"/>
          </w:tcPr>
          <w:p>
            <w:pPr>
              <w:jc w:val="right"/>
              <w:ind w:right="420"/>
              <w:spacing w:after="0" w:line="149" w:lineRule="exact"/>
              <w:rPr>
                <w:sz w:val="20"/>
                <w:szCs w:val="20"/>
                <w:color w:val="auto"/>
              </w:rPr>
            </w:pPr>
            <w:r>
              <w:rPr>
                <w:rFonts w:ascii="Arial" w:cs="Arial" w:eastAsia="Arial" w:hAnsi="Arial"/>
                <w:sz w:val="14"/>
                <w:szCs w:val="14"/>
                <w:b w:val="1"/>
                <w:bCs w:val="1"/>
                <w:color w:val="auto"/>
              </w:rPr>
              <w:t>for sale</w:t>
            </w:r>
          </w:p>
        </w:tc>
        <w:tc>
          <w:tcPr>
            <w:tcW w:w="160" w:type="dxa"/>
            <w:vAlign w:val="bottom"/>
          </w:tcPr>
          <w:p>
            <w:pPr>
              <w:spacing w:after="0"/>
              <w:rPr>
                <w:sz w:val="12"/>
                <w:szCs w:val="12"/>
                <w:color w:val="auto"/>
              </w:rPr>
            </w:pPr>
          </w:p>
        </w:tc>
        <w:tc>
          <w:tcPr>
            <w:tcW w:w="124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4"/>
              </w:rPr>
              <w:t>translation</w:t>
            </w:r>
          </w:p>
        </w:tc>
        <w:tc>
          <w:tcPr>
            <w:tcW w:w="220" w:type="dxa"/>
            <w:vAlign w:val="bottom"/>
          </w:tcPr>
          <w:p>
            <w:pPr>
              <w:spacing w:after="0"/>
              <w:rPr>
                <w:sz w:val="12"/>
                <w:szCs w:val="12"/>
                <w:color w:val="auto"/>
              </w:rPr>
            </w:pPr>
          </w:p>
        </w:tc>
        <w:tc>
          <w:tcPr>
            <w:tcW w:w="1000" w:type="dxa"/>
            <w:vAlign w:val="bottom"/>
            <w:gridSpan w:val="2"/>
            <w:vMerge w:val="restart"/>
          </w:tcPr>
          <w:p>
            <w:pPr>
              <w:jc w:val="right"/>
              <w:ind w:right="52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29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34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2"/>
              </w:rPr>
              <w:t>equity</w:t>
            </w:r>
          </w:p>
        </w:tc>
        <w:tc>
          <w:tcPr>
            <w:tcW w:w="160" w:type="dxa"/>
            <w:vAlign w:val="bottom"/>
          </w:tcPr>
          <w:p>
            <w:pPr>
              <w:spacing w:after="0"/>
              <w:rPr>
                <w:sz w:val="14"/>
                <w:szCs w:val="14"/>
                <w:color w:val="auto"/>
              </w:rPr>
            </w:pPr>
          </w:p>
        </w:tc>
        <w:tc>
          <w:tcPr>
            <w:tcW w:w="140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77"/>
              </w:rPr>
              <w:t>losses</w:t>
            </w:r>
          </w:p>
        </w:tc>
        <w:tc>
          <w:tcPr>
            <w:tcW w:w="160" w:type="dxa"/>
            <w:vAlign w:val="bottom"/>
          </w:tcPr>
          <w:p>
            <w:pPr>
              <w:spacing w:after="0"/>
              <w:rPr>
                <w:sz w:val="14"/>
                <w:szCs w:val="14"/>
                <w:color w:val="auto"/>
              </w:rPr>
            </w:pPr>
          </w:p>
        </w:tc>
        <w:tc>
          <w:tcPr>
            <w:tcW w:w="116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88"/>
              </w:rPr>
              <w:t>reserve</w:t>
            </w:r>
          </w:p>
        </w:tc>
        <w:tc>
          <w:tcPr>
            <w:tcW w:w="160" w:type="dxa"/>
            <w:vAlign w:val="bottom"/>
          </w:tcPr>
          <w:p>
            <w:pPr>
              <w:spacing w:after="0"/>
              <w:rPr>
                <w:sz w:val="14"/>
                <w:szCs w:val="14"/>
                <w:color w:val="auto"/>
              </w:rPr>
            </w:pPr>
          </w:p>
        </w:tc>
        <w:tc>
          <w:tcPr>
            <w:tcW w:w="1080" w:type="dxa"/>
            <w:vAlign w:val="bottom"/>
            <w:gridSpan w:val="3"/>
          </w:tcPr>
          <w:p>
            <w:pPr>
              <w:jc w:val="right"/>
              <w:ind w:right="420"/>
              <w:spacing w:after="0"/>
              <w:rPr>
                <w:sz w:val="20"/>
                <w:szCs w:val="20"/>
                <w:color w:val="auto"/>
              </w:rPr>
            </w:pPr>
            <w:r>
              <w:rPr>
                <w:rFonts w:ascii="Arial" w:cs="Arial" w:eastAsia="Arial" w:hAnsi="Arial"/>
                <w:sz w:val="14"/>
                <w:szCs w:val="14"/>
                <w:b w:val="1"/>
                <w:bCs w:val="1"/>
                <w:color w:val="auto"/>
              </w:rPr>
              <w:t>reserve</w:t>
            </w:r>
          </w:p>
        </w:tc>
        <w:tc>
          <w:tcPr>
            <w:tcW w:w="160" w:type="dxa"/>
            <w:vAlign w:val="bottom"/>
          </w:tcPr>
          <w:p>
            <w:pPr>
              <w:spacing w:after="0"/>
              <w:rPr>
                <w:sz w:val="14"/>
                <w:szCs w:val="14"/>
                <w:color w:val="auto"/>
              </w:rPr>
            </w:pPr>
          </w:p>
        </w:tc>
        <w:tc>
          <w:tcPr>
            <w:tcW w:w="124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88"/>
              </w:rPr>
              <w:t>reserve</w:t>
            </w:r>
          </w:p>
        </w:tc>
        <w:tc>
          <w:tcPr>
            <w:tcW w:w="220" w:type="dxa"/>
            <w:vAlign w:val="bottom"/>
          </w:tcPr>
          <w:p>
            <w:pPr>
              <w:spacing w:after="0"/>
              <w:rPr>
                <w:sz w:val="14"/>
                <w:szCs w:val="14"/>
                <w:color w:val="auto"/>
              </w:rPr>
            </w:pPr>
          </w:p>
        </w:tc>
        <w:tc>
          <w:tcPr>
            <w:tcW w:w="100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9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At July 1, 2016</w:t>
            </w:r>
          </w:p>
        </w:tc>
        <w:tc>
          <w:tcPr>
            <w:tcW w:w="20" w:type="dxa"/>
            <w:vAlign w:val="bottom"/>
            <w:tcBorders>
              <w:top w:val="single" w:sz="8" w:color="CCEEFF"/>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b w:val="1"/>
                <w:bCs w:val="1"/>
                <w:color w:val="auto"/>
                <w:w w:val="90"/>
              </w:rPr>
              <w:t>A$126,264,372</w:t>
            </w:r>
          </w:p>
        </w:tc>
        <w:tc>
          <w:tcPr>
            <w:tcW w:w="2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120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b w:val="1"/>
                <w:bCs w:val="1"/>
                <w:color w:val="auto"/>
                <w:w w:val="85"/>
              </w:rPr>
              <w:t>A$ (121,108,408)</w:t>
            </w:r>
          </w:p>
        </w:tc>
        <w:tc>
          <w:tcPr>
            <w:tcW w:w="2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b w:val="1"/>
                <w:bCs w:val="1"/>
                <w:color w:val="auto"/>
                <w:w w:val="93"/>
              </w:rPr>
              <w:t>A$1,625,016</w:t>
            </w:r>
          </w:p>
        </w:tc>
        <w:tc>
          <w:tcPr>
            <w:tcW w:w="2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b w:val="1"/>
                <w:bCs w:val="1"/>
                <w:color w:val="auto"/>
                <w:w w:val="86"/>
              </w:rPr>
              <w:t>A$</w:t>
            </w: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8"/>
              </w:rPr>
              <w:t>265,261</w:t>
            </w:r>
          </w:p>
        </w:tc>
        <w:tc>
          <w:tcPr>
            <w:tcW w:w="2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b w:val="1"/>
                <w:bCs w:val="1"/>
                <w:color w:val="auto"/>
                <w:w w:val="87"/>
              </w:rPr>
              <w:t>A$(193,724)</w:t>
            </w:r>
          </w:p>
        </w:tc>
        <w:tc>
          <w:tcPr>
            <w:tcW w:w="36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b w:val="1"/>
                <w:bCs w:val="1"/>
                <w:color w:val="auto"/>
                <w:w w:val="86"/>
              </w:rPr>
              <w:t>A$</w:t>
            </w: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6,852,517</w:t>
            </w:r>
          </w:p>
        </w:tc>
        <w:tc>
          <w:tcPr>
            <w:tcW w:w="12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920" w:type="dxa"/>
            <w:vAlign w:val="bottom"/>
          </w:tcPr>
          <w:p>
            <w:pPr>
              <w:spacing w:after="0"/>
              <w:rPr>
                <w:sz w:val="20"/>
                <w:szCs w:val="20"/>
                <w:color w:val="auto"/>
              </w:rPr>
            </w:pPr>
            <w:r>
              <w:rPr>
                <w:rFonts w:ascii="Arial" w:cs="Arial" w:eastAsia="Arial" w:hAnsi="Arial"/>
                <w:sz w:val="18"/>
                <w:szCs w:val="18"/>
                <w:color w:val="auto"/>
              </w:rPr>
              <w:t>Loss for the period</w:t>
            </w:r>
          </w:p>
        </w:tc>
        <w:tc>
          <w:tcPr>
            <w:tcW w:w="20" w:type="dxa"/>
            <w:vAlign w:val="bottom"/>
          </w:tcPr>
          <w:p>
            <w:pPr>
              <w:spacing w:after="0"/>
              <w:rPr>
                <w:sz w:val="18"/>
                <w:szCs w:val="18"/>
                <w:color w:val="auto"/>
              </w:rPr>
            </w:pPr>
          </w:p>
        </w:tc>
        <w:tc>
          <w:tcPr>
            <w:tcW w:w="134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1560" w:type="dxa"/>
            <w:vAlign w:val="bottom"/>
            <w:gridSpan w:val="3"/>
          </w:tcPr>
          <w:p>
            <w:pPr>
              <w:jc w:val="right"/>
              <w:ind w:right="120"/>
              <w:spacing w:after="0"/>
              <w:rPr>
                <w:sz w:val="20"/>
                <w:szCs w:val="20"/>
                <w:color w:val="auto"/>
              </w:rPr>
            </w:pPr>
            <w:r>
              <w:rPr>
                <w:rFonts w:ascii="Arial" w:cs="Arial" w:eastAsia="Arial" w:hAnsi="Arial"/>
                <w:sz w:val="18"/>
                <w:szCs w:val="18"/>
                <w:color w:val="auto"/>
              </w:rPr>
              <w:t>(11,511,024)</w:t>
            </w:r>
          </w:p>
        </w:tc>
        <w:tc>
          <w:tcPr>
            <w:tcW w:w="160" w:type="dxa"/>
            <w:vAlign w:val="bottom"/>
          </w:tcPr>
          <w:p>
            <w:pPr>
              <w:spacing w:after="0"/>
              <w:rPr>
                <w:sz w:val="18"/>
                <w:szCs w:val="18"/>
                <w:color w:val="auto"/>
              </w:rPr>
            </w:pPr>
          </w:p>
        </w:tc>
        <w:tc>
          <w:tcPr>
            <w:tcW w:w="116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24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000" w:type="dxa"/>
            <w:vAlign w:val="bottom"/>
            <w:gridSpan w:val="2"/>
          </w:tcPr>
          <w:p>
            <w:pPr>
              <w:jc w:val="right"/>
              <w:ind w:right="60"/>
              <w:spacing w:after="0"/>
              <w:rPr>
                <w:sz w:val="20"/>
                <w:szCs w:val="20"/>
                <w:color w:val="auto"/>
              </w:rPr>
            </w:pPr>
            <w:r>
              <w:rPr>
                <w:rFonts w:ascii="Arial" w:cs="Arial" w:eastAsia="Arial" w:hAnsi="Arial"/>
                <w:sz w:val="18"/>
                <w:szCs w:val="18"/>
                <w:color w:val="auto"/>
                <w:w w:val="90"/>
              </w:rPr>
              <w:t>(11,511,024)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920" w:type="dxa"/>
            <w:vAlign w:val="bottom"/>
            <w:shd w:val="clear" w:color="auto" w:fill="CCEEFF"/>
          </w:tcPr>
          <w:p>
            <w:pPr>
              <w:spacing w:after="0"/>
              <w:rPr>
                <w:sz w:val="20"/>
                <w:szCs w:val="20"/>
                <w:color w:val="auto"/>
              </w:rPr>
            </w:pPr>
            <w:r>
              <w:rPr>
                <w:rFonts w:ascii="Arial" w:cs="Arial" w:eastAsia="Arial" w:hAnsi="Arial"/>
                <w:sz w:val="18"/>
                <w:szCs w:val="18"/>
                <w:color w:val="auto"/>
              </w:rPr>
              <w:t>Other comprehensive income</w:t>
            </w:r>
          </w:p>
        </w:tc>
        <w:tc>
          <w:tcPr>
            <w:tcW w:w="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920" w:type="dxa"/>
            <w:vAlign w:val="bottom"/>
          </w:tcPr>
          <w:p>
            <w:pPr>
              <w:ind w:left="340"/>
              <w:spacing w:after="0"/>
              <w:rPr>
                <w:sz w:val="20"/>
                <w:szCs w:val="20"/>
                <w:color w:val="auto"/>
              </w:rPr>
            </w:pPr>
            <w:r>
              <w:rPr>
                <w:rFonts w:ascii="Arial" w:cs="Arial" w:eastAsia="Arial" w:hAnsi="Arial"/>
                <w:sz w:val="18"/>
                <w:szCs w:val="18"/>
                <w:color w:val="auto"/>
              </w:rPr>
              <w:t>Foreign currency translation</w:t>
            </w:r>
          </w:p>
        </w:tc>
        <w:tc>
          <w:tcPr>
            <w:tcW w:w="20" w:type="dxa"/>
            <w:vAlign w:val="bottom"/>
          </w:tcPr>
          <w:p>
            <w:pPr>
              <w:spacing w:after="0"/>
              <w:rPr>
                <w:sz w:val="18"/>
                <w:szCs w:val="18"/>
                <w:color w:val="auto"/>
              </w:rPr>
            </w:pPr>
          </w:p>
        </w:tc>
        <w:tc>
          <w:tcPr>
            <w:tcW w:w="134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40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16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1400" w:type="dxa"/>
            <w:vAlign w:val="bottom"/>
            <w:gridSpan w:val="3"/>
          </w:tcPr>
          <w:p>
            <w:pPr>
              <w:jc w:val="right"/>
              <w:ind w:right="220"/>
              <w:spacing w:after="0"/>
              <w:rPr>
                <w:sz w:val="20"/>
                <w:szCs w:val="20"/>
                <w:color w:val="auto"/>
              </w:rPr>
            </w:pPr>
            <w:r>
              <w:rPr>
                <w:rFonts w:ascii="Arial" w:cs="Arial" w:eastAsia="Arial" w:hAnsi="Arial"/>
                <w:sz w:val="18"/>
                <w:szCs w:val="18"/>
                <w:color w:val="auto"/>
              </w:rPr>
              <w:t>(83,293)</w:t>
            </w:r>
          </w:p>
        </w:tc>
        <w:tc>
          <w:tcPr>
            <w:tcW w:w="220" w:type="dxa"/>
            <w:vAlign w:val="bottom"/>
          </w:tcPr>
          <w:p>
            <w:pPr>
              <w:spacing w:after="0"/>
              <w:rPr>
                <w:sz w:val="18"/>
                <w:szCs w:val="18"/>
                <w:color w:val="auto"/>
              </w:rPr>
            </w:pPr>
          </w:p>
        </w:tc>
        <w:tc>
          <w:tcPr>
            <w:tcW w:w="1000" w:type="dxa"/>
            <w:vAlign w:val="bottom"/>
            <w:gridSpan w:val="2"/>
          </w:tcPr>
          <w:p>
            <w:pPr>
              <w:jc w:val="right"/>
              <w:ind w:right="60"/>
              <w:spacing w:after="0"/>
              <w:rPr>
                <w:sz w:val="20"/>
                <w:szCs w:val="20"/>
                <w:color w:val="auto"/>
              </w:rPr>
            </w:pPr>
            <w:r>
              <w:rPr>
                <w:rFonts w:ascii="Arial" w:cs="Arial" w:eastAsia="Arial" w:hAnsi="Arial"/>
                <w:sz w:val="18"/>
                <w:szCs w:val="18"/>
                <w:color w:val="auto"/>
              </w:rPr>
              <w:t>(83,293)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9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MVP Shares</w:t>
            </w:r>
          </w:p>
        </w:tc>
        <w:tc>
          <w:tcPr>
            <w:tcW w:w="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90"/>
              </w:rPr>
              <w:t>(265,261)</w:t>
            </w:r>
          </w:p>
        </w:tc>
        <w:tc>
          <w:tcPr>
            <w:tcW w:w="16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(265,261)</w:t>
            </w:r>
          </w:p>
        </w:tc>
        <w:tc>
          <w:tcPr>
            <w:tcW w:w="0" w:type="dxa"/>
            <w:vAlign w:val="bottom"/>
          </w:tcPr>
          <w:p>
            <w:pPr>
              <w:spacing w:after="0"/>
              <w:rPr>
                <w:sz w:val="1"/>
                <w:szCs w:val="1"/>
                <w:color w:val="auto"/>
              </w:rPr>
            </w:pPr>
          </w:p>
        </w:tc>
      </w:tr>
      <w:tr>
        <w:trPr>
          <w:trHeight w:val="205"/>
        </w:trPr>
        <w:tc>
          <w:tcPr>
            <w:tcW w:w="2940" w:type="dxa"/>
            <w:vAlign w:val="bottom"/>
            <w:gridSpan w:val="2"/>
          </w:tcPr>
          <w:p>
            <w:pPr>
              <w:spacing w:after="0" w:line="205" w:lineRule="exact"/>
              <w:rPr>
                <w:sz w:val="20"/>
                <w:szCs w:val="20"/>
                <w:color w:val="auto"/>
              </w:rPr>
            </w:pPr>
            <w:r>
              <w:rPr>
                <w:rFonts w:ascii="Arial" w:cs="Arial" w:eastAsia="Arial" w:hAnsi="Arial"/>
                <w:sz w:val="18"/>
                <w:szCs w:val="18"/>
                <w:b w:val="1"/>
                <w:bCs w:val="1"/>
                <w:color w:val="auto"/>
              </w:rPr>
              <w:t>Total comprehensive</w:t>
            </w:r>
          </w:p>
        </w:tc>
        <w:tc>
          <w:tcPr>
            <w:tcW w:w="20" w:type="dxa"/>
            <w:vAlign w:val="bottom"/>
          </w:tcPr>
          <w:p>
            <w:pPr>
              <w:spacing w:after="0"/>
              <w:rPr>
                <w:sz w:val="17"/>
                <w:szCs w:val="17"/>
                <w:color w:val="auto"/>
              </w:rPr>
            </w:pPr>
          </w:p>
        </w:tc>
        <w:tc>
          <w:tcPr>
            <w:tcW w:w="1120" w:type="dxa"/>
            <w:vAlign w:val="bottom"/>
            <w:tcBorders>
              <w:top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0" w:type="dxa"/>
            <w:vAlign w:val="bottom"/>
            <w:tcBorders>
              <w:top w:val="single" w:sz="8" w:color="auto"/>
            </w:tcBorders>
          </w:tcPr>
          <w:p>
            <w:pPr>
              <w:spacing w:after="0"/>
              <w:rPr>
                <w:sz w:val="17"/>
                <w:szCs w:val="17"/>
                <w:color w:val="auto"/>
              </w:rPr>
            </w:pP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tcBorders>
              <w:top w:val="single" w:sz="8" w:color="auto"/>
            </w:tcBorders>
          </w:tcPr>
          <w:p>
            <w:pPr>
              <w:spacing w:after="0"/>
              <w:rPr>
                <w:sz w:val="17"/>
                <w:szCs w:val="17"/>
                <w:color w:val="auto"/>
              </w:rPr>
            </w:pP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660" w:type="dxa"/>
            <w:vAlign w:val="bottom"/>
            <w:tcBorders>
              <w:top w:val="single" w:sz="8" w:color="auto"/>
            </w:tcBorders>
          </w:tcPr>
          <w:p>
            <w:pPr>
              <w:spacing w:after="0"/>
              <w:rPr>
                <w:sz w:val="17"/>
                <w:szCs w:val="17"/>
                <w:color w:val="auto"/>
              </w:rPr>
            </w:pP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80" w:type="dxa"/>
            <w:vAlign w:val="bottom"/>
            <w:tcBorders>
              <w:top w:val="single" w:sz="8" w:color="auto"/>
            </w:tcBorders>
          </w:tcPr>
          <w:p>
            <w:pPr>
              <w:spacing w:after="0"/>
              <w:rPr>
                <w:sz w:val="17"/>
                <w:szCs w:val="17"/>
                <w:color w:val="auto"/>
              </w:rPr>
            </w:pPr>
          </w:p>
        </w:tc>
        <w:tc>
          <w:tcPr>
            <w:tcW w:w="360" w:type="dxa"/>
            <w:vAlign w:val="bottom"/>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88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2920" w:type="dxa"/>
            <w:vAlign w:val="bottom"/>
          </w:tcPr>
          <w:p>
            <w:pPr>
              <w:ind w:left="160"/>
              <w:spacing w:after="0"/>
              <w:rPr>
                <w:sz w:val="20"/>
                <w:szCs w:val="20"/>
                <w:color w:val="auto"/>
              </w:rPr>
            </w:pPr>
            <w:r>
              <w:rPr>
                <w:rFonts w:ascii="Arial" w:cs="Arial" w:eastAsia="Arial" w:hAnsi="Arial"/>
                <w:sz w:val="18"/>
                <w:szCs w:val="18"/>
                <w:b w:val="1"/>
                <w:bCs w:val="1"/>
                <w:color w:val="auto"/>
              </w:rPr>
              <w:t>loss for the year</w:t>
            </w:r>
          </w:p>
        </w:tc>
        <w:tc>
          <w:tcPr>
            <w:tcW w:w="20" w:type="dxa"/>
            <w:vAlign w:val="bottom"/>
          </w:tcPr>
          <w:p>
            <w:pPr>
              <w:spacing w:after="0"/>
              <w:rPr>
                <w:sz w:val="20"/>
                <w:szCs w:val="20"/>
                <w:color w:val="auto"/>
              </w:rPr>
            </w:pPr>
          </w:p>
        </w:tc>
        <w:tc>
          <w:tcPr>
            <w:tcW w:w="1340" w:type="dxa"/>
            <w:vAlign w:val="bottom"/>
            <w:gridSpan w:val="2"/>
          </w:tcPr>
          <w:p>
            <w:pPr>
              <w:jc w:val="right"/>
              <w:ind w:right="300"/>
              <w:spacing w:after="0"/>
              <w:rPr>
                <w:sz w:val="20"/>
                <w:szCs w:val="20"/>
                <w:color w:val="auto"/>
              </w:rPr>
            </w:pPr>
            <w:r>
              <w:rPr>
                <w:rFonts w:ascii="Arial" w:cs="Arial" w:eastAsia="Arial" w:hAnsi="Arial"/>
                <w:sz w:val="18"/>
                <w:szCs w:val="18"/>
                <w:b w:val="1"/>
                <w:bCs w:val="1"/>
                <w:color w:val="auto"/>
              </w:rPr>
              <w:t>—</w:t>
            </w:r>
          </w:p>
        </w:tc>
        <w:tc>
          <w:tcPr>
            <w:tcW w:w="1560" w:type="dxa"/>
            <w:vAlign w:val="bottom"/>
            <w:gridSpan w:val="3"/>
          </w:tcPr>
          <w:p>
            <w:pPr>
              <w:jc w:val="right"/>
              <w:ind w:right="120"/>
              <w:spacing w:after="0"/>
              <w:rPr>
                <w:sz w:val="20"/>
                <w:szCs w:val="20"/>
                <w:color w:val="auto"/>
              </w:rPr>
            </w:pPr>
            <w:r>
              <w:rPr>
                <w:rFonts w:ascii="Arial" w:cs="Arial" w:eastAsia="Arial" w:hAnsi="Arial"/>
                <w:sz w:val="18"/>
                <w:szCs w:val="18"/>
                <w:b w:val="1"/>
                <w:bCs w:val="1"/>
                <w:color w:val="auto"/>
              </w:rPr>
              <w:t>(11,511,024)</w:t>
            </w:r>
          </w:p>
        </w:tc>
        <w:tc>
          <w:tcPr>
            <w:tcW w:w="160" w:type="dxa"/>
            <w:vAlign w:val="bottom"/>
          </w:tcPr>
          <w:p>
            <w:pPr>
              <w:spacing w:after="0"/>
              <w:rPr>
                <w:sz w:val="20"/>
                <w:szCs w:val="20"/>
                <w:color w:val="auto"/>
              </w:rPr>
            </w:pPr>
          </w:p>
        </w:tc>
        <w:tc>
          <w:tcPr>
            <w:tcW w:w="1160" w:type="dxa"/>
            <w:vAlign w:val="bottom"/>
            <w:gridSpan w:val="2"/>
          </w:tcPr>
          <w:p>
            <w:pPr>
              <w:jc w:val="right"/>
              <w:ind w:right="300"/>
              <w:spacing w:after="0"/>
              <w:rPr>
                <w:sz w:val="20"/>
                <w:szCs w:val="20"/>
                <w:color w:val="auto"/>
              </w:rPr>
            </w:pPr>
            <w:r>
              <w:rPr>
                <w:rFonts w:ascii="Arial" w:cs="Arial" w:eastAsia="Arial" w:hAnsi="Arial"/>
                <w:sz w:val="18"/>
                <w:szCs w:val="18"/>
                <w:b w:val="1"/>
                <w:bCs w:val="1"/>
                <w:color w:val="auto"/>
              </w:rPr>
              <w:t>—</w:t>
            </w:r>
          </w:p>
        </w:tc>
        <w:tc>
          <w:tcPr>
            <w:tcW w:w="1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60" w:type="dxa"/>
            <w:vAlign w:val="bottom"/>
            <w:gridSpan w:val="2"/>
          </w:tcPr>
          <w:p>
            <w:pPr>
              <w:jc w:val="right"/>
              <w:ind w:right="140"/>
              <w:spacing w:after="0"/>
              <w:rPr>
                <w:sz w:val="20"/>
                <w:szCs w:val="20"/>
                <w:color w:val="auto"/>
              </w:rPr>
            </w:pPr>
            <w:r>
              <w:rPr>
                <w:rFonts w:ascii="Arial" w:cs="Arial" w:eastAsia="Arial" w:hAnsi="Arial"/>
                <w:sz w:val="18"/>
                <w:szCs w:val="18"/>
                <w:b w:val="1"/>
                <w:bCs w:val="1"/>
                <w:color w:val="auto"/>
                <w:w w:val="90"/>
              </w:rPr>
              <w:t>(265,261)</w:t>
            </w:r>
          </w:p>
        </w:tc>
        <w:tc>
          <w:tcPr>
            <w:tcW w:w="1400" w:type="dxa"/>
            <w:vAlign w:val="bottom"/>
            <w:gridSpan w:val="3"/>
          </w:tcPr>
          <w:p>
            <w:pPr>
              <w:jc w:val="right"/>
              <w:ind w:right="220"/>
              <w:spacing w:after="0"/>
              <w:rPr>
                <w:sz w:val="20"/>
                <w:szCs w:val="20"/>
                <w:color w:val="auto"/>
              </w:rPr>
            </w:pPr>
            <w:r>
              <w:rPr>
                <w:rFonts w:ascii="Arial" w:cs="Arial" w:eastAsia="Arial" w:hAnsi="Arial"/>
                <w:sz w:val="18"/>
                <w:szCs w:val="18"/>
                <w:b w:val="1"/>
                <w:bCs w:val="1"/>
                <w:color w:val="auto"/>
              </w:rPr>
              <w:t>(83,293)</w:t>
            </w:r>
          </w:p>
        </w:tc>
        <w:tc>
          <w:tcPr>
            <w:tcW w:w="220" w:type="dxa"/>
            <w:vAlign w:val="bottom"/>
          </w:tcPr>
          <w:p>
            <w:pPr>
              <w:spacing w:after="0"/>
              <w:rPr>
                <w:sz w:val="20"/>
                <w:szCs w:val="20"/>
                <w:color w:val="auto"/>
              </w:rPr>
            </w:pPr>
          </w:p>
        </w:tc>
        <w:tc>
          <w:tcPr>
            <w:tcW w:w="1000" w:type="dxa"/>
            <w:vAlign w:val="bottom"/>
            <w:gridSpan w:val="2"/>
          </w:tcPr>
          <w:p>
            <w:pPr>
              <w:jc w:val="right"/>
              <w:ind w:right="60"/>
              <w:spacing w:after="0"/>
              <w:rPr>
                <w:sz w:val="20"/>
                <w:szCs w:val="20"/>
                <w:color w:val="auto"/>
              </w:rPr>
            </w:pPr>
            <w:r>
              <w:rPr>
                <w:rFonts w:ascii="Arial" w:cs="Arial" w:eastAsia="Arial" w:hAnsi="Arial"/>
                <w:sz w:val="18"/>
                <w:szCs w:val="18"/>
                <w:b w:val="1"/>
                <w:bCs w:val="1"/>
                <w:color w:val="auto"/>
                <w:w w:val="90"/>
              </w:rPr>
              <w:t>(11,859,578)</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920" w:type="dxa"/>
            <w:vAlign w:val="bottom"/>
            <w:shd w:val="clear" w:color="auto" w:fill="CCEEFF"/>
          </w:tcPr>
          <w:p>
            <w:pPr>
              <w:spacing w:after="0" w:line="201" w:lineRule="exact"/>
              <w:rPr>
                <w:sz w:val="20"/>
                <w:szCs w:val="20"/>
                <w:color w:val="auto"/>
              </w:rPr>
            </w:pPr>
            <w:r>
              <w:rPr>
                <w:rFonts w:ascii="Arial" w:cs="Arial" w:eastAsia="Arial" w:hAnsi="Arial"/>
                <w:sz w:val="18"/>
                <w:szCs w:val="18"/>
                <w:i w:val="1"/>
                <w:iCs w:val="1"/>
                <w:color w:val="auto"/>
              </w:rPr>
              <w:t>Transactions with owners in their</w:t>
            </w:r>
          </w:p>
        </w:tc>
        <w:tc>
          <w:tcPr>
            <w:tcW w:w="20" w:type="dxa"/>
            <w:vAlign w:val="bottom"/>
            <w:shd w:val="clear" w:color="auto" w:fill="CCEEFF"/>
          </w:tcPr>
          <w:p>
            <w:pPr>
              <w:spacing w:after="0"/>
              <w:rPr>
                <w:sz w:val="17"/>
                <w:szCs w:val="17"/>
                <w:color w:val="auto"/>
              </w:rPr>
            </w:pPr>
          </w:p>
        </w:tc>
        <w:tc>
          <w:tcPr>
            <w:tcW w:w="1120" w:type="dxa"/>
            <w:vAlign w:val="bottom"/>
            <w:tcBorders>
              <w:top w:val="single" w:sz="8" w:color="auto"/>
            </w:tcBorders>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0" w:type="dxa"/>
            <w:vAlign w:val="bottom"/>
            <w:tcBorders>
              <w:top w:val="single" w:sz="8" w:color="auto"/>
            </w:tcBorders>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60" w:type="dxa"/>
            <w:vAlign w:val="bottom"/>
            <w:tcBorders>
              <w:top w:val="single" w:sz="8" w:color="auto"/>
            </w:tcBorders>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spacing w:after="0"/>
              <w:rPr>
                <w:sz w:val="17"/>
                <w:szCs w:val="17"/>
                <w:color w:val="auto"/>
              </w:rPr>
            </w:pPr>
          </w:p>
        </w:tc>
        <w:tc>
          <w:tcPr>
            <w:tcW w:w="660" w:type="dxa"/>
            <w:vAlign w:val="bottom"/>
            <w:tcBorders>
              <w:top w:val="single" w:sz="8" w:color="auto"/>
            </w:tcBorders>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80" w:type="dxa"/>
            <w:vAlign w:val="bottom"/>
            <w:tcBorders>
              <w:top w:val="single" w:sz="8" w:color="auto"/>
            </w:tcBorders>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spacing w:after="0"/>
              <w:rPr>
                <w:sz w:val="17"/>
                <w:szCs w:val="17"/>
                <w:color w:val="auto"/>
              </w:rPr>
            </w:pPr>
          </w:p>
        </w:tc>
        <w:tc>
          <w:tcPr>
            <w:tcW w:w="880" w:type="dxa"/>
            <w:vAlign w:val="bottom"/>
            <w:tcBorders>
              <w:top w:val="single" w:sz="8" w:color="auto"/>
            </w:tcBorders>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920" w:type="dxa"/>
            <w:vAlign w:val="bottom"/>
            <w:shd w:val="clear" w:color="auto" w:fill="CCEEFF"/>
          </w:tcPr>
          <w:p>
            <w:pPr>
              <w:ind w:left="160"/>
              <w:spacing w:after="0"/>
              <w:rPr>
                <w:sz w:val="20"/>
                <w:szCs w:val="20"/>
                <w:color w:val="auto"/>
              </w:rPr>
            </w:pPr>
            <w:r>
              <w:rPr>
                <w:rFonts w:ascii="Arial" w:cs="Arial" w:eastAsia="Arial" w:hAnsi="Arial"/>
                <w:sz w:val="18"/>
                <w:szCs w:val="18"/>
                <w:i w:val="1"/>
                <w:iCs w:val="1"/>
                <w:color w:val="auto"/>
              </w:rPr>
              <w:t>capacity as owners:</w:t>
            </w:r>
          </w:p>
        </w:tc>
        <w:tc>
          <w:tcPr>
            <w:tcW w:w="20" w:type="dxa"/>
            <w:vAlign w:val="bottom"/>
            <w:shd w:val="clear" w:color="auto" w:fill="CCEEFF"/>
          </w:tcPr>
          <w:p>
            <w:pPr>
              <w:spacing w:after="0"/>
              <w:rPr>
                <w:sz w:val="20"/>
                <w:szCs w:val="20"/>
                <w:color w:val="auto"/>
              </w:rPr>
            </w:pPr>
          </w:p>
        </w:tc>
        <w:tc>
          <w:tcPr>
            <w:tcW w:w="112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2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96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66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88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8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920" w:type="dxa"/>
            <w:vAlign w:val="bottom"/>
          </w:tcPr>
          <w:p>
            <w:pPr>
              <w:spacing w:after="0"/>
              <w:rPr>
                <w:sz w:val="20"/>
                <w:szCs w:val="20"/>
                <w:color w:val="auto"/>
              </w:rPr>
            </w:pPr>
            <w:r>
              <w:rPr>
                <w:rFonts w:ascii="Arial" w:cs="Arial" w:eastAsia="Arial" w:hAnsi="Arial"/>
                <w:sz w:val="18"/>
                <w:szCs w:val="18"/>
                <w:color w:val="auto"/>
              </w:rPr>
              <w:t>Expired Options</w:t>
            </w:r>
          </w:p>
        </w:tc>
        <w:tc>
          <w:tcPr>
            <w:tcW w:w="20" w:type="dxa"/>
            <w:vAlign w:val="bottom"/>
          </w:tcPr>
          <w:p>
            <w:pPr>
              <w:spacing w:after="0"/>
              <w:rPr>
                <w:sz w:val="18"/>
                <w:szCs w:val="18"/>
                <w:color w:val="auto"/>
              </w:rPr>
            </w:pPr>
          </w:p>
        </w:tc>
        <w:tc>
          <w:tcPr>
            <w:tcW w:w="134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1360" w:type="dxa"/>
            <w:vAlign w:val="bottom"/>
            <w:gridSpan w:val="2"/>
          </w:tcPr>
          <w:p>
            <w:pPr>
              <w:jc w:val="right"/>
              <w:spacing w:after="0"/>
              <w:rPr>
                <w:sz w:val="20"/>
                <w:szCs w:val="20"/>
                <w:color w:val="auto"/>
              </w:rPr>
            </w:pPr>
            <w:r>
              <w:rPr>
                <w:rFonts w:ascii="Arial" w:cs="Arial" w:eastAsia="Arial" w:hAnsi="Arial"/>
                <w:sz w:val="18"/>
                <w:szCs w:val="18"/>
                <w:color w:val="auto"/>
              </w:rPr>
              <w:t>401,080</w:t>
            </w:r>
          </w:p>
        </w:tc>
        <w:tc>
          <w:tcPr>
            <w:tcW w:w="200" w:type="dxa"/>
            <w:vAlign w:val="bottom"/>
          </w:tcPr>
          <w:p>
            <w:pPr>
              <w:spacing w:after="0"/>
              <w:rPr>
                <w:sz w:val="18"/>
                <w:szCs w:val="18"/>
                <w:color w:val="auto"/>
              </w:rPr>
            </w:pPr>
          </w:p>
        </w:tc>
        <w:tc>
          <w:tcPr>
            <w:tcW w:w="1320" w:type="dxa"/>
            <w:vAlign w:val="bottom"/>
            <w:gridSpan w:val="3"/>
          </w:tcPr>
          <w:p>
            <w:pPr>
              <w:jc w:val="right"/>
              <w:ind w:right="140"/>
              <w:spacing w:after="0"/>
              <w:rPr>
                <w:sz w:val="20"/>
                <w:szCs w:val="20"/>
                <w:color w:val="auto"/>
              </w:rPr>
            </w:pPr>
            <w:r>
              <w:rPr>
                <w:rFonts w:ascii="Arial" w:cs="Arial" w:eastAsia="Arial" w:hAnsi="Arial"/>
                <w:sz w:val="18"/>
                <w:szCs w:val="18"/>
                <w:color w:val="auto"/>
              </w:rPr>
              <w:t>(401,080)</w:t>
            </w: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24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920" w:type="dxa"/>
            <w:vAlign w:val="bottom"/>
            <w:shd w:val="clear" w:color="auto" w:fill="CCEEFF"/>
          </w:tcPr>
          <w:p>
            <w:pPr>
              <w:spacing w:after="0"/>
              <w:rPr>
                <w:sz w:val="20"/>
                <w:szCs w:val="20"/>
                <w:color w:val="auto"/>
              </w:rPr>
            </w:pPr>
            <w:r>
              <w:rPr>
                <w:rFonts w:ascii="Arial" w:cs="Arial" w:eastAsia="Arial" w:hAnsi="Arial"/>
                <w:sz w:val="18"/>
                <w:szCs w:val="18"/>
                <w:color w:val="auto"/>
              </w:rPr>
              <w:t>Share-based expenses</w:t>
            </w:r>
          </w:p>
        </w:tc>
        <w:tc>
          <w:tcPr>
            <w:tcW w:w="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1,587,243</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1,587,243</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920" w:type="dxa"/>
            <w:vAlign w:val="bottom"/>
          </w:tcPr>
          <w:p>
            <w:pPr>
              <w:spacing w:after="0"/>
              <w:rPr>
                <w:sz w:val="20"/>
                <w:szCs w:val="20"/>
                <w:color w:val="auto"/>
              </w:rPr>
            </w:pPr>
            <w:r>
              <w:rPr>
                <w:rFonts w:ascii="Arial" w:cs="Arial" w:eastAsia="Arial" w:hAnsi="Arial"/>
                <w:sz w:val="18"/>
                <w:szCs w:val="18"/>
                <w:color w:val="auto"/>
              </w:rPr>
              <w:t>New shares</w:t>
            </w:r>
          </w:p>
        </w:tc>
        <w:tc>
          <w:tcPr>
            <w:tcW w:w="1140" w:type="dxa"/>
            <w:vAlign w:val="bottom"/>
            <w:gridSpan w:val="2"/>
          </w:tcPr>
          <w:p>
            <w:pPr>
              <w:jc w:val="right"/>
              <w:spacing w:after="0"/>
              <w:rPr>
                <w:sz w:val="20"/>
                <w:szCs w:val="20"/>
                <w:color w:val="auto"/>
              </w:rPr>
            </w:pPr>
            <w:r>
              <w:rPr>
                <w:rFonts w:ascii="Arial" w:cs="Arial" w:eastAsia="Arial" w:hAnsi="Arial"/>
                <w:sz w:val="18"/>
                <w:szCs w:val="18"/>
                <w:color w:val="auto"/>
              </w:rPr>
              <w:t>9,048,102</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16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24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9,048,102</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920" w:type="dxa"/>
            <w:vAlign w:val="bottom"/>
            <w:shd w:val="clear" w:color="auto" w:fill="CCEEFF"/>
          </w:tcPr>
          <w:p>
            <w:pPr>
              <w:spacing w:after="0"/>
              <w:rPr>
                <w:sz w:val="20"/>
                <w:szCs w:val="20"/>
                <w:color w:val="auto"/>
              </w:rPr>
            </w:pPr>
            <w:r>
              <w:rPr>
                <w:rFonts w:ascii="Arial" w:cs="Arial" w:eastAsia="Arial" w:hAnsi="Arial"/>
                <w:sz w:val="18"/>
                <w:szCs w:val="18"/>
                <w:color w:val="auto"/>
              </w:rPr>
              <w:t>Cost of share placement</w:t>
            </w:r>
          </w:p>
        </w:tc>
        <w:tc>
          <w:tcPr>
            <w:tcW w:w="136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(506,452)</w:t>
            </w:r>
          </w:p>
        </w:tc>
        <w:tc>
          <w:tcPr>
            <w:tcW w:w="16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(506,452)</w:t>
            </w:r>
          </w:p>
        </w:tc>
        <w:tc>
          <w:tcPr>
            <w:tcW w:w="0" w:type="dxa"/>
            <w:vAlign w:val="bottom"/>
          </w:tcPr>
          <w:p>
            <w:pPr>
              <w:spacing w:after="0"/>
              <w:rPr>
                <w:sz w:val="1"/>
                <w:szCs w:val="1"/>
                <w:color w:val="auto"/>
              </w:rPr>
            </w:pPr>
          </w:p>
        </w:tc>
      </w:tr>
      <w:tr>
        <w:trPr>
          <w:trHeight w:val="223"/>
        </w:trPr>
        <w:tc>
          <w:tcPr>
            <w:tcW w:w="2940" w:type="dxa"/>
            <w:vAlign w:val="bottom"/>
            <w:gridSpan w:val="2"/>
          </w:tcPr>
          <w:p>
            <w:pPr>
              <w:spacing w:after="0"/>
              <w:rPr>
                <w:sz w:val="20"/>
                <w:szCs w:val="20"/>
                <w:color w:val="auto"/>
              </w:rPr>
            </w:pPr>
            <w:r>
              <w:rPr>
                <w:rFonts w:ascii="Arial" w:cs="Arial" w:eastAsia="Arial" w:hAnsi="Arial"/>
                <w:sz w:val="18"/>
                <w:szCs w:val="18"/>
                <w:b w:val="1"/>
                <w:bCs w:val="1"/>
                <w:color w:val="auto"/>
              </w:rPr>
              <w:t>Balance at June 30, 2017</w:t>
            </w:r>
          </w:p>
        </w:tc>
        <w:tc>
          <w:tcPr>
            <w:tcW w:w="20" w:type="dxa"/>
            <w:vAlign w:val="bottom"/>
            <w:tcBorders>
              <w:bottom w:val="single" w:sz="8" w:color="auto"/>
            </w:tcBorders>
          </w:tcPr>
          <w:p>
            <w:pPr>
              <w:spacing w:after="0"/>
              <w:rPr>
                <w:sz w:val="19"/>
                <w:szCs w:val="19"/>
                <w:color w:val="auto"/>
              </w:rPr>
            </w:pPr>
          </w:p>
        </w:tc>
        <w:tc>
          <w:tcPr>
            <w:tcW w:w="112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8"/>
                <w:szCs w:val="18"/>
                <w:b w:val="1"/>
                <w:bCs w:val="1"/>
                <w:u w:val="single" w:color="auto"/>
                <w:color w:val="auto"/>
                <w:w w:val="90"/>
              </w:rPr>
              <w:t>A$</w:t>
            </w:r>
            <w:r>
              <w:rPr>
                <w:rFonts w:ascii="Arial" w:cs="Arial" w:eastAsia="Arial" w:hAnsi="Arial"/>
                <w:sz w:val="18"/>
                <w:szCs w:val="18"/>
                <w:b w:val="1"/>
                <w:bCs w:val="1"/>
                <w:color w:val="auto"/>
                <w:w w:val="90"/>
              </w:rPr>
              <w:t>134,806,022</w:t>
            </w: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8"/>
                <w:szCs w:val="18"/>
                <w:b w:val="1"/>
                <w:bCs w:val="1"/>
                <w:u w:val="single" w:color="auto"/>
                <w:color w:val="auto"/>
                <w:w w:val="87"/>
              </w:rPr>
              <w:t>A$</w:t>
            </w:r>
            <w:r>
              <w:rPr>
                <w:rFonts w:ascii="Arial" w:cs="Arial" w:eastAsia="Arial" w:hAnsi="Arial"/>
                <w:sz w:val="18"/>
                <w:szCs w:val="18"/>
                <w:b w:val="1"/>
                <w:bCs w:val="1"/>
                <w:color w:val="auto"/>
                <w:w w:val="87"/>
              </w:rPr>
              <w:t xml:space="preserve"> (132,218,352</w:t>
            </w:r>
          </w:p>
        </w:tc>
        <w:tc>
          <w:tcPr>
            <w:tcW w:w="200" w:type="dxa"/>
            <w:vAlign w:val="bottom"/>
          </w:tcPr>
          <w:p>
            <w:pPr>
              <w:jc w:val="right"/>
              <w:ind w:right="120"/>
              <w:spacing w:after="0"/>
              <w:rPr>
                <w:sz w:val="20"/>
                <w:szCs w:val="20"/>
                <w:color w:val="auto"/>
              </w:rPr>
            </w:pPr>
            <w:r>
              <w:rPr>
                <w:rFonts w:ascii="Arial" w:cs="Arial" w:eastAsia="Arial" w:hAnsi="Arial"/>
                <w:sz w:val="8"/>
                <w:szCs w:val="8"/>
                <w:b w:val="1"/>
                <w:bCs w:val="1"/>
                <w:color w:val="auto"/>
                <w:w w:val="73"/>
              </w:rPr>
              <w:t>)</w:t>
            </w:r>
          </w:p>
        </w:tc>
        <w:tc>
          <w:tcPr>
            <w:tcW w:w="160" w:type="dxa"/>
            <w:vAlign w:val="bottom"/>
          </w:tcPr>
          <w:p>
            <w:pPr>
              <w:spacing w:after="0"/>
              <w:rPr>
                <w:sz w:val="19"/>
                <w:szCs w:val="19"/>
                <w:color w:val="auto"/>
              </w:rPr>
            </w:pPr>
          </w:p>
        </w:tc>
        <w:tc>
          <w:tcPr>
            <w:tcW w:w="96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8"/>
                <w:szCs w:val="18"/>
                <w:b w:val="1"/>
                <w:bCs w:val="1"/>
                <w:u w:val="single" w:color="auto"/>
                <w:color w:val="auto"/>
                <w:w w:val="88"/>
              </w:rPr>
              <w:t>A</w:t>
            </w:r>
            <w:r>
              <w:rPr>
                <w:rFonts w:ascii="Arial" w:cs="Arial" w:eastAsia="Arial" w:hAnsi="Arial"/>
                <w:sz w:val="18"/>
                <w:szCs w:val="18"/>
                <w:b w:val="1"/>
                <w:bCs w:val="1"/>
                <w:color w:val="auto"/>
                <w:w w:val="88"/>
              </w:rPr>
              <w:t>$ 2,811,179</w:t>
            </w:r>
          </w:p>
        </w:tc>
        <w:tc>
          <w:tcPr>
            <w:tcW w:w="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2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b w:val="1"/>
                <w:bCs w:val="1"/>
                <w:color w:val="auto"/>
                <w:w w:val="86"/>
              </w:rPr>
              <w:t>A$</w:t>
            </w:r>
          </w:p>
        </w:tc>
        <w:tc>
          <w:tcPr>
            <w:tcW w:w="66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w:t>
            </w:r>
          </w:p>
        </w:tc>
        <w:tc>
          <w:tcPr>
            <w:tcW w:w="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8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8"/>
                <w:szCs w:val="18"/>
                <w:b w:val="1"/>
                <w:bCs w:val="1"/>
                <w:u w:val="single" w:color="auto"/>
                <w:color w:val="auto"/>
                <w:w w:val="93"/>
              </w:rPr>
              <w:t>A$</w:t>
            </w:r>
            <w:r>
              <w:rPr>
                <w:rFonts w:ascii="Arial" w:cs="Arial" w:eastAsia="Arial" w:hAnsi="Arial"/>
                <w:sz w:val="18"/>
                <w:szCs w:val="18"/>
                <w:b w:val="1"/>
                <w:bCs w:val="1"/>
                <w:color w:val="auto"/>
                <w:w w:val="93"/>
              </w:rPr>
              <w:t>(277,017</w:t>
            </w:r>
          </w:p>
        </w:tc>
        <w:tc>
          <w:tcPr>
            <w:tcW w:w="360" w:type="dxa"/>
            <w:vAlign w:val="bottom"/>
          </w:tcPr>
          <w:p>
            <w:pPr>
              <w:jc w:val="right"/>
              <w:ind w:right="220"/>
              <w:spacing w:after="0"/>
              <w:rPr>
                <w:sz w:val="20"/>
                <w:szCs w:val="20"/>
                <w:color w:val="auto"/>
              </w:rPr>
            </w:pPr>
            <w:r>
              <w:rPr>
                <w:rFonts w:ascii="Arial" w:cs="Arial" w:eastAsia="Arial" w:hAnsi="Arial"/>
                <w:sz w:val="16"/>
                <w:szCs w:val="16"/>
                <w:b w:val="1"/>
                <w:bCs w:val="1"/>
                <w:color w:val="auto"/>
                <w:w w:val="74"/>
              </w:rPr>
              <w:t>)</w:t>
            </w:r>
          </w:p>
        </w:tc>
        <w:tc>
          <w:tcPr>
            <w:tcW w:w="22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b w:val="1"/>
                <w:bCs w:val="1"/>
                <w:u w:val="single" w:color="auto"/>
                <w:color w:val="auto"/>
                <w:w w:val="86"/>
              </w:rPr>
              <w:t>A</w:t>
            </w:r>
            <w:r>
              <w:rPr>
                <w:rFonts w:ascii="Arial" w:cs="Arial" w:eastAsia="Arial" w:hAnsi="Arial"/>
                <w:sz w:val="18"/>
                <w:szCs w:val="18"/>
                <w:b w:val="1"/>
                <w:bCs w:val="1"/>
                <w:color w:val="auto"/>
                <w:w w:val="86"/>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5,121,832</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9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ind w:left="200"/>
        <w:spacing w:after="0"/>
        <w:rPr>
          <w:sz w:val="20"/>
          <w:szCs w:val="20"/>
          <w:color w:val="auto"/>
        </w:rPr>
      </w:pPr>
      <w:r>
        <w:rPr>
          <w:rFonts w:ascii="Arial" w:cs="Arial" w:eastAsia="Arial" w:hAnsi="Arial"/>
          <w:sz w:val="18"/>
          <w:szCs w:val="18"/>
          <w:color w:val="auto"/>
        </w:rPr>
        <w:t>The accompanying notes form part of the consolidated financial statements.</w:t>
      </w:r>
    </w:p>
    <w:p>
      <w:pPr>
        <w:spacing w:after="0" w:line="158" w:lineRule="exact"/>
        <w:rPr>
          <w:sz w:val="20"/>
          <w:szCs w:val="20"/>
          <w:color w:val="auto"/>
        </w:rPr>
      </w:pPr>
    </w:p>
    <w:p>
      <w:pPr>
        <w:ind w:left="5580"/>
        <w:spacing w:after="0"/>
        <w:rPr>
          <w:sz w:val="20"/>
          <w:szCs w:val="20"/>
          <w:color w:val="auto"/>
        </w:rPr>
      </w:pPr>
      <w:r>
        <w:rPr>
          <w:rFonts w:ascii="Arial" w:cs="Arial" w:eastAsia="Arial" w:hAnsi="Arial"/>
          <w:sz w:val="18"/>
          <w:szCs w:val="18"/>
          <w:color w:val="auto"/>
        </w:rPr>
        <w:t>F-8</w:t>
      </w:r>
    </w:p>
    <w:p>
      <w:pPr>
        <w:sectPr>
          <w:pgSz w:w="11900" w:h="16838" w:orient="portrait"/>
          <w:cols w:equalWidth="0" w:num="1">
            <w:col w:w="11240"/>
          </w:cols>
          <w:pgMar w:left="240" w:top="459" w:right="419" w:bottom="1440" w:gutter="0" w:footer="0" w:header="0"/>
        </w:sectPr>
      </w:pPr>
    </w:p>
    <w:bookmarkStart w:id="107" w:name="page108"/>
    <w:bookmarkEnd w:id="10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5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AVITA MEDICAL LIMITED</w:t>
      </w:r>
    </w:p>
    <w:p>
      <w:pPr>
        <w:spacing w:after="0" w:line="27"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CONSOLIDATED STATEMENT OF CHANGES IN EQUITY (CONTINUED)</w:t>
      </w:r>
    </w:p>
    <w:p>
      <w:pPr>
        <w:spacing w:after="0" w:line="9"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(IN AUSTRALIAN DOLLARS)</w:t>
      </w:r>
    </w:p>
    <w:p>
      <w:pPr>
        <w:spacing w:after="0" w:line="217" w:lineRule="exact"/>
        <w:rPr>
          <w:sz w:val="20"/>
          <w:szCs w:val="20"/>
          <w:color w:val="auto"/>
        </w:rPr>
      </w:pPr>
    </w:p>
    <w:tbl>
      <w:tblPr>
        <w:tblLayout w:type="fixed"/>
        <w:tblInd w:w="20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80" w:type="dxa"/>
            <w:vAlign w:val="bottom"/>
            <w:gridSpan w:val="3"/>
            <w:vMerge w:val="restart"/>
          </w:tcPr>
          <w:p>
            <w:pPr>
              <w:jc w:val="center"/>
              <w:ind w:right="220"/>
              <w:spacing w:after="0"/>
              <w:rPr>
                <w:sz w:val="20"/>
                <w:szCs w:val="20"/>
                <w:color w:val="auto"/>
              </w:rPr>
            </w:pPr>
            <w:r>
              <w:rPr>
                <w:rFonts w:ascii="Arial" w:cs="Arial" w:eastAsia="Arial" w:hAnsi="Arial"/>
                <w:sz w:val="14"/>
                <w:szCs w:val="14"/>
                <w:b w:val="1"/>
                <w:bCs w:val="1"/>
                <w:color w:val="auto"/>
                <w:w w:val="90"/>
              </w:rPr>
              <w:t>Employee</w:t>
            </w:r>
          </w:p>
        </w:tc>
        <w:tc>
          <w:tcPr>
            <w:tcW w:w="160" w:type="dxa"/>
            <w:vAlign w:val="bottom"/>
          </w:tcPr>
          <w:p>
            <w:pPr>
              <w:spacing w:after="0"/>
              <w:rPr>
                <w:sz w:val="14"/>
                <w:szCs w:val="14"/>
                <w:color w:val="auto"/>
              </w:rPr>
            </w:pPr>
          </w:p>
        </w:tc>
        <w:tc>
          <w:tcPr>
            <w:tcW w:w="820" w:type="dxa"/>
            <w:vAlign w:val="bottom"/>
            <w:gridSpan w:val="2"/>
            <w:vMerge w:val="restart"/>
          </w:tcPr>
          <w:p>
            <w:pPr>
              <w:jc w:val="center"/>
              <w:spacing w:after="0"/>
              <w:rPr>
                <w:sz w:val="20"/>
                <w:szCs w:val="20"/>
                <w:color w:val="auto"/>
              </w:rPr>
            </w:pPr>
            <w:r>
              <w:rPr>
                <w:rFonts w:ascii="Arial" w:cs="Arial" w:eastAsia="Arial" w:hAnsi="Arial"/>
                <w:sz w:val="14"/>
                <w:szCs w:val="14"/>
                <w:b w:val="1"/>
                <w:bCs w:val="1"/>
                <w:color w:val="auto"/>
                <w:w w:val="94"/>
              </w:rPr>
              <w:t>Available</w:t>
            </w:r>
          </w:p>
        </w:tc>
        <w:tc>
          <w:tcPr>
            <w:tcW w:w="320" w:type="dxa"/>
            <w:vAlign w:val="bottom"/>
          </w:tcPr>
          <w:p>
            <w:pPr>
              <w:spacing w:after="0"/>
              <w:rPr>
                <w:sz w:val="14"/>
                <w:szCs w:val="14"/>
                <w:color w:val="auto"/>
              </w:rPr>
            </w:pPr>
          </w:p>
        </w:tc>
        <w:tc>
          <w:tcPr>
            <w:tcW w:w="1100" w:type="dxa"/>
            <w:vAlign w:val="bottom"/>
            <w:gridSpan w:val="3"/>
          </w:tcPr>
          <w:p>
            <w:pPr>
              <w:jc w:val="center"/>
              <w:ind w:right="220"/>
              <w:spacing w:after="0"/>
              <w:rPr>
                <w:sz w:val="20"/>
                <w:szCs w:val="20"/>
                <w:color w:val="auto"/>
              </w:rPr>
            </w:pPr>
            <w:r>
              <w:rPr>
                <w:rFonts w:ascii="Arial" w:cs="Arial" w:eastAsia="Arial" w:hAnsi="Arial"/>
                <w:sz w:val="14"/>
                <w:szCs w:val="14"/>
                <w:b w:val="1"/>
                <w:bCs w:val="1"/>
                <w:color w:val="auto"/>
                <w:w w:val="93"/>
              </w:rPr>
              <w:t>Foreign</w:t>
            </w:r>
          </w:p>
        </w:tc>
        <w:tc>
          <w:tcPr>
            <w:tcW w:w="1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7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340" w:type="dxa"/>
            <w:vAlign w:val="bottom"/>
            <w:gridSpan w:val="2"/>
            <w:vMerge w:val="restart"/>
          </w:tcPr>
          <w:p>
            <w:pPr>
              <w:jc w:val="center"/>
              <w:ind w:right="220"/>
              <w:spacing w:after="0"/>
              <w:rPr>
                <w:sz w:val="20"/>
                <w:szCs w:val="20"/>
                <w:color w:val="auto"/>
              </w:rPr>
            </w:pPr>
            <w:r>
              <w:rPr>
                <w:rFonts w:ascii="Arial" w:cs="Arial" w:eastAsia="Arial" w:hAnsi="Arial"/>
                <w:sz w:val="14"/>
                <w:szCs w:val="14"/>
                <w:b w:val="1"/>
                <w:bCs w:val="1"/>
                <w:color w:val="auto"/>
                <w:w w:val="95"/>
              </w:rPr>
              <w:t>Contributed</w:t>
            </w:r>
          </w:p>
        </w:tc>
        <w:tc>
          <w:tcPr>
            <w:tcW w:w="160" w:type="dxa"/>
            <w:vAlign w:val="bottom"/>
          </w:tcPr>
          <w:p>
            <w:pPr>
              <w:spacing w:after="0"/>
              <w:rPr>
                <w:sz w:val="12"/>
                <w:szCs w:val="12"/>
                <w:color w:val="auto"/>
              </w:rPr>
            </w:pPr>
          </w:p>
        </w:tc>
        <w:tc>
          <w:tcPr>
            <w:tcW w:w="1420" w:type="dxa"/>
            <w:vAlign w:val="bottom"/>
            <w:gridSpan w:val="2"/>
            <w:vMerge w:val="restart"/>
          </w:tcPr>
          <w:p>
            <w:pPr>
              <w:jc w:val="center"/>
              <w:ind w:right="240"/>
              <w:spacing w:after="0"/>
              <w:rPr>
                <w:sz w:val="20"/>
                <w:szCs w:val="20"/>
                <w:color w:val="auto"/>
              </w:rPr>
            </w:pPr>
            <w:r>
              <w:rPr>
                <w:rFonts w:ascii="Arial" w:cs="Arial" w:eastAsia="Arial" w:hAnsi="Arial"/>
                <w:sz w:val="14"/>
                <w:szCs w:val="14"/>
                <w:b w:val="1"/>
                <w:bCs w:val="1"/>
                <w:color w:val="auto"/>
                <w:w w:val="93"/>
              </w:rPr>
              <w:t>Accumulated</w:t>
            </w:r>
          </w:p>
        </w:tc>
        <w:tc>
          <w:tcPr>
            <w:tcW w:w="160" w:type="dxa"/>
            <w:vAlign w:val="bottom"/>
          </w:tcPr>
          <w:p>
            <w:pPr>
              <w:spacing w:after="0"/>
              <w:rPr>
                <w:sz w:val="12"/>
                <w:szCs w:val="12"/>
                <w:color w:val="auto"/>
              </w:rPr>
            </w:pPr>
          </w:p>
        </w:tc>
        <w:tc>
          <w:tcPr>
            <w:tcW w:w="1180" w:type="dxa"/>
            <w:vAlign w:val="bottom"/>
            <w:gridSpan w:val="3"/>
            <w:vMerge w:val="continue"/>
          </w:tcPr>
          <w:p>
            <w:pPr>
              <w:spacing w:after="0"/>
              <w:rPr>
                <w:sz w:val="12"/>
                <w:szCs w:val="12"/>
                <w:color w:val="auto"/>
              </w:rPr>
            </w:pPr>
          </w:p>
        </w:tc>
        <w:tc>
          <w:tcPr>
            <w:tcW w:w="160" w:type="dxa"/>
            <w:vAlign w:val="bottom"/>
          </w:tcPr>
          <w:p>
            <w:pPr>
              <w:spacing w:after="0"/>
              <w:rPr>
                <w:sz w:val="12"/>
                <w:szCs w:val="12"/>
                <w:color w:val="auto"/>
              </w:rPr>
            </w:pPr>
          </w:p>
        </w:tc>
        <w:tc>
          <w:tcPr>
            <w:tcW w:w="820" w:type="dxa"/>
            <w:vAlign w:val="bottom"/>
            <w:gridSpan w:val="2"/>
            <w:vMerge w:val="continue"/>
          </w:tcPr>
          <w:p>
            <w:pPr>
              <w:spacing w:after="0"/>
              <w:rPr>
                <w:sz w:val="12"/>
                <w:szCs w:val="12"/>
                <w:color w:val="auto"/>
              </w:rPr>
            </w:pPr>
          </w:p>
        </w:tc>
        <w:tc>
          <w:tcPr>
            <w:tcW w:w="320" w:type="dxa"/>
            <w:vAlign w:val="bottom"/>
          </w:tcPr>
          <w:p>
            <w:pPr>
              <w:spacing w:after="0"/>
              <w:rPr>
                <w:sz w:val="12"/>
                <w:szCs w:val="12"/>
                <w:color w:val="auto"/>
              </w:rPr>
            </w:pPr>
          </w:p>
        </w:tc>
        <w:tc>
          <w:tcPr>
            <w:tcW w:w="1100" w:type="dxa"/>
            <w:vAlign w:val="bottom"/>
            <w:gridSpan w:val="3"/>
          </w:tcPr>
          <w:p>
            <w:pPr>
              <w:jc w:val="center"/>
              <w:ind w:right="220"/>
              <w:spacing w:after="0" w:line="149" w:lineRule="exact"/>
              <w:rPr>
                <w:sz w:val="20"/>
                <w:szCs w:val="20"/>
                <w:color w:val="auto"/>
              </w:rPr>
            </w:pPr>
            <w:r>
              <w:rPr>
                <w:rFonts w:ascii="Arial" w:cs="Arial" w:eastAsia="Arial" w:hAnsi="Arial"/>
                <w:sz w:val="14"/>
                <w:szCs w:val="14"/>
                <w:b w:val="1"/>
                <w:bCs w:val="1"/>
                <w:color w:val="auto"/>
                <w:w w:val="94"/>
              </w:rPr>
              <w:t>currency</w:t>
            </w:r>
          </w:p>
        </w:tc>
        <w:tc>
          <w:tcPr>
            <w:tcW w:w="1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7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340" w:type="dxa"/>
            <w:vAlign w:val="bottom"/>
            <w:gridSpan w:val="2"/>
            <w:vMerge w:val="continue"/>
          </w:tcPr>
          <w:p>
            <w:pPr>
              <w:spacing w:after="0"/>
              <w:rPr>
                <w:sz w:val="12"/>
                <w:szCs w:val="12"/>
                <w:color w:val="auto"/>
              </w:rPr>
            </w:pPr>
          </w:p>
        </w:tc>
        <w:tc>
          <w:tcPr>
            <w:tcW w:w="160" w:type="dxa"/>
            <w:vAlign w:val="bottom"/>
          </w:tcPr>
          <w:p>
            <w:pPr>
              <w:spacing w:after="0"/>
              <w:rPr>
                <w:sz w:val="12"/>
                <w:szCs w:val="12"/>
                <w:color w:val="auto"/>
              </w:rPr>
            </w:pPr>
          </w:p>
        </w:tc>
        <w:tc>
          <w:tcPr>
            <w:tcW w:w="1420" w:type="dxa"/>
            <w:vAlign w:val="bottom"/>
            <w:gridSpan w:val="2"/>
            <w:vMerge w:val="continue"/>
          </w:tcPr>
          <w:p>
            <w:pPr>
              <w:spacing w:after="0"/>
              <w:rPr>
                <w:sz w:val="12"/>
                <w:szCs w:val="12"/>
                <w:color w:val="auto"/>
              </w:rPr>
            </w:pPr>
          </w:p>
        </w:tc>
        <w:tc>
          <w:tcPr>
            <w:tcW w:w="160" w:type="dxa"/>
            <w:vAlign w:val="bottom"/>
          </w:tcPr>
          <w:p>
            <w:pPr>
              <w:spacing w:after="0"/>
              <w:rPr>
                <w:sz w:val="12"/>
                <w:szCs w:val="12"/>
                <w:color w:val="auto"/>
              </w:rPr>
            </w:pPr>
          </w:p>
        </w:tc>
        <w:tc>
          <w:tcPr>
            <w:tcW w:w="1180" w:type="dxa"/>
            <w:vAlign w:val="bottom"/>
            <w:gridSpan w:val="3"/>
          </w:tcPr>
          <w:p>
            <w:pPr>
              <w:jc w:val="center"/>
              <w:ind w:right="220"/>
              <w:spacing w:after="0" w:line="149" w:lineRule="exact"/>
              <w:rPr>
                <w:sz w:val="20"/>
                <w:szCs w:val="20"/>
                <w:color w:val="auto"/>
              </w:rPr>
            </w:pPr>
            <w:r>
              <w:rPr>
                <w:rFonts w:ascii="Arial" w:cs="Arial" w:eastAsia="Arial" w:hAnsi="Arial"/>
                <w:sz w:val="14"/>
                <w:szCs w:val="14"/>
                <w:b w:val="1"/>
                <w:bCs w:val="1"/>
                <w:color w:val="auto"/>
                <w:w w:val="92"/>
              </w:rPr>
              <w:t>equity benefit</w:t>
            </w:r>
          </w:p>
        </w:tc>
        <w:tc>
          <w:tcPr>
            <w:tcW w:w="160" w:type="dxa"/>
            <w:vAlign w:val="bottom"/>
          </w:tcPr>
          <w:p>
            <w:pPr>
              <w:spacing w:after="0"/>
              <w:rPr>
                <w:sz w:val="12"/>
                <w:szCs w:val="12"/>
                <w:color w:val="auto"/>
              </w:rPr>
            </w:pPr>
          </w:p>
        </w:tc>
        <w:tc>
          <w:tcPr>
            <w:tcW w:w="82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88"/>
              </w:rPr>
              <w:t>for sale</w:t>
            </w:r>
          </w:p>
        </w:tc>
        <w:tc>
          <w:tcPr>
            <w:tcW w:w="320" w:type="dxa"/>
            <w:vAlign w:val="bottom"/>
          </w:tcPr>
          <w:p>
            <w:pPr>
              <w:spacing w:after="0"/>
              <w:rPr>
                <w:sz w:val="12"/>
                <w:szCs w:val="12"/>
                <w:color w:val="auto"/>
              </w:rPr>
            </w:pPr>
          </w:p>
        </w:tc>
        <w:tc>
          <w:tcPr>
            <w:tcW w:w="1100" w:type="dxa"/>
            <w:vAlign w:val="bottom"/>
            <w:gridSpan w:val="3"/>
          </w:tcPr>
          <w:p>
            <w:pPr>
              <w:jc w:val="center"/>
              <w:ind w:right="220"/>
              <w:spacing w:after="0" w:line="149" w:lineRule="exact"/>
              <w:rPr>
                <w:sz w:val="20"/>
                <w:szCs w:val="20"/>
                <w:color w:val="auto"/>
              </w:rPr>
            </w:pPr>
            <w:r>
              <w:rPr>
                <w:rFonts w:ascii="Arial" w:cs="Arial" w:eastAsia="Arial" w:hAnsi="Arial"/>
                <w:sz w:val="14"/>
                <w:szCs w:val="14"/>
                <w:b w:val="1"/>
                <w:bCs w:val="1"/>
                <w:color w:val="auto"/>
                <w:w w:val="94"/>
              </w:rPr>
              <w:t>translation</w:t>
            </w:r>
          </w:p>
        </w:tc>
        <w:tc>
          <w:tcPr>
            <w:tcW w:w="1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40" w:type="dxa"/>
            <w:vAlign w:val="bottom"/>
            <w:gridSpan w:val="2"/>
            <w:vMerge w:val="restart"/>
          </w:tcPr>
          <w:p>
            <w:pPr>
              <w:jc w:val="right"/>
              <w:ind w:right="48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34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2"/>
              </w:rPr>
              <w:t>equity</w:t>
            </w:r>
          </w:p>
        </w:tc>
        <w:tc>
          <w:tcPr>
            <w:tcW w:w="160" w:type="dxa"/>
            <w:vAlign w:val="bottom"/>
          </w:tcPr>
          <w:p>
            <w:pPr>
              <w:spacing w:after="0"/>
              <w:rPr>
                <w:sz w:val="14"/>
                <w:szCs w:val="14"/>
                <w:color w:val="auto"/>
              </w:rPr>
            </w:pPr>
          </w:p>
        </w:tc>
        <w:tc>
          <w:tcPr>
            <w:tcW w:w="142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77"/>
              </w:rPr>
              <w:t>losses</w:t>
            </w:r>
          </w:p>
        </w:tc>
        <w:tc>
          <w:tcPr>
            <w:tcW w:w="1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60" w:type="dxa"/>
            <w:vAlign w:val="bottom"/>
            <w:gridSpan w:val="2"/>
          </w:tcPr>
          <w:p>
            <w:pPr>
              <w:jc w:val="center"/>
              <w:ind w:right="440"/>
              <w:spacing w:after="0"/>
              <w:rPr>
                <w:sz w:val="20"/>
                <w:szCs w:val="20"/>
                <w:color w:val="auto"/>
              </w:rPr>
            </w:pPr>
            <w:r>
              <w:rPr>
                <w:rFonts w:ascii="Arial" w:cs="Arial" w:eastAsia="Arial" w:hAnsi="Arial"/>
                <w:sz w:val="14"/>
                <w:szCs w:val="14"/>
                <w:b w:val="1"/>
                <w:bCs w:val="1"/>
                <w:color w:val="auto"/>
                <w:w w:val="88"/>
              </w:rPr>
              <w:t>reserve</w:t>
            </w:r>
          </w:p>
        </w:tc>
        <w:tc>
          <w:tcPr>
            <w:tcW w:w="160" w:type="dxa"/>
            <w:vAlign w:val="bottom"/>
          </w:tcPr>
          <w:p>
            <w:pPr>
              <w:spacing w:after="0"/>
              <w:rPr>
                <w:sz w:val="14"/>
                <w:szCs w:val="14"/>
                <w:color w:val="auto"/>
              </w:rPr>
            </w:pPr>
          </w:p>
        </w:tc>
        <w:tc>
          <w:tcPr>
            <w:tcW w:w="820" w:type="dxa"/>
            <w:vAlign w:val="bottom"/>
            <w:gridSpan w:val="2"/>
          </w:tcPr>
          <w:p>
            <w:pPr>
              <w:jc w:val="center"/>
              <w:spacing w:after="0"/>
              <w:rPr>
                <w:sz w:val="20"/>
                <w:szCs w:val="20"/>
                <w:color w:val="auto"/>
              </w:rPr>
            </w:pPr>
            <w:r>
              <w:rPr>
                <w:rFonts w:ascii="Arial" w:cs="Arial" w:eastAsia="Arial" w:hAnsi="Arial"/>
                <w:sz w:val="14"/>
                <w:szCs w:val="14"/>
                <w:b w:val="1"/>
                <w:bCs w:val="1"/>
                <w:color w:val="auto"/>
                <w:w w:val="88"/>
              </w:rPr>
              <w:t>reserve</w:t>
            </w:r>
          </w:p>
        </w:tc>
        <w:tc>
          <w:tcPr>
            <w:tcW w:w="320" w:type="dxa"/>
            <w:vAlign w:val="bottom"/>
          </w:tcPr>
          <w:p>
            <w:pPr>
              <w:spacing w:after="0"/>
              <w:rPr>
                <w:sz w:val="14"/>
                <w:szCs w:val="14"/>
                <w:color w:val="auto"/>
              </w:rPr>
            </w:pPr>
          </w:p>
        </w:tc>
        <w:tc>
          <w:tcPr>
            <w:tcW w:w="1100" w:type="dxa"/>
            <w:vAlign w:val="bottom"/>
            <w:gridSpan w:val="3"/>
          </w:tcPr>
          <w:p>
            <w:pPr>
              <w:jc w:val="center"/>
              <w:ind w:right="220"/>
              <w:spacing w:after="0"/>
              <w:rPr>
                <w:sz w:val="20"/>
                <w:szCs w:val="20"/>
                <w:color w:val="auto"/>
              </w:rPr>
            </w:pPr>
            <w:r>
              <w:rPr>
                <w:rFonts w:ascii="Arial" w:cs="Arial" w:eastAsia="Arial" w:hAnsi="Arial"/>
                <w:sz w:val="14"/>
                <w:szCs w:val="14"/>
                <w:b w:val="1"/>
                <w:bCs w:val="1"/>
                <w:color w:val="auto"/>
                <w:w w:val="88"/>
              </w:rPr>
              <w:t>reserve</w:t>
            </w:r>
          </w:p>
        </w:tc>
        <w:tc>
          <w:tcPr>
            <w:tcW w:w="1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4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7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At July 1, 2015</w:t>
            </w:r>
          </w:p>
        </w:tc>
        <w:tc>
          <w:tcPr>
            <w:tcW w:w="280" w:type="dxa"/>
            <w:vAlign w:val="bottom"/>
            <w:tcBorders>
              <w:top w:val="single" w:sz="8" w:color="CCEEFF"/>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b w:val="1"/>
                <w:bCs w:val="1"/>
                <w:color w:val="auto"/>
                <w:w w:val="88"/>
              </w:rPr>
              <w:t>A$ 117,044,332</w:t>
            </w:r>
          </w:p>
        </w:tc>
        <w:tc>
          <w:tcPr>
            <w:tcW w:w="2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120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b w:val="1"/>
                <w:bCs w:val="1"/>
                <w:color w:val="auto"/>
                <w:w w:val="85"/>
              </w:rPr>
              <w:t>A$ (113,457,640)</w:t>
            </w:r>
          </w:p>
        </w:tc>
        <w:tc>
          <w:tcPr>
            <w:tcW w:w="2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b w:val="1"/>
                <w:bCs w:val="1"/>
                <w:color w:val="auto"/>
                <w:w w:val="86"/>
              </w:rPr>
              <w:t>A$</w:t>
            </w: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654,816</w:t>
            </w:r>
          </w:p>
        </w:tc>
        <w:tc>
          <w:tcPr>
            <w:tcW w:w="2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86"/>
              </w:rPr>
              <w:t>A$</w:t>
            </w:r>
          </w:p>
        </w:tc>
        <w:tc>
          <w:tcPr>
            <w:tcW w:w="600" w:type="dxa"/>
            <w:vAlign w:val="bottom"/>
            <w:tcBorders>
              <w:top w:val="single" w:sz="8" w:color="auto"/>
            </w:tcBorders>
            <w:shd w:val="clear" w:color="auto" w:fill="CCEEFF"/>
          </w:tcPr>
          <w:p>
            <w:pPr>
              <w:ind w:left="320"/>
              <w:spacing w:after="0"/>
              <w:rPr>
                <w:sz w:val="20"/>
                <w:szCs w:val="20"/>
                <w:color w:val="auto"/>
              </w:rPr>
            </w:pPr>
            <w:r>
              <w:rPr>
                <w:rFonts w:ascii="Arial" w:cs="Arial" w:eastAsia="Arial" w:hAnsi="Arial"/>
                <w:sz w:val="18"/>
                <w:szCs w:val="18"/>
                <w:b w:val="1"/>
                <w:bCs w:val="1"/>
                <w:color w:val="auto"/>
              </w:rPr>
              <w:t>—</w:t>
            </w:r>
          </w:p>
        </w:tc>
        <w:tc>
          <w:tcPr>
            <w:tcW w:w="32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b w:val="1"/>
                <w:bCs w:val="1"/>
                <w:color w:val="auto"/>
                <w:w w:val="86"/>
              </w:rPr>
              <w:t>A$</w:t>
            </w: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5"/>
              </w:rPr>
              <w:t>(24,624)</w:t>
            </w:r>
          </w:p>
        </w:tc>
        <w:tc>
          <w:tcPr>
            <w:tcW w:w="2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b w:val="1"/>
                <w:bCs w:val="1"/>
                <w:color w:val="auto"/>
                <w:w w:val="86"/>
              </w:rPr>
              <w:t>A$</w:t>
            </w: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4,216,884</w:t>
            </w:r>
          </w:p>
        </w:tc>
        <w:tc>
          <w:tcPr>
            <w:tcW w:w="12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760" w:type="dxa"/>
            <w:vAlign w:val="bottom"/>
          </w:tcPr>
          <w:p>
            <w:pPr>
              <w:spacing w:after="0"/>
              <w:rPr>
                <w:sz w:val="20"/>
                <w:szCs w:val="20"/>
                <w:color w:val="auto"/>
              </w:rPr>
            </w:pPr>
            <w:r>
              <w:rPr>
                <w:rFonts w:ascii="Arial" w:cs="Arial" w:eastAsia="Arial" w:hAnsi="Arial"/>
                <w:sz w:val="18"/>
                <w:szCs w:val="18"/>
                <w:color w:val="auto"/>
              </w:rPr>
              <w:t>Loss for the period</w:t>
            </w:r>
          </w:p>
        </w:tc>
        <w:tc>
          <w:tcPr>
            <w:tcW w:w="280" w:type="dxa"/>
            <w:vAlign w:val="bottom"/>
          </w:tcPr>
          <w:p>
            <w:pPr>
              <w:spacing w:after="0"/>
              <w:rPr>
                <w:sz w:val="18"/>
                <w:szCs w:val="18"/>
                <w:color w:val="auto"/>
              </w:rPr>
            </w:pPr>
          </w:p>
        </w:tc>
        <w:tc>
          <w:tcPr>
            <w:tcW w:w="134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1580" w:type="dxa"/>
            <w:vAlign w:val="bottom"/>
            <w:gridSpan w:val="3"/>
          </w:tcPr>
          <w:p>
            <w:pPr>
              <w:jc w:val="right"/>
              <w:ind w:right="160"/>
              <w:spacing w:after="0"/>
              <w:rPr>
                <w:sz w:val="20"/>
                <w:szCs w:val="20"/>
                <w:color w:val="auto"/>
              </w:rPr>
            </w:pPr>
            <w:r>
              <w:rPr>
                <w:rFonts w:ascii="Arial" w:cs="Arial" w:eastAsia="Arial" w:hAnsi="Arial"/>
                <w:sz w:val="18"/>
                <w:szCs w:val="18"/>
                <w:color w:val="auto"/>
              </w:rPr>
              <w:t>(7,778,015)</w:t>
            </w: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6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00" w:type="dxa"/>
            <w:vAlign w:val="bottom"/>
          </w:tcPr>
          <w:p>
            <w:pPr>
              <w:ind w:left="32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gridSpan w:val="2"/>
          </w:tcPr>
          <w:p>
            <w:pPr>
              <w:jc w:val="right"/>
              <w:ind w:right="60"/>
              <w:spacing w:after="0"/>
              <w:rPr>
                <w:sz w:val="20"/>
                <w:szCs w:val="20"/>
                <w:color w:val="auto"/>
              </w:rPr>
            </w:pPr>
            <w:r>
              <w:rPr>
                <w:rFonts w:ascii="Arial" w:cs="Arial" w:eastAsia="Arial" w:hAnsi="Arial"/>
                <w:sz w:val="18"/>
                <w:szCs w:val="18"/>
                <w:color w:val="auto"/>
                <w:w w:val="93"/>
              </w:rPr>
              <w:t>(7,778,015)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760" w:type="dxa"/>
            <w:vAlign w:val="bottom"/>
            <w:shd w:val="clear" w:color="auto" w:fill="CCEEFF"/>
          </w:tcPr>
          <w:p>
            <w:pPr>
              <w:spacing w:after="0"/>
              <w:rPr>
                <w:sz w:val="20"/>
                <w:szCs w:val="20"/>
                <w:color w:val="auto"/>
              </w:rPr>
            </w:pPr>
            <w:r>
              <w:rPr>
                <w:rFonts w:ascii="Arial" w:cs="Arial" w:eastAsia="Arial" w:hAnsi="Arial"/>
                <w:sz w:val="18"/>
                <w:szCs w:val="18"/>
                <w:color w:val="auto"/>
              </w:rPr>
              <w:t>Other comprehensive income</w:t>
            </w:r>
          </w:p>
        </w:tc>
        <w:tc>
          <w:tcPr>
            <w:tcW w:w="28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00" w:type="dxa"/>
            <w:vAlign w:val="bottom"/>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2760" w:type="dxa"/>
            <w:vAlign w:val="bottom"/>
          </w:tcPr>
          <w:p>
            <w:pPr>
              <w:ind w:left="340"/>
              <w:spacing w:after="0"/>
              <w:rPr>
                <w:sz w:val="20"/>
                <w:szCs w:val="20"/>
                <w:color w:val="auto"/>
              </w:rPr>
            </w:pPr>
            <w:r>
              <w:rPr>
                <w:rFonts w:ascii="Arial" w:cs="Arial" w:eastAsia="Arial" w:hAnsi="Arial"/>
                <w:sz w:val="18"/>
                <w:szCs w:val="18"/>
                <w:color w:val="auto"/>
              </w:rPr>
              <w:t>- Foreign currency translation</w:t>
            </w:r>
          </w:p>
        </w:tc>
        <w:tc>
          <w:tcPr>
            <w:tcW w:w="280" w:type="dxa"/>
            <w:vAlign w:val="bottom"/>
          </w:tcPr>
          <w:p>
            <w:pPr>
              <w:spacing w:after="0"/>
              <w:rPr>
                <w:sz w:val="19"/>
                <w:szCs w:val="19"/>
                <w:color w:val="auto"/>
              </w:rPr>
            </w:pPr>
          </w:p>
        </w:tc>
        <w:tc>
          <w:tcPr>
            <w:tcW w:w="134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42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6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00" w:type="dxa"/>
            <w:vAlign w:val="bottom"/>
          </w:tcPr>
          <w:p>
            <w:pPr>
              <w:ind w:left="32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80" w:type="dxa"/>
            <w:vAlign w:val="bottom"/>
            <w:gridSpan w:val="2"/>
          </w:tcPr>
          <w:p>
            <w:pPr>
              <w:jc w:val="right"/>
              <w:ind w:right="160"/>
              <w:spacing w:after="0"/>
              <w:rPr>
                <w:sz w:val="20"/>
                <w:szCs w:val="20"/>
                <w:color w:val="auto"/>
              </w:rPr>
            </w:pPr>
            <w:r>
              <w:rPr>
                <w:rFonts w:ascii="Arial" w:cs="Arial" w:eastAsia="Arial" w:hAnsi="Arial"/>
                <w:sz w:val="18"/>
                <w:szCs w:val="18"/>
                <w:color w:val="auto"/>
                <w:w w:val="90"/>
              </w:rPr>
              <w:t>(169,100)</w:t>
            </w:r>
          </w:p>
        </w:tc>
        <w:tc>
          <w:tcPr>
            <w:tcW w:w="1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40" w:type="dxa"/>
            <w:vAlign w:val="bottom"/>
            <w:gridSpan w:val="2"/>
          </w:tcPr>
          <w:p>
            <w:pPr>
              <w:jc w:val="right"/>
              <w:ind w:right="60"/>
              <w:spacing w:after="0"/>
              <w:rPr>
                <w:sz w:val="20"/>
                <w:szCs w:val="20"/>
                <w:color w:val="auto"/>
              </w:rPr>
            </w:pPr>
            <w:r>
              <w:rPr>
                <w:rFonts w:ascii="Arial" w:cs="Arial" w:eastAsia="Arial" w:hAnsi="Arial"/>
                <w:sz w:val="18"/>
                <w:szCs w:val="18"/>
                <w:color w:val="auto"/>
              </w:rPr>
              <w:t>(169,100)</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2760" w:type="dxa"/>
            <w:vAlign w:val="bottom"/>
            <w:shd w:val="clear" w:color="auto" w:fill="CCEEFF"/>
          </w:tcPr>
          <w:p>
            <w:pPr>
              <w:spacing w:after="0" w:line="198" w:lineRule="exact"/>
              <w:rPr>
                <w:sz w:val="20"/>
                <w:szCs w:val="20"/>
                <w:color w:val="auto"/>
              </w:rPr>
            </w:pPr>
            <w:r>
              <w:rPr>
                <w:rFonts w:ascii="Arial" w:cs="Arial" w:eastAsia="Arial" w:hAnsi="Arial"/>
                <w:sz w:val="18"/>
                <w:szCs w:val="18"/>
                <w:b w:val="1"/>
                <w:bCs w:val="1"/>
                <w:color w:val="auto"/>
                <w:w w:val="97"/>
              </w:rPr>
              <w:t>Total comprehensive loss for the</w:t>
            </w:r>
          </w:p>
        </w:tc>
        <w:tc>
          <w:tcPr>
            <w:tcW w:w="280" w:type="dxa"/>
            <w:vAlign w:val="bottom"/>
            <w:shd w:val="clear" w:color="auto" w:fill="CCEEFF"/>
          </w:tcPr>
          <w:p>
            <w:pPr>
              <w:spacing w:after="0"/>
              <w:rPr>
                <w:sz w:val="17"/>
                <w:szCs w:val="17"/>
                <w:color w:val="auto"/>
              </w:rPr>
            </w:pPr>
          </w:p>
        </w:tc>
        <w:tc>
          <w:tcPr>
            <w:tcW w:w="1140" w:type="dxa"/>
            <w:vAlign w:val="bottom"/>
            <w:tcBorders>
              <w:top w:val="single" w:sz="8" w:color="auto"/>
            </w:tcBorders>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0" w:type="dxa"/>
            <w:vAlign w:val="bottom"/>
            <w:tcBorders>
              <w:top w:val="single" w:sz="8" w:color="auto"/>
            </w:tcBorders>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spacing w:after="0"/>
              <w:rPr>
                <w:sz w:val="17"/>
                <w:szCs w:val="17"/>
                <w:color w:val="auto"/>
              </w:rPr>
            </w:pPr>
          </w:p>
        </w:tc>
        <w:tc>
          <w:tcPr>
            <w:tcW w:w="740" w:type="dxa"/>
            <w:vAlign w:val="bottom"/>
            <w:tcBorders>
              <w:top w:val="single" w:sz="8" w:color="auto"/>
            </w:tcBorders>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spacing w:after="0"/>
              <w:rPr>
                <w:sz w:val="17"/>
                <w:szCs w:val="17"/>
                <w:color w:val="auto"/>
              </w:rPr>
            </w:pPr>
          </w:p>
        </w:tc>
        <w:tc>
          <w:tcPr>
            <w:tcW w:w="600" w:type="dxa"/>
            <w:vAlign w:val="bottom"/>
            <w:tcBorders>
              <w:top w:val="single" w:sz="8" w:color="auto"/>
            </w:tcBorders>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spacing w:after="0"/>
              <w:rPr>
                <w:sz w:val="17"/>
                <w:szCs w:val="17"/>
                <w:color w:val="auto"/>
              </w:rPr>
            </w:pPr>
          </w:p>
        </w:tc>
        <w:tc>
          <w:tcPr>
            <w:tcW w:w="660" w:type="dxa"/>
            <w:vAlign w:val="bottom"/>
            <w:tcBorders>
              <w:top w:val="single" w:sz="8" w:color="auto"/>
            </w:tcBorders>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spacing w:after="0"/>
              <w:rPr>
                <w:sz w:val="17"/>
                <w:szCs w:val="17"/>
                <w:color w:val="auto"/>
              </w:rPr>
            </w:pPr>
          </w:p>
        </w:tc>
        <w:tc>
          <w:tcPr>
            <w:tcW w:w="820" w:type="dxa"/>
            <w:vAlign w:val="bottom"/>
            <w:tcBorders>
              <w:top w:val="single" w:sz="8" w:color="auto"/>
            </w:tcBorders>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2760" w:type="dxa"/>
            <w:vAlign w:val="bottom"/>
            <w:shd w:val="clear" w:color="auto" w:fill="CCEEFF"/>
          </w:tcPr>
          <w:p>
            <w:pPr>
              <w:ind w:left="160"/>
              <w:spacing w:after="0"/>
              <w:rPr>
                <w:sz w:val="20"/>
                <w:szCs w:val="20"/>
                <w:color w:val="auto"/>
              </w:rPr>
            </w:pPr>
            <w:r>
              <w:rPr>
                <w:rFonts w:ascii="Arial" w:cs="Arial" w:eastAsia="Arial" w:hAnsi="Arial"/>
                <w:sz w:val="18"/>
                <w:szCs w:val="18"/>
                <w:b w:val="1"/>
                <w:bCs w:val="1"/>
                <w:color w:val="auto"/>
              </w:rPr>
              <w:t>year</w:t>
            </w:r>
          </w:p>
        </w:tc>
        <w:tc>
          <w:tcPr>
            <w:tcW w:w="280" w:type="dxa"/>
            <w:vAlign w:val="bottom"/>
            <w:shd w:val="clear" w:color="auto" w:fill="CCEEFF"/>
          </w:tcPr>
          <w:p>
            <w:pPr>
              <w:spacing w:after="0"/>
              <w:rPr>
                <w:sz w:val="20"/>
                <w:szCs w:val="20"/>
                <w:color w:val="auto"/>
              </w:rPr>
            </w:pPr>
          </w:p>
        </w:tc>
        <w:tc>
          <w:tcPr>
            <w:tcW w:w="13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b w:val="1"/>
                <w:bCs w:val="1"/>
                <w:color w:val="auto"/>
              </w:rPr>
              <w:t>—</w:t>
            </w:r>
          </w:p>
        </w:tc>
        <w:tc>
          <w:tcPr>
            <w:tcW w:w="158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b w:val="1"/>
                <w:bCs w:val="1"/>
                <w:color w:val="auto"/>
              </w:rPr>
              <w:t>(7,778,015)</w:t>
            </w:r>
          </w:p>
        </w:tc>
        <w:tc>
          <w:tcPr>
            <w:tcW w:w="16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9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b w:val="1"/>
                <w:bCs w:val="1"/>
                <w:color w:val="auto"/>
              </w:rPr>
              <w:t>—</w:t>
            </w:r>
          </w:p>
        </w:tc>
        <w:tc>
          <w:tcPr>
            <w:tcW w:w="16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600" w:type="dxa"/>
            <w:vAlign w:val="bottom"/>
            <w:shd w:val="clear" w:color="auto" w:fill="CCEEFF"/>
          </w:tcPr>
          <w:p>
            <w:pPr>
              <w:ind w:left="320"/>
              <w:spacing w:after="0"/>
              <w:rPr>
                <w:sz w:val="20"/>
                <w:szCs w:val="20"/>
                <w:color w:val="auto"/>
              </w:rPr>
            </w:pPr>
            <w:r>
              <w:rPr>
                <w:rFonts w:ascii="Arial" w:cs="Arial" w:eastAsia="Arial" w:hAnsi="Arial"/>
                <w:sz w:val="18"/>
                <w:szCs w:val="18"/>
                <w:b w:val="1"/>
                <w:bCs w:val="1"/>
                <w:color w:val="auto"/>
              </w:rPr>
              <w:t>—</w:t>
            </w:r>
          </w:p>
        </w:tc>
        <w:tc>
          <w:tcPr>
            <w:tcW w:w="32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8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b w:val="1"/>
                <w:bCs w:val="1"/>
                <w:color w:val="auto"/>
                <w:w w:val="90"/>
              </w:rPr>
              <w:t>(169,100)</w:t>
            </w:r>
          </w:p>
        </w:tc>
        <w:tc>
          <w:tcPr>
            <w:tcW w:w="16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9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b w:val="1"/>
                <w:bCs w:val="1"/>
                <w:color w:val="auto"/>
                <w:w w:val="93"/>
              </w:rPr>
              <w:t>(7,947,115)</w:t>
            </w:r>
          </w:p>
        </w:tc>
        <w:tc>
          <w:tcPr>
            <w:tcW w:w="0" w:type="dxa"/>
            <w:vAlign w:val="bottom"/>
          </w:tcPr>
          <w:p>
            <w:pPr>
              <w:spacing w:after="0"/>
              <w:rPr>
                <w:sz w:val="1"/>
                <w:szCs w:val="1"/>
                <w:color w:val="auto"/>
              </w:rPr>
            </w:pPr>
          </w:p>
        </w:tc>
      </w:tr>
      <w:tr>
        <w:trPr>
          <w:trHeight w:val="209"/>
        </w:trPr>
        <w:tc>
          <w:tcPr>
            <w:tcW w:w="2780" w:type="dxa"/>
            <w:vAlign w:val="bottom"/>
            <w:gridSpan w:val="2"/>
          </w:tcPr>
          <w:p>
            <w:pPr>
              <w:spacing w:after="0"/>
              <w:rPr>
                <w:sz w:val="20"/>
                <w:szCs w:val="20"/>
                <w:color w:val="auto"/>
              </w:rPr>
            </w:pPr>
            <w:r>
              <w:rPr>
                <w:rFonts w:ascii="Arial" w:cs="Arial" w:eastAsia="Arial" w:hAnsi="Arial"/>
                <w:sz w:val="18"/>
                <w:szCs w:val="18"/>
                <w:i w:val="1"/>
                <w:iCs w:val="1"/>
                <w:color w:val="auto"/>
              </w:rPr>
              <w:t>Transactions with owners in their</w:t>
            </w:r>
          </w:p>
        </w:tc>
        <w:tc>
          <w:tcPr>
            <w:tcW w:w="280" w:type="dxa"/>
            <w:vAlign w:val="bottom"/>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74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600" w:type="dxa"/>
            <w:vAlign w:val="bottom"/>
            <w:tcBorders>
              <w:top w:val="single" w:sz="8" w:color="auto"/>
            </w:tcBorders>
          </w:tcPr>
          <w:p>
            <w:pPr>
              <w:spacing w:after="0"/>
              <w:rPr>
                <w:sz w:val="18"/>
                <w:szCs w:val="18"/>
                <w:color w:val="auto"/>
              </w:rPr>
            </w:pPr>
          </w:p>
        </w:tc>
        <w:tc>
          <w:tcPr>
            <w:tcW w:w="32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66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760" w:type="dxa"/>
            <w:vAlign w:val="bottom"/>
          </w:tcPr>
          <w:p>
            <w:pPr>
              <w:ind w:left="160"/>
              <w:spacing w:after="0"/>
              <w:rPr>
                <w:sz w:val="20"/>
                <w:szCs w:val="20"/>
                <w:color w:val="auto"/>
              </w:rPr>
            </w:pPr>
            <w:r>
              <w:rPr>
                <w:rFonts w:ascii="Arial" w:cs="Arial" w:eastAsia="Arial" w:hAnsi="Arial"/>
                <w:sz w:val="18"/>
                <w:szCs w:val="18"/>
                <w:i w:val="1"/>
                <w:iCs w:val="1"/>
                <w:color w:val="auto"/>
              </w:rPr>
              <w:t>capacity as owners:</w:t>
            </w:r>
          </w:p>
        </w:tc>
        <w:tc>
          <w:tcPr>
            <w:tcW w:w="28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760" w:type="dxa"/>
            <w:vAlign w:val="bottom"/>
            <w:shd w:val="clear" w:color="auto" w:fill="CCEEFF"/>
          </w:tcPr>
          <w:p>
            <w:pPr>
              <w:spacing w:after="0"/>
              <w:rPr>
                <w:sz w:val="20"/>
                <w:szCs w:val="20"/>
                <w:color w:val="auto"/>
              </w:rPr>
            </w:pPr>
            <w:r>
              <w:rPr>
                <w:rFonts w:ascii="Arial" w:cs="Arial" w:eastAsia="Arial" w:hAnsi="Arial"/>
                <w:sz w:val="18"/>
                <w:szCs w:val="18"/>
                <w:color w:val="auto"/>
              </w:rPr>
              <w:t>Expired options</w:t>
            </w:r>
          </w:p>
        </w:tc>
        <w:tc>
          <w:tcPr>
            <w:tcW w:w="28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1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127,247</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(127,247)</w:t>
            </w:r>
          </w:p>
        </w:tc>
        <w:tc>
          <w:tcPr>
            <w:tcW w:w="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00" w:type="dxa"/>
            <w:vAlign w:val="bottom"/>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760" w:type="dxa"/>
            <w:vAlign w:val="bottom"/>
          </w:tcPr>
          <w:p>
            <w:pPr>
              <w:spacing w:after="0"/>
              <w:rPr>
                <w:sz w:val="20"/>
                <w:szCs w:val="20"/>
                <w:color w:val="auto"/>
              </w:rPr>
            </w:pPr>
            <w:r>
              <w:rPr>
                <w:rFonts w:ascii="Arial" w:cs="Arial" w:eastAsia="Arial" w:hAnsi="Arial"/>
                <w:sz w:val="18"/>
                <w:szCs w:val="18"/>
                <w:color w:val="auto"/>
              </w:rPr>
              <w:t>Share-based expenses</w:t>
            </w:r>
          </w:p>
        </w:tc>
        <w:tc>
          <w:tcPr>
            <w:tcW w:w="280" w:type="dxa"/>
            <w:vAlign w:val="bottom"/>
          </w:tcPr>
          <w:p>
            <w:pPr>
              <w:spacing w:after="0"/>
              <w:rPr>
                <w:sz w:val="18"/>
                <w:szCs w:val="18"/>
                <w:color w:val="auto"/>
              </w:rPr>
            </w:pPr>
          </w:p>
        </w:tc>
        <w:tc>
          <w:tcPr>
            <w:tcW w:w="134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42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956,658</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00" w:type="dxa"/>
            <w:vAlign w:val="bottom"/>
          </w:tcPr>
          <w:p>
            <w:pPr>
              <w:ind w:left="32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956,658</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760" w:type="dxa"/>
            <w:vAlign w:val="bottom"/>
            <w:shd w:val="clear" w:color="auto" w:fill="CCEEFF"/>
          </w:tcPr>
          <w:p>
            <w:pPr>
              <w:spacing w:after="0"/>
              <w:rPr>
                <w:sz w:val="20"/>
                <w:szCs w:val="20"/>
                <w:color w:val="auto"/>
              </w:rPr>
            </w:pPr>
            <w:r>
              <w:rPr>
                <w:rFonts w:ascii="Arial" w:cs="Arial" w:eastAsia="Arial" w:hAnsi="Arial"/>
                <w:sz w:val="18"/>
                <w:szCs w:val="18"/>
                <w:color w:val="auto"/>
              </w:rPr>
              <w:t>MVP shares</w:t>
            </w:r>
          </w:p>
        </w:tc>
        <w:tc>
          <w:tcPr>
            <w:tcW w:w="28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00" w:type="dxa"/>
            <w:vAlign w:val="bottom"/>
            <w:shd w:val="clear" w:color="auto" w:fill="CCEEFF"/>
          </w:tcPr>
          <w:p>
            <w:pPr>
              <w:ind w:left="20"/>
              <w:spacing w:after="0"/>
              <w:rPr>
                <w:sz w:val="20"/>
                <w:szCs w:val="20"/>
                <w:color w:val="auto"/>
              </w:rPr>
            </w:pPr>
            <w:r>
              <w:rPr>
                <w:rFonts w:ascii="Arial" w:cs="Arial" w:eastAsia="Arial" w:hAnsi="Arial"/>
                <w:sz w:val="18"/>
                <w:szCs w:val="18"/>
                <w:color w:val="auto"/>
                <w:w w:val="86"/>
              </w:rPr>
              <w:t>265,261</w:t>
            </w:r>
          </w:p>
        </w:tc>
        <w:tc>
          <w:tcPr>
            <w:tcW w:w="3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265,261</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760" w:type="dxa"/>
            <w:vAlign w:val="bottom"/>
          </w:tcPr>
          <w:p>
            <w:pPr>
              <w:spacing w:after="0"/>
              <w:rPr>
                <w:sz w:val="20"/>
                <w:szCs w:val="20"/>
                <w:color w:val="auto"/>
              </w:rPr>
            </w:pPr>
            <w:r>
              <w:rPr>
                <w:rFonts w:ascii="Arial" w:cs="Arial" w:eastAsia="Arial" w:hAnsi="Arial"/>
                <w:sz w:val="18"/>
                <w:szCs w:val="18"/>
                <w:color w:val="auto"/>
              </w:rPr>
              <w:t>New options</w:t>
            </w:r>
          </w:p>
        </w:tc>
        <w:tc>
          <w:tcPr>
            <w:tcW w:w="280" w:type="dxa"/>
            <w:vAlign w:val="bottom"/>
          </w:tcPr>
          <w:p>
            <w:pPr>
              <w:spacing w:after="0"/>
              <w:rPr>
                <w:sz w:val="18"/>
                <w:szCs w:val="18"/>
                <w:color w:val="auto"/>
              </w:rPr>
            </w:pPr>
          </w:p>
        </w:tc>
        <w:tc>
          <w:tcPr>
            <w:tcW w:w="134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42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140,789</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00" w:type="dxa"/>
            <w:vAlign w:val="bottom"/>
          </w:tcPr>
          <w:p>
            <w:pPr>
              <w:ind w:left="32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140,789</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760" w:type="dxa"/>
            <w:vAlign w:val="bottom"/>
            <w:shd w:val="clear" w:color="auto" w:fill="CCEEFF"/>
          </w:tcPr>
          <w:p>
            <w:pPr>
              <w:spacing w:after="0"/>
              <w:rPr>
                <w:sz w:val="20"/>
                <w:szCs w:val="20"/>
                <w:color w:val="auto"/>
              </w:rPr>
            </w:pPr>
            <w:r>
              <w:rPr>
                <w:rFonts w:ascii="Arial" w:cs="Arial" w:eastAsia="Arial" w:hAnsi="Arial"/>
                <w:sz w:val="18"/>
                <w:szCs w:val="18"/>
                <w:color w:val="auto"/>
              </w:rPr>
              <w:t>New shares</w:t>
            </w:r>
          </w:p>
        </w:tc>
        <w:tc>
          <w:tcPr>
            <w:tcW w:w="1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10,025,584</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00" w:type="dxa"/>
            <w:vAlign w:val="bottom"/>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10,025,584</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760" w:type="dxa"/>
            <w:vAlign w:val="bottom"/>
          </w:tcPr>
          <w:p>
            <w:pPr>
              <w:spacing w:after="0"/>
              <w:rPr>
                <w:sz w:val="20"/>
                <w:szCs w:val="20"/>
                <w:color w:val="auto"/>
              </w:rPr>
            </w:pPr>
            <w:r>
              <w:rPr>
                <w:rFonts w:ascii="Arial" w:cs="Arial" w:eastAsia="Arial" w:hAnsi="Arial"/>
                <w:sz w:val="18"/>
                <w:szCs w:val="18"/>
                <w:color w:val="auto"/>
              </w:rPr>
              <w:t>Cost of share placement</w:t>
            </w:r>
          </w:p>
        </w:tc>
        <w:tc>
          <w:tcPr>
            <w:tcW w:w="280" w:type="dxa"/>
            <w:vAlign w:val="bottom"/>
          </w:tcPr>
          <w:p>
            <w:pPr>
              <w:spacing w:after="0"/>
              <w:rPr>
                <w:sz w:val="18"/>
                <w:szCs w:val="18"/>
                <w:color w:val="auto"/>
              </w:rPr>
            </w:pPr>
          </w:p>
        </w:tc>
        <w:tc>
          <w:tcPr>
            <w:tcW w:w="1340" w:type="dxa"/>
            <w:vAlign w:val="bottom"/>
            <w:gridSpan w:val="2"/>
          </w:tcPr>
          <w:p>
            <w:pPr>
              <w:jc w:val="right"/>
              <w:ind w:right="140"/>
              <w:spacing w:after="0"/>
              <w:rPr>
                <w:sz w:val="20"/>
                <w:szCs w:val="20"/>
                <w:color w:val="auto"/>
              </w:rPr>
            </w:pPr>
            <w:r>
              <w:rPr>
                <w:rFonts w:ascii="Arial" w:cs="Arial" w:eastAsia="Arial" w:hAnsi="Arial"/>
                <w:sz w:val="18"/>
                <w:szCs w:val="18"/>
                <w:color w:val="auto"/>
              </w:rPr>
              <w:t>(805,544)</w:t>
            </w:r>
          </w:p>
        </w:tc>
        <w:tc>
          <w:tcPr>
            <w:tcW w:w="160" w:type="dxa"/>
            <w:vAlign w:val="bottom"/>
          </w:tcPr>
          <w:p>
            <w:pPr>
              <w:spacing w:after="0"/>
              <w:rPr>
                <w:sz w:val="18"/>
                <w:szCs w:val="18"/>
                <w:color w:val="auto"/>
              </w:rPr>
            </w:pPr>
          </w:p>
        </w:tc>
        <w:tc>
          <w:tcPr>
            <w:tcW w:w="142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6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00" w:type="dxa"/>
            <w:vAlign w:val="bottom"/>
          </w:tcPr>
          <w:p>
            <w:pPr>
              <w:ind w:left="32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gridSpan w:val="2"/>
          </w:tcPr>
          <w:p>
            <w:pPr>
              <w:jc w:val="right"/>
              <w:ind w:right="60"/>
              <w:spacing w:after="0"/>
              <w:rPr>
                <w:sz w:val="20"/>
                <w:szCs w:val="20"/>
                <w:color w:val="auto"/>
              </w:rPr>
            </w:pPr>
            <w:r>
              <w:rPr>
                <w:rFonts w:ascii="Arial" w:cs="Arial" w:eastAsia="Arial" w:hAnsi="Arial"/>
                <w:sz w:val="18"/>
                <w:szCs w:val="18"/>
                <w:color w:val="auto"/>
              </w:rPr>
              <w:t>(805,544)</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27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27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Balance at June 30, 2016</w:t>
            </w:r>
          </w:p>
        </w:tc>
        <w:tc>
          <w:tcPr>
            <w:tcW w:w="1620" w:type="dxa"/>
            <w:vAlign w:val="bottom"/>
            <w:gridSpan w:val="3"/>
            <w:shd w:val="clear" w:color="auto" w:fill="CCEEFF"/>
          </w:tcPr>
          <w:p>
            <w:pPr>
              <w:jc w:val="center"/>
              <w:spacing w:after="0"/>
              <w:rPr>
                <w:sz w:val="20"/>
                <w:szCs w:val="20"/>
                <w:color w:val="auto"/>
              </w:rPr>
            </w:pPr>
            <w:r>
              <w:rPr>
                <w:rFonts w:ascii="Arial" w:cs="Arial" w:eastAsia="Arial" w:hAnsi="Arial"/>
                <w:sz w:val="18"/>
                <w:szCs w:val="18"/>
                <w:b w:val="1"/>
                <w:bCs w:val="1"/>
                <w:u w:val="single" w:color="auto"/>
                <w:color w:val="auto"/>
                <w:w w:val="92"/>
              </w:rPr>
              <w:t>A$</w:t>
            </w:r>
            <w:r>
              <w:rPr>
                <w:rFonts w:ascii="Arial" w:cs="Arial" w:eastAsia="Arial" w:hAnsi="Arial"/>
                <w:sz w:val="18"/>
                <w:szCs w:val="18"/>
                <w:b w:val="1"/>
                <w:bCs w:val="1"/>
                <w:color w:val="auto"/>
                <w:w w:val="92"/>
              </w:rPr>
              <w:t>126,264,372</w:t>
            </w:r>
          </w:p>
        </w:tc>
        <w:tc>
          <w:tcPr>
            <w:tcW w:w="158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b w:val="1"/>
                <w:bCs w:val="1"/>
                <w:u w:val="single" w:color="auto"/>
                <w:color w:val="auto"/>
                <w:w w:val="99"/>
              </w:rPr>
              <w:t>A$</w:t>
            </w:r>
            <w:r>
              <w:rPr>
                <w:rFonts w:ascii="Arial" w:cs="Arial" w:eastAsia="Arial" w:hAnsi="Arial"/>
                <w:sz w:val="18"/>
                <w:szCs w:val="18"/>
                <w:b w:val="1"/>
                <w:bCs w:val="1"/>
                <w:color w:val="auto"/>
                <w:w w:val="99"/>
              </w:rPr>
              <w:t xml:space="preserve"> (121,108,408)</w:t>
            </w:r>
          </w:p>
        </w:tc>
        <w:tc>
          <w:tcPr>
            <w:tcW w:w="380" w:type="dxa"/>
            <w:vAlign w:val="bottom"/>
            <w:gridSpan w:val="2"/>
            <w:shd w:val="clear" w:color="auto" w:fill="CCEEFF"/>
          </w:tcPr>
          <w:p>
            <w:pPr>
              <w:ind w:left="160"/>
              <w:spacing w:after="0"/>
              <w:rPr>
                <w:sz w:val="20"/>
                <w:szCs w:val="20"/>
                <w:color w:val="auto"/>
              </w:rPr>
            </w:pPr>
            <w:r>
              <w:rPr>
                <w:rFonts w:ascii="Arial" w:cs="Arial" w:eastAsia="Arial" w:hAnsi="Arial"/>
                <w:sz w:val="18"/>
                <w:szCs w:val="18"/>
                <w:b w:val="1"/>
                <w:bCs w:val="1"/>
                <w:u w:val="single" w:color="auto"/>
                <w:color w:val="auto"/>
                <w:w w:val="86"/>
              </w:rPr>
              <w:t>A$</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89"/>
              </w:rPr>
              <w:t>1,625,016</w:t>
            </w:r>
          </w:p>
        </w:tc>
        <w:tc>
          <w:tcPr>
            <w:tcW w:w="220" w:type="dxa"/>
            <w:vAlign w:val="bottom"/>
            <w:shd w:val="clear" w:color="auto" w:fill="CCEEFF"/>
          </w:tcPr>
          <w:p>
            <w:pPr>
              <w:spacing w:after="0"/>
              <w:rPr>
                <w:sz w:val="18"/>
                <w:szCs w:val="18"/>
                <w:color w:val="auto"/>
              </w:rPr>
            </w:pPr>
          </w:p>
        </w:tc>
        <w:tc>
          <w:tcPr>
            <w:tcW w:w="38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u w:val="single" w:color="auto"/>
                <w:color w:val="auto"/>
              </w:rPr>
              <w:t>A$</w:t>
            </w:r>
          </w:p>
        </w:tc>
        <w:tc>
          <w:tcPr>
            <w:tcW w:w="60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w w:val="86"/>
              </w:rPr>
              <w:t>265,261</w:t>
            </w:r>
          </w:p>
        </w:tc>
        <w:tc>
          <w:tcPr>
            <w:tcW w:w="540" w:type="dxa"/>
            <w:vAlign w:val="bottom"/>
            <w:gridSpan w:val="2"/>
            <w:shd w:val="clear" w:color="auto" w:fill="CCEEFF"/>
          </w:tcPr>
          <w:p>
            <w:pPr>
              <w:ind w:left="320"/>
              <w:spacing w:after="0"/>
              <w:rPr>
                <w:sz w:val="20"/>
                <w:szCs w:val="20"/>
                <w:color w:val="auto"/>
              </w:rPr>
            </w:pPr>
            <w:r>
              <w:rPr>
                <w:rFonts w:ascii="Arial" w:cs="Arial" w:eastAsia="Arial" w:hAnsi="Arial"/>
                <w:sz w:val="18"/>
                <w:szCs w:val="18"/>
                <w:b w:val="1"/>
                <w:bCs w:val="1"/>
                <w:u w:val="single" w:color="auto"/>
                <w:color w:val="auto"/>
                <w:w w:val="86"/>
              </w:rPr>
              <w:t>A$</w:t>
            </w:r>
          </w:p>
        </w:tc>
        <w:tc>
          <w:tcPr>
            <w:tcW w:w="8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b w:val="1"/>
                <w:bCs w:val="1"/>
                <w:color w:val="auto"/>
                <w:w w:val="90"/>
              </w:rPr>
              <w:t>(193,724)</w:t>
            </w:r>
          </w:p>
        </w:tc>
        <w:tc>
          <w:tcPr>
            <w:tcW w:w="380" w:type="dxa"/>
            <w:vAlign w:val="bottom"/>
            <w:gridSpan w:val="2"/>
            <w:shd w:val="clear" w:color="auto" w:fill="CCEEFF"/>
          </w:tcPr>
          <w:p>
            <w:pPr>
              <w:ind w:left="160"/>
              <w:spacing w:after="0"/>
              <w:rPr>
                <w:sz w:val="20"/>
                <w:szCs w:val="20"/>
                <w:color w:val="auto"/>
              </w:rPr>
            </w:pPr>
            <w:r>
              <w:rPr>
                <w:rFonts w:ascii="Arial" w:cs="Arial" w:eastAsia="Arial" w:hAnsi="Arial"/>
                <w:sz w:val="18"/>
                <w:szCs w:val="18"/>
                <w:b w:val="1"/>
                <w:bCs w:val="1"/>
                <w:u w:val="single" w:color="auto"/>
                <w:color w:val="auto"/>
                <w:w w:val="86"/>
              </w:rPr>
              <w:t>A</w:t>
            </w:r>
            <w:r>
              <w:rPr>
                <w:rFonts w:ascii="Arial" w:cs="Arial" w:eastAsia="Arial" w:hAnsi="Arial"/>
                <w:sz w:val="18"/>
                <w:szCs w:val="18"/>
                <w:b w:val="1"/>
                <w:bCs w:val="1"/>
                <w:color w:val="auto"/>
                <w:w w:val="86"/>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6,852,517</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7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ind w:left="200"/>
        <w:spacing w:after="0"/>
        <w:rPr>
          <w:sz w:val="20"/>
          <w:szCs w:val="20"/>
          <w:color w:val="auto"/>
        </w:rPr>
      </w:pPr>
      <w:r>
        <w:rPr>
          <w:rFonts w:ascii="Arial" w:cs="Arial" w:eastAsia="Arial" w:hAnsi="Arial"/>
          <w:sz w:val="18"/>
          <w:szCs w:val="18"/>
          <w:color w:val="auto"/>
        </w:rPr>
        <w:t>The accompanying notes form part of the consolidated financial statements.</w:t>
      </w:r>
    </w:p>
    <w:p>
      <w:pPr>
        <w:spacing w:after="0" w:line="158" w:lineRule="exact"/>
        <w:rPr>
          <w:sz w:val="20"/>
          <w:szCs w:val="20"/>
          <w:color w:val="auto"/>
        </w:rPr>
      </w:pPr>
    </w:p>
    <w:p>
      <w:pPr>
        <w:ind w:left="5580"/>
        <w:spacing w:after="0"/>
        <w:rPr>
          <w:sz w:val="20"/>
          <w:szCs w:val="20"/>
          <w:color w:val="auto"/>
        </w:rPr>
      </w:pPr>
      <w:r>
        <w:rPr>
          <w:rFonts w:ascii="Arial" w:cs="Arial" w:eastAsia="Arial" w:hAnsi="Arial"/>
          <w:sz w:val="18"/>
          <w:szCs w:val="18"/>
          <w:color w:val="auto"/>
        </w:rPr>
        <w:t>F-9</w:t>
      </w:r>
    </w:p>
    <w:p>
      <w:pPr>
        <w:sectPr>
          <w:pgSz w:w="11900" w:h="16838" w:orient="portrait"/>
          <w:cols w:equalWidth="0" w:num="1">
            <w:col w:w="11240"/>
          </w:cols>
          <w:pgMar w:left="240" w:top="459" w:right="419" w:bottom="1440" w:gutter="0" w:footer="0" w:header="0"/>
        </w:sectPr>
      </w:pPr>
    </w:p>
    <w:bookmarkStart w:id="108" w:name="page109"/>
    <w:bookmarkEnd w:id="10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5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AVITA MEDICAL LIMITED</w:t>
      </w:r>
    </w:p>
    <w:p>
      <w:pPr>
        <w:spacing w:after="0" w:line="27"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(IN AUSTRALIAN DOLLARS)</w:t>
      </w:r>
    </w:p>
    <w:p>
      <w:pPr>
        <w:spacing w:after="0" w:line="234" w:lineRule="exact"/>
        <w:rPr>
          <w:sz w:val="20"/>
          <w:szCs w:val="20"/>
          <w:color w:val="auto"/>
        </w:rPr>
      </w:pPr>
    </w:p>
    <w:p>
      <w:pPr>
        <w:ind w:left="640" w:hanging="436"/>
        <w:spacing w:after="0"/>
        <w:tabs>
          <w:tab w:leader="none" w:pos="640" w:val="left"/>
        </w:tabs>
        <w:numPr>
          <w:ilvl w:val="0"/>
          <w:numId w:val="61"/>
        </w:numPr>
        <w:rPr>
          <w:rFonts w:ascii="Arial" w:cs="Arial" w:eastAsia="Arial" w:hAnsi="Arial"/>
          <w:sz w:val="18"/>
          <w:szCs w:val="18"/>
          <w:b w:val="1"/>
          <w:bCs w:val="1"/>
          <w:color w:val="auto"/>
        </w:rPr>
      </w:pPr>
      <w:r>
        <w:rPr>
          <w:rFonts w:ascii="Arial" w:cs="Arial" w:eastAsia="Arial" w:hAnsi="Arial"/>
          <w:sz w:val="18"/>
          <w:szCs w:val="18"/>
          <w:b w:val="1"/>
          <w:bCs w:val="1"/>
          <w:color w:val="auto"/>
        </w:rPr>
        <w:t>CORPORATE INFORMATION</w:t>
      </w:r>
    </w:p>
    <w:p>
      <w:pPr>
        <w:spacing w:after="0" w:line="121" w:lineRule="exact"/>
        <w:rPr>
          <w:sz w:val="20"/>
          <w:szCs w:val="20"/>
          <w:color w:val="auto"/>
        </w:rPr>
      </w:pPr>
    </w:p>
    <w:p>
      <w:pPr>
        <w:ind w:left="200" w:right="300"/>
        <w:spacing w:after="0" w:line="277" w:lineRule="auto"/>
        <w:rPr>
          <w:sz w:val="20"/>
          <w:szCs w:val="20"/>
          <w:color w:val="auto"/>
        </w:rPr>
      </w:pPr>
      <w:r>
        <w:rPr>
          <w:rFonts w:ascii="Arial" w:cs="Arial" w:eastAsia="Arial" w:hAnsi="Arial"/>
          <w:sz w:val="18"/>
          <w:szCs w:val="18"/>
          <w:color w:val="auto"/>
        </w:rPr>
        <w:t>Avita Medical Limited, the parent entity, is a company limited by shares incorporated in Australia whose shares are publicly traded on the Australian Securities Exchange.</w:t>
      </w:r>
    </w:p>
    <w:p>
      <w:pPr>
        <w:spacing w:after="0" w:line="170" w:lineRule="exact"/>
        <w:rPr>
          <w:sz w:val="20"/>
          <w:szCs w:val="20"/>
          <w:color w:val="auto"/>
        </w:rPr>
      </w:pPr>
    </w:p>
    <w:p>
      <w:pPr>
        <w:ind w:left="200"/>
        <w:spacing w:after="0"/>
        <w:rPr>
          <w:sz w:val="20"/>
          <w:szCs w:val="20"/>
          <w:color w:val="auto"/>
        </w:rPr>
      </w:pPr>
      <w:r>
        <w:rPr>
          <w:rFonts w:ascii="Arial" w:cs="Arial" w:eastAsia="Arial" w:hAnsi="Arial"/>
          <w:sz w:val="18"/>
          <w:szCs w:val="18"/>
          <w:color w:val="auto"/>
        </w:rPr>
        <w:t>The nature of the operations and principal activities of the Company are described in the Business Overview.</w:t>
      </w:r>
    </w:p>
    <w:p>
      <w:pPr>
        <w:spacing w:after="0" w:line="370" w:lineRule="exact"/>
        <w:rPr>
          <w:sz w:val="20"/>
          <w:szCs w:val="20"/>
          <w:color w:val="auto"/>
        </w:rPr>
      </w:pPr>
    </w:p>
    <w:p>
      <w:pPr>
        <w:ind w:left="640" w:hanging="436"/>
        <w:spacing w:after="0"/>
        <w:tabs>
          <w:tab w:leader="none" w:pos="640" w:val="left"/>
        </w:tabs>
        <w:numPr>
          <w:ilvl w:val="0"/>
          <w:numId w:val="62"/>
        </w:numPr>
        <w:rPr>
          <w:rFonts w:ascii="Arial" w:cs="Arial" w:eastAsia="Arial" w:hAnsi="Arial"/>
          <w:sz w:val="18"/>
          <w:szCs w:val="18"/>
          <w:b w:val="1"/>
          <w:bCs w:val="1"/>
          <w:color w:val="auto"/>
        </w:rPr>
      </w:pPr>
      <w:r>
        <w:rPr>
          <w:rFonts w:ascii="Arial" w:cs="Arial" w:eastAsia="Arial" w:hAnsi="Arial"/>
          <w:sz w:val="18"/>
          <w:szCs w:val="18"/>
          <w:b w:val="1"/>
          <w:bCs w:val="1"/>
          <w:color w:val="auto"/>
        </w:rPr>
        <w:t>SUMMARY OF SIGNIFICANT ACCOUNTING POLICIES</w:t>
      </w:r>
    </w:p>
    <w:p>
      <w:pPr>
        <w:spacing w:after="0" w:line="131" w:lineRule="exact"/>
        <w:rPr>
          <w:sz w:val="20"/>
          <w:szCs w:val="20"/>
          <w:color w:val="auto"/>
        </w:rPr>
      </w:pPr>
    </w:p>
    <w:p>
      <w:pPr>
        <w:ind w:left="640" w:hanging="436"/>
        <w:spacing w:after="0"/>
        <w:tabs>
          <w:tab w:leader="none" w:pos="640" w:val="left"/>
        </w:tabs>
        <w:numPr>
          <w:ilvl w:val="0"/>
          <w:numId w:val="63"/>
        </w:numPr>
        <w:rPr>
          <w:rFonts w:ascii="Arial" w:cs="Arial" w:eastAsia="Arial" w:hAnsi="Arial"/>
          <w:sz w:val="18"/>
          <w:szCs w:val="18"/>
          <w:b w:val="1"/>
          <w:bCs w:val="1"/>
          <w:color w:val="auto"/>
        </w:rPr>
      </w:pPr>
      <w:r>
        <w:rPr>
          <w:rFonts w:ascii="Arial" w:cs="Arial" w:eastAsia="Arial" w:hAnsi="Arial"/>
          <w:sz w:val="18"/>
          <w:szCs w:val="18"/>
          <w:b w:val="1"/>
          <w:bCs w:val="1"/>
          <w:color w:val="auto"/>
        </w:rPr>
        <w:t>Basis of preparation and statement of compliance</w:t>
      </w:r>
    </w:p>
    <w:p>
      <w:pPr>
        <w:spacing w:after="0" w:line="121" w:lineRule="exact"/>
        <w:rPr>
          <w:sz w:val="20"/>
          <w:szCs w:val="20"/>
          <w:color w:val="auto"/>
        </w:rPr>
      </w:pPr>
    </w:p>
    <w:p>
      <w:pPr>
        <w:ind w:left="200"/>
        <w:spacing w:after="0" w:line="279" w:lineRule="auto"/>
        <w:rPr>
          <w:sz w:val="20"/>
          <w:szCs w:val="20"/>
          <w:color w:val="auto"/>
        </w:rPr>
      </w:pPr>
      <w:r>
        <w:rPr>
          <w:rFonts w:ascii="Arial" w:cs="Arial" w:eastAsia="Arial" w:hAnsi="Arial"/>
          <w:sz w:val="17"/>
          <w:szCs w:val="17"/>
          <w:color w:val="auto"/>
        </w:rPr>
        <w:t>The consolidated financial statements are general purpose consolidated financial statements that have been prepared in accordance with the requirements of the International Financial Reporting Standards (IFRS) as issued by the International Accounting Standards Board (IASB). The Company’s consolidated financial statements include the assets and liabilities of all subsidiaries of the Company as at June 30, 2018 and the results of the subsidiaries for the year then ended. Inter-entity transactions with, or between, subsidiaries are eliminated in full on consolidation.</w:t>
      </w:r>
    </w:p>
    <w:p>
      <w:pPr>
        <w:spacing w:after="0" w:line="171" w:lineRule="exact"/>
        <w:rPr>
          <w:sz w:val="20"/>
          <w:szCs w:val="20"/>
          <w:color w:val="auto"/>
        </w:rPr>
      </w:pPr>
    </w:p>
    <w:p>
      <w:pPr>
        <w:ind w:left="200" w:right="40"/>
        <w:spacing w:after="0" w:line="264" w:lineRule="auto"/>
        <w:rPr>
          <w:sz w:val="20"/>
          <w:szCs w:val="20"/>
          <w:color w:val="auto"/>
        </w:rPr>
      </w:pPr>
      <w:r>
        <w:rPr>
          <w:rFonts w:ascii="Arial" w:cs="Arial" w:eastAsia="Arial" w:hAnsi="Arial"/>
          <w:sz w:val="18"/>
          <w:szCs w:val="18"/>
          <w:color w:val="auto"/>
        </w:rPr>
        <w:t>Except for cash flow information, the financial report has been prepared on an accrual basis and is based on historical costs, modified, where applicable, for financial liabilities and assets held at fair value through profit or loss and is presented in Australian dollars which is the Company’s functional and presentation currency.</w:t>
      </w:r>
    </w:p>
    <w:p>
      <w:pPr>
        <w:spacing w:after="0" w:line="326" w:lineRule="exact"/>
        <w:rPr>
          <w:sz w:val="20"/>
          <w:szCs w:val="20"/>
          <w:color w:val="auto"/>
        </w:rPr>
      </w:pPr>
    </w:p>
    <w:p>
      <w:pPr>
        <w:ind w:left="640" w:hanging="436"/>
        <w:spacing w:after="0"/>
        <w:tabs>
          <w:tab w:leader="none" w:pos="640" w:val="left"/>
        </w:tabs>
        <w:numPr>
          <w:ilvl w:val="0"/>
          <w:numId w:val="64"/>
        </w:numPr>
        <w:rPr>
          <w:rFonts w:ascii="Arial" w:cs="Arial" w:eastAsia="Arial" w:hAnsi="Arial"/>
          <w:sz w:val="18"/>
          <w:szCs w:val="18"/>
          <w:b w:val="1"/>
          <w:bCs w:val="1"/>
          <w:color w:val="auto"/>
        </w:rPr>
      </w:pPr>
      <w:r>
        <w:rPr>
          <w:rFonts w:ascii="Arial" w:cs="Arial" w:eastAsia="Arial" w:hAnsi="Arial"/>
          <w:sz w:val="18"/>
          <w:szCs w:val="18"/>
          <w:b w:val="1"/>
          <w:bCs w:val="1"/>
          <w:color w:val="auto"/>
        </w:rPr>
        <w:t>New and amended accounting standards and interpretations adopted by the Company</w:t>
      </w:r>
    </w:p>
    <w:p>
      <w:pPr>
        <w:spacing w:after="0" w:line="121" w:lineRule="exact"/>
        <w:rPr>
          <w:sz w:val="20"/>
          <w:szCs w:val="20"/>
          <w:color w:val="auto"/>
        </w:rPr>
      </w:pPr>
    </w:p>
    <w:p>
      <w:pPr>
        <w:ind w:left="200" w:right="180"/>
        <w:spacing w:after="0" w:line="277" w:lineRule="auto"/>
        <w:rPr>
          <w:sz w:val="20"/>
          <w:szCs w:val="20"/>
          <w:color w:val="auto"/>
        </w:rPr>
      </w:pPr>
      <w:r>
        <w:rPr>
          <w:rFonts w:ascii="Arial" w:cs="Arial" w:eastAsia="Arial" w:hAnsi="Arial"/>
          <w:sz w:val="18"/>
          <w:szCs w:val="18"/>
          <w:color w:val="auto"/>
        </w:rPr>
        <w:t>The Company has adopted all of the new, revised or amended Accounting Standards and Interpretations issued by the IASB that are mandatory for the current reporting period.</w:t>
      </w:r>
    </w:p>
    <w:p>
      <w:pPr>
        <w:spacing w:after="0" w:line="170" w:lineRule="exact"/>
        <w:rPr>
          <w:sz w:val="20"/>
          <w:szCs w:val="20"/>
          <w:color w:val="auto"/>
        </w:rPr>
      </w:pPr>
    </w:p>
    <w:p>
      <w:pPr>
        <w:ind w:left="200" w:right="440"/>
        <w:spacing w:after="0" w:line="277" w:lineRule="auto"/>
        <w:rPr>
          <w:sz w:val="20"/>
          <w:szCs w:val="20"/>
          <w:color w:val="auto"/>
        </w:rPr>
      </w:pPr>
      <w:r>
        <w:rPr>
          <w:rFonts w:ascii="Arial" w:cs="Arial" w:eastAsia="Arial" w:hAnsi="Arial"/>
          <w:sz w:val="18"/>
          <w:szCs w:val="18"/>
          <w:color w:val="auto"/>
        </w:rPr>
        <w:t>The adoption of these Accounting Standards and Interpretations did not have any significant impact on the financial performance or position of the Company.</w:t>
      </w:r>
    </w:p>
    <w:p>
      <w:pPr>
        <w:spacing w:after="0" w:line="315" w:lineRule="exact"/>
        <w:rPr>
          <w:sz w:val="20"/>
          <w:szCs w:val="20"/>
          <w:color w:val="auto"/>
        </w:rPr>
      </w:pPr>
    </w:p>
    <w:p>
      <w:pPr>
        <w:ind w:left="640" w:hanging="436"/>
        <w:spacing w:after="0"/>
        <w:tabs>
          <w:tab w:leader="none" w:pos="640" w:val="left"/>
        </w:tabs>
        <w:numPr>
          <w:ilvl w:val="0"/>
          <w:numId w:val="65"/>
        </w:numPr>
        <w:rPr>
          <w:rFonts w:ascii="Arial" w:cs="Arial" w:eastAsia="Arial" w:hAnsi="Arial"/>
          <w:sz w:val="18"/>
          <w:szCs w:val="18"/>
          <w:b w:val="1"/>
          <w:bCs w:val="1"/>
          <w:color w:val="auto"/>
        </w:rPr>
      </w:pPr>
      <w:r>
        <w:rPr>
          <w:rFonts w:ascii="Arial" w:cs="Arial" w:eastAsia="Arial" w:hAnsi="Arial"/>
          <w:sz w:val="18"/>
          <w:szCs w:val="18"/>
          <w:b w:val="1"/>
          <w:bCs w:val="1"/>
          <w:color w:val="auto"/>
        </w:rPr>
        <w:t>Changes in accounting policy</w:t>
      </w:r>
    </w:p>
    <w:p>
      <w:pPr>
        <w:spacing w:after="0" w:line="121" w:lineRule="exact"/>
        <w:rPr>
          <w:sz w:val="20"/>
          <w:szCs w:val="20"/>
          <w:color w:val="auto"/>
        </w:rPr>
      </w:pPr>
    </w:p>
    <w:p>
      <w:pPr>
        <w:ind w:left="200" w:right="200"/>
        <w:spacing w:after="0" w:line="264" w:lineRule="auto"/>
        <w:rPr>
          <w:sz w:val="20"/>
          <w:szCs w:val="20"/>
          <w:color w:val="auto"/>
        </w:rPr>
      </w:pPr>
      <w:r>
        <w:rPr>
          <w:rFonts w:ascii="Arial" w:cs="Arial" w:eastAsia="Arial" w:hAnsi="Arial"/>
          <w:sz w:val="18"/>
          <w:szCs w:val="18"/>
          <w:color w:val="auto"/>
        </w:rPr>
        <w:t>IFRS 15 Revenue from Contracts with Customers and IFRS 9 Financial Instruments (2014) became effective for periods beginning on or after January 1, 2018. Accordingly, the Company applied IFRS 15 and IFRS 9 for the interim period ended December 31, 2018. Changes to the Company’s accounting policies arising from these standards are summarized below:</w:t>
      </w:r>
    </w:p>
    <w:p>
      <w:pPr>
        <w:spacing w:after="0" w:line="28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IFRS 9 Financial Instruments</w:t>
      </w:r>
    </w:p>
    <w:p>
      <w:pPr>
        <w:spacing w:after="0" w:line="121" w:lineRule="exact"/>
        <w:rPr>
          <w:sz w:val="20"/>
          <w:szCs w:val="20"/>
          <w:color w:val="auto"/>
        </w:rPr>
      </w:pPr>
    </w:p>
    <w:p>
      <w:pPr>
        <w:ind w:left="200" w:right="200"/>
        <w:spacing w:after="0" w:line="264" w:lineRule="auto"/>
        <w:rPr>
          <w:sz w:val="20"/>
          <w:szCs w:val="20"/>
          <w:color w:val="auto"/>
        </w:rPr>
      </w:pPr>
      <w:r>
        <w:rPr>
          <w:rFonts w:ascii="Arial" w:cs="Arial" w:eastAsia="Arial" w:hAnsi="Arial"/>
          <w:sz w:val="18"/>
          <w:szCs w:val="18"/>
          <w:color w:val="auto"/>
        </w:rPr>
        <w:t>IFRS 9 Financial Instruments replaces IAS 39 Financial Instruments: Recognition and Measurement requirements. It makes major changes to the previous guidance on the classification and measurement of financial assets and introduces an ‘expected credit loss’ model for impairment of financial assets.</w:t>
      </w:r>
    </w:p>
    <w:p>
      <w:pPr>
        <w:spacing w:after="0" w:line="181" w:lineRule="exact"/>
        <w:rPr>
          <w:sz w:val="20"/>
          <w:szCs w:val="20"/>
          <w:color w:val="auto"/>
        </w:rPr>
      </w:pPr>
    </w:p>
    <w:p>
      <w:pPr>
        <w:ind w:left="200" w:right="500"/>
        <w:spacing w:after="0" w:line="277" w:lineRule="auto"/>
        <w:rPr>
          <w:sz w:val="20"/>
          <w:szCs w:val="20"/>
          <w:color w:val="auto"/>
        </w:rPr>
      </w:pPr>
      <w:r>
        <w:rPr>
          <w:rFonts w:ascii="Arial" w:cs="Arial" w:eastAsia="Arial" w:hAnsi="Arial"/>
          <w:sz w:val="18"/>
          <w:szCs w:val="18"/>
          <w:color w:val="auto"/>
        </w:rPr>
        <w:t>The adoption of this standard has no impact on the current or previous reporting period and as such there have been no adjustments to the opening balance of retained earnings.</w:t>
      </w:r>
    </w:p>
    <w:p>
      <w:pPr>
        <w:spacing w:after="0" w:line="27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IFRS 15 – Revenue from contracts with customers</w:t>
      </w:r>
    </w:p>
    <w:p>
      <w:pPr>
        <w:spacing w:after="0" w:line="121" w:lineRule="exact"/>
        <w:rPr>
          <w:sz w:val="20"/>
          <w:szCs w:val="20"/>
          <w:color w:val="auto"/>
        </w:rPr>
      </w:pPr>
    </w:p>
    <w:p>
      <w:pPr>
        <w:ind w:left="200"/>
        <w:spacing w:after="0" w:line="277" w:lineRule="auto"/>
        <w:rPr>
          <w:sz w:val="20"/>
          <w:szCs w:val="20"/>
          <w:color w:val="auto"/>
        </w:rPr>
      </w:pPr>
      <w:r>
        <w:rPr>
          <w:rFonts w:ascii="Arial" w:cs="Arial" w:eastAsia="Arial" w:hAnsi="Arial"/>
          <w:sz w:val="18"/>
          <w:szCs w:val="18"/>
          <w:color w:val="auto"/>
        </w:rPr>
        <w:t>Revenue is comprised mainly from funding from BARDA and from the sale of goods. To determine whether to recognize revenue, the Company follows a five-step process:</w:t>
      </w:r>
    </w:p>
    <w:p>
      <w:pPr>
        <w:spacing w:after="0" w:line="76" w:lineRule="exact"/>
        <w:rPr>
          <w:sz w:val="20"/>
          <w:szCs w:val="20"/>
          <w:color w:val="auto"/>
        </w:rPr>
      </w:pPr>
    </w:p>
    <w:p>
      <w:pPr>
        <w:ind w:left="1180" w:hanging="544"/>
        <w:spacing w:after="0"/>
        <w:tabs>
          <w:tab w:leader="none" w:pos="1180" w:val="left"/>
        </w:tabs>
        <w:numPr>
          <w:ilvl w:val="0"/>
          <w:numId w:val="66"/>
        </w:numPr>
        <w:rPr>
          <w:rFonts w:ascii="Arial" w:cs="Arial" w:eastAsia="Arial" w:hAnsi="Arial"/>
          <w:sz w:val="18"/>
          <w:szCs w:val="18"/>
          <w:color w:val="auto"/>
        </w:rPr>
      </w:pPr>
      <w:r>
        <w:rPr>
          <w:rFonts w:ascii="Arial" w:cs="Arial" w:eastAsia="Arial" w:hAnsi="Arial"/>
          <w:sz w:val="18"/>
          <w:szCs w:val="18"/>
          <w:color w:val="auto"/>
        </w:rPr>
        <w:t>Identifying the contract with a customer,</w:t>
      </w:r>
    </w:p>
    <w:p>
      <w:pPr>
        <w:spacing w:after="0" w:line="158"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F-10</w:t>
      </w:r>
    </w:p>
    <w:p>
      <w:pPr>
        <w:sectPr>
          <w:pgSz w:w="11900" w:h="16838" w:orient="portrait"/>
          <w:cols w:equalWidth="0" w:num="1">
            <w:col w:w="11220"/>
          </w:cols>
          <w:pgMar w:left="240" w:top="459" w:right="439" w:bottom="1440" w:gutter="0" w:footer="0" w:header="0"/>
        </w:sectPr>
      </w:pPr>
    </w:p>
    <w:bookmarkStart w:id="109" w:name="page110"/>
    <w:bookmarkEnd w:id="10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5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259"/>
        <w:spacing w:after="0"/>
        <w:rPr>
          <w:sz w:val="20"/>
          <w:szCs w:val="20"/>
          <w:color w:val="auto"/>
        </w:rPr>
      </w:pPr>
      <w:r>
        <w:rPr>
          <w:rFonts w:ascii="Arial" w:cs="Arial" w:eastAsia="Arial" w:hAnsi="Arial"/>
          <w:sz w:val="18"/>
          <w:szCs w:val="18"/>
          <w:b w:val="1"/>
          <w:bCs w:val="1"/>
          <w:color w:val="auto"/>
        </w:rPr>
        <w:t>AVITA MEDICAL LIMITED</w:t>
      </w:r>
    </w:p>
    <w:p>
      <w:pPr>
        <w:spacing w:after="0" w:line="27" w:lineRule="exact"/>
        <w:rPr>
          <w:sz w:val="20"/>
          <w:szCs w:val="20"/>
          <w:color w:val="auto"/>
        </w:rPr>
      </w:pPr>
    </w:p>
    <w:p>
      <w:pPr>
        <w:jc w:val="center"/>
        <w:ind w:right="-259"/>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9" w:lineRule="exact"/>
        <w:rPr>
          <w:sz w:val="20"/>
          <w:szCs w:val="20"/>
          <w:color w:val="auto"/>
        </w:rPr>
      </w:pPr>
    </w:p>
    <w:p>
      <w:pPr>
        <w:jc w:val="center"/>
        <w:ind w:right="-259"/>
        <w:spacing w:after="0"/>
        <w:rPr>
          <w:sz w:val="20"/>
          <w:szCs w:val="20"/>
          <w:color w:val="auto"/>
        </w:rPr>
      </w:pPr>
      <w:r>
        <w:rPr>
          <w:rFonts w:ascii="Arial" w:cs="Arial" w:eastAsia="Arial" w:hAnsi="Arial"/>
          <w:sz w:val="18"/>
          <w:szCs w:val="18"/>
          <w:b w:val="1"/>
          <w:bCs w:val="1"/>
          <w:color w:val="auto"/>
        </w:rPr>
        <w:t>(IN AUSTRALIAN DOLLARS)</w:t>
      </w:r>
    </w:p>
    <w:p>
      <w:pPr>
        <w:spacing w:after="0" w:line="234" w:lineRule="exact"/>
        <w:rPr>
          <w:sz w:val="20"/>
          <w:szCs w:val="20"/>
          <w:color w:val="auto"/>
        </w:rPr>
      </w:pPr>
    </w:p>
    <w:p>
      <w:pPr>
        <w:ind w:left="640" w:hanging="436"/>
        <w:spacing w:after="0"/>
        <w:tabs>
          <w:tab w:leader="none" w:pos="640" w:val="left"/>
        </w:tabs>
        <w:numPr>
          <w:ilvl w:val="0"/>
          <w:numId w:val="67"/>
        </w:numPr>
        <w:rPr>
          <w:rFonts w:ascii="Arial" w:cs="Arial" w:eastAsia="Arial" w:hAnsi="Arial"/>
          <w:sz w:val="18"/>
          <w:szCs w:val="18"/>
          <w:b w:val="1"/>
          <w:bCs w:val="1"/>
          <w:color w:val="auto"/>
        </w:rPr>
      </w:pPr>
      <w:r>
        <w:rPr>
          <w:rFonts w:ascii="Arial" w:cs="Arial" w:eastAsia="Arial" w:hAnsi="Arial"/>
          <w:sz w:val="18"/>
          <w:szCs w:val="18"/>
          <w:b w:val="1"/>
          <w:bCs w:val="1"/>
          <w:color w:val="auto"/>
        </w:rPr>
        <w:t>SUMMARY OF SIGNIFICANT ACCOUNTING POLICIES (CONTINUED)</w:t>
      </w:r>
    </w:p>
    <w:p>
      <w:pPr>
        <w:spacing w:after="0" w:line="131" w:lineRule="exact"/>
        <w:rPr>
          <w:sz w:val="20"/>
          <w:szCs w:val="20"/>
          <w:color w:val="auto"/>
        </w:rPr>
      </w:pPr>
    </w:p>
    <w:p>
      <w:pPr>
        <w:ind w:left="640" w:hanging="436"/>
        <w:spacing w:after="0"/>
        <w:tabs>
          <w:tab w:leader="none" w:pos="640" w:val="left"/>
        </w:tabs>
        <w:numPr>
          <w:ilvl w:val="0"/>
          <w:numId w:val="68"/>
        </w:numPr>
        <w:rPr>
          <w:rFonts w:ascii="Arial" w:cs="Arial" w:eastAsia="Arial" w:hAnsi="Arial"/>
          <w:sz w:val="18"/>
          <w:szCs w:val="18"/>
          <w:b w:val="1"/>
          <w:bCs w:val="1"/>
          <w:color w:val="auto"/>
        </w:rPr>
      </w:pPr>
      <w:r>
        <w:rPr>
          <w:rFonts w:ascii="Arial" w:cs="Arial" w:eastAsia="Arial" w:hAnsi="Arial"/>
          <w:sz w:val="18"/>
          <w:szCs w:val="18"/>
          <w:b w:val="1"/>
          <w:bCs w:val="1"/>
          <w:color w:val="auto"/>
        </w:rPr>
        <w:t>Changes in accounting policy (continued)</w:t>
      </w:r>
    </w:p>
    <w:p>
      <w:pPr>
        <w:spacing w:after="0" w:line="134" w:lineRule="exact"/>
        <w:rPr>
          <w:rFonts w:ascii="Arial" w:cs="Arial" w:eastAsia="Arial" w:hAnsi="Arial"/>
          <w:sz w:val="18"/>
          <w:szCs w:val="18"/>
          <w:b w:val="1"/>
          <w:bCs w:val="1"/>
          <w:color w:val="auto"/>
        </w:rPr>
      </w:pPr>
    </w:p>
    <w:p>
      <w:pPr>
        <w:ind w:left="1180" w:hanging="544"/>
        <w:spacing w:after="0"/>
        <w:tabs>
          <w:tab w:leader="none" w:pos="1180" w:val="left"/>
        </w:tabs>
        <w:numPr>
          <w:ilvl w:val="1"/>
          <w:numId w:val="68"/>
        </w:numPr>
        <w:rPr>
          <w:rFonts w:ascii="Arial" w:cs="Arial" w:eastAsia="Arial" w:hAnsi="Arial"/>
          <w:sz w:val="18"/>
          <w:szCs w:val="18"/>
          <w:color w:val="auto"/>
        </w:rPr>
      </w:pPr>
      <w:r>
        <w:rPr>
          <w:rFonts w:ascii="Arial" w:cs="Arial" w:eastAsia="Arial" w:hAnsi="Arial"/>
          <w:sz w:val="18"/>
          <w:szCs w:val="18"/>
          <w:color w:val="auto"/>
        </w:rPr>
        <w:t>Identifying the performance obligations,</w:t>
      </w:r>
    </w:p>
    <w:p>
      <w:pPr>
        <w:spacing w:after="0" w:line="130" w:lineRule="exact"/>
        <w:rPr>
          <w:rFonts w:ascii="Arial" w:cs="Arial" w:eastAsia="Arial" w:hAnsi="Arial"/>
          <w:sz w:val="18"/>
          <w:szCs w:val="18"/>
          <w:color w:val="auto"/>
        </w:rPr>
      </w:pPr>
    </w:p>
    <w:p>
      <w:pPr>
        <w:ind w:left="1180" w:hanging="544"/>
        <w:spacing w:after="0"/>
        <w:tabs>
          <w:tab w:leader="none" w:pos="1180" w:val="left"/>
        </w:tabs>
        <w:numPr>
          <w:ilvl w:val="1"/>
          <w:numId w:val="68"/>
        </w:numPr>
        <w:rPr>
          <w:rFonts w:ascii="Arial" w:cs="Arial" w:eastAsia="Arial" w:hAnsi="Arial"/>
          <w:sz w:val="18"/>
          <w:szCs w:val="18"/>
          <w:color w:val="auto"/>
        </w:rPr>
      </w:pPr>
      <w:r>
        <w:rPr>
          <w:rFonts w:ascii="Arial" w:cs="Arial" w:eastAsia="Arial" w:hAnsi="Arial"/>
          <w:sz w:val="18"/>
          <w:szCs w:val="18"/>
          <w:color w:val="auto"/>
        </w:rPr>
        <w:t>Determining the transaction price,</w:t>
      </w:r>
    </w:p>
    <w:p>
      <w:pPr>
        <w:spacing w:after="0" w:line="130" w:lineRule="exact"/>
        <w:rPr>
          <w:rFonts w:ascii="Arial" w:cs="Arial" w:eastAsia="Arial" w:hAnsi="Arial"/>
          <w:sz w:val="18"/>
          <w:szCs w:val="18"/>
          <w:color w:val="auto"/>
        </w:rPr>
      </w:pPr>
    </w:p>
    <w:p>
      <w:pPr>
        <w:ind w:left="1180" w:hanging="544"/>
        <w:spacing w:after="0"/>
        <w:tabs>
          <w:tab w:leader="none" w:pos="1180" w:val="left"/>
        </w:tabs>
        <w:numPr>
          <w:ilvl w:val="1"/>
          <w:numId w:val="68"/>
        </w:numPr>
        <w:rPr>
          <w:rFonts w:ascii="Arial" w:cs="Arial" w:eastAsia="Arial" w:hAnsi="Arial"/>
          <w:sz w:val="18"/>
          <w:szCs w:val="18"/>
          <w:color w:val="auto"/>
        </w:rPr>
      </w:pPr>
      <w:r>
        <w:rPr>
          <w:rFonts w:ascii="Arial" w:cs="Arial" w:eastAsia="Arial" w:hAnsi="Arial"/>
          <w:sz w:val="18"/>
          <w:szCs w:val="18"/>
          <w:color w:val="auto"/>
        </w:rPr>
        <w:t>Allocating the transaction price to the performance obligation,</w:t>
      </w:r>
    </w:p>
    <w:p>
      <w:pPr>
        <w:spacing w:after="0" w:line="130" w:lineRule="exact"/>
        <w:rPr>
          <w:rFonts w:ascii="Arial" w:cs="Arial" w:eastAsia="Arial" w:hAnsi="Arial"/>
          <w:sz w:val="18"/>
          <w:szCs w:val="18"/>
          <w:color w:val="auto"/>
        </w:rPr>
      </w:pPr>
    </w:p>
    <w:p>
      <w:pPr>
        <w:ind w:left="1180" w:hanging="544"/>
        <w:spacing w:after="0"/>
        <w:tabs>
          <w:tab w:leader="none" w:pos="1180" w:val="left"/>
        </w:tabs>
        <w:numPr>
          <w:ilvl w:val="1"/>
          <w:numId w:val="68"/>
        </w:numPr>
        <w:rPr>
          <w:rFonts w:ascii="Arial" w:cs="Arial" w:eastAsia="Arial" w:hAnsi="Arial"/>
          <w:sz w:val="18"/>
          <w:szCs w:val="18"/>
          <w:color w:val="auto"/>
        </w:rPr>
      </w:pPr>
      <w:r>
        <w:rPr>
          <w:rFonts w:ascii="Arial" w:cs="Arial" w:eastAsia="Arial" w:hAnsi="Arial"/>
          <w:sz w:val="18"/>
          <w:szCs w:val="18"/>
          <w:color w:val="auto"/>
        </w:rPr>
        <w:t>Recognizing revenue when performance obligation is satisfied.</w:t>
      </w:r>
    </w:p>
    <w:p>
      <w:pPr>
        <w:spacing w:after="0" w:line="225" w:lineRule="exact"/>
        <w:rPr>
          <w:sz w:val="20"/>
          <w:szCs w:val="20"/>
          <w:color w:val="auto"/>
        </w:rPr>
      </w:pPr>
    </w:p>
    <w:p>
      <w:pPr>
        <w:ind w:left="200" w:right="200"/>
        <w:spacing w:after="0" w:line="276" w:lineRule="auto"/>
        <w:rPr>
          <w:sz w:val="20"/>
          <w:szCs w:val="20"/>
          <w:color w:val="auto"/>
        </w:rPr>
      </w:pPr>
      <w:r>
        <w:rPr>
          <w:rFonts w:ascii="Arial" w:cs="Arial" w:eastAsia="Arial" w:hAnsi="Arial"/>
          <w:sz w:val="17"/>
          <w:szCs w:val="17"/>
          <w:color w:val="auto"/>
        </w:rPr>
        <w:t>Revenue from the sales of goods is recognized at a point in time, when the Company satisfies performance obligations by transferring the promised goods to its customers. The Company recognizes contract liabilities for consideration received in respect of unsatisfied performance obligations and reports these amounts as other liabilities in the statement of financial position. Similarly, if the Company satisfies a performance obligation before it receives the consideration, the Company recognizes either a contract asset or a receivable in its statement of financial position, depending on whether something other than the passage of time is required before the consideration is due.</w:t>
      </w:r>
    </w:p>
    <w:p>
      <w:pPr>
        <w:spacing w:after="0" w:line="173" w:lineRule="exact"/>
        <w:rPr>
          <w:sz w:val="20"/>
          <w:szCs w:val="20"/>
          <w:color w:val="auto"/>
        </w:rPr>
      </w:pPr>
    </w:p>
    <w:p>
      <w:pPr>
        <w:ind w:left="200" w:right="440"/>
        <w:spacing w:after="0" w:line="277" w:lineRule="auto"/>
        <w:rPr>
          <w:sz w:val="20"/>
          <w:szCs w:val="20"/>
          <w:color w:val="auto"/>
        </w:rPr>
      </w:pPr>
      <w:r>
        <w:rPr>
          <w:rFonts w:ascii="Arial" w:cs="Arial" w:eastAsia="Arial" w:hAnsi="Arial"/>
          <w:sz w:val="18"/>
          <w:szCs w:val="18"/>
          <w:color w:val="auto"/>
        </w:rPr>
        <w:t>The adoption of this standard has no impact on the current or previous reporting period and as such there have been no adjustments to the opening balance of retained earnings.</w:t>
      </w:r>
    </w:p>
    <w:p>
      <w:pPr>
        <w:spacing w:after="0" w:line="27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Accounting Standards issued but not yet effective and not been adopted early by the Company</w:t>
      </w:r>
    </w:p>
    <w:p>
      <w:pPr>
        <w:spacing w:after="0" w:line="117"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IFRS 16 Leases</w:t>
      </w:r>
    </w:p>
    <w:p>
      <w:pPr>
        <w:spacing w:after="0" w:line="121"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IFRS 16:</w:t>
      </w:r>
    </w:p>
    <w:p>
      <w:pPr>
        <w:spacing w:after="0" w:line="131" w:lineRule="exact"/>
        <w:rPr>
          <w:sz w:val="20"/>
          <w:szCs w:val="20"/>
          <w:color w:val="auto"/>
        </w:rPr>
      </w:pPr>
    </w:p>
    <w:p>
      <w:pPr>
        <w:ind w:left="1180" w:hanging="436"/>
        <w:spacing w:after="0"/>
        <w:tabs>
          <w:tab w:leader="none" w:pos="1180" w:val="left"/>
        </w:tabs>
        <w:numPr>
          <w:ilvl w:val="0"/>
          <w:numId w:val="69"/>
        </w:numPr>
        <w:rPr>
          <w:rFonts w:ascii="Arial" w:cs="Arial" w:eastAsia="Arial" w:hAnsi="Arial"/>
          <w:sz w:val="18"/>
          <w:szCs w:val="18"/>
          <w:color w:val="auto"/>
        </w:rPr>
      </w:pPr>
      <w:r>
        <w:rPr>
          <w:rFonts w:ascii="Arial" w:cs="Arial" w:eastAsia="Arial" w:hAnsi="Arial"/>
          <w:sz w:val="18"/>
          <w:szCs w:val="18"/>
          <w:color w:val="auto"/>
        </w:rPr>
        <w:t>replaces IAS 17 Leases and some lease-related Interpretations,</w:t>
      </w:r>
    </w:p>
    <w:p>
      <w:pPr>
        <w:spacing w:after="0" w:line="130" w:lineRule="exact"/>
        <w:rPr>
          <w:rFonts w:ascii="Arial" w:cs="Arial" w:eastAsia="Arial" w:hAnsi="Arial"/>
          <w:sz w:val="18"/>
          <w:szCs w:val="18"/>
          <w:color w:val="auto"/>
        </w:rPr>
      </w:pPr>
    </w:p>
    <w:p>
      <w:pPr>
        <w:ind w:left="1180" w:hanging="436"/>
        <w:spacing w:after="0"/>
        <w:tabs>
          <w:tab w:leader="none" w:pos="1180" w:val="left"/>
        </w:tabs>
        <w:numPr>
          <w:ilvl w:val="0"/>
          <w:numId w:val="69"/>
        </w:numPr>
        <w:rPr>
          <w:rFonts w:ascii="Arial" w:cs="Arial" w:eastAsia="Arial" w:hAnsi="Arial"/>
          <w:sz w:val="18"/>
          <w:szCs w:val="18"/>
          <w:color w:val="auto"/>
        </w:rPr>
      </w:pPr>
      <w:r>
        <w:rPr>
          <w:rFonts w:ascii="Arial" w:cs="Arial" w:eastAsia="Arial" w:hAnsi="Arial"/>
          <w:sz w:val="18"/>
          <w:szCs w:val="18"/>
          <w:color w:val="auto"/>
        </w:rPr>
        <w:t>requires all leases to be accounted for ‘on-balance sheet’ by lessees, other than short-term and low value asset leases,</w:t>
      </w:r>
    </w:p>
    <w:p>
      <w:pPr>
        <w:spacing w:after="0" w:line="130" w:lineRule="exact"/>
        <w:rPr>
          <w:rFonts w:ascii="Arial" w:cs="Arial" w:eastAsia="Arial" w:hAnsi="Arial"/>
          <w:sz w:val="18"/>
          <w:szCs w:val="18"/>
          <w:color w:val="auto"/>
        </w:rPr>
      </w:pPr>
    </w:p>
    <w:p>
      <w:pPr>
        <w:ind w:left="1180" w:hanging="436"/>
        <w:spacing w:after="0"/>
        <w:tabs>
          <w:tab w:leader="none" w:pos="1180" w:val="left"/>
        </w:tabs>
        <w:numPr>
          <w:ilvl w:val="0"/>
          <w:numId w:val="69"/>
        </w:numPr>
        <w:rPr>
          <w:rFonts w:ascii="Arial" w:cs="Arial" w:eastAsia="Arial" w:hAnsi="Arial"/>
          <w:sz w:val="18"/>
          <w:szCs w:val="18"/>
          <w:color w:val="auto"/>
        </w:rPr>
      </w:pPr>
      <w:r>
        <w:rPr>
          <w:rFonts w:ascii="Arial" w:cs="Arial" w:eastAsia="Arial" w:hAnsi="Arial"/>
          <w:sz w:val="18"/>
          <w:szCs w:val="18"/>
          <w:color w:val="auto"/>
        </w:rPr>
        <w:t>provides new guidance on the application of the definition of lease and on sale and lease back accounting,</w:t>
      </w:r>
    </w:p>
    <w:p>
      <w:pPr>
        <w:spacing w:after="0" w:line="130" w:lineRule="exact"/>
        <w:rPr>
          <w:rFonts w:ascii="Arial" w:cs="Arial" w:eastAsia="Arial" w:hAnsi="Arial"/>
          <w:sz w:val="18"/>
          <w:szCs w:val="18"/>
          <w:color w:val="auto"/>
        </w:rPr>
      </w:pPr>
    </w:p>
    <w:p>
      <w:pPr>
        <w:ind w:left="1180" w:hanging="436"/>
        <w:spacing w:after="0"/>
        <w:tabs>
          <w:tab w:leader="none" w:pos="1180" w:val="left"/>
        </w:tabs>
        <w:numPr>
          <w:ilvl w:val="0"/>
          <w:numId w:val="69"/>
        </w:numPr>
        <w:rPr>
          <w:rFonts w:ascii="Arial" w:cs="Arial" w:eastAsia="Arial" w:hAnsi="Arial"/>
          <w:sz w:val="18"/>
          <w:szCs w:val="18"/>
          <w:color w:val="auto"/>
        </w:rPr>
      </w:pPr>
      <w:r>
        <w:rPr>
          <w:rFonts w:ascii="Arial" w:cs="Arial" w:eastAsia="Arial" w:hAnsi="Arial"/>
          <w:sz w:val="18"/>
          <w:szCs w:val="18"/>
          <w:color w:val="auto"/>
        </w:rPr>
        <w:t>largely retains the existing lessor accounting requirements in IAS 17,</w:t>
      </w:r>
    </w:p>
    <w:p>
      <w:pPr>
        <w:spacing w:after="0" w:line="130" w:lineRule="exact"/>
        <w:rPr>
          <w:rFonts w:ascii="Arial" w:cs="Arial" w:eastAsia="Arial" w:hAnsi="Arial"/>
          <w:sz w:val="18"/>
          <w:szCs w:val="18"/>
          <w:color w:val="auto"/>
        </w:rPr>
      </w:pPr>
    </w:p>
    <w:p>
      <w:pPr>
        <w:ind w:left="1180" w:hanging="436"/>
        <w:spacing w:after="0"/>
        <w:tabs>
          <w:tab w:leader="none" w:pos="1180" w:val="left"/>
        </w:tabs>
        <w:numPr>
          <w:ilvl w:val="0"/>
          <w:numId w:val="69"/>
        </w:numPr>
        <w:rPr>
          <w:rFonts w:ascii="Arial" w:cs="Arial" w:eastAsia="Arial" w:hAnsi="Arial"/>
          <w:sz w:val="18"/>
          <w:szCs w:val="18"/>
          <w:color w:val="auto"/>
        </w:rPr>
      </w:pPr>
      <w:r>
        <w:rPr>
          <w:rFonts w:ascii="Arial" w:cs="Arial" w:eastAsia="Arial" w:hAnsi="Arial"/>
          <w:sz w:val="18"/>
          <w:szCs w:val="18"/>
          <w:color w:val="auto"/>
        </w:rPr>
        <w:t>requires new and different disclosures about leases.</w:t>
      </w:r>
    </w:p>
    <w:p>
      <w:pPr>
        <w:spacing w:after="0" w:line="225" w:lineRule="exact"/>
        <w:rPr>
          <w:sz w:val="20"/>
          <w:szCs w:val="20"/>
          <w:color w:val="auto"/>
        </w:rPr>
      </w:pPr>
    </w:p>
    <w:p>
      <w:pPr>
        <w:ind w:left="200" w:right="60"/>
        <w:spacing w:after="0" w:line="277" w:lineRule="auto"/>
        <w:rPr>
          <w:sz w:val="20"/>
          <w:szCs w:val="20"/>
          <w:color w:val="auto"/>
        </w:rPr>
      </w:pPr>
      <w:r>
        <w:rPr>
          <w:rFonts w:ascii="Arial" w:cs="Arial" w:eastAsia="Arial" w:hAnsi="Arial"/>
          <w:sz w:val="18"/>
          <w:szCs w:val="18"/>
          <w:color w:val="auto"/>
        </w:rPr>
        <w:t>Based on the entity’s assessment, it is expected that the first-time adoption of IFRS 16 for the year ending June 30, 2020 will have a material impact on the transactions and balances recognized in the financial statements, in particular:</w:t>
      </w:r>
    </w:p>
    <w:p>
      <w:pPr>
        <w:spacing w:after="0" w:line="76" w:lineRule="exact"/>
        <w:rPr>
          <w:sz w:val="20"/>
          <w:szCs w:val="20"/>
          <w:color w:val="auto"/>
        </w:rPr>
      </w:pPr>
    </w:p>
    <w:p>
      <w:pPr>
        <w:ind w:left="1180" w:right="20" w:hanging="436"/>
        <w:spacing w:after="0" w:line="277" w:lineRule="auto"/>
        <w:tabs>
          <w:tab w:leader="none" w:pos="1180" w:val="left"/>
        </w:tabs>
        <w:numPr>
          <w:ilvl w:val="0"/>
          <w:numId w:val="70"/>
        </w:numPr>
        <w:rPr>
          <w:rFonts w:ascii="Arial" w:cs="Arial" w:eastAsia="Arial" w:hAnsi="Arial"/>
          <w:sz w:val="18"/>
          <w:szCs w:val="18"/>
          <w:color w:val="auto"/>
        </w:rPr>
      </w:pPr>
      <w:r>
        <w:rPr>
          <w:rFonts w:ascii="Arial" w:cs="Arial" w:eastAsia="Arial" w:hAnsi="Arial"/>
          <w:sz w:val="18"/>
          <w:szCs w:val="18"/>
          <w:color w:val="auto"/>
        </w:rPr>
        <w:t>lease assets and financial liabilities on the balance sheet will increase by A$1,108,610 and A$1,195,801 respectively (based on the facts at the date of the assessment),</w:t>
      </w:r>
    </w:p>
    <w:p>
      <w:pPr>
        <w:spacing w:after="0" w:line="75" w:lineRule="exact"/>
        <w:rPr>
          <w:rFonts w:ascii="Arial" w:cs="Arial" w:eastAsia="Arial" w:hAnsi="Arial"/>
          <w:sz w:val="18"/>
          <w:szCs w:val="18"/>
          <w:color w:val="auto"/>
        </w:rPr>
      </w:pPr>
    </w:p>
    <w:p>
      <w:pPr>
        <w:ind w:left="1180" w:hanging="436"/>
        <w:spacing w:after="0" w:line="277" w:lineRule="auto"/>
        <w:tabs>
          <w:tab w:leader="none" w:pos="1180" w:val="left"/>
        </w:tabs>
        <w:numPr>
          <w:ilvl w:val="0"/>
          <w:numId w:val="70"/>
        </w:numPr>
        <w:rPr>
          <w:rFonts w:ascii="Arial" w:cs="Arial" w:eastAsia="Arial" w:hAnsi="Arial"/>
          <w:sz w:val="18"/>
          <w:szCs w:val="18"/>
          <w:color w:val="auto"/>
        </w:rPr>
      </w:pPr>
      <w:r>
        <w:rPr>
          <w:rFonts w:ascii="Arial" w:cs="Arial" w:eastAsia="Arial" w:hAnsi="Arial"/>
          <w:sz w:val="18"/>
          <w:szCs w:val="18"/>
          <w:color w:val="auto"/>
        </w:rPr>
        <w:t>there will be a reduction in the reported equity as the carrying amount of lease assets will reduce more quickly than the carrying amount of lease liabilities,</w:t>
      </w:r>
    </w:p>
    <w:p>
      <w:pPr>
        <w:spacing w:after="0" w:line="75" w:lineRule="exact"/>
        <w:rPr>
          <w:rFonts w:ascii="Arial" w:cs="Arial" w:eastAsia="Arial" w:hAnsi="Arial"/>
          <w:sz w:val="18"/>
          <w:szCs w:val="18"/>
          <w:color w:val="auto"/>
        </w:rPr>
      </w:pPr>
    </w:p>
    <w:p>
      <w:pPr>
        <w:ind w:left="1180" w:right="20" w:hanging="436"/>
        <w:spacing w:after="0" w:line="308" w:lineRule="auto"/>
        <w:tabs>
          <w:tab w:leader="none" w:pos="1180" w:val="left"/>
        </w:tabs>
        <w:numPr>
          <w:ilvl w:val="0"/>
          <w:numId w:val="70"/>
        </w:numPr>
        <w:rPr>
          <w:rFonts w:ascii="Arial" w:cs="Arial" w:eastAsia="Arial" w:hAnsi="Arial"/>
          <w:sz w:val="17"/>
          <w:szCs w:val="17"/>
          <w:color w:val="auto"/>
        </w:rPr>
      </w:pPr>
      <w:r>
        <w:rPr>
          <w:rFonts w:ascii="Arial" w:cs="Arial" w:eastAsia="Arial" w:hAnsi="Arial"/>
          <w:sz w:val="17"/>
          <w:szCs w:val="17"/>
          <w:color w:val="auto"/>
        </w:rPr>
        <w:t>EBIT in the statement of profit or loss and other comprehensive income will be higher as the implicit interest in lease payments for former off-balance sheet leases will be presented as part of finance costs rather than being included in operating expenses,</w:t>
      </w:r>
    </w:p>
    <w:p>
      <w:pPr>
        <w:spacing w:after="0" w:line="79" w:lineRule="exact"/>
        <w:rPr>
          <w:sz w:val="20"/>
          <w:szCs w:val="20"/>
          <w:color w:val="auto"/>
        </w:rPr>
      </w:pPr>
    </w:p>
    <w:p>
      <w:pPr>
        <w:jc w:val="center"/>
        <w:ind w:right="-259"/>
        <w:spacing w:after="0"/>
        <w:rPr>
          <w:sz w:val="20"/>
          <w:szCs w:val="20"/>
          <w:color w:val="auto"/>
        </w:rPr>
      </w:pPr>
      <w:r>
        <w:rPr>
          <w:rFonts w:ascii="Arial" w:cs="Arial" w:eastAsia="Arial" w:hAnsi="Arial"/>
          <w:sz w:val="18"/>
          <w:szCs w:val="18"/>
          <w:color w:val="auto"/>
        </w:rPr>
        <w:t>F-11</w:t>
      </w:r>
    </w:p>
    <w:p>
      <w:pPr>
        <w:sectPr>
          <w:pgSz w:w="11900" w:h="16838" w:orient="portrait"/>
          <w:cols w:equalWidth="0" w:num="1">
            <w:col w:w="11160"/>
          </w:cols>
          <w:pgMar w:left="240" w:top="459" w:right="499" w:bottom="1440" w:gutter="0" w:footer="0" w:header="0"/>
        </w:sectPr>
      </w:pPr>
    </w:p>
    <w:bookmarkStart w:id="110" w:name="page111"/>
    <w:bookmarkEnd w:id="11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5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239"/>
        <w:spacing w:after="0"/>
        <w:rPr>
          <w:sz w:val="20"/>
          <w:szCs w:val="20"/>
          <w:color w:val="auto"/>
        </w:rPr>
      </w:pPr>
      <w:r>
        <w:rPr>
          <w:rFonts w:ascii="Arial" w:cs="Arial" w:eastAsia="Arial" w:hAnsi="Arial"/>
          <w:sz w:val="18"/>
          <w:szCs w:val="18"/>
          <w:b w:val="1"/>
          <w:bCs w:val="1"/>
          <w:color w:val="auto"/>
        </w:rPr>
        <w:t>AVITA MEDICAL LIMITED</w:t>
      </w:r>
    </w:p>
    <w:p>
      <w:pPr>
        <w:spacing w:after="0" w:line="27" w:lineRule="exact"/>
        <w:rPr>
          <w:sz w:val="20"/>
          <w:szCs w:val="20"/>
          <w:color w:val="auto"/>
        </w:rPr>
      </w:pPr>
    </w:p>
    <w:p>
      <w:pPr>
        <w:jc w:val="center"/>
        <w:ind w:right="-239"/>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9" w:lineRule="exact"/>
        <w:rPr>
          <w:sz w:val="20"/>
          <w:szCs w:val="20"/>
          <w:color w:val="auto"/>
        </w:rPr>
      </w:pPr>
    </w:p>
    <w:p>
      <w:pPr>
        <w:jc w:val="center"/>
        <w:ind w:right="-239"/>
        <w:spacing w:after="0"/>
        <w:rPr>
          <w:sz w:val="20"/>
          <w:szCs w:val="20"/>
          <w:color w:val="auto"/>
        </w:rPr>
      </w:pPr>
      <w:r>
        <w:rPr>
          <w:rFonts w:ascii="Arial" w:cs="Arial" w:eastAsia="Arial" w:hAnsi="Arial"/>
          <w:sz w:val="18"/>
          <w:szCs w:val="18"/>
          <w:b w:val="1"/>
          <w:bCs w:val="1"/>
          <w:color w:val="auto"/>
        </w:rPr>
        <w:t>(IN AUSTRALIAN DOLLARS)</w:t>
      </w:r>
    </w:p>
    <w:p>
      <w:pPr>
        <w:spacing w:after="0" w:line="234" w:lineRule="exact"/>
        <w:rPr>
          <w:sz w:val="20"/>
          <w:szCs w:val="20"/>
          <w:color w:val="auto"/>
        </w:rPr>
      </w:pPr>
    </w:p>
    <w:p>
      <w:pPr>
        <w:ind w:left="640" w:hanging="436"/>
        <w:spacing w:after="0"/>
        <w:tabs>
          <w:tab w:leader="none" w:pos="640" w:val="left"/>
        </w:tabs>
        <w:numPr>
          <w:ilvl w:val="0"/>
          <w:numId w:val="71"/>
        </w:numPr>
        <w:rPr>
          <w:rFonts w:ascii="Arial" w:cs="Arial" w:eastAsia="Arial" w:hAnsi="Arial"/>
          <w:sz w:val="18"/>
          <w:szCs w:val="18"/>
          <w:b w:val="1"/>
          <w:bCs w:val="1"/>
          <w:color w:val="auto"/>
        </w:rPr>
      </w:pPr>
      <w:r>
        <w:rPr>
          <w:rFonts w:ascii="Arial" w:cs="Arial" w:eastAsia="Arial" w:hAnsi="Arial"/>
          <w:sz w:val="18"/>
          <w:szCs w:val="18"/>
          <w:b w:val="1"/>
          <w:bCs w:val="1"/>
          <w:color w:val="auto"/>
        </w:rPr>
        <w:t>SUMMARY OF SIGNIFICANT ACCOUNTING POLICIES (CONTINUED)</w:t>
      </w:r>
    </w:p>
    <w:p>
      <w:pPr>
        <w:spacing w:after="0" w:line="131" w:lineRule="exact"/>
        <w:rPr>
          <w:sz w:val="20"/>
          <w:szCs w:val="20"/>
          <w:color w:val="auto"/>
        </w:rPr>
      </w:pPr>
    </w:p>
    <w:p>
      <w:pPr>
        <w:ind w:left="640" w:hanging="436"/>
        <w:spacing w:after="0"/>
        <w:tabs>
          <w:tab w:leader="none" w:pos="640" w:val="left"/>
        </w:tabs>
        <w:numPr>
          <w:ilvl w:val="0"/>
          <w:numId w:val="72"/>
        </w:numPr>
        <w:rPr>
          <w:rFonts w:ascii="Arial" w:cs="Arial" w:eastAsia="Arial" w:hAnsi="Arial"/>
          <w:sz w:val="18"/>
          <w:szCs w:val="18"/>
          <w:b w:val="1"/>
          <w:bCs w:val="1"/>
          <w:color w:val="auto"/>
        </w:rPr>
      </w:pPr>
      <w:r>
        <w:rPr>
          <w:rFonts w:ascii="Arial" w:cs="Arial" w:eastAsia="Arial" w:hAnsi="Arial"/>
          <w:sz w:val="18"/>
          <w:szCs w:val="18"/>
          <w:b w:val="1"/>
          <w:bCs w:val="1"/>
          <w:color w:val="auto"/>
        </w:rPr>
        <w:t>Changes in accounting policy (continued)</w:t>
      </w:r>
    </w:p>
    <w:p>
      <w:pPr>
        <w:spacing w:after="0" w:line="134" w:lineRule="exact"/>
        <w:rPr>
          <w:rFonts w:ascii="Arial" w:cs="Arial" w:eastAsia="Arial" w:hAnsi="Arial"/>
          <w:sz w:val="18"/>
          <w:szCs w:val="18"/>
          <w:b w:val="1"/>
          <w:bCs w:val="1"/>
          <w:color w:val="auto"/>
        </w:rPr>
      </w:pPr>
    </w:p>
    <w:p>
      <w:pPr>
        <w:ind w:left="1180" w:right="20" w:hanging="436"/>
        <w:spacing w:after="0" w:line="264" w:lineRule="auto"/>
        <w:tabs>
          <w:tab w:leader="none" w:pos="1180" w:val="left"/>
        </w:tabs>
        <w:numPr>
          <w:ilvl w:val="1"/>
          <w:numId w:val="72"/>
        </w:numPr>
        <w:rPr>
          <w:rFonts w:ascii="Arial" w:cs="Arial" w:eastAsia="Arial" w:hAnsi="Arial"/>
          <w:sz w:val="18"/>
          <w:szCs w:val="18"/>
          <w:color w:val="auto"/>
        </w:rPr>
      </w:pPr>
      <w:r>
        <w:rPr>
          <w:rFonts w:ascii="Arial" w:cs="Arial" w:eastAsia="Arial" w:hAnsi="Arial"/>
          <w:sz w:val="18"/>
          <w:szCs w:val="18"/>
          <w:color w:val="auto"/>
        </w:rPr>
        <w:t>operating cash outflows will be lower and financing cash flows will be higher in the statement of cash flows as principal repayments on all lease liabilities will now be included in financing activities rather than operating activities. Interest can also be included within financing activities.</w:t>
      </w:r>
    </w:p>
    <w:p>
      <w:pPr>
        <w:spacing w:after="0" w:line="326" w:lineRule="exact"/>
        <w:rPr>
          <w:sz w:val="20"/>
          <w:szCs w:val="20"/>
          <w:color w:val="auto"/>
        </w:rPr>
      </w:pPr>
    </w:p>
    <w:p>
      <w:pPr>
        <w:ind w:left="640" w:hanging="436"/>
        <w:spacing w:after="0"/>
        <w:tabs>
          <w:tab w:leader="none" w:pos="640" w:val="left"/>
        </w:tabs>
        <w:numPr>
          <w:ilvl w:val="0"/>
          <w:numId w:val="73"/>
        </w:numPr>
        <w:rPr>
          <w:rFonts w:ascii="Arial" w:cs="Arial" w:eastAsia="Arial" w:hAnsi="Arial"/>
          <w:sz w:val="18"/>
          <w:szCs w:val="18"/>
          <w:b w:val="1"/>
          <w:bCs w:val="1"/>
          <w:color w:val="auto"/>
        </w:rPr>
      </w:pPr>
      <w:r>
        <w:rPr>
          <w:rFonts w:ascii="Arial" w:cs="Arial" w:eastAsia="Arial" w:hAnsi="Arial"/>
          <w:sz w:val="18"/>
          <w:szCs w:val="18"/>
          <w:b w:val="1"/>
          <w:bCs w:val="1"/>
          <w:color w:val="auto"/>
        </w:rPr>
        <w:t>Basis of consolidation</w:t>
      </w:r>
    </w:p>
    <w:p>
      <w:pPr>
        <w:spacing w:after="0" w:line="121" w:lineRule="exact"/>
        <w:rPr>
          <w:sz w:val="20"/>
          <w:szCs w:val="20"/>
          <w:color w:val="auto"/>
        </w:rPr>
      </w:pPr>
    </w:p>
    <w:p>
      <w:pPr>
        <w:ind w:left="200" w:right="80"/>
        <w:spacing w:after="0" w:line="286" w:lineRule="auto"/>
        <w:rPr>
          <w:sz w:val="20"/>
          <w:szCs w:val="20"/>
          <w:color w:val="auto"/>
        </w:rPr>
      </w:pPr>
      <w:r>
        <w:rPr>
          <w:rFonts w:ascii="Arial" w:cs="Arial" w:eastAsia="Arial" w:hAnsi="Arial"/>
          <w:sz w:val="17"/>
          <w:szCs w:val="17"/>
          <w:color w:val="auto"/>
        </w:rPr>
        <w:t>The consolidated financial statements comprise the financial statements of Avita Medical Limited and its subsidiaries (‘the Company’) as at the reporting date each year. The Parent controls a subsidiary if it is exposed, or has rights, to variable returns from its involvement with the subsidiary and has the ability to affect those returns through its power over the subsidiary. All subsidiaries have a reporting date of June 30.</w:t>
      </w:r>
    </w:p>
    <w:p>
      <w:pPr>
        <w:spacing w:after="0" w:line="166" w:lineRule="exact"/>
        <w:rPr>
          <w:sz w:val="20"/>
          <w:szCs w:val="20"/>
          <w:color w:val="auto"/>
        </w:rPr>
      </w:pPr>
    </w:p>
    <w:p>
      <w:pPr>
        <w:ind w:left="200"/>
        <w:spacing w:after="0" w:line="264" w:lineRule="auto"/>
        <w:rPr>
          <w:sz w:val="20"/>
          <w:szCs w:val="20"/>
          <w:color w:val="auto"/>
        </w:rPr>
      </w:pPr>
      <w:r>
        <w:rPr>
          <w:rFonts w:ascii="Arial" w:cs="Arial" w:eastAsia="Arial" w:hAnsi="Arial"/>
          <w:sz w:val="18"/>
          <w:szCs w:val="18"/>
          <w:color w:val="auto"/>
        </w:rPr>
        <w:t>In preparing the consolidated financial statements, all intercompany balances and transactions, income and expenses and profit and losses resulting from intercompany transactions have been eliminated in full. Subsidiaries are fully consolidated from the date on which control is obtained by the Company and cease to be consolidated from the date on which control is transferred out of the Company.</w:t>
      </w:r>
    </w:p>
    <w:p>
      <w:pPr>
        <w:spacing w:after="0" w:line="326" w:lineRule="exact"/>
        <w:rPr>
          <w:sz w:val="20"/>
          <w:szCs w:val="20"/>
          <w:color w:val="auto"/>
        </w:rPr>
      </w:pPr>
    </w:p>
    <w:p>
      <w:pPr>
        <w:ind w:left="640" w:hanging="436"/>
        <w:spacing w:after="0"/>
        <w:tabs>
          <w:tab w:leader="none" w:pos="640" w:val="left"/>
        </w:tabs>
        <w:numPr>
          <w:ilvl w:val="0"/>
          <w:numId w:val="74"/>
        </w:numPr>
        <w:rPr>
          <w:rFonts w:ascii="Arial" w:cs="Arial" w:eastAsia="Arial" w:hAnsi="Arial"/>
          <w:sz w:val="18"/>
          <w:szCs w:val="18"/>
          <w:b w:val="1"/>
          <w:bCs w:val="1"/>
          <w:color w:val="auto"/>
        </w:rPr>
      </w:pPr>
      <w:r>
        <w:rPr>
          <w:rFonts w:ascii="Arial" w:cs="Arial" w:eastAsia="Arial" w:hAnsi="Arial"/>
          <w:sz w:val="18"/>
          <w:szCs w:val="18"/>
          <w:b w:val="1"/>
          <w:bCs w:val="1"/>
          <w:color w:val="auto"/>
        </w:rPr>
        <w:t>Segment reporting</w:t>
      </w:r>
    </w:p>
    <w:p>
      <w:pPr>
        <w:spacing w:after="0" w:line="121" w:lineRule="exact"/>
        <w:rPr>
          <w:sz w:val="20"/>
          <w:szCs w:val="20"/>
          <w:color w:val="auto"/>
        </w:rPr>
      </w:pPr>
    </w:p>
    <w:p>
      <w:pPr>
        <w:ind w:left="200" w:right="40"/>
        <w:spacing w:after="0" w:line="297" w:lineRule="auto"/>
        <w:rPr>
          <w:sz w:val="20"/>
          <w:szCs w:val="20"/>
          <w:color w:val="auto"/>
        </w:rPr>
      </w:pPr>
      <w:r>
        <w:rPr>
          <w:rFonts w:ascii="Arial" w:cs="Arial" w:eastAsia="Arial" w:hAnsi="Arial"/>
          <w:sz w:val="16"/>
          <w:szCs w:val="16"/>
          <w:color w:val="auto"/>
        </w:rPr>
        <w:t>An operating segment is a component of an entity that engages in business activities from which it may earn revenues and incur expenses (including revenues and expenses relating to transactions with other components of the same entity), whose operating results are regularly reviewed by the entity’s chief operating decision maker to make decisions about resources to be allocated to the segment and assess its performance, and for which discrete financial information is available. This includes start-up operations which are yet to earn revenues. Management will also consider other factors in determining operating segments such as the existence of a line manager and the level of segment information presented to the Board of Directors.</w:t>
      </w:r>
    </w:p>
    <w:p>
      <w:pPr>
        <w:spacing w:after="0" w:line="158" w:lineRule="exact"/>
        <w:rPr>
          <w:sz w:val="20"/>
          <w:szCs w:val="20"/>
          <w:color w:val="auto"/>
        </w:rPr>
      </w:pPr>
    </w:p>
    <w:p>
      <w:pPr>
        <w:jc w:val="both"/>
        <w:ind w:left="200" w:right="80"/>
        <w:spacing w:after="0" w:line="264" w:lineRule="auto"/>
        <w:rPr>
          <w:sz w:val="20"/>
          <w:szCs w:val="20"/>
          <w:color w:val="auto"/>
        </w:rPr>
      </w:pPr>
      <w:r>
        <w:rPr>
          <w:rFonts w:ascii="Arial" w:cs="Arial" w:eastAsia="Arial" w:hAnsi="Arial"/>
          <w:sz w:val="18"/>
          <w:szCs w:val="18"/>
          <w:color w:val="auto"/>
        </w:rPr>
        <w:t>Operating segments have been identified based on the information provided to the chief operating decision makers – being the Chief Executive Officer. The company aggregates two or more operating segments when they have similar economic characteristics, and the segments are similar in each of the following respects:</w:t>
      </w:r>
    </w:p>
    <w:p>
      <w:pPr>
        <w:spacing w:after="0" w:line="87" w:lineRule="exact"/>
        <w:rPr>
          <w:sz w:val="20"/>
          <w:szCs w:val="20"/>
          <w:color w:val="auto"/>
        </w:rPr>
      </w:pPr>
    </w:p>
    <w:p>
      <w:pPr>
        <w:ind w:left="1180" w:hanging="436"/>
        <w:spacing w:after="0"/>
        <w:tabs>
          <w:tab w:leader="none" w:pos="1180" w:val="left"/>
        </w:tabs>
        <w:numPr>
          <w:ilvl w:val="0"/>
          <w:numId w:val="75"/>
        </w:numPr>
        <w:rPr>
          <w:rFonts w:ascii="Arial" w:cs="Arial" w:eastAsia="Arial" w:hAnsi="Arial"/>
          <w:sz w:val="18"/>
          <w:szCs w:val="18"/>
          <w:color w:val="auto"/>
        </w:rPr>
      </w:pPr>
      <w:r>
        <w:rPr>
          <w:rFonts w:ascii="Arial" w:cs="Arial" w:eastAsia="Arial" w:hAnsi="Arial"/>
          <w:sz w:val="18"/>
          <w:szCs w:val="18"/>
          <w:color w:val="auto"/>
        </w:rPr>
        <w:t>Nature of the products and services;</w:t>
      </w:r>
    </w:p>
    <w:p>
      <w:pPr>
        <w:spacing w:after="0" w:line="130" w:lineRule="exact"/>
        <w:rPr>
          <w:rFonts w:ascii="Arial" w:cs="Arial" w:eastAsia="Arial" w:hAnsi="Arial"/>
          <w:sz w:val="18"/>
          <w:szCs w:val="18"/>
          <w:color w:val="auto"/>
        </w:rPr>
      </w:pPr>
    </w:p>
    <w:p>
      <w:pPr>
        <w:ind w:left="1180" w:hanging="436"/>
        <w:spacing w:after="0"/>
        <w:tabs>
          <w:tab w:leader="none" w:pos="1180" w:val="left"/>
        </w:tabs>
        <w:numPr>
          <w:ilvl w:val="0"/>
          <w:numId w:val="75"/>
        </w:numPr>
        <w:rPr>
          <w:rFonts w:ascii="Arial" w:cs="Arial" w:eastAsia="Arial" w:hAnsi="Arial"/>
          <w:sz w:val="18"/>
          <w:szCs w:val="18"/>
          <w:color w:val="auto"/>
        </w:rPr>
      </w:pPr>
      <w:r>
        <w:rPr>
          <w:rFonts w:ascii="Arial" w:cs="Arial" w:eastAsia="Arial" w:hAnsi="Arial"/>
          <w:sz w:val="18"/>
          <w:szCs w:val="18"/>
          <w:color w:val="auto"/>
        </w:rPr>
        <w:t>Nature of the production processes;</w:t>
      </w:r>
    </w:p>
    <w:p>
      <w:pPr>
        <w:spacing w:after="0" w:line="130" w:lineRule="exact"/>
        <w:rPr>
          <w:rFonts w:ascii="Arial" w:cs="Arial" w:eastAsia="Arial" w:hAnsi="Arial"/>
          <w:sz w:val="18"/>
          <w:szCs w:val="18"/>
          <w:color w:val="auto"/>
        </w:rPr>
      </w:pPr>
    </w:p>
    <w:p>
      <w:pPr>
        <w:ind w:left="1180" w:hanging="436"/>
        <w:spacing w:after="0"/>
        <w:tabs>
          <w:tab w:leader="none" w:pos="1180" w:val="left"/>
        </w:tabs>
        <w:numPr>
          <w:ilvl w:val="0"/>
          <w:numId w:val="75"/>
        </w:numPr>
        <w:rPr>
          <w:rFonts w:ascii="Arial" w:cs="Arial" w:eastAsia="Arial" w:hAnsi="Arial"/>
          <w:sz w:val="18"/>
          <w:szCs w:val="18"/>
          <w:color w:val="auto"/>
        </w:rPr>
      </w:pPr>
      <w:r>
        <w:rPr>
          <w:rFonts w:ascii="Arial" w:cs="Arial" w:eastAsia="Arial" w:hAnsi="Arial"/>
          <w:sz w:val="18"/>
          <w:szCs w:val="18"/>
          <w:color w:val="auto"/>
        </w:rPr>
        <w:t>Type or class of customer for the products and services;</w:t>
      </w:r>
    </w:p>
    <w:p>
      <w:pPr>
        <w:spacing w:after="0" w:line="130" w:lineRule="exact"/>
        <w:rPr>
          <w:rFonts w:ascii="Arial" w:cs="Arial" w:eastAsia="Arial" w:hAnsi="Arial"/>
          <w:sz w:val="18"/>
          <w:szCs w:val="18"/>
          <w:color w:val="auto"/>
        </w:rPr>
      </w:pPr>
    </w:p>
    <w:p>
      <w:pPr>
        <w:ind w:left="1180" w:hanging="436"/>
        <w:spacing w:after="0"/>
        <w:tabs>
          <w:tab w:leader="none" w:pos="1180" w:val="left"/>
        </w:tabs>
        <w:numPr>
          <w:ilvl w:val="0"/>
          <w:numId w:val="75"/>
        </w:numPr>
        <w:rPr>
          <w:rFonts w:ascii="Arial" w:cs="Arial" w:eastAsia="Arial" w:hAnsi="Arial"/>
          <w:sz w:val="18"/>
          <w:szCs w:val="18"/>
          <w:color w:val="auto"/>
        </w:rPr>
      </w:pPr>
      <w:r>
        <w:rPr>
          <w:rFonts w:ascii="Arial" w:cs="Arial" w:eastAsia="Arial" w:hAnsi="Arial"/>
          <w:sz w:val="18"/>
          <w:szCs w:val="18"/>
          <w:color w:val="auto"/>
        </w:rPr>
        <w:t>Methods used to distribute the products or provide the services; and if applicable</w:t>
      </w:r>
    </w:p>
    <w:p>
      <w:pPr>
        <w:spacing w:after="0" w:line="130" w:lineRule="exact"/>
        <w:rPr>
          <w:rFonts w:ascii="Arial" w:cs="Arial" w:eastAsia="Arial" w:hAnsi="Arial"/>
          <w:sz w:val="18"/>
          <w:szCs w:val="18"/>
          <w:color w:val="auto"/>
        </w:rPr>
      </w:pPr>
    </w:p>
    <w:p>
      <w:pPr>
        <w:ind w:left="1180" w:hanging="436"/>
        <w:spacing w:after="0"/>
        <w:tabs>
          <w:tab w:leader="none" w:pos="1180" w:val="left"/>
        </w:tabs>
        <w:numPr>
          <w:ilvl w:val="0"/>
          <w:numId w:val="75"/>
        </w:numPr>
        <w:rPr>
          <w:rFonts w:ascii="Arial" w:cs="Arial" w:eastAsia="Arial" w:hAnsi="Arial"/>
          <w:sz w:val="18"/>
          <w:szCs w:val="18"/>
          <w:color w:val="auto"/>
        </w:rPr>
      </w:pPr>
      <w:r>
        <w:rPr>
          <w:rFonts w:ascii="Arial" w:cs="Arial" w:eastAsia="Arial" w:hAnsi="Arial"/>
          <w:sz w:val="18"/>
          <w:szCs w:val="18"/>
          <w:color w:val="auto"/>
        </w:rPr>
        <w:t>Nature of the regulatory environment.</w:t>
      </w:r>
    </w:p>
    <w:p>
      <w:pPr>
        <w:spacing w:after="0" w:line="225" w:lineRule="exact"/>
        <w:rPr>
          <w:sz w:val="20"/>
          <w:szCs w:val="20"/>
          <w:color w:val="auto"/>
        </w:rPr>
      </w:pPr>
    </w:p>
    <w:p>
      <w:pPr>
        <w:jc w:val="both"/>
        <w:ind w:left="200" w:right="420"/>
        <w:spacing w:after="0" w:line="264" w:lineRule="auto"/>
        <w:rPr>
          <w:sz w:val="20"/>
          <w:szCs w:val="20"/>
          <w:color w:val="auto"/>
        </w:rPr>
      </w:pPr>
      <w:r>
        <w:rPr>
          <w:rFonts w:ascii="Arial" w:cs="Arial" w:eastAsia="Arial" w:hAnsi="Arial"/>
          <w:sz w:val="18"/>
          <w:szCs w:val="18"/>
          <w:color w:val="auto"/>
        </w:rPr>
        <w:t>Operating segments that meet the quantitative criteria as prescribed by IFRS 8 Operating Segments are reported separately. However, an operating segment that does not meet the quantitative criteria is still reported separately where information about the segment would be useful to users of the financial statements.</w:t>
      </w:r>
    </w:p>
    <w:p>
      <w:pPr>
        <w:spacing w:after="0" w:line="114"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F-12</w:t>
      </w:r>
    </w:p>
    <w:p>
      <w:pPr>
        <w:sectPr>
          <w:pgSz w:w="11900" w:h="16838" w:orient="portrait"/>
          <w:cols w:equalWidth="0" w:num="1">
            <w:col w:w="11180"/>
          </w:cols>
          <w:pgMar w:left="240" w:top="459" w:right="479" w:bottom="1440" w:gutter="0" w:footer="0" w:header="0"/>
        </w:sectPr>
      </w:pPr>
    </w:p>
    <w:bookmarkStart w:id="111" w:name="page112"/>
    <w:bookmarkEnd w:id="11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5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AVITA MEDICAL LIMITED</w:t>
      </w:r>
    </w:p>
    <w:p>
      <w:pPr>
        <w:spacing w:after="0" w:line="27"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9"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(IN AUSTRALIAN DOLLARS)</w:t>
      </w:r>
    </w:p>
    <w:p>
      <w:pPr>
        <w:spacing w:after="0" w:line="234" w:lineRule="exact"/>
        <w:rPr>
          <w:sz w:val="20"/>
          <w:szCs w:val="20"/>
          <w:color w:val="auto"/>
        </w:rPr>
      </w:pPr>
    </w:p>
    <w:p>
      <w:pPr>
        <w:ind w:left="640" w:hanging="436"/>
        <w:spacing w:after="0"/>
        <w:tabs>
          <w:tab w:leader="none" w:pos="640" w:val="left"/>
        </w:tabs>
        <w:numPr>
          <w:ilvl w:val="0"/>
          <w:numId w:val="76"/>
        </w:numPr>
        <w:rPr>
          <w:rFonts w:ascii="Arial" w:cs="Arial" w:eastAsia="Arial" w:hAnsi="Arial"/>
          <w:sz w:val="18"/>
          <w:szCs w:val="18"/>
          <w:b w:val="1"/>
          <w:bCs w:val="1"/>
          <w:color w:val="auto"/>
        </w:rPr>
      </w:pPr>
      <w:r>
        <w:rPr>
          <w:rFonts w:ascii="Arial" w:cs="Arial" w:eastAsia="Arial" w:hAnsi="Arial"/>
          <w:sz w:val="18"/>
          <w:szCs w:val="18"/>
          <w:b w:val="1"/>
          <w:bCs w:val="1"/>
          <w:color w:val="auto"/>
        </w:rPr>
        <w:t>SUMMARY OF SIGNIFICANT ACCOUNTING POLICIES (CONTINUED)</w:t>
      </w:r>
    </w:p>
    <w:p>
      <w:pPr>
        <w:spacing w:after="0" w:line="131" w:lineRule="exact"/>
        <w:rPr>
          <w:sz w:val="20"/>
          <w:szCs w:val="20"/>
          <w:color w:val="auto"/>
        </w:rPr>
      </w:pPr>
    </w:p>
    <w:p>
      <w:pPr>
        <w:ind w:left="640" w:hanging="436"/>
        <w:spacing w:after="0"/>
        <w:tabs>
          <w:tab w:leader="none" w:pos="640" w:val="left"/>
        </w:tabs>
        <w:numPr>
          <w:ilvl w:val="0"/>
          <w:numId w:val="77"/>
        </w:numPr>
        <w:rPr>
          <w:rFonts w:ascii="Arial" w:cs="Arial" w:eastAsia="Arial" w:hAnsi="Arial"/>
          <w:sz w:val="18"/>
          <w:szCs w:val="18"/>
          <w:b w:val="1"/>
          <w:bCs w:val="1"/>
          <w:color w:val="auto"/>
        </w:rPr>
      </w:pPr>
      <w:r>
        <w:rPr>
          <w:rFonts w:ascii="Arial" w:cs="Arial" w:eastAsia="Arial" w:hAnsi="Arial"/>
          <w:sz w:val="18"/>
          <w:szCs w:val="18"/>
          <w:b w:val="1"/>
          <w:bCs w:val="1"/>
          <w:color w:val="auto"/>
        </w:rPr>
        <w:t>Revenue recognition</w:t>
      </w:r>
    </w:p>
    <w:p>
      <w:pPr>
        <w:spacing w:after="0" w:line="121" w:lineRule="exact"/>
        <w:rPr>
          <w:sz w:val="20"/>
          <w:szCs w:val="20"/>
          <w:color w:val="auto"/>
        </w:rPr>
      </w:pPr>
    </w:p>
    <w:p>
      <w:pPr>
        <w:ind w:left="200" w:right="200"/>
        <w:spacing w:after="0" w:line="264" w:lineRule="auto"/>
        <w:rPr>
          <w:sz w:val="20"/>
          <w:szCs w:val="20"/>
          <w:color w:val="auto"/>
        </w:rPr>
      </w:pPr>
      <w:r>
        <w:rPr>
          <w:rFonts w:ascii="Arial" w:cs="Arial" w:eastAsia="Arial" w:hAnsi="Arial"/>
          <w:sz w:val="18"/>
          <w:szCs w:val="18"/>
          <w:color w:val="auto"/>
        </w:rPr>
        <w:t>Revenue is recognized and measured at the fair value of the consideration received or receivable to the extent it is probable that the economic benefits will flow to the Company and the revenue can be reliably measured. The following specific recognition criteria must also be met before revenue is recognized:</w:t>
      </w:r>
    </w:p>
    <w:p>
      <w:pPr>
        <w:spacing w:after="0" w:line="289" w:lineRule="exact"/>
        <w:rPr>
          <w:sz w:val="20"/>
          <w:szCs w:val="20"/>
          <w:color w:val="auto"/>
        </w:rPr>
      </w:pPr>
    </w:p>
    <w:p>
      <w:pPr>
        <w:ind w:left="200"/>
        <w:spacing w:after="0"/>
        <w:rPr>
          <w:sz w:val="20"/>
          <w:szCs w:val="20"/>
          <w:color w:val="auto"/>
        </w:rPr>
      </w:pPr>
      <w:r>
        <w:rPr>
          <w:rFonts w:ascii="Arial" w:cs="Arial" w:eastAsia="Arial" w:hAnsi="Arial"/>
          <w:sz w:val="18"/>
          <w:szCs w:val="18"/>
          <w:i w:val="1"/>
          <w:iCs w:val="1"/>
          <w:color w:val="auto"/>
        </w:rPr>
        <w:t>Sale of goods</w:t>
      </w:r>
    </w:p>
    <w:p>
      <w:pPr>
        <w:spacing w:after="0" w:line="117" w:lineRule="exact"/>
        <w:rPr>
          <w:sz w:val="20"/>
          <w:szCs w:val="20"/>
          <w:color w:val="auto"/>
        </w:rPr>
      </w:pPr>
    </w:p>
    <w:p>
      <w:pPr>
        <w:jc w:val="both"/>
        <w:ind w:left="200" w:right="180"/>
        <w:spacing w:after="0" w:line="264" w:lineRule="auto"/>
        <w:rPr>
          <w:sz w:val="20"/>
          <w:szCs w:val="20"/>
          <w:color w:val="auto"/>
        </w:rPr>
      </w:pPr>
      <w:r>
        <w:rPr>
          <w:rFonts w:ascii="Arial" w:cs="Arial" w:eastAsia="Arial" w:hAnsi="Arial"/>
          <w:sz w:val="18"/>
          <w:szCs w:val="18"/>
          <w:color w:val="auto"/>
        </w:rPr>
        <w:t>Revenue from the sale of goods is recognized when the significant risks and rewards of ownership of the goods have passed to the buyer and the costs incurred or to be incurred in respect of the transaction can be measured reliably. Risks and rewards of ownership are considered passed to the buyer at the time of shipment of the goods to the customer.</w:t>
      </w:r>
    </w:p>
    <w:p>
      <w:pPr>
        <w:spacing w:after="0" w:line="289" w:lineRule="exact"/>
        <w:rPr>
          <w:sz w:val="20"/>
          <w:szCs w:val="20"/>
          <w:color w:val="auto"/>
        </w:rPr>
      </w:pPr>
    </w:p>
    <w:p>
      <w:pPr>
        <w:ind w:left="200"/>
        <w:spacing w:after="0"/>
        <w:rPr>
          <w:sz w:val="20"/>
          <w:szCs w:val="20"/>
          <w:color w:val="auto"/>
        </w:rPr>
      </w:pPr>
      <w:r>
        <w:rPr>
          <w:rFonts w:ascii="Arial" w:cs="Arial" w:eastAsia="Arial" w:hAnsi="Arial"/>
          <w:sz w:val="18"/>
          <w:szCs w:val="18"/>
          <w:i w:val="1"/>
          <w:iCs w:val="1"/>
          <w:color w:val="auto"/>
        </w:rPr>
        <w:t>BARDA income</w:t>
      </w:r>
    </w:p>
    <w:p>
      <w:pPr>
        <w:spacing w:after="0" w:line="117" w:lineRule="exact"/>
        <w:rPr>
          <w:sz w:val="20"/>
          <w:szCs w:val="20"/>
          <w:color w:val="auto"/>
        </w:rPr>
      </w:pPr>
    </w:p>
    <w:p>
      <w:pPr>
        <w:ind w:left="200" w:right="100"/>
        <w:spacing w:after="0" w:line="276" w:lineRule="auto"/>
        <w:rPr>
          <w:sz w:val="20"/>
          <w:szCs w:val="20"/>
          <w:color w:val="auto"/>
        </w:rPr>
      </w:pPr>
      <w:r>
        <w:rPr>
          <w:rFonts w:ascii="Arial" w:cs="Arial" w:eastAsia="Arial" w:hAnsi="Arial"/>
          <w:sz w:val="17"/>
          <w:szCs w:val="17"/>
          <w:color w:val="auto"/>
        </w:rPr>
        <w:t>The Company had been granted a BARDA contract in September 2015, wherein BARDA funded the Company to support the ongoing U.S. clinical regulatory program towards FDA Premarket Approval and Compassionate Use program, and clinical and health economics research in U.S. pediatric burn care. Barda income is recognized in the income statement when it is probable that the Company will receive the economic benefits of the contract and the amount can be reliably measured. The BARDA contract allows the Company to be reimbursed for costs incurred to fund the programs outlined above. The BARDA funds received are recognized in the period that the costs are incurred by the project.</w:t>
      </w:r>
    </w:p>
    <w:p>
      <w:pPr>
        <w:spacing w:after="0" w:line="281" w:lineRule="exact"/>
        <w:rPr>
          <w:sz w:val="20"/>
          <w:szCs w:val="20"/>
          <w:color w:val="auto"/>
        </w:rPr>
      </w:pPr>
    </w:p>
    <w:p>
      <w:pPr>
        <w:ind w:left="200"/>
        <w:spacing w:after="0"/>
        <w:rPr>
          <w:sz w:val="20"/>
          <w:szCs w:val="20"/>
          <w:color w:val="auto"/>
        </w:rPr>
      </w:pPr>
      <w:r>
        <w:rPr>
          <w:rFonts w:ascii="Arial" w:cs="Arial" w:eastAsia="Arial" w:hAnsi="Arial"/>
          <w:sz w:val="18"/>
          <w:szCs w:val="18"/>
          <w:i w:val="1"/>
          <w:iCs w:val="1"/>
          <w:color w:val="auto"/>
        </w:rPr>
        <w:t>Interest income</w:t>
      </w:r>
    </w:p>
    <w:p>
      <w:pPr>
        <w:spacing w:after="0" w:line="117" w:lineRule="exact"/>
        <w:rPr>
          <w:sz w:val="20"/>
          <w:szCs w:val="20"/>
          <w:color w:val="auto"/>
        </w:rPr>
      </w:pPr>
    </w:p>
    <w:p>
      <w:pPr>
        <w:ind w:left="200"/>
        <w:spacing w:after="0"/>
        <w:rPr>
          <w:sz w:val="20"/>
          <w:szCs w:val="20"/>
          <w:color w:val="auto"/>
        </w:rPr>
      </w:pPr>
      <w:r>
        <w:rPr>
          <w:rFonts w:ascii="Arial" w:cs="Arial" w:eastAsia="Arial" w:hAnsi="Arial"/>
          <w:sz w:val="18"/>
          <w:szCs w:val="18"/>
          <w:color w:val="auto"/>
        </w:rPr>
        <w:t>Revenue is recognized as interest accrues using the effective interest method.</w:t>
      </w:r>
    </w:p>
    <w:p>
      <w:pPr>
        <w:spacing w:after="0" w:line="370" w:lineRule="exact"/>
        <w:rPr>
          <w:sz w:val="20"/>
          <w:szCs w:val="20"/>
          <w:color w:val="auto"/>
        </w:rPr>
      </w:pPr>
    </w:p>
    <w:p>
      <w:pPr>
        <w:ind w:left="640" w:hanging="436"/>
        <w:spacing w:after="0"/>
        <w:tabs>
          <w:tab w:leader="none" w:pos="640" w:val="left"/>
        </w:tabs>
        <w:numPr>
          <w:ilvl w:val="0"/>
          <w:numId w:val="78"/>
        </w:numPr>
        <w:rPr>
          <w:rFonts w:ascii="Arial" w:cs="Arial" w:eastAsia="Arial" w:hAnsi="Arial"/>
          <w:sz w:val="18"/>
          <w:szCs w:val="18"/>
          <w:b w:val="1"/>
          <w:bCs w:val="1"/>
          <w:color w:val="auto"/>
        </w:rPr>
      </w:pPr>
      <w:r>
        <w:rPr>
          <w:rFonts w:ascii="Arial" w:cs="Arial" w:eastAsia="Arial" w:hAnsi="Arial"/>
          <w:sz w:val="18"/>
          <w:szCs w:val="18"/>
          <w:b w:val="1"/>
          <w:bCs w:val="1"/>
          <w:color w:val="auto"/>
        </w:rPr>
        <w:t>Government and other grants</w:t>
      </w:r>
    </w:p>
    <w:p>
      <w:pPr>
        <w:spacing w:after="0" w:line="121" w:lineRule="exact"/>
        <w:rPr>
          <w:sz w:val="20"/>
          <w:szCs w:val="20"/>
          <w:color w:val="auto"/>
        </w:rPr>
      </w:pPr>
    </w:p>
    <w:p>
      <w:pPr>
        <w:ind w:left="200"/>
        <w:spacing w:after="0"/>
        <w:rPr>
          <w:sz w:val="20"/>
          <w:szCs w:val="20"/>
          <w:color w:val="auto"/>
        </w:rPr>
      </w:pPr>
      <w:r>
        <w:rPr>
          <w:rFonts w:ascii="Arial" w:cs="Arial" w:eastAsia="Arial" w:hAnsi="Arial"/>
          <w:sz w:val="16"/>
          <w:szCs w:val="16"/>
          <w:color w:val="auto"/>
        </w:rPr>
        <w:t>Government grants are recognized when there is reasonable assurance that the grant will be received, and all attaching conditions will be complied with.</w:t>
      </w:r>
    </w:p>
    <w:p>
      <w:pPr>
        <w:spacing w:after="0" w:line="248" w:lineRule="exact"/>
        <w:rPr>
          <w:sz w:val="20"/>
          <w:szCs w:val="20"/>
          <w:color w:val="auto"/>
        </w:rPr>
      </w:pPr>
    </w:p>
    <w:p>
      <w:pPr>
        <w:ind w:left="200"/>
        <w:spacing w:after="0" w:line="277" w:lineRule="auto"/>
        <w:rPr>
          <w:sz w:val="20"/>
          <w:szCs w:val="20"/>
          <w:color w:val="auto"/>
        </w:rPr>
      </w:pPr>
      <w:r>
        <w:rPr>
          <w:rFonts w:ascii="Arial" w:cs="Arial" w:eastAsia="Arial" w:hAnsi="Arial"/>
          <w:sz w:val="18"/>
          <w:szCs w:val="18"/>
          <w:color w:val="auto"/>
        </w:rPr>
        <w:t>When the grant relates to an expense item, it is recognized as income over the periods necessary to match the grant on a systematic basis to the costs that it is intended to compensate. Grants are not credited directly to shareholders equity.</w:t>
      </w:r>
    </w:p>
    <w:p>
      <w:pPr>
        <w:spacing w:after="0" w:line="170" w:lineRule="exact"/>
        <w:rPr>
          <w:sz w:val="20"/>
          <w:szCs w:val="20"/>
          <w:color w:val="auto"/>
        </w:rPr>
      </w:pPr>
    </w:p>
    <w:p>
      <w:pPr>
        <w:ind w:left="200" w:right="280"/>
        <w:spacing w:after="0" w:line="277" w:lineRule="auto"/>
        <w:rPr>
          <w:sz w:val="20"/>
          <w:szCs w:val="20"/>
          <w:color w:val="auto"/>
        </w:rPr>
      </w:pPr>
      <w:r>
        <w:rPr>
          <w:rFonts w:ascii="Arial" w:cs="Arial" w:eastAsia="Arial" w:hAnsi="Arial"/>
          <w:sz w:val="18"/>
          <w:szCs w:val="18"/>
          <w:color w:val="auto"/>
        </w:rPr>
        <w:t>When the grant relates to an asset, the fair value is credited to deferred income and is released to the profit or loss over the expected useful life of the relevant asset by equal annual instalments.</w:t>
      </w:r>
    </w:p>
    <w:p>
      <w:pPr>
        <w:spacing w:after="0" w:line="315" w:lineRule="exact"/>
        <w:rPr>
          <w:sz w:val="20"/>
          <w:szCs w:val="20"/>
          <w:color w:val="auto"/>
        </w:rPr>
      </w:pPr>
    </w:p>
    <w:p>
      <w:pPr>
        <w:ind w:left="640" w:hanging="436"/>
        <w:spacing w:after="0"/>
        <w:tabs>
          <w:tab w:leader="none" w:pos="640" w:val="left"/>
        </w:tabs>
        <w:numPr>
          <w:ilvl w:val="0"/>
          <w:numId w:val="79"/>
        </w:numPr>
        <w:rPr>
          <w:rFonts w:ascii="Arial" w:cs="Arial" w:eastAsia="Arial" w:hAnsi="Arial"/>
          <w:sz w:val="18"/>
          <w:szCs w:val="18"/>
          <w:b w:val="1"/>
          <w:bCs w:val="1"/>
          <w:color w:val="auto"/>
        </w:rPr>
      </w:pPr>
      <w:r>
        <w:rPr>
          <w:rFonts w:ascii="Arial" w:cs="Arial" w:eastAsia="Arial" w:hAnsi="Arial"/>
          <w:sz w:val="18"/>
          <w:szCs w:val="18"/>
          <w:b w:val="1"/>
          <w:bCs w:val="1"/>
          <w:color w:val="auto"/>
        </w:rPr>
        <w:t>Leases</w:t>
      </w:r>
    </w:p>
    <w:p>
      <w:pPr>
        <w:spacing w:after="0" w:line="121" w:lineRule="exact"/>
        <w:rPr>
          <w:sz w:val="20"/>
          <w:szCs w:val="20"/>
          <w:color w:val="auto"/>
        </w:rPr>
      </w:pPr>
    </w:p>
    <w:p>
      <w:pPr>
        <w:ind w:left="200"/>
        <w:spacing w:after="0" w:line="342" w:lineRule="auto"/>
        <w:rPr>
          <w:sz w:val="20"/>
          <w:szCs w:val="20"/>
          <w:color w:val="auto"/>
        </w:rPr>
      </w:pPr>
      <w:r>
        <w:rPr>
          <w:rFonts w:ascii="Arial" w:cs="Arial" w:eastAsia="Arial" w:hAnsi="Arial"/>
          <w:sz w:val="16"/>
          <w:szCs w:val="16"/>
          <w:color w:val="auto"/>
        </w:rPr>
        <w:t>The determination of whether an arrangement is, or contains, a lease is based on the substance of the arrangement and requires an assessment of whether the fulfilment of the arrangement is dependent on the use of a specific asset or assets and the arrangement conveys a right to use the asset.</w:t>
      </w:r>
    </w:p>
    <w:p>
      <w:pPr>
        <w:spacing w:after="0" w:line="232" w:lineRule="exact"/>
        <w:rPr>
          <w:sz w:val="20"/>
          <w:szCs w:val="20"/>
          <w:color w:val="auto"/>
        </w:rPr>
      </w:pPr>
    </w:p>
    <w:p>
      <w:pPr>
        <w:ind w:left="200"/>
        <w:spacing w:after="0"/>
        <w:rPr>
          <w:sz w:val="20"/>
          <w:szCs w:val="20"/>
          <w:color w:val="auto"/>
        </w:rPr>
      </w:pPr>
      <w:r>
        <w:rPr>
          <w:rFonts w:ascii="Arial" w:cs="Arial" w:eastAsia="Arial" w:hAnsi="Arial"/>
          <w:sz w:val="18"/>
          <w:szCs w:val="18"/>
          <w:i w:val="1"/>
          <w:iCs w:val="1"/>
          <w:color w:val="auto"/>
        </w:rPr>
        <w:t>Company as a lessee</w:t>
      </w:r>
    </w:p>
    <w:p>
      <w:pPr>
        <w:spacing w:after="0" w:line="117" w:lineRule="exact"/>
        <w:rPr>
          <w:sz w:val="20"/>
          <w:szCs w:val="20"/>
          <w:color w:val="auto"/>
        </w:rPr>
      </w:pPr>
    </w:p>
    <w:p>
      <w:pPr>
        <w:ind w:left="200" w:right="260"/>
        <w:spacing w:after="0" w:line="277" w:lineRule="auto"/>
        <w:rPr>
          <w:sz w:val="20"/>
          <w:szCs w:val="20"/>
          <w:color w:val="auto"/>
        </w:rPr>
      </w:pPr>
      <w:r>
        <w:rPr>
          <w:rFonts w:ascii="Arial" w:cs="Arial" w:eastAsia="Arial" w:hAnsi="Arial"/>
          <w:sz w:val="18"/>
          <w:szCs w:val="18"/>
          <w:color w:val="auto"/>
        </w:rPr>
        <w:t>Finance leases, which transfer to the Company substantially all the risks and benefits incidental to ownership of the leased item, are capitalized at the inception of the lease at the fair value of the leased asset or, if lower, at the</w:t>
      </w:r>
    </w:p>
    <w:p>
      <w:pPr>
        <w:spacing w:after="0" w:line="103"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F-13</w:t>
      </w:r>
    </w:p>
    <w:p>
      <w:pPr>
        <w:sectPr>
          <w:pgSz w:w="11900" w:h="16838" w:orient="portrait"/>
          <w:cols w:equalWidth="0" w:num="1">
            <w:col w:w="11200"/>
          </w:cols>
          <w:pgMar w:left="240" w:top="459" w:right="459" w:bottom="1440" w:gutter="0" w:footer="0" w:header="0"/>
        </w:sectPr>
      </w:pPr>
    </w:p>
    <w:bookmarkStart w:id="112" w:name="page113"/>
    <w:bookmarkEnd w:id="11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5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AVITA MEDICAL LIMITED</w:t>
      </w:r>
    </w:p>
    <w:p>
      <w:pPr>
        <w:spacing w:after="0" w:line="27"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9"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(IN AUSTRALIAN DOLLARS)</w:t>
      </w:r>
    </w:p>
    <w:p>
      <w:pPr>
        <w:spacing w:after="0" w:line="234" w:lineRule="exact"/>
        <w:rPr>
          <w:sz w:val="20"/>
          <w:szCs w:val="20"/>
          <w:color w:val="auto"/>
        </w:rPr>
      </w:pPr>
    </w:p>
    <w:p>
      <w:pPr>
        <w:ind w:left="640" w:hanging="436"/>
        <w:spacing w:after="0"/>
        <w:tabs>
          <w:tab w:leader="none" w:pos="640" w:val="left"/>
        </w:tabs>
        <w:numPr>
          <w:ilvl w:val="0"/>
          <w:numId w:val="80"/>
        </w:numPr>
        <w:rPr>
          <w:rFonts w:ascii="Arial" w:cs="Arial" w:eastAsia="Arial" w:hAnsi="Arial"/>
          <w:sz w:val="18"/>
          <w:szCs w:val="18"/>
          <w:b w:val="1"/>
          <w:bCs w:val="1"/>
          <w:color w:val="auto"/>
        </w:rPr>
      </w:pPr>
      <w:r>
        <w:rPr>
          <w:rFonts w:ascii="Arial" w:cs="Arial" w:eastAsia="Arial" w:hAnsi="Arial"/>
          <w:sz w:val="18"/>
          <w:szCs w:val="18"/>
          <w:b w:val="1"/>
          <w:bCs w:val="1"/>
          <w:color w:val="auto"/>
        </w:rPr>
        <w:t>SUMMARY OF SIGNIFICANT ACCOUNTING POLICIES (CONTINUED)</w:t>
      </w:r>
    </w:p>
    <w:p>
      <w:pPr>
        <w:spacing w:after="0" w:line="131" w:lineRule="exact"/>
        <w:rPr>
          <w:sz w:val="20"/>
          <w:szCs w:val="20"/>
          <w:color w:val="auto"/>
        </w:rPr>
      </w:pPr>
    </w:p>
    <w:p>
      <w:pPr>
        <w:ind w:left="640" w:hanging="436"/>
        <w:spacing w:after="0"/>
        <w:tabs>
          <w:tab w:leader="none" w:pos="640" w:val="left"/>
        </w:tabs>
        <w:numPr>
          <w:ilvl w:val="0"/>
          <w:numId w:val="81"/>
        </w:numPr>
        <w:rPr>
          <w:rFonts w:ascii="Arial" w:cs="Arial" w:eastAsia="Arial" w:hAnsi="Arial"/>
          <w:sz w:val="18"/>
          <w:szCs w:val="18"/>
          <w:b w:val="1"/>
          <w:bCs w:val="1"/>
          <w:color w:val="auto"/>
        </w:rPr>
      </w:pPr>
      <w:r>
        <w:rPr>
          <w:rFonts w:ascii="Arial" w:cs="Arial" w:eastAsia="Arial" w:hAnsi="Arial"/>
          <w:sz w:val="18"/>
          <w:szCs w:val="18"/>
          <w:b w:val="1"/>
          <w:bCs w:val="1"/>
          <w:color w:val="auto"/>
        </w:rPr>
        <w:t>Leases (continued)</w:t>
      </w:r>
    </w:p>
    <w:p>
      <w:pPr>
        <w:spacing w:after="0" w:line="135" w:lineRule="exact"/>
        <w:rPr>
          <w:sz w:val="20"/>
          <w:szCs w:val="20"/>
          <w:color w:val="auto"/>
        </w:rPr>
      </w:pPr>
    </w:p>
    <w:p>
      <w:pPr>
        <w:ind w:left="200" w:right="140"/>
        <w:spacing w:after="0" w:line="342" w:lineRule="auto"/>
        <w:rPr>
          <w:sz w:val="20"/>
          <w:szCs w:val="20"/>
          <w:color w:val="auto"/>
        </w:rPr>
      </w:pPr>
      <w:r>
        <w:rPr>
          <w:rFonts w:ascii="Arial" w:cs="Arial" w:eastAsia="Arial" w:hAnsi="Arial"/>
          <w:sz w:val="16"/>
          <w:szCs w:val="16"/>
          <w:color w:val="auto"/>
        </w:rPr>
        <w:t>present value of the minimum lease payments. Lease payments are apportioned between the finance charges and reduction of the lease liability so as to achieve a constant rate of interest on the remaining balance of the liability. Finance charges are recognized as an expense in profit or loss.</w:t>
      </w:r>
    </w:p>
    <w:p>
      <w:pPr>
        <w:spacing w:after="0" w:line="124" w:lineRule="exact"/>
        <w:rPr>
          <w:sz w:val="20"/>
          <w:szCs w:val="20"/>
          <w:color w:val="auto"/>
        </w:rPr>
      </w:pPr>
    </w:p>
    <w:p>
      <w:pPr>
        <w:ind w:left="200"/>
        <w:spacing w:after="0" w:line="277" w:lineRule="auto"/>
        <w:rPr>
          <w:sz w:val="20"/>
          <w:szCs w:val="20"/>
          <w:color w:val="auto"/>
        </w:rPr>
      </w:pPr>
      <w:r>
        <w:rPr>
          <w:rFonts w:ascii="Arial" w:cs="Arial" w:eastAsia="Arial" w:hAnsi="Arial"/>
          <w:sz w:val="18"/>
          <w:szCs w:val="18"/>
          <w:color w:val="auto"/>
        </w:rPr>
        <w:t>Capitalized leased assets are depreciated over the shorter of the estimated useful life of the asset and the lease term if there is no reasonable certainty that the Company will obtain ownership by the end of the lease term.</w:t>
      </w:r>
    </w:p>
    <w:p>
      <w:pPr>
        <w:spacing w:after="0" w:line="170" w:lineRule="exact"/>
        <w:rPr>
          <w:sz w:val="20"/>
          <w:szCs w:val="20"/>
          <w:color w:val="auto"/>
        </w:rPr>
      </w:pPr>
    </w:p>
    <w:p>
      <w:pPr>
        <w:ind w:left="200" w:right="340"/>
        <w:spacing w:after="0" w:line="342" w:lineRule="auto"/>
        <w:rPr>
          <w:sz w:val="20"/>
          <w:szCs w:val="20"/>
          <w:color w:val="auto"/>
        </w:rPr>
      </w:pPr>
      <w:r>
        <w:rPr>
          <w:rFonts w:ascii="Arial" w:cs="Arial" w:eastAsia="Arial" w:hAnsi="Arial"/>
          <w:sz w:val="16"/>
          <w:szCs w:val="16"/>
          <w:color w:val="auto"/>
        </w:rPr>
        <w:t>Operating lease payments are recognized as an expense in profit or loss on a straight-line basis over the lease term. Operating lease incentives are recognized as a liability when received and subsequently reduced by allocating lease payments between rental expense and reduction of the liability.</w:t>
      </w:r>
    </w:p>
    <w:p>
      <w:pPr>
        <w:spacing w:after="0" w:line="268" w:lineRule="exact"/>
        <w:rPr>
          <w:sz w:val="20"/>
          <w:szCs w:val="20"/>
          <w:color w:val="auto"/>
        </w:rPr>
      </w:pPr>
    </w:p>
    <w:p>
      <w:pPr>
        <w:ind w:left="640" w:hanging="436"/>
        <w:spacing w:after="0"/>
        <w:tabs>
          <w:tab w:leader="none" w:pos="640" w:val="left"/>
        </w:tabs>
        <w:numPr>
          <w:ilvl w:val="0"/>
          <w:numId w:val="82"/>
        </w:numPr>
        <w:rPr>
          <w:rFonts w:ascii="Arial" w:cs="Arial" w:eastAsia="Arial" w:hAnsi="Arial"/>
          <w:sz w:val="18"/>
          <w:szCs w:val="18"/>
          <w:b w:val="1"/>
          <w:bCs w:val="1"/>
          <w:color w:val="auto"/>
        </w:rPr>
      </w:pPr>
      <w:r>
        <w:rPr>
          <w:rFonts w:ascii="Arial" w:cs="Arial" w:eastAsia="Arial" w:hAnsi="Arial"/>
          <w:sz w:val="18"/>
          <w:szCs w:val="18"/>
          <w:b w:val="1"/>
          <w:bCs w:val="1"/>
          <w:color w:val="auto"/>
        </w:rPr>
        <w:t>Cash and cash equivalents</w:t>
      </w:r>
    </w:p>
    <w:p>
      <w:pPr>
        <w:spacing w:after="0" w:line="121" w:lineRule="exact"/>
        <w:rPr>
          <w:sz w:val="20"/>
          <w:szCs w:val="20"/>
          <w:color w:val="auto"/>
        </w:rPr>
      </w:pPr>
    </w:p>
    <w:p>
      <w:pPr>
        <w:ind w:left="200" w:right="120"/>
        <w:spacing w:after="0" w:line="264" w:lineRule="auto"/>
        <w:rPr>
          <w:sz w:val="20"/>
          <w:szCs w:val="20"/>
          <w:color w:val="auto"/>
        </w:rPr>
      </w:pPr>
      <w:r>
        <w:rPr>
          <w:rFonts w:ascii="Arial" w:cs="Arial" w:eastAsia="Arial" w:hAnsi="Arial"/>
          <w:sz w:val="18"/>
          <w:szCs w:val="18"/>
          <w:color w:val="auto"/>
        </w:rPr>
        <w:t>Cash and cash equivalents in the consolidated statement of financial position comprises of cash at bank and in hand and short-term deposits with an original maturity of three months or less that are readily convertible to known amounts of cash and which are subject to an insignificant risk of changes in value.</w:t>
      </w:r>
    </w:p>
    <w:p>
      <w:pPr>
        <w:spacing w:after="0" w:line="181" w:lineRule="exact"/>
        <w:rPr>
          <w:sz w:val="20"/>
          <w:szCs w:val="20"/>
          <w:color w:val="auto"/>
        </w:rPr>
      </w:pPr>
    </w:p>
    <w:p>
      <w:pPr>
        <w:ind w:left="200" w:right="320"/>
        <w:spacing w:after="0" w:line="264" w:lineRule="auto"/>
        <w:rPr>
          <w:sz w:val="20"/>
          <w:szCs w:val="20"/>
          <w:color w:val="auto"/>
        </w:rPr>
      </w:pPr>
      <w:r>
        <w:rPr>
          <w:rFonts w:ascii="Arial" w:cs="Arial" w:eastAsia="Arial" w:hAnsi="Arial"/>
          <w:sz w:val="18"/>
          <w:szCs w:val="18"/>
          <w:color w:val="auto"/>
        </w:rPr>
        <w:t>For the purposes of the consolidated statement of cash flows, cash and cash equivalents consist of cash and cash equivalents as defined above, net of outstanding bank overdrafts. Bank overdrafts are included within interest-bearing loans and borrowings in current liabilities on the consolidated statement of financial position.</w:t>
      </w:r>
    </w:p>
    <w:p>
      <w:pPr>
        <w:spacing w:after="0" w:line="326" w:lineRule="exact"/>
        <w:rPr>
          <w:sz w:val="20"/>
          <w:szCs w:val="20"/>
          <w:color w:val="auto"/>
        </w:rPr>
      </w:pPr>
    </w:p>
    <w:p>
      <w:pPr>
        <w:ind w:left="640" w:hanging="436"/>
        <w:spacing w:after="0"/>
        <w:tabs>
          <w:tab w:leader="none" w:pos="640" w:val="left"/>
        </w:tabs>
        <w:numPr>
          <w:ilvl w:val="0"/>
          <w:numId w:val="83"/>
        </w:numPr>
        <w:rPr>
          <w:rFonts w:ascii="Arial" w:cs="Arial" w:eastAsia="Arial" w:hAnsi="Arial"/>
          <w:sz w:val="18"/>
          <w:szCs w:val="18"/>
          <w:b w:val="1"/>
          <w:bCs w:val="1"/>
          <w:color w:val="auto"/>
        </w:rPr>
      </w:pPr>
      <w:r>
        <w:rPr>
          <w:rFonts w:ascii="Arial" w:cs="Arial" w:eastAsia="Arial" w:hAnsi="Arial"/>
          <w:sz w:val="18"/>
          <w:szCs w:val="18"/>
          <w:b w:val="1"/>
          <w:bCs w:val="1"/>
          <w:color w:val="auto"/>
        </w:rPr>
        <w:t>Trade and other receivables</w:t>
      </w:r>
    </w:p>
    <w:p>
      <w:pPr>
        <w:spacing w:after="0" w:line="121" w:lineRule="exact"/>
        <w:rPr>
          <w:sz w:val="20"/>
          <w:szCs w:val="20"/>
          <w:color w:val="auto"/>
        </w:rPr>
      </w:pPr>
    </w:p>
    <w:p>
      <w:pPr>
        <w:ind w:left="200"/>
        <w:spacing w:after="0" w:line="277" w:lineRule="auto"/>
        <w:rPr>
          <w:sz w:val="20"/>
          <w:szCs w:val="20"/>
          <w:color w:val="auto"/>
        </w:rPr>
      </w:pPr>
      <w:r>
        <w:rPr>
          <w:rFonts w:ascii="Arial" w:cs="Arial" w:eastAsia="Arial" w:hAnsi="Arial"/>
          <w:sz w:val="18"/>
          <w:szCs w:val="18"/>
          <w:color w:val="auto"/>
        </w:rPr>
        <w:t>Trade receivables, which generally have 30- to 90-day terms, are recognized initially at fair value and subsequently measured at amortized cost using the effective interest method, less an allowance for impairment.</w:t>
      </w:r>
    </w:p>
    <w:p>
      <w:pPr>
        <w:spacing w:after="0" w:line="170" w:lineRule="exact"/>
        <w:rPr>
          <w:sz w:val="20"/>
          <w:szCs w:val="20"/>
          <w:color w:val="auto"/>
        </w:rPr>
      </w:pPr>
    </w:p>
    <w:p>
      <w:pPr>
        <w:ind w:left="200" w:right="320"/>
        <w:spacing w:after="0" w:line="257" w:lineRule="auto"/>
        <w:rPr>
          <w:sz w:val="20"/>
          <w:szCs w:val="20"/>
          <w:color w:val="auto"/>
        </w:rPr>
      </w:pPr>
      <w:r>
        <w:rPr>
          <w:rFonts w:ascii="Arial" w:cs="Arial" w:eastAsia="Arial" w:hAnsi="Arial"/>
          <w:sz w:val="18"/>
          <w:szCs w:val="18"/>
          <w:color w:val="auto"/>
        </w:rPr>
        <w:t>Collectability of trade receivables is reviewed on an on-going basis at an operating unit level. Individual debts that are known to be uncollectible are written off when identified. An impairment provision is recognized when there is objective evidence that the Company will not be able to collect the receivable. Financial difficulties of the debtor, default payments and debts more than 90 days overdue may be considered objective evidence of impairment. The amount of the impairment loss is the receivable carrying amount compared to the present value of estimated future cash flows, discounted at the original effective interest rate.</w:t>
      </w:r>
    </w:p>
    <w:p>
      <w:pPr>
        <w:spacing w:after="0" w:line="333" w:lineRule="exact"/>
        <w:rPr>
          <w:sz w:val="20"/>
          <w:szCs w:val="20"/>
          <w:color w:val="auto"/>
        </w:rPr>
      </w:pPr>
    </w:p>
    <w:p>
      <w:pPr>
        <w:ind w:left="640" w:hanging="436"/>
        <w:spacing w:after="0"/>
        <w:tabs>
          <w:tab w:leader="none" w:pos="640" w:val="left"/>
        </w:tabs>
        <w:numPr>
          <w:ilvl w:val="0"/>
          <w:numId w:val="84"/>
        </w:numPr>
        <w:rPr>
          <w:rFonts w:ascii="Arial" w:cs="Arial" w:eastAsia="Arial" w:hAnsi="Arial"/>
          <w:sz w:val="18"/>
          <w:szCs w:val="18"/>
          <w:b w:val="1"/>
          <w:bCs w:val="1"/>
          <w:color w:val="auto"/>
        </w:rPr>
      </w:pPr>
      <w:r>
        <w:rPr>
          <w:rFonts w:ascii="Arial" w:cs="Arial" w:eastAsia="Arial" w:hAnsi="Arial"/>
          <w:sz w:val="18"/>
          <w:szCs w:val="18"/>
          <w:b w:val="1"/>
          <w:bCs w:val="1"/>
          <w:color w:val="auto"/>
        </w:rPr>
        <w:t>Inventories</w:t>
      </w:r>
    </w:p>
    <w:p>
      <w:pPr>
        <w:spacing w:after="0" w:line="121" w:lineRule="exact"/>
        <w:rPr>
          <w:sz w:val="20"/>
          <w:szCs w:val="20"/>
          <w:color w:val="auto"/>
        </w:rPr>
      </w:pPr>
    </w:p>
    <w:p>
      <w:pPr>
        <w:ind w:left="200" w:right="420"/>
        <w:spacing w:after="0" w:line="342" w:lineRule="auto"/>
        <w:rPr>
          <w:sz w:val="20"/>
          <w:szCs w:val="20"/>
          <w:color w:val="auto"/>
        </w:rPr>
      </w:pPr>
      <w:r>
        <w:rPr>
          <w:rFonts w:ascii="Arial" w:cs="Arial" w:eastAsia="Arial" w:hAnsi="Arial"/>
          <w:sz w:val="16"/>
          <w:szCs w:val="16"/>
          <w:color w:val="auto"/>
        </w:rPr>
        <w:t>Inventories are valued at the lower of cost and net realizable value. Costs incurred in bringing each product to its present location and condition are accounted for at purchase cost on a first-in, first-out basis. Assembly costs as invoiced by a third party are factored into the cost of finished goods.</w:t>
      </w:r>
    </w:p>
    <w:p>
      <w:pPr>
        <w:spacing w:after="0" w:line="124" w:lineRule="exact"/>
        <w:rPr>
          <w:sz w:val="20"/>
          <w:szCs w:val="20"/>
          <w:color w:val="auto"/>
        </w:rPr>
      </w:pPr>
    </w:p>
    <w:p>
      <w:pPr>
        <w:ind w:left="200"/>
        <w:spacing w:after="0" w:line="277" w:lineRule="auto"/>
        <w:rPr>
          <w:sz w:val="20"/>
          <w:szCs w:val="20"/>
          <w:color w:val="auto"/>
        </w:rPr>
      </w:pPr>
      <w:r>
        <w:rPr>
          <w:rFonts w:ascii="Arial" w:cs="Arial" w:eastAsia="Arial" w:hAnsi="Arial"/>
          <w:sz w:val="18"/>
          <w:szCs w:val="18"/>
          <w:color w:val="auto"/>
        </w:rPr>
        <w:t>Net realizable value is the estimated selling price in the ordinary course of business, less estimated costs of completion and the estimated costs necessary to make the sale.</w:t>
      </w:r>
    </w:p>
    <w:p>
      <w:pPr>
        <w:spacing w:after="0" w:line="315" w:lineRule="exact"/>
        <w:rPr>
          <w:sz w:val="20"/>
          <w:szCs w:val="20"/>
          <w:color w:val="auto"/>
        </w:rPr>
      </w:pPr>
    </w:p>
    <w:p>
      <w:pPr>
        <w:ind w:left="640" w:hanging="436"/>
        <w:spacing w:after="0"/>
        <w:tabs>
          <w:tab w:leader="none" w:pos="640" w:val="left"/>
        </w:tabs>
        <w:numPr>
          <w:ilvl w:val="0"/>
          <w:numId w:val="85"/>
        </w:numPr>
        <w:rPr>
          <w:rFonts w:ascii="Arial" w:cs="Arial" w:eastAsia="Arial" w:hAnsi="Arial"/>
          <w:sz w:val="18"/>
          <w:szCs w:val="18"/>
          <w:b w:val="1"/>
          <w:bCs w:val="1"/>
          <w:color w:val="auto"/>
        </w:rPr>
      </w:pPr>
      <w:r>
        <w:rPr>
          <w:rFonts w:ascii="Arial" w:cs="Arial" w:eastAsia="Arial" w:hAnsi="Arial"/>
          <w:sz w:val="18"/>
          <w:szCs w:val="18"/>
          <w:b w:val="1"/>
          <w:bCs w:val="1"/>
          <w:color w:val="auto"/>
        </w:rPr>
        <w:t>Foreign currency translation</w:t>
      </w:r>
    </w:p>
    <w:p>
      <w:pPr>
        <w:spacing w:after="0" w:line="121" w:lineRule="exact"/>
        <w:rPr>
          <w:sz w:val="20"/>
          <w:szCs w:val="20"/>
          <w:color w:val="auto"/>
        </w:rPr>
      </w:pPr>
    </w:p>
    <w:p>
      <w:pPr>
        <w:ind w:left="200"/>
        <w:spacing w:after="0"/>
        <w:rPr>
          <w:sz w:val="20"/>
          <w:szCs w:val="20"/>
          <w:color w:val="auto"/>
        </w:rPr>
      </w:pPr>
      <w:r>
        <w:rPr>
          <w:rFonts w:ascii="Arial" w:cs="Arial" w:eastAsia="Arial" w:hAnsi="Arial"/>
          <w:sz w:val="18"/>
          <w:szCs w:val="18"/>
          <w:i w:val="1"/>
          <w:iCs w:val="1"/>
          <w:color w:val="auto"/>
        </w:rPr>
        <w:t>Functional and presentational currency</w:t>
      </w:r>
    </w:p>
    <w:p>
      <w:pPr>
        <w:spacing w:after="0" w:line="117" w:lineRule="exact"/>
        <w:rPr>
          <w:sz w:val="20"/>
          <w:szCs w:val="20"/>
          <w:color w:val="auto"/>
        </w:rPr>
      </w:pPr>
    </w:p>
    <w:p>
      <w:pPr>
        <w:ind w:left="200"/>
        <w:spacing w:after="0" w:line="277" w:lineRule="auto"/>
        <w:rPr>
          <w:sz w:val="20"/>
          <w:szCs w:val="20"/>
          <w:color w:val="auto"/>
        </w:rPr>
      </w:pPr>
      <w:r>
        <w:rPr>
          <w:rFonts w:ascii="Arial" w:cs="Arial" w:eastAsia="Arial" w:hAnsi="Arial"/>
          <w:sz w:val="18"/>
          <w:szCs w:val="18"/>
          <w:color w:val="auto"/>
        </w:rPr>
        <w:t>Both the functional and presentational currency of Avita Medical Limited and its Australian subsidiaries is Australian dollars ($). The United Kingdom’s subsidiary’s functional currency is Pound Sterling and the United</w:t>
      </w:r>
    </w:p>
    <w:p>
      <w:pPr>
        <w:spacing w:after="0" w:line="103"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F-14</w:t>
      </w:r>
    </w:p>
    <w:p>
      <w:pPr>
        <w:sectPr>
          <w:pgSz w:w="11900" w:h="16838" w:orient="portrait"/>
          <w:cols w:equalWidth="0" w:num="1">
            <w:col w:w="11220"/>
          </w:cols>
          <w:pgMar w:left="240" w:top="459" w:right="439" w:bottom="1440" w:gutter="0" w:footer="0" w:header="0"/>
        </w:sectPr>
      </w:pPr>
    </w:p>
    <w:bookmarkStart w:id="113" w:name="page114"/>
    <w:bookmarkEnd w:id="11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6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319"/>
        <w:spacing w:after="0"/>
        <w:rPr>
          <w:sz w:val="20"/>
          <w:szCs w:val="20"/>
          <w:color w:val="auto"/>
        </w:rPr>
      </w:pPr>
      <w:r>
        <w:rPr>
          <w:rFonts w:ascii="Arial" w:cs="Arial" w:eastAsia="Arial" w:hAnsi="Arial"/>
          <w:sz w:val="18"/>
          <w:szCs w:val="18"/>
          <w:b w:val="1"/>
          <w:bCs w:val="1"/>
          <w:color w:val="auto"/>
        </w:rPr>
        <w:t>AVITA MEDICAL LIMITED</w:t>
      </w:r>
    </w:p>
    <w:p>
      <w:pPr>
        <w:spacing w:after="0" w:line="27" w:lineRule="exact"/>
        <w:rPr>
          <w:sz w:val="20"/>
          <w:szCs w:val="20"/>
          <w:color w:val="auto"/>
        </w:rPr>
      </w:pPr>
    </w:p>
    <w:p>
      <w:pPr>
        <w:jc w:val="center"/>
        <w:ind w:right="-319"/>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9" w:lineRule="exact"/>
        <w:rPr>
          <w:sz w:val="20"/>
          <w:szCs w:val="20"/>
          <w:color w:val="auto"/>
        </w:rPr>
      </w:pPr>
    </w:p>
    <w:p>
      <w:pPr>
        <w:jc w:val="center"/>
        <w:ind w:right="-319"/>
        <w:spacing w:after="0"/>
        <w:rPr>
          <w:sz w:val="20"/>
          <w:szCs w:val="20"/>
          <w:color w:val="auto"/>
        </w:rPr>
      </w:pPr>
      <w:r>
        <w:rPr>
          <w:rFonts w:ascii="Arial" w:cs="Arial" w:eastAsia="Arial" w:hAnsi="Arial"/>
          <w:sz w:val="18"/>
          <w:szCs w:val="18"/>
          <w:b w:val="1"/>
          <w:bCs w:val="1"/>
          <w:color w:val="auto"/>
        </w:rPr>
        <w:t>(IN AUSTRALIAN DOLLARS)</w:t>
      </w:r>
    </w:p>
    <w:p>
      <w:pPr>
        <w:spacing w:after="0" w:line="234" w:lineRule="exact"/>
        <w:rPr>
          <w:sz w:val="20"/>
          <w:szCs w:val="20"/>
          <w:color w:val="auto"/>
        </w:rPr>
      </w:pPr>
    </w:p>
    <w:p>
      <w:pPr>
        <w:ind w:left="640" w:hanging="436"/>
        <w:spacing w:after="0"/>
        <w:tabs>
          <w:tab w:leader="none" w:pos="640" w:val="left"/>
        </w:tabs>
        <w:numPr>
          <w:ilvl w:val="0"/>
          <w:numId w:val="86"/>
        </w:numPr>
        <w:rPr>
          <w:rFonts w:ascii="Arial" w:cs="Arial" w:eastAsia="Arial" w:hAnsi="Arial"/>
          <w:sz w:val="18"/>
          <w:szCs w:val="18"/>
          <w:b w:val="1"/>
          <w:bCs w:val="1"/>
          <w:color w:val="auto"/>
        </w:rPr>
      </w:pPr>
      <w:r>
        <w:rPr>
          <w:rFonts w:ascii="Arial" w:cs="Arial" w:eastAsia="Arial" w:hAnsi="Arial"/>
          <w:sz w:val="18"/>
          <w:szCs w:val="18"/>
          <w:b w:val="1"/>
          <w:bCs w:val="1"/>
          <w:color w:val="auto"/>
        </w:rPr>
        <w:t>SUMMARY OF SIGNIFICANT ACCOUNTING POLICIES (CONTINUED)</w:t>
      </w:r>
    </w:p>
    <w:p>
      <w:pPr>
        <w:spacing w:after="0" w:line="131" w:lineRule="exact"/>
        <w:rPr>
          <w:sz w:val="20"/>
          <w:szCs w:val="20"/>
          <w:color w:val="auto"/>
        </w:rPr>
      </w:pPr>
    </w:p>
    <w:p>
      <w:pPr>
        <w:ind w:left="640" w:hanging="436"/>
        <w:spacing w:after="0"/>
        <w:tabs>
          <w:tab w:leader="none" w:pos="640" w:val="left"/>
        </w:tabs>
        <w:numPr>
          <w:ilvl w:val="0"/>
          <w:numId w:val="87"/>
        </w:numPr>
        <w:rPr>
          <w:rFonts w:ascii="Arial" w:cs="Arial" w:eastAsia="Arial" w:hAnsi="Arial"/>
          <w:sz w:val="18"/>
          <w:szCs w:val="18"/>
          <w:b w:val="1"/>
          <w:bCs w:val="1"/>
          <w:color w:val="auto"/>
        </w:rPr>
      </w:pPr>
      <w:r>
        <w:rPr>
          <w:rFonts w:ascii="Arial" w:cs="Arial" w:eastAsia="Arial" w:hAnsi="Arial"/>
          <w:sz w:val="18"/>
          <w:szCs w:val="18"/>
          <w:b w:val="1"/>
          <w:bCs w:val="1"/>
          <w:color w:val="auto"/>
        </w:rPr>
        <w:t>Foreign currency translation (continued)</w:t>
      </w:r>
    </w:p>
    <w:p>
      <w:pPr>
        <w:spacing w:after="0" w:line="135" w:lineRule="exact"/>
        <w:rPr>
          <w:sz w:val="20"/>
          <w:szCs w:val="20"/>
          <w:color w:val="auto"/>
        </w:rPr>
      </w:pPr>
    </w:p>
    <w:p>
      <w:pPr>
        <w:ind w:left="200"/>
        <w:spacing w:after="0"/>
        <w:rPr>
          <w:sz w:val="20"/>
          <w:szCs w:val="20"/>
          <w:color w:val="auto"/>
        </w:rPr>
      </w:pPr>
      <w:r>
        <w:rPr>
          <w:rFonts w:ascii="Arial" w:cs="Arial" w:eastAsia="Arial" w:hAnsi="Arial"/>
          <w:sz w:val="18"/>
          <w:szCs w:val="18"/>
          <w:color w:val="auto"/>
        </w:rPr>
        <w:t>States’ subsidiary’s functional currency is United States Dollars. These are translated to the presentational currency (see below).</w:t>
      </w:r>
    </w:p>
    <w:p>
      <w:pPr>
        <w:spacing w:after="0" w:line="333" w:lineRule="exact"/>
        <w:rPr>
          <w:sz w:val="20"/>
          <w:szCs w:val="20"/>
          <w:color w:val="auto"/>
        </w:rPr>
      </w:pPr>
    </w:p>
    <w:p>
      <w:pPr>
        <w:ind w:left="200"/>
        <w:spacing w:after="0"/>
        <w:rPr>
          <w:sz w:val="20"/>
          <w:szCs w:val="20"/>
          <w:color w:val="auto"/>
        </w:rPr>
      </w:pPr>
      <w:r>
        <w:rPr>
          <w:rFonts w:ascii="Arial" w:cs="Arial" w:eastAsia="Arial" w:hAnsi="Arial"/>
          <w:sz w:val="18"/>
          <w:szCs w:val="18"/>
          <w:i w:val="1"/>
          <w:iCs w:val="1"/>
          <w:color w:val="auto"/>
        </w:rPr>
        <w:t>Transactions and balances</w:t>
      </w:r>
    </w:p>
    <w:p>
      <w:pPr>
        <w:spacing w:after="0" w:line="117" w:lineRule="exact"/>
        <w:rPr>
          <w:sz w:val="20"/>
          <w:szCs w:val="20"/>
          <w:color w:val="auto"/>
        </w:rPr>
      </w:pPr>
    </w:p>
    <w:p>
      <w:pPr>
        <w:ind w:left="200"/>
        <w:spacing w:after="0"/>
        <w:rPr>
          <w:sz w:val="20"/>
          <w:szCs w:val="20"/>
          <w:color w:val="auto"/>
        </w:rPr>
      </w:pPr>
      <w:r>
        <w:rPr>
          <w:rFonts w:ascii="Arial" w:cs="Arial" w:eastAsia="Arial" w:hAnsi="Arial"/>
          <w:sz w:val="16"/>
          <w:szCs w:val="16"/>
          <w:color w:val="auto"/>
        </w:rPr>
        <w:t>Transactions in foreign currencies are initially recorded in the functional currency by applying the exchange rates ruling at the date of the transaction.</w:t>
      </w:r>
    </w:p>
    <w:p>
      <w:pPr>
        <w:spacing w:after="0" w:line="46" w:lineRule="exact"/>
        <w:rPr>
          <w:sz w:val="20"/>
          <w:szCs w:val="20"/>
          <w:color w:val="auto"/>
        </w:rPr>
      </w:pPr>
    </w:p>
    <w:p>
      <w:pPr>
        <w:ind w:left="200"/>
        <w:spacing w:after="0"/>
        <w:rPr>
          <w:sz w:val="20"/>
          <w:szCs w:val="20"/>
          <w:color w:val="auto"/>
        </w:rPr>
      </w:pPr>
      <w:r>
        <w:rPr>
          <w:rFonts w:ascii="Arial" w:cs="Arial" w:eastAsia="Arial" w:hAnsi="Arial"/>
          <w:sz w:val="18"/>
          <w:szCs w:val="18"/>
          <w:color w:val="auto"/>
        </w:rPr>
        <w:t>Monetary assets and liabilities denominated in foreign currencies are retranslated at the rate of exchange ruling at the reporting date.</w:t>
      </w:r>
    </w:p>
    <w:p>
      <w:pPr>
        <w:spacing w:after="0" w:line="211" w:lineRule="exact"/>
        <w:rPr>
          <w:sz w:val="20"/>
          <w:szCs w:val="20"/>
          <w:color w:val="auto"/>
        </w:rPr>
      </w:pPr>
    </w:p>
    <w:p>
      <w:pPr>
        <w:jc w:val="both"/>
        <w:ind w:left="200"/>
        <w:spacing w:after="0" w:line="264" w:lineRule="auto"/>
        <w:rPr>
          <w:sz w:val="20"/>
          <w:szCs w:val="20"/>
          <w:color w:val="auto"/>
        </w:rPr>
      </w:pPr>
      <w:r>
        <w:rPr>
          <w:rFonts w:ascii="Arial" w:cs="Arial" w:eastAsia="Arial" w:hAnsi="Arial"/>
          <w:sz w:val="18"/>
          <w:szCs w:val="18"/>
          <w:color w:val="auto"/>
        </w:rPr>
        <w:t>Non-monetary items that are measured in terms of historical cost in a foreign currency are translated using the exchange rate as at the date of the initial transaction. Non-monetary items measured at fair value in a foreign currency are translated using the exchange rates at the date when the fair value was determined.</w:t>
      </w:r>
    </w:p>
    <w:p>
      <w:pPr>
        <w:spacing w:after="0" w:line="289" w:lineRule="exact"/>
        <w:rPr>
          <w:sz w:val="20"/>
          <w:szCs w:val="20"/>
          <w:color w:val="auto"/>
        </w:rPr>
      </w:pPr>
    </w:p>
    <w:p>
      <w:pPr>
        <w:ind w:left="200"/>
        <w:spacing w:after="0"/>
        <w:rPr>
          <w:sz w:val="20"/>
          <w:szCs w:val="20"/>
          <w:color w:val="auto"/>
        </w:rPr>
      </w:pPr>
      <w:r>
        <w:rPr>
          <w:rFonts w:ascii="Arial" w:cs="Arial" w:eastAsia="Arial" w:hAnsi="Arial"/>
          <w:sz w:val="18"/>
          <w:szCs w:val="18"/>
          <w:i w:val="1"/>
          <w:iCs w:val="1"/>
          <w:color w:val="auto"/>
        </w:rPr>
        <w:t>Translation of Company functional currency to presentational currency</w:t>
      </w:r>
    </w:p>
    <w:p>
      <w:pPr>
        <w:spacing w:after="0" w:line="117" w:lineRule="exact"/>
        <w:rPr>
          <w:sz w:val="20"/>
          <w:szCs w:val="20"/>
          <w:color w:val="auto"/>
        </w:rPr>
      </w:pPr>
    </w:p>
    <w:p>
      <w:pPr>
        <w:ind w:left="200" w:right="240"/>
        <w:spacing w:after="0" w:line="312" w:lineRule="auto"/>
        <w:rPr>
          <w:sz w:val="20"/>
          <w:szCs w:val="20"/>
          <w:color w:val="auto"/>
        </w:rPr>
      </w:pPr>
      <w:r>
        <w:rPr>
          <w:rFonts w:ascii="Arial" w:cs="Arial" w:eastAsia="Arial" w:hAnsi="Arial"/>
          <w:sz w:val="16"/>
          <w:szCs w:val="16"/>
          <w:color w:val="auto"/>
        </w:rPr>
        <w:t>The results of the overseas subsidiaries are translated into Australian Dollars as at the date of each transaction. Assets and liabilities are translated at exchange rates prevailing at reporting date. Profit and loss items are translated at average rates and equity items are translated at the date of each transaction. Exchange variations resulting from the translation are recognized in the foreign currency translation reserve in equity.</w:t>
      </w:r>
    </w:p>
    <w:p>
      <w:pPr>
        <w:spacing w:after="0" w:line="147" w:lineRule="exact"/>
        <w:rPr>
          <w:sz w:val="20"/>
          <w:szCs w:val="20"/>
          <w:color w:val="auto"/>
        </w:rPr>
      </w:pPr>
    </w:p>
    <w:p>
      <w:pPr>
        <w:ind w:left="200" w:right="380"/>
        <w:spacing w:after="0" w:line="264" w:lineRule="auto"/>
        <w:rPr>
          <w:sz w:val="20"/>
          <w:szCs w:val="20"/>
          <w:color w:val="auto"/>
        </w:rPr>
      </w:pPr>
      <w:r>
        <w:rPr>
          <w:rFonts w:ascii="Arial" w:cs="Arial" w:eastAsia="Arial" w:hAnsi="Arial"/>
          <w:sz w:val="18"/>
          <w:szCs w:val="18"/>
          <w:color w:val="auto"/>
        </w:rPr>
        <w:t>On consolidation, exchange differences arising from the translation of the net investment in overseas subsidiaries are taken to the foreign currency translation reserve. If an overseas subsidiary were sold, the proportionate share of exchange differences would be transferred out of equity and recognized in profit or loss.</w:t>
      </w:r>
    </w:p>
    <w:p>
      <w:pPr>
        <w:spacing w:after="0" w:line="326" w:lineRule="exact"/>
        <w:rPr>
          <w:sz w:val="20"/>
          <w:szCs w:val="20"/>
          <w:color w:val="auto"/>
        </w:rPr>
      </w:pPr>
    </w:p>
    <w:p>
      <w:pPr>
        <w:ind w:left="200"/>
        <w:spacing w:after="0"/>
        <w:tabs>
          <w:tab w:leader="none" w:pos="620" w:val="left"/>
        </w:tabs>
        <w:rPr>
          <w:sz w:val="20"/>
          <w:szCs w:val="20"/>
          <w:color w:val="auto"/>
        </w:rPr>
      </w:pPr>
      <w:r>
        <w:rPr>
          <w:rFonts w:ascii="Arial" w:cs="Arial" w:eastAsia="Arial" w:hAnsi="Arial"/>
          <w:sz w:val="18"/>
          <w:szCs w:val="18"/>
          <w:b w:val="1"/>
          <w:bCs w:val="1"/>
          <w:color w:val="auto"/>
        </w:rPr>
        <w:t>(m)</w:t>
      </w:r>
      <w:r>
        <w:rPr>
          <w:sz w:val="20"/>
          <w:szCs w:val="20"/>
          <w:color w:val="auto"/>
        </w:rPr>
        <w:tab/>
      </w:r>
      <w:r>
        <w:rPr>
          <w:rFonts w:ascii="Arial" w:cs="Arial" w:eastAsia="Arial" w:hAnsi="Arial"/>
          <w:sz w:val="16"/>
          <w:szCs w:val="16"/>
          <w:b w:val="1"/>
          <w:bCs w:val="1"/>
          <w:color w:val="auto"/>
        </w:rPr>
        <w:t>Income tax and other taxes</w:t>
      </w:r>
    </w:p>
    <w:p>
      <w:pPr>
        <w:spacing w:after="0" w:line="121" w:lineRule="exact"/>
        <w:rPr>
          <w:sz w:val="20"/>
          <w:szCs w:val="20"/>
          <w:color w:val="auto"/>
        </w:rPr>
      </w:pPr>
    </w:p>
    <w:p>
      <w:pPr>
        <w:ind w:left="200" w:right="380"/>
        <w:spacing w:after="0" w:line="286" w:lineRule="auto"/>
        <w:rPr>
          <w:sz w:val="20"/>
          <w:szCs w:val="20"/>
          <w:color w:val="auto"/>
        </w:rPr>
      </w:pPr>
      <w:r>
        <w:rPr>
          <w:rFonts w:ascii="Arial" w:cs="Arial" w:eastAsia="Arial" w:hAnsi="Arial"/>
          <w:sz w:val="17"/>
          <w:szCs w:val="17"/>
          <w:color w:val="auto"/>
        </w:rPr>
        <w:t>Current tax assets and liabilities for the current and prior periods are measured at the amount expected to be recovered from or paid to the taxation authorities based on the current period’s taxable income. The tax rates and tax laws used to compute the amount are those that are enacted or substantively enacted by the reporting date. Included in income tax benefits are research and development claims.</w:t>
      </w:r>
    </w:p>
    <w:p>
      <w:pPr>
        <w:spacing w:after="0" w:line="166" w:lineRule="exact"/>
        <w:rPr>
          <w:sz w:val="20"/>
          <w:szCs w:val="20"/>
          <w:color w:val="auto"/>
        </w:rPr>
      </w:pPr>
    </w:p>
    <w:p>
      <w:pPr>
        <w:ind w:left="200" w:right="400"/>
        <w:spacing w:after="0" w:line="277" w:lineRule="auto"/>
        <w:rPr>
          <w:sz w:val="20"/>
          <w:szCs w:val="20"/>
          <w:color w:val="auto"/>
        </w:rPr>
      </w:pPr>
      <w:r>
        <w:rPr>
          <w:rFonts w:ascii="Arial" w:cs="Arial" w:eastAsia="Arial" w:hAnsi="Arial"/>
          <w:sz w:val="18"/>
          <w:szCs w:val="18"/>
          <w:color w:val="auto"/>
        </w:rPr>
        <w:t>Deferred income tax is provided on all temporary differences at the reporting date between the tax bases of assets and liabilities and their carrying amounts for financial reporting purposes.</w:t>
      </w:r>
    </w:p>
    <w:p>
      <w:pPr>
        <w:spacing w:after="0" w:line="170" w:lineRule="exact"/>
        <w:rPr>
          <w:sz w:val="20"/>
          <w:szCs w:val="20"/>
          <w:color w:val="auto"/>
        </w:rPr>
      </w:pPr>
    </w:p>
    <w:p>
      <w:pPr>
        <w:ind w:left="200"/>
        <w:spacing w:after="0"/>
        <w:rPr>
          <w:sz w:val="20"/>
          <w:szCs w:val="20"/>
          <w:color w:val="auto"/>
        </w:rPr>
      </w:pPr>
      <w:r>
        <w:rPr>
          <w:rFonts w:ascii="Arial" w:cs="Arial" w:eastAsia="Arial" w:hAnsi="Arial"/>
          <w:sz w:val="18"/>
          <w:szCs w:val="18"/>
          <w:color w:val="auto"/>
        </w:rPr>
        <w:t>Deferred income tax liabilities are recognized for all taxable temporary differences except:</w:t>
      </w:r>
    </w:p>
    <w:p>
      <w:pPr>
        <w:spacing w:after="0" w:line="131" w:lineRule="exact"/>
        <w:rPr>
          <w:sz w:val="20"/>
          <w:szCs w:val="20"/>
          <w:color w:val="auto"/>
        </w:rPr>
      </w:pPr>
    </w:p>
    <w:p>
      <w:pPr>
        <w:ind w:left="1180" w:right="60" w:hanging="436"/>
        <w:spacing w:after="0" w:line="308" w:lineRule="auto"/>
        <w:tabs>
          <w:tab w:leader="none" w:pos="1180" w:val="left"/>
        </w:tabs>
        <w:numPr>
          <w:ilvl w:val="0"/>
          <w:numId w:val="88"/>
        </w:numPr>
        <w:rPr>
          <w:rFonts w:ascii="Arial" w:cs="Arial" w:eastAsia="Arial" w:hAnsi="Arial"/>
          <w:sz w:val="17"/>
          <w:szCs w:val="17"/>
          <w:color w:val="auto"/>
        </w:rPr>
      </w:pPr>
      <w:r>
        <w:rPr>
          <w:rFonts w:ascii="Arial" w:cs="Arial" w:eastAsia="Arial" w:hAnsi="Arial"/>
          <w:sz w:val="17"/>
          <w:szCs w:val="17"/>
          <w:color w:val="auto"/>
        </w:rPr>
        <w:t>when the deferred income tax liability arises from the initial recognition of goodwill or of an asset or liability in a transaction that is not a business combination and that, at the time of the transaction, affects neither the accounting profit nor taxable profit or loss; or</w:t>
      </w:r>
    </w:p>
    <w:p>
      <w:pPr>
        <w:spacing w:after="0" w:line="51" w:lineRule="exact"/>
        <w:rPr>
          <w:rFonts w:ascii="Arial" w:cs="Arial" w:eastAsia="Arial" w:hAnsi="Arial"/>
          <w:sz w:val="17"/>
          <w:szCs w:val="17"/>
          <w:color w:val="auto"/>
        </w:rPr>
      </w:pPr>
    </w:p>
    <w:p>
      <w:pPr>
        <w:ind w:left="1180" w:right="60" w:hanging="436"/>
        <w:spacing w:after="0" w:line="264" w:lineRule="auto"/>
        <w:tabs>
          <w:tab w:leader="none" w:pos="1180" w:val="left"/>
        </w:tabs>
        <w:numPr>
          <w:ilvl w:val="0"/>
          <w:numId w:val="88"/>
        </w:numPr>
        <w:rPr>
          <w:rFonts w:ascii="Arial" w:cs="Arial" w:eastAsia="Arial" w:hAnsi="Arial"/>
          <w:sz w:val="18"/>
          <w:szCs w:val="18"/>
          <w:color w:val="auto"/>
        </w:rPr>
      </w:pPr>
      <w:r>
        <w:rPr>
          <w:rFonts w:ascii="Arial" w:cs="Arial" w:eastAsia="Arial" w:hAnsi="Arial"/>
          <w:sz w:val="18"/>
          <w:szCs w:val="18"/>
          <w:color w:val="auto"/>
        </w:rPr>
        <w:t>when the taxable temporary difference is associated with investments in subsidiaries, associates or interests in joint ventures, and the timing of the reversal of the temporary difference can be controlled and it is probable that the temporary difference will not reverse in the foreseeable future.</w:t>
      </w:r>
    </w:p>
    <w:p>
      <w:pPr>
        <w:spacing w:after="0" w:line="181" w:lineRule="exact"/>
        <w:rPr>
          <w:sz w:val="20"/>
          <w:szCs w:val="20"/>
          <w:color w:val="auto"/>
        </w:rPr>
      </w:pPr>
    </w:p>
    <w:p>
      <w:pPr>
        <w:ind w:left="200" w:right="240"/>
        <w:spacing w:after="0" w:line="277" w:lineRule="auto"/>
        <w:rPr>
          <w:sz w:val="20"/>
          <w:szCs w:val="20"/>
          <w:color w:val="auto"/>
        </w:rPr>
      </w:pPr>
      <w:r>
        <w:rPr>
          <w:rFonts w:ascii="Arial" w:cs="Arial" w:eastAsia="Arial" w:hAnsi="Arial"/>
          <w:sz w:val="18"/>
          <w:szCs w:val="18"/>
          <w:color w:val="auto"/>
        </w:rPr>
        <w:t>Deferred income tax assets are recognized for all deductible temporary differences, carry-forward of unused tax credits and unused tax losses, to the extent that it is probable that taxable profit will be available against which</w:t>
      </w:r>
    </w:p>
    <w:p>
      <w:pPr>
        <w:spacing w:after="0" w:line="103" w:lineRule="exact"/>
        <w:rPr>
          <w:sz w:val="20"/>
          <w:szCs w:val="20"/>
          <w:color w:val="auto"/>
        </w:rPr>
      </w:pPr>
    </w:p>
    <w:p>
      <w:pPr>
        <w:jc w:val="center"/>
        <w:ind w:right="-319"/>
        <w:spacing w:after="0"/>
        <w:rPr>
          <w:sz w:val="20"/>
          <w:szCs w:val="20"/>
          <w:color w:val="auto"/>
        </w:rPr>
      </w:pPr>
      <w:r>
        <w:rPr>
          <w:rFonts w:ascii="Arial" w:cs="Arial" w:eastAsia="Arial" w:hAnsi="Arial"/>
          <w:sz w:val="18"/>
          <w:szCs w:val="18"/>
          <w:color w:val="auto"/>
        </w:rPr>
        <w:t>F-15</w:t>
      </w:r>
    </w:p>
    <w:p>
      <w:pPr>
        <w:sectPr>
          <w:pgSz w:w="11900" w:h="16838" w:orient="portrait"/>
          <w:cols w:equalWidth="0" w:num="1">
            <w:col w:w="11120"/>
          </w:cols>
          <w:pgMar w:left="240" w:top="459" w:right="539" w:bottom="1440" w:gutter="0" w:footer="0" w:header="0"/>
        </w:sectPr>
      </w:pPr>
    </w:p>
    <w:bookmarkStart w:id="114" w:name="page115"/>
    <w:bookmarkEnd w:id="11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6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259"/>
        <w:spacing w:after="0"/>
        <w:rPr>
          <w:sz w:val="20"/>
          <w:szCs w:val="20"/>
          <w:color w:val="auto"/>
        </w:rPr>
      </w:pPr>
      <w:r>
        <w:rPr>
          <w:rFonts w:ascii="Arial" w:cs="Arial" w:eastAsia="Arial" w:hAnsi="Arial"/>
          <w:sz w:val="18"/>
          <w:szCs w:val="18"/>
          <w:b w:val="1"/>
          <w:bCs w:val="1"/>
          <w:color w:val="auto"/>
        </w:rPr>
        <w:t>AVITA MEDICAL LIMITED</w:t>
      </w:r>
    </w:p>
    <w:p>
      <w:pPr>
        <w:spacing w:after="0" w:line="27" w:lineRule="exact"/>
        <w:rPr>
          <w:sz w:val="20"/>
          <w:szCs w:val="20"/>
          <w:color w:val="auto"/>
        </w:rPr>
      </w:pPr>
    </w:p>
    <w:p>
      <w:pPr>
        <w:jc w:val="center"/>
        <w:ind w:right="-239"/>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9" w:lineRule="exact"/>
        <w:rPr>
          <w:sz w:val="20"/>
          <w:szCs w:val="20"/>
          <w:color w:val="auto"/>
        </w:rPr>
      </w:pPr>
    </w:p>
    <w:p>
      <w:pPr>
        <w:jc w:val="center"/>
        <w:ind w:right="-259"/>
        <w:spacing w:after="0"/>
        <w:rPr>
          <w:sz w:val="20"/>
          <w:szCs w:val="20"/>
          <w:color w:val="auto"/>
        </w:rPr>
      </w:pPr>
      <w:r>
        <w:rPr>
          <w:rFonts w:ascii="Arial" w:cs="Arial" w:eastAsia="Arial" w:hAnsi="Arial"/>
          <w:sz w:val="18"/>
          <w:szCs w:val="18"/>
          <w:b w:val="1"/>
          <w:bCs w:val="1"/>
          <w:color w:val="auto"/>
        </w:rPr>
        <w:t>(IN AUSTRALIAN DOLLARS)</w:t>
      </w:r>
    </w:p>
    <w:p>
      <w:pPr>
        <w:spacing w:after="0" w:line="234" w:lineRule="exact"/>
        <w:rPr>
          <w:sz w:val="20"/>
          <w:szCs w:val="20"/>
          <w:color w:val="auto"/>
        </w:rPr>
      </w:pPr>
    </w:p>
    <w:p>
      <w:pPr>
        <w:ind w:left="640" w:hanging="436"/>
        <w:spacing w:after="0"/>
        <w:tabs>
          <w:tab w:leader="none" w:pos="640" w:val="left"/>
        </w:tabs>
        <w:numPr>
          <w:ilvl w:val="0"/>
          <w:numId w:val="89"/>
        </w:numPr>
        <w:rPr>
          <w:rFonts w:ascii="Arial" w:cs="Arial" w:eastAsia="Arial" w:hAnsi="Arial"/>
          <w:sz w:val="18"/>
          <w:szCs w:val="18"/>
          <w:b w:val="1"/>
          <w:bCs w:val="1"/>
          <w:color w:val="auto"/>
        </w:rPr>
      </w:pPr>
      <w:r>
        <w:rPr>
          <w:rFonts w:ascii="Arial" w:cs="Arial" w:eastAsia="Arial" w:hAnsi="Arial"/>
          <w:sz w:val="18"/>
          <w:szCs w:val="18"/>
          <w:b w:val="1"/>
          <w:bCs w:val="1"/>
          <w:color w:val="auto"/>
        </w:rPr>
        <w:t>SUMMARY OF SIGNIFICANT ACCOUNTING POLICIES (CONTINUED)</w:t>
      </w:r>
    </w:p>
    <w:p>
      <w:pPr>
        <w:spacing w:after="0" w:line="131" w:lineRule="exact"/>
        <w:rPr>
          <w:sz w:val="20"/>
          <w:szCs w:val="20"/>
          <w:color w:val="auto"/>
        </w:rPr>
      </w:pPr>
    </w:p>
    <w:p>
      <w:pPr>
        <w:ind w:left="200"/>
        <w:spacing w:after="0"/>
        <w:tabs>
          <w:tab w:leader="none" w:pos="620" w:val="left"/>
        </w:tabs>
        <w:rPr>
          <w:sz w:val="20"/>
          <w:szCs w:val="20"/>
          <w:color w:val="auto"/>
        </w:rPr>
      </w:pPr>
      <w:r>
        <w:rPr>
          <w:rFonts w:ascii="Arial" w:cs="Arial" w:eastAsia="Arial" w:hAnsi="Arial"/>
          <w:sz w:val="18"/>
          <w:szCs w:val="18"/>
          <w:b w:val="1"/>
          <w:bCs w:val="1"/>
          <w:color w:val="auto"/>
        </w:rPr>
        <w:t>(m)</w:t>
      </w:r>
      <w:r>
        <w:rPr>
          <w:sz w:val="20"/>
          <w:szCs w:val="20"/>
          <w:color w:val="auto"/>
        </w:rPr>
        <w:tab/>
      </w:r>
      <w:r>
        <w:rPr>
          <w:rFonts w:ascii="Arial" w:cs="Arial" w:eastAsia="Arial" w:hAnsi="Arial"/>
          <w:sz w:val="16"/>
          <w:szCs w:val="16"/>
          <w:b w:val="1"/>
          <w:bCs w:val="1"/>
          <w:color w:val="auto"/>
        </w:rPr>
        <w:t>Income tax and other taxes (continued)</w:t>
      </w:r>
    </w:p>
    <w:p>
      <w:pPr>
        <w:spacing w:after="0" w:line="135" w:lineRule="exact"/>
        <w:rPr>
          <w:sz w:val="20"/>
          <w:szCs w:val="20"/>
          <w:color w:val="auto"/>
        </w:rPr>
      </w:pPr>
    </w:p>
    <w:p>
      <w:pPr>
        <w:ind w:left="200"/>
        <w:spacing w:after="0"/>
        <w:rPr>
          <w:sz w:val="20"/>
          <w:szCs w:val="20"/>
          <w:color w:val="auto"/>
        </w:rPr>
      </w:pPr>
      <w:r>
        <w:rPr>
          <w:rFonts w:ascii="Arial" w:cs="Arial" w:eastAsia="Arial" w:hAnsi="Arial"/>
          <w:sz w:val="18"/>
          <w:szCs w:val="18"/>
          <w:color w:val="auto"/>
        </w:rPr>
        <w:t>the deductible temporary differences and the carry-forward of unused tax credits and unused tax losses can be utilized, except:</w:t>
      </w:r>
    </w:p>
    <w:p>
      <w:pPr>
        <w:spacing w:after="0" w:line="131" w:lineRule="exact"/>
        <w:rPr>
          <w:sz w:val="20"/>
          <w:szCs w:val="20"/>
          <w:color w:val="auto"/>
        </w:rPr>
      </w:pPr>
    </w:p>
    <w:p>
      <w:pPr>
        <w:jc w:val="both"/>
        <w:ind w:left="1180" w:right="20" w:hanging="436"/>
        <w:spacing w:after="0" w:line="264" w:lineRule="auto"/>
        <w:tabs>
          <w:tab w:leader="none" w:pos="1180" w:val="left"/>
        </w:tabs>
        <w:numPr>
          <w:ilvl w:val="0"/>
          <w:numId w:val="90"/>
        </w:numPr>
        <w:rPr>
          <w:rFonts w:ascii="Arial" w:cs="Arial" w:eastAsia="Arial" w:hAnsi="Arial"/>
          <w:sz w:val="18"/>
          <w:szCs w:val="18"/>
          <w:color w:val="auto"/>
        </w:rPr>
      </w:pPr>
      <w:r>
        <w:rPr>
          <w:rFonts w:ascii="Arial" w:cs="Arial" w:eastAsia="Arial" w:hAnsi="Arial"/>
          <w:sz w:val="18"/>
          <w:szCs w:val="18"/>
          <w:color w:val="auto"/>
        </w:rPr>
        <w:t>when the deferred income tax asset relating to the deductible temporary difference arises from the initial recognition of an asset or liability in a transaction that is not a business combination and, at the time of the transaction, affects neither the accounting profit nor taxable profit or loss; or</w:t>
      </w:r>
    </w:p>
    <w:p>
      <w:pPr>
        <w:spacing w:after="0" w:line="86" w:lineRule="exact"/>
        <w:rPr>
          <w:rFonts w:ascii="Arial" w:cs="Arial" w:eastAsia="Arial" w:hAnsi="Arial"/>
          <w:sz w:val="18"/>
          <w:szCs w:val="18"/>
          <w:color w:val="auto"/>
        </w:rPr>
      </w:pPr>
    </w:p>
    <w:p>
      <w:pPr>
        <w:ind w:left="1180" w:right="120" w:hanging="436"/>
        <w:spacing w:after="0" w:line="286" w:lineRule="auto"/>
        <w:tabs>
          <w:tab w:leader="none" w:pos="1180" w:val="left"/>
        </w:tabs>
        <w:numPr>
          <w:ilvl w:val="0"/>
          <w:numId w:val="90"/>
        </w:numPr>
        <w:rPr>
          <w:rFonts w:ascii="Arial" w:cs="Arial" w:eastAsia="Arial" w:hAnsi="Arial"/>
          <w:sz w:val="17"/>
          <w:szCs w:val="17"/>
          <w:color w:val="auto"/>
        </w:rPr>
      </w:pPr>
      <w:r>
        <w:rPr>
          <w:rFonts w:ascii="Arial" w:cs="Arial" w:eastAsia="Arial" w:hAnsi="Arial"/>
          <w:sz w:val="17"/>
          <w:szCs w:val="17"/>
          <w:color w:val="auto"/>
        </w:rPr>
        <w:t>when the deductible temporary difference is associated with investments in subsidiaries, associates or interests in joint ventures, in which case a deferred tax asset is only recognized to the extent that it is probable that the temporary difference will reverse in the foreseeable future and taxable profit will be available against which the temporary difference can be utilized.</w:t>
      </w:r>
    </w:p>
    <w:p>
      <w:pPr>
        <w:spacing w:after="0" w:line="166" w:lineRule="exact"/>
        <w:rPr>
          <w:sz w:val="20"/>
          <w:szCs w:val="20"/>
          <w:color w:val="auto"/>
        </w:rPr>
      </w:pPr>
    </w:p>
    <w:p>
      <w:pPr>
        <w:ind w:left="200" w:right="660"/>
        <w:spacing w:after="0" w:line="277" w:lineRule="auto"/>
        <w:rPr>
          <w:sz w:val="20"/>
          <w:szCs w:val="20"/>
          <w:color w:val="auto"/>
        </w:rPr>
      </w:pPr>
      <w:r>
        <w:rPr>
          <w:rFonts w:ascii="Arial" w:cs="Arial" w:eastAsia="Arial" w:hAnsi="Arial"/>
          <w:sz w:val="18"/>
          <w:szCs w:val="18"/>
          <w:color w:val="auto"/>
        </w:rPr>
        <w:t>The carrying amount of deferred income tax assets is reviewed at each reporting date and reduced to the extent that it is no longer probable that sufficient taxable profit will be available to allow all or part of the deferred income tax asset to be utilized.</w:t>
      </w:r>
    </w:p>
    <w:p>
      <w:pPr>
        <w:spacing w:after="0" w:line="62" w:lineRule="exact"/>
        <w:rPr>
          <w:sz w:val="20"/>
          <w:szCs w:val="20"/>
          <w:color w:val="auto"/>
        </w:rPr>
      </w:pPr>
    </w:p>
    <w:p>
      <w:pPr>
        <w:ind w:left="200" w:right="200"/>
        <w:spacing w:after="0" w:line="277" w:lineRule="auto"/>
        <w:rPr>
          <w:sz w:val="20"/>
          <w:szCs w:val="20"/>
          <w:color w:val="auto"/>
        </w:rPr>
      </w:pPr>
      <w:r>
        <w:rPr>
          <w:rFonts w:ascii="Arial" w:cs="Arial" w:eastAsia="Arial" w:hAnsi="Arial"/>
          <w:sz w:val="18"/>
          <w:szCs w:val="18"/>
          <w:color w:val="auto"/>
        </w:rPr>
        <w:t>Unrecognized deferred income tax assets are reassessed at each reporting date and are recognized to the extent that it has become probable that future taxable profit will allow the deferred tax asset to be recovered.</w:t>
      </w:r>
    </w:p>
    <w:p>
      <w:pPr>
        <w:spacing w:after="0" w:line="170" w:lineRule="exact"/>
        <w:rPr>
          <w:sz w:val="20"/>
          <w:szCs w:val="20"/>
          <w:color w:val="auto"/>
        </w:rPr>
      </w:pPr>
    </w:p>
    <w:p>
      <w:pPr>
        <w:ind w:left="200" w:right="80"/>
        <w:spacing w:after="0" w:line="277" w:lineRule="auto"/>
        <w:rPr>
          <w:sz w:val="20"/>
          <w:szCs w:val="20"/>
          <w:color w:val="auto"/>
        </w:rPr>
      </w:pPr>
      <w:r>
        <w:rPr>
          <w:rFonts w:ascii="Arial" w:cs="Arial" w:eastAsia="Arial" w:hAnsi="Arial"/>
          <w:sz w:val="18"/>
          <w:szCs w:val="18"/>
          <w:color w:val="auto"/>
        </w:rPr>
        <w:t>Deferred income tax assets and liabilities are measured at the tax rates that are expected to apply to the year when the asset is realized, or the liability is settled, based on tax rates (and tax laws) that have been enacted or substantively enacted at the reporting date.</w:t>
      </w:r>
    </w:p>
    <w:p>
      <w:pPr>
        <w:spacing w:after="0" w:line="170" w:lineRule="exact"/>
        <w:rPr>
          <w:sz w:val="20"/>
          <w:szCs w:val="20"/>
          <w:color w:val="auto"/>
        </w:rPr>
      </w:pPr>
    </w:p>
    <w:p>
      <w:pPr>
        <w:ind w:left="200"/>
        <w:spacing w:after="0" w:line="277" w:lineRule="auto"/>
        <w:rPr>
          <w:sz w:val="20"/>
          <w:szCs w:val="20"/>
          <w:color w:val="auto"/>
        </w:rPr>
      </w:pPr>
      <w:r>
        <w:rPr>
          <w:rFonts w:ascii="Arial" w:cs="Arial" w:eastAsia="Arial" w:hAnsi="Arial"/>
          <w:sz w:val="18"/>
          <w:szCs w:val="18"/>
          <w:color w:val="auto"/>
        </w:rPr>
        <w:t>Deferred tax assets and deferred tax liabilities are offset only if a legally enforceable right exists to set off current tax assets against current tax liabilities and the deferred tax assets and liabilities relate to the same taxable entity and the same taxation authority.</w:t>
      </w:r>
    </w:p>
    <w:p>
      <w:pPr>
        <w:spacing w:after="0" w:line="279" w:lineRule="exact"/>
        <w:rPr>
          <w:sz w:val="20"/>
          <w:szCs w:val="20"/>
          <w:color w:val="auto"/>
        </w:rPr>
      </w:pPr>
    </w:p>
    <w:p>
      <w:pPr>
        <w:ind w:left="200"/>
        <w:spacing w:after="0"/>
        <w:rPr>
          <w:sz w:val="20"/>
          <w:szCs w:val="20"/>
          <w:color w:val="auto"/>
        </w:rPr>
      </w:pPr>
      <w:r>
        <w:rPr>
          <w:rFonts w:ascii="Arial" w:cs="Arial" w:eastAsia="Arial" w:hAnsi="Arial"/>
          <w:sz w:val="18"/>
          <w:szCs w:val="18"/>
          <w:i w:val="1"/>
          <w:iCs w:val="1"/>
          <w:color w:val="auto"/>
        </w:rPr>
        <w:t>Tax consolidation legislation</w:t>
      </w:r>
    </w:p>
    <w:p>
      <w:pPr>
        <w:spacing w:after="0" w:line="117" w:lineRule="exact"/>
        <w:rPr>
          <w:sz w:val="20"/>
          <w:szCs w:val="20"/>
          <w:color w:val="auto"/>
        </w:rPr>
      </w:pPr>
    </w:p>
    <w:p>
      <w:pPr>
        <w:ind w:left="200"/>
        <w:spacing w:after="0"/>
        <w:rPr>
          <w:sz w:val="20"/>
          <w:szCs w:val="20"/>
          <w:color w:val="auto"/>
        </w:rPr>
      </w:pPr>
      <w:r>
        <w:rPr>
          <w:rFonts w:ascii="Arial" w:cs="Arial" w:eastAsia="Arial" w:hAnsi="Arial"/>
          <w:sz w:val="18"/>
          <w:szCs w:val="18"/>
          <w:color w:val="auto"/>
        </w:rPr>
        <w:t>Avita Medical Limited and its wholly-owned Australian controlled entities implemented the tax consolidation legislation as of July 1, 2003.</w:t>
      </w:r>
    </w:p>
    <w:p>
      <w:pPr>
        <w:spacing w:after="0" w:line="225" w:lineRule="exact"/>
        <w:rPr>
          <w:sz w:val="20"/>
          <w:szCs w:val="20"/>
          <w:color w:val="auto"/>
        </w:rPr>
      </w:pPr>
    </w:p>
    <w:p>
      <w:pPr>
        <w:jc w:val="both"/>
        <w:ind w:left="200" w:right="360"/>
        <w:spacing w:after="0" w:line="264" w:lineRule="auto"/>
        <w:rPr>
          <w:sz w:val="20"/>
          <w:szCs w:val="20"/>
          <w:color w:val="auto"/>
        </w:rPr>
      </w:pPr>
      <w:r>
        <w:rPr>
          <w:rFonts w:ascii="Arial" w:cs="Arial" w:eastAsia="Arial" w:hAnsi="Arial"/>
          <w:sz w:val="18"/>
          <w:szCs w:val="18"/>
          <w:color w:val="auto"/>
        </w:rPr>
        <w:t>The parent entity, Avita Medical Limited, and the controlled entities in the tax consolidated Company continue to account for their own current and deferred tax amounts. The Company has applied the group allocation approach in determining the appropriate amount of current taxes and deferred taxes to allocate to members of the tax consolidated group.</w:t>
      </w:r>
    </w:p>
    <w:p>
      <w:pPr>
        <w:spacing w:after="0" w:line="181" w:lineRule="exact"/>
        <w:rPr>
          <w:sz w:val="20"/>
          <w:szCs w:val="20"/>
          <w:color w:val="auto"/>
        </w:rPr>
      </w:pPr>
    </w:p>
    <w:p>
      <w:pPr>
        <w:ind w:left="200" w:right="80"/>
        <w:spacing w:after="0" w:line="308" w:lineRule="auto"/>
        <w:rPr>
          <w:sz w:val="20"/>
          <w:szCs w:val="20"/>
          <w:color w:val="auto"/>
        </w:rPr>
      </w:pPr>
      <w:r>
        <w:rPr>
          <w:rFonts w:ascii="Arial" w:cs="Arial" w:eastAsia="Arial" w:hAnsi="Arial"/>
          <w:sz w:val="17"/>
          <w:szCs w:val="17"/>
          <w:color w:val="auto"/>
        </w:rPr>
        <w:t>In addition to its own current and deferred tax amounts, Avita Medical Limited also recognizes the current tax liabilities (or assets) and the deferred tax assets arising from unused tax losses and unused tax credits assumed from controlled entities in the tax consolidated group.</w:t>
      </w:r>
    </w:p>
    <w:p>
      <w:pPr>
        <w:spacing w:after="0" w:line="147" w:lineRule="exact"/>
        <w:rPr>
          <w:sz w:val="20"/>
          <w:szCs w:val="20"/>
          <w:color w:val="auto"/>
        </w:rPr>
      </w:pPr>
    </w:p>
    <w:p>
      <w:pPr>
        <w:ind w:left="200" w:right="340"/>
        <w:spacing w:after="0" w:line="277" w:lineRule="auto"/>
        <w:rPr>
          <w:sz w:val="20"/>
          <w:szCs w:val="20"/>
          <w:color w:val="auto"/>
        </w:rPr>
      </w:pPr>
      <w:r>
        <w:rPr>
          <w:rFonts w:ascii="Arial" w:cs="Arial" w:eastAsia="Arial" w:hAnsi="Arial"/>
          <w:sz w:val="18"/>
          <w:szCs w:val="18"/>
          <w:color w:val="auto"/>
        </w:rPr>
        <w:t>Assets or liabilities arising under tax funding agreements with the tax consolidated entities are recognized as amounts receivable from or payable to other entities in the Company.</w:t>
      </w:r>
    </w:p>
    <w:p>
      <w:pPr>
        <w:spacing w:after="0" w:line="170" w:lineRule="exact"/>
        <w:rPr>
          <w:sz w:val="20"/>
          <w:szCs w:val="20"/>
          <w:color w:val="auto"/>
        </w:rPr>
      </w:pPr>
    </w:p>
    <w:p>
      <w:pPr>
        <w:ind w:left="200" w:right="200"/>
        <w:spacing w:after="0" w:line="277" w:lineRule="auto"/>
        <w:rPr>
          <w:sz w:val="20"/>
          <w:szCs w:val="20"/>
          <w:color w:val="auto"/>
        </w:rPr>
      </w:pPr>
      <w:r>
        <w:rPr>
          <w:rFonts w:ascii="Arial" w:cs="Arial" w:eastAsia="Arial" w:hAnsi="Arial"/>
          <w:sz w:val="18"/>
          <w:szCs w:val="18"/>
          <w:color w:val="auto"/>
        </w:rPr>
        <w:t>Any difference between the amounts assumed and amounts receivable or payable under the tax funding agreement are recognized as a contribution to (or distribution from) wholly-owned tax consolidated entities.</w:t>
      </w:r>
    </w:p>
    <w:p>
      <w:pPr>
        <w:spacing w:after="0" w:line="103"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F-16</w:t>
      </w:r>
    </w:p>
    <w:p>
      <w:pPr>
        <w:sectPr>
          <w:pgSz w:w="11900" w:h="16838" w:orient="portrait"/>
          <w:cols w:equalWidth="0" w:num="1">
            <w:col w:w="11180"/>
          </w:cols>
          <w:pgMar w:left="240" w:top="459" w:right="479" w:bottom="1440" w:gutter="0" w:footer="0" w:header="0"/>
        </w:sectPr>
      </w:pPr>
    </w:p>
    <w:bookmarkStart w:id="115" w:name="page116"/>
    <w:bookmarkEnd w:id="11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6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AVITA MEDICAL LIMITED</w:t>
      </w:r>
    </w:p>
    <w:p>
      <w:pPr>
        <w:spacing w:after="0" w:line="27"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9"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(IN AUSTRALIAN DOLLARS)</w:t>
      </w:r>
    </w:p>
    <w:p>
      <w:pPr>
        <w:spacing w:after="0" w:line="234" w:lineRule="exact"/>
        <w:rPr>
          <w:sz w:val="20"/>
          <w:szCs w:val="20"/>
          <w:color w:val="auto"/>
        </w:rPr>
      </w:pPr>
    </w:p>
    <w:p>
      <w:pPr>
        <w:ind w:left="640" w:hanging="436"/>
        <w:spacing w:after="0"/>
        <w:tabs>
          <w:tab w:leader="none" w:pos="640" w:val="left"/>
        </w:tabs>
        <w:numPr>
          <w:ilvl w:val="0"/>
          <w:numId w:val="91"/>
        </w:numPr>
        <w:rPr>
          <w:rFonts w:ascii="Arial" w:cs="Arial" w:eastAsia="Arial" w:hAnsi="Arial"/>
          <w:sz w:val="18"/>
          <w:szCs w:val="18"/>
          <w:b w:val="1"/>
          <w:bCs w:val="1"/>
          <w:color w:val="auto"/>
        </w:rPr>
      </w:pPr>
      <w:r>
        <w:rPr>
          <w:rFonts w:ascii="Arial" w:cs="Arial" w:eastAsia="Arial" w:hAnsi="Arial"/>
          <w:sz w:val="18"/>
          <w:szCs w:val="18"/>
          <w:b w:val="1"/>
          <w:bCs w:val="1"/>
          <w:color w:val="auto"/>
        </w:rPr>
        <w:t>SUMMARY OF SIGNIFICANT ACCOUNTING POLICIES (CONTINUED)</w:t>
      </w:r>
    </w:p>
    <w:p>
      <w:pPr>
        <w:spacing w:after="0" w:line="131" w:lineRule="exact"/>
        <w:rPr>
          <w:sz w:val="20"/>
          <w:szCs w:val="20"/>
          <w:color w:val="auto"/>
        </w:rPr>
      </w:pPr>
    </w:p>
    <w:p>
      <w:pPr>
        <w:ind w:left="200"/>
        <w:spacing w:after="0"/>
        <w:tabs>
          <w:tab w:leader="none" w:pos="620" w:val="left"/>
        </w:tabs>
        <w:rPr>
          <w:sz w:val="20"/>
          <w:szCs w:val="20"/>
          <w:color w:val="auto"/>
        </w:rPr>
      </w:pPr>
      <w:r>
        <w:rPr>
          <w:rFonts w:ascii="Arial" w:cs="Arial" w:eastAsia="Arial" w:hAnsi="Arial"/>
          <w:sz w:val="18"/>
          <w:szCs w:val="18"/>
          <w:b w:val="1"/>
          <w:bCs w:val="1"/>
          <w:color w:val="auto"/>
        </w:rPr>
        <w:t>(m)</w:t>
      </w:r>
      <w:r>
        <w:rPr>
          <w:sz w:val="20"/>
          <w:szCs w:val="20"/>
          <w:color w:val="auto"/>
        </w:rPr>
        <w:tab/>
      </w:r>
      <w:r>
        <w:rPr>
          <w:rFonts w:ascii="Arial" w:cs="Arial" w:eastAsia="Arial" w:hAnsi="Arial"/>
          <w:sz w:val="16"/>
          <w:szCs w:val="16"/>
          <w:b w:val="1"/>
          <w:bCs w:val="1"/>
          <w:color w:val="auto"/>
        </w:rPr>
        <w:t>Income tax and other taxes (continued)</w:t>
      </w:r>
    </w:p>
    <w:p>
      <w:pPr>
        <w:spacing w:after="0" w:line="135" w:lineRule="exact"/>
        <w:rPr>
          <w:sz w:val="20"/>
          <w:szCs w:val="20"/>
          <w:color w:val="auto"/>
        </w:rPr>
      </w:pPr>
    </w:p>
    <w:p>
      <w:pPr>
        <w:ind w:left="200"/>
        <w:spacing w:after="0"/>
        <w:rPr>
          <w:sz w:val="20"/>
          <w:szCs w:val="20"/>
          <w:color w:val="auto"/>
        </w:rPr>
      </w:pPr>
      <w:r>
        <w:rPr>
          <w:rFonts w:ascii="Arial" w:cs="Arial" w:eastAsia="Arial" w:hAnsi="Arial"/>
          <w:sz w:val="18"/>
          <w:szCs w:val="18"/>
          <w:i w:val="1"/>
          <w:iCs w:val="1"/>
          <w:color w:val="auto"/>
        </w:rPr>
        <w:t>Other taxes</w:t>
      </w:r>
    </w:p>
    <w:p>
      <w:pPr>
        <w:spacing w:after="0" w:line="117" w:lineRule="exact"/>
        <w:rPr>
          <w:sz w:val="20"/>
          <w:szCs w:val="20"/>
          <w:color w:val="auto"/>
        </w:rPr>
      </w:pPr>
    </w:p>
    <w:p>
      <w:pPr>
        <w:ind w:left="200"/>
        <w:spacing w:after="0"/>
        <w:rPr>
          <w:sz w:val="20"/>
          <w:szCs w:val="20"/>
          <w:color w:val="auto"/>
        </w:rPr>
      </w:pPr>
      <w:r>
        <w:rPr>
          <w:rFonts w:ascii="Arial" w:cs="Arial" w:eastAsia="Arial" w:hAnsi="Arial"/>
          <w:sz w:val="18"/>
          <w:szCs w:val="18"/>
          <w:color w:val="auto"/>
        </w:rPr>
        <w:t>Revenues, expenses and assets are recognized net of the amount of Goods and Services Tax (GST) except:</w:t>
      </w:r>
    </w:p>
    <w:p>
      <w:pPr>
        <w:spacing w:after="0" w:line="131" w:lineRule="exact"/>
        <w:rPr>
          <w:sz w:val="20"/>
          <w:szCs w:val="20"/>
          <w:color w:val="auto"/>
        </w:rPr>
      </w:pPr>
    </w:p>
    <w:p>
      <w:pPr>
        <w:ind w:left="1180" w:right="540" w:hanging="436"/>
        <w:spacing w:after="0" w:line="308" w:lineRule="auto"/>
        <w:tabs>
          <w:tab w:leader="none" w:pos="1180" w:val="left"/>
        </w:tabs>
        <w:numPr>
          <w:ilvl w:val="0"/>
          <w:numId w:val="92"/>
        </w:numPr>
        <w:rPr>
          <w:rFonts w:ascii="Arial" w:cs="Arial" w:eastAsia="Arial" w:hAnsi="Arial"/>
          <w:sz w:val="17"/>
          <w:szCs w:val="17"/>
          <w:color w:val="auto"/>
        </w:rPr>
      </w:pPr>
      <w:r>
        <w:rPr>
          <w:rFonts w:ascii="Arial" w:cs="Arial" w:eastAsia="Arial" w:hAnsi="Arial"/>
          <w:sz w:val="17"/>
          <w:szCs w:val="17"/>
          <w:color w:val="auto"/>
        </w:rPr>
        <w:t>when the GST incurred on a purchase of goods and services is not recoverable from the taxation authority, in which case the GST is recognized as part of the cost of acquisition of the asset or as part of the expense item as applicable; and</w:t>
      </w:r>
    </w:p>
    <w:p>
      <w:pPr>
        <w:spacing w:after="0" w:line="51" w:lineRule="exact"/>
        <w:rPr>
          <w:rFonts w:ascii="Arial" w:cs="Arial" w:eastAsia="Arial" w:hAnsi="Arial"/>
          <w:sz w:val="17"/>
          <w:szCs w:val="17"/>
          <w:color w:val="auto"/>
        </w:rPr>
      </w:pPr>
    </w:p>
    <w:p>
      <w:pPr>
        <w:ind w:left="1180" w:hanging="436"/>
        <w:spacing w:after="0"/>
        <w:tabs>
          <w:tab w:leader="none" w:pos="1180" w:val="left"/>
        </w:tabs>
        <w:numPr>
          <w:ilvl w:val="0"/>
          <w:numId w:val="92"/>
        </w:numPr>
        <w:rPr>
          <w:rFonts w:ascii="Arial" w:cs="Arial" w:eastAsia="Arial" w:hAnsi="Arial"/>
          <w:sz w:val="18"/>
          <w:szCs w:val="18"/>
          <w:color w:val="auto"/>
        </w:rPr>
      </w:pPr>
      <w:r>
        <w:rPr>
          <w:rFonts w:ascii="Arial" w:cs="Arial" w:eastAsia="Arial" w:hAnsi="Arial"/>
          <w:sz w:val="18"/>
          <w:szCs w:val="18"/>
          <w:color w:val="auto"/>
        </w:rPr>
        <w:t>receivables and payables, which are stated with the amount of GST included.</w:t>
      </w:r>
    </w:p>
    <w:p>
      <w:pPr>
        <w:spacing w:after="0" w:line="225" w:lineRule="exact"/>
        <w:rPr>
          <w:sz w:val="20"/>
          <w:szCs w:val="20"/>
          <w:color w:val="auto"/>
        </w:rPr>
      </w:pPr>
    </w:p>
    <w:p>
      <w:pPr>
        <w:ind w:left="200" w:right="700"/>
        <w:spacing w:after="0" w:line="277" w:lineRule="auto"/>
        <w:rPr>
          <w:sz w:val="20"/>
          <w:szCs w:val="20"/>
          <w:color w:val="auto"/>
        </w:rPr>
      </w:pPr>
      <w:r>
        <w:rPr>
          <w:rFonts w:ascii="Arial" w:cs="Arial" w:eastAsia="Arial" w:hAnsi="Arial"/>
          <w:sz w:val="18"/>
          <w:szCs w:val="18"/>
          <w:color w:val="auto"/>
        </w:rPr>
        <w:t>The net amount of GST recoverable from, or payable to, the taxation authority is included as part of receivables or payables in the consolidated statement of financial position.</w:t>
      </w:r>
    </w:p>
    <w:p>
      <w:pPr>
        <w:spacing w:after="0" w:line="170" w:lineRule="exact"/>
        <w:rPr>
          <w:sz w:val="20"/>
          <w:szCs w:val="20"/>
          <w:color w:val="auto"/>
        </w:rPr>
      </w:pPr>
    </w:p>
    <w:p>
      <w:pPr>
        <w:ind w:left="200" w:right="220"/>
        <w:spacing w:after="0" w:line="308" w:lineRule="auto"/>
        <w:rPr>
          <w:sz w:val="20"/>
          <w:szCs w:val="20"/>
          <w:color w:val="auto"/>
        </w:rPr>
      </w:pPr>
      <w:r>
        <w:rPr>
          <w:rFonts w:ascii="Arial" w:cs="Arial" w:eastAsia="Arial" w:hAnsi="Arial"/>
          <w:sz w:val="17"/>
          <w:szCs w:val="17"/>
          <w:color w:val="auto"/>
        </w:rPr>
        <w:t>Cash flows are included in the consolidated statement of cash flows on a gross basis and the GST component of cash flows arising from investing and financing activities, which is recoverable from, or payable to, the taxation authority is classified as part of operating cash flows.</w:t>
      </w:r>
    </w:p>
    <w:p>
      <w:pPr>
        <w:spacing w:after="0" w:line="147" w:lineRule="exact"/>
        <w:rPr>
          <w:sz w:val="20"/>
          <w:szCs w:val="20"/>
          <w:color w:val="auto"/>
        </w:rPr>
      </w:pPr>
    </w:p>
    <w:p>
      <w:pPr>
        <w:ind w:left="200"/>
        <w:spacing w:after="0"/>
        <w:rPr>
          <w:sz w:val="20"/>
          <w:szCs w:val="20"/>
          <w:color w:val="auto"/>
        </w:rPr>
      </w:pPr>
      <w:r>
        <w:rPr>
          <w:rFonts w:ascii="Arial" w:cs="Arial" w:eastAsia="Arial" w:hAnsi="Arial"/>
          <w:sz w:val="18"/>
          <w:szCs w:val="18"/>
          <w:color w:val="auto"/>
        </w:rPr>
        <w:t>Commitments and contingencies are disclosed net of the amount of GST recoverable from, or payable to, the taxation authority.</w:t>
      </w:r>
    </w:p>
    <w:p>
      <w:pPr>
        <w:spacing w:after="0" w:line="370" w:lineRule="exact"/>
        <w:rPr>
          <w:sz w:val="20"/>
          <w:szCs w:val="20"/>
          <w:color w:val="auto"/>
        </w:rPr>
      </w:pPr>
    </w:p>
    <w:p>
      <w:pPr>
        <w:ind w:left="640" w:hanging="436"/>
        <w:spacing w:after="0"/>
        <w:tabs>
          <w:tab w:leader="none" w:pos="640" w:val="left"/>
        </w:tabs>
        <w:numPr>
          <w:ilvl w:val="0"/>
          <w:numId w:val="93"/>
        </w:numPr>
        <w:rPr>
          <w:rFonts w:ascii="Arial" w:cs="Arial" w:eastAsia="Arial" w:hAnsi="Arial"/>
          <w:sz w:val="18"/>
          <w:szCs w:val="18"/>
          <w:b w:val="1"/>
          <w:bCs w:val="1"/>
          <w:color w:val="auto"/>
        </w:rPr>
      </w:pPr>
      <w:r>
        <w:rPr>
          <w:rFonts w:ascii="Arial" w:cs="Arial" w:eastAsia="Arial" w:hAnsi="Arial"/>
          <w:sz w:val="18"/>
          <w:szCs w:val="18"/>
          <w:b w:val="1"/>
          <w:bCs w:val="1"/>
          <w:color w:val="auto"/>
        </w:rPr>
        <w:t>Plant and equipment</w:t>
      </w:r>
    </w:p>
    <w:p>
      <w:pPr>
        <w:spacing w:after="0" w:line="121" w:lineRule="exact"/>
        <w:rPr>
          <w:sz w:val="20"/>
          <w:szCs w:val="20"/>
          <w:color w:val="auto"/>
        </w:rPr>
      </w:pPr>
    </w:p>
    <w:p>
      <w:pPr>
        <w:jc w:val="both"/>
        <w:ind w:left="200" w:right="140"/>
        <w:spacing w:after="0" w:line="264" w:lineRule="auto"/>
        <w:rPr>
          <w:sz w:val="20"/>
          <w:szCs w:val="20"/>
          <w:color w:val="auto"/>
        </w:rPr>
      </w:pPr>
      <w:r>
        <w:rPr>
          <w:rFonts w:ascii="Arial" w:cs="Arial" w:eastAsia="Arial" w:hAnsi="Arial"/>
          <w:sz w:val="18"/>
          <w:szCs w:val="18"/>
          <w:color w:val="auto"/>
        </w:rPr>
        <w:t>The Company’s fixed assets are stated at cost less accumulated depreciation and any accumulated impairment losses. Depreciation are computed based on the straight-line method over the estimated useful lives of the various classes of assets. The ranges of estimated useful lives for the principal classes of assets are as follows:</w:t>
      </w:r>
    </w:p>
    <w:p>
      <w:pPr>
        <w:spacing w:after="0" w:line="87" w:lineRule="exact"/>
        <w:rPr>
          <w:sz w:val="20"/>
          <w:szCs w:val="20"/>
          <w:color w:val="auto"/>
        </w:rPr>
      </w:pPr>
    </w:p>
    <w:p>
      <w:pPr>
        <w:ind w:left="1180" w:hanging="436"/>
        <w:spacing w:after="0"/>
        <w:tabs>
          <w:tab w:leader="none" w:pos="1180" w:val="left"/>
        </w:tabs>
        <w:numPr>
          <w:ilvl w:val="0"/>
          <w:numId w:val="94"/>
        </w:numPr>
        <w:rPr>
          <w:rFonts w:ascii="Arial" w:cs="Arial" w:eastAsia="Arial" w:hAnsi="Arial"/>
          <w:sz w:val="18"/>
          <w:szCs w:val="18"/>
          <w:color w:val="auto"/>
        </w:rPr>
      </w:pPr>
      <w:r>
        <w:rPr>
          <w:rFonts w:ascii="Arial" w:cs="Arial" w:eastAsia="Arial" w:hAnsi="Arial"/>
          <w:sz w:val="18"/>
          <w:szCs w:val="18"/>
          <w:color w:val="auto"/>
        </w:rPr>
        <w:t>Laboratory equipment – 5 years</w:t>
      </w:r>
    </w:p>
    <w:p>
      <w:pPr>
        <w:spacing w:after="0" w:line="130" w:lineRule="exact"/>
        <w:rPr>
          <w:rFonts w:ascii="Arial" w:cs="Arial" w:eastAsia="Arial" w:hAnsi="Arial"/>
          <w:sz w:val="18"/>
          <w:szCs w:val="18"/>
          <w:color w:val="auto"/>
        </w:rPr>
      </w:pPr>
    </w:p>
    <w:p>
      <w:pPr>
        <w:ind w:left="1180" w:hanging="436"/>
        <w:spacing w:after="0"/>
        <w:tabs>
          <w:tab w:leader="none" w:pos="1180" w:val="left"/>
        </w:tabs>
        <w:numPr>
          <w:ilvl w:val="0"/>
          <w:numId w:val="94"/>
        </w:numPr>
        <w:rPr>
          <w:rFonts w:ascii="Arial" w:cs="Arial" w:eastAsia="Arial" w:hAnsi="Arial"/>
          <w:sz w:val="18"/>
          <w:szCs w:val="18"/>
          <w:color w:val="auto"/>
        </w:rPr>
      </w:pPr>
      <w:r>
        <w:rPr>
          <w:rFonts w:ascii="Arial" w:cs="Arial" w:eastAsia="Arial" w:hAnsi="Arial"/>
          <w:sz w:val="18"/>
          <w:szCs w:val="18"/>
          <w:color w:val="auto"/>
        </w:rPr>
        <w:t>Computer equipment – 5 years</w:t>
      </w:r>
    </w:p>
    <w:p>
      <w:pPr>
        <w:spacing w:after="0" w:line="130" w:lineRule="exact"/>
        <w:rPr>
          <w:rFonts w:ascii="Arial" w:cs="Arial" w:eastAsia="Arial" w:hAnsi="Arial"/>
          <w:sz w:val="18"/>
          <w:szCs w:val="18"/>
          <w:color w:val="auto"/>
        </w:rPr>
      </w:pPr>
    </w:p>
    <w:p>
      <w:pPr>
        <w:ind w:left="1180" w:hanging="436"/>
        <w:spacing w:after="0"/>
        <w:tabs>
          <w:tab w:leader="none" w:pos="1180" w:val="left"/>
        </w:tabs>
        <w:numPr>
          <w:ilvl w:val="0"/>
          <w:numId w:val="94"/>
        </w:numPr>
        <w:rPr>
          <w:rFonts w:ascii="Arial" w:cs="Arial" w:eastAsia="Arial" w:hAnsi="Arial"/>
          <w:sz w:val="18"/>
          <w:szCs w:val="18"/>
          <w:color w:val="auto"/>
        </w:rPr>
      </w:pPr>
      <w:r>
        <w:rPr>
          <w:rFonts w:ascii="Arial" w:cs="Arial" w:eastAsia="Arial" w:hAnsi="Arial"/>
          <w:sz w:val="18"/>
          <w:szCs w:val="18"/>
          <w:color w:val="auto"/>
        </w:rPr>
        <w:t>Fixtures and fittings – 7 years</w:t>
      </w:r>
    </w:p>
    <w:p>
      <w:pPr>
        <w:spacing w:after="0" w:line="225" w:lineRule="exact"/>
        <w:rPr>
          <w:sz w:val="20"/>
          <w:szCs w:val="20"/>
          <w:color w:val="auto"/>
        </w:rPr>
      </w:pPr>
    </w:p>
    <w:p>
      <w:pPr>
        <w:ind w:left="200" w:right="80"/>
        <w:spacing w:after="0" w:line="259" w:lineRule="auto"/>
        <w:rPr>
          <w:sz w:val="20"/>
          <w:szCs w:val="20"/>
          <w:color w:val="auto"/>
        </w:rPr>
      </w:pPr>
      <w:r>
        <w:rPr>
          <w:rFonts w:ascii="Arial" w:cs="Arial" w:eastAsia="Arial" w:hAnsi="Arial"/>
          <w:sz w:val="18"/>
          <w:szCs w:val="18"/>
          <w:color w:val="auto"/>
        </w:rPr>
        <w:t>The Company reviews its long-lived assets for impairment annually, or when events or changes in circumstances indicate that the carrying amounts of these assets may not be recoverable. An asset is considered impaired when the fair value, which is the expected undiscounted cash flows over the remaining useful life, is less than the net book value. The excess of the net book value over its fair value is charged as impairment loss to profit and loss account.</w:t>
      </w:r>
    </w:p>
    <w:p>
      <w:pPr>
        <w:spacing w:after="0" w:line="187" w:lineRule="exact"/>
        <w:rPr>
          <w:sz w:val="20"/>
          <w:szCs w:val="20"/>
          <w:color w:val="auto"/>
        </w:rPr>
      </w:pPr>
    </w:p>
    <w:p>
      <w:pPr>
        <w:ind w:left="200" w:right="640"/>
        <w:spacing w:after="0" w:line="277" w:lineRule="auto"/>
        <w:rPr>
          <w:sz w:val="20"/>
          <w:szCs w:val="20"/>
          <w:color w:val="auto"/>
        </w:rPr>
      </w:pPr>
      <w:r>
        <w:rPr>
          <w:rFonts w:ascii="Arial" w:cs="Arial" w:eastAsia="Arial" w:hAnsi="Arial"/>
          <w:sz w:val="18"/>
          <w:szCs w:val="18"/>
          <w:color w:val="auto"/>
        </w:rPr>
        <w:t>Repairs and maintenance are recognized in profit or loss during the financial period in which they are incurred. Gains and losses on disposal are determined by comparing the proceeds on disposal with the carrying amount and are included in profit or loss.</w:t>
      </w:r>
    </w:p>
    <w:p>
      <w:pPr>
        <w:spacing w:after="0" w:line="315" w:lineRule="exact"/>
        <w:rPr>
          <w:sz w:val="20"/>
          <w:szCs w:val="20"/>
          <w:color w:val="auto"/>
        </w:rPr>
      </w:pPr>
    </w:p>
    <w:p>
      <w:pPr>
        <w:ind w:left="640" w:hanging="436"/>
        <w:spacing w:after="0"/>
        <w:tabs>
          <w:tab w:leader="none" w:pos="640" w:val="left"/>
        </w:tabs>
        <w:numPr>
          <w:ilvl w:val="0"/>
          <w:numId w:val="95"/>
        </w:numPr>
        <w:rPr>
          <w:rFonts w:ascii="Arial" w:cs="Arial" w:eastAsia="Arial" w:hAnsi="Arial"/>
          <w:sz w:val="18"/>
          <w:szCs w:val="18"/>
          <w:b w:val="1"/>
          <w:bCs w:val="1"/>
          <w:color w:val="auto"/>
        </w:rPr>
      </w:pPr>
      <w:r>
        <w:rPr>
          <w:rFonts w:ascii="Arial" w:cs="Arial" w:eastAsia="Arial" w:hAnsi="Arial"/>
          <w:sz w:val="18"/>
          <w:szCs w:val="18"/>
          <w:b w:val="1"/>
          <w:bCs w:val="1"/>
          <w:color w:val="auto"/>
        </w:rPr>
        <w:t>Trade and other payables</w:t>
      </w:r>
    </w:p>
    <w:p>
      <w:pPr>
        <w:spacing w:after="0" w:line="121" w:lineRule="exact"/>
        <w:rPr>
          <w:sz w:val="20"/>
          <w:szCs w:val="20"/>
          <w:color w:val="auto"/>
        </w:rPr>
      </w:pPr>
    </w:p>
    <w:p>
      <w:pPr>
        <w:jc w:val="both"/>
        <w:ind w:left="200"/>
        <w:spacing w:after="0" w:line="312" w:lineRule="auto"/>
        <w:rPr>
          <w:sz w:val="20"/>
          <w:szCs w:val="20"/>
          <w:color w:val="auto"/>
        </w:rPr>
      </w:pPr>
      <w:r>
        <w:rPr>
          <w:rFonts w:ascii="Arial" w:cs="Arial" w:eastAsia="Arial" w:hAnsi="Arial"/>
          <w:sz w:val="16"/>
          <w:szCs w:val="16"/>
          <w:color w:val="auto"/>
        </w:rPr>
        <w:t>Trade payables and other payables are carried at amortized cost and due to their short-term nature, they are not discounted. They represent liabilities for goods and services provided to the Company prior to the end of the financial year that are unpaid and arise when the Company becomes obliged to make future payments in respect of the purchase of these goods and services. The amounts are unsecured and are usually paid within 30 days of recognition.</w:t>
      </w:r>
    </w:p>
    <w:p>
      <w:pPr>
        <w:spacing w:after="0" w:line="79"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F-17</w:t>
      </w:r>
    </w:p>
    <w:p>
      <w:pPr>
        <w:sectPr>
          <w:pgSz w:w="11900" w:h="16838" w:orient="portrait"/>
          <w:cols w:equalWidth="0" w:num="1">
            <w:col w:w="11220"/>
          </w:cols>
          <w:pgMar w:left="240" w:top="459" w:right="439" w:bottom="1440" w:gutter="0" w:footer="0" w:header="0"/>
        </w:sectPr>
      </w:pPr>
    </w:p>
    <w:bookmarkStart w:id="116" w:name="page117"/>
    <w:bookmarkEnd w:id="11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6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299"/>
        <w:spacing w:after="0"/>
        <w:rPr>
          <w:sz w:val="20"/>
          <w:szCs w:val="20"/>
          <w:color w:val="auto"/>
        </w:rPr>
      </w:pPr>
      <w:r>
        <w:rPr>
          <w:rFonts w:ascii="Arial" w:cs="Arial" w:eastAsia="Arial" w:hAnsi="Arial"/>
          <w:sz w:val="18"/>
          <w:szCs w:val="18"/>
          <w:b w:val="1"/>
          <w:bCs w:val="1"/>
          <w:color w:val="auto"/>
        </w:rPr>
        <w:t>AVITA MEDICAL LIMITED</w:t>
      </w:r>
    </w:p>
    <w:p>
      <w:pPr>
        <w:spacing w:after="0" w:line="27" w:lineRule="exact"/>
        <w:rPr>
          <w:sz w:val="20"/>
          <w:szCs w:val="20"/>
          <w:color w:val="auto"/>
        </w:rPr>
      </w:pPr>
    </w:p>
    <w:p>
      <w:pPr>
        <w:jc w:val="center"/>
        <w:ind w:right="-299"/>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9" w:lineRule="exact"/>
        <w:rPr>
          <w:sz w:val="20"/>
          <w:szCs w:val="20"/>
          <w:color w:val="auto"/>
        </w:rPr>
      </w:pPr>
    </w:p>
    <w:p>
      <w:pPr>
        <w:jc w:val="center"/>
        <w:ind w:right="-299"/>
        <w:spacing w:after="0"/>
        <w:rPr>
          <w:sz w:val="20"/>
          <w:szCs w:val="20"/>
          <w:color w:val="auto"/>
        </w:rPr>
      </w:pPr>
      <w:r>
        <w:rPr>
          <w:rFonts w:ascii="Arial" w:cs="Arial" w:eastAsia="Arial" w:hAnsi="Arial"/>
          <w:sz w:val="18"/>
          <w:szCs w:val="18"/>
          <w:b w:val="1"/>
          <w:bCs w:val="1"/>
          <w:color w:val="auto"/>
        </w:rPr>
        <w:t>(IN AUSTRALIAN DOLLARS)</w:t>
      </w:r>
    </w:p>
    <w:p>
      <w:pPr>
        <w:spacing w:after="0" w:line="234" w:lineRule="exact"/>
        <w:rPr>
          <w:sz w:val="20"/>
          <w:szCs w:val="20"/>
          <w:color w:val="auto"/>
        </w:rPr>
      </w:pPr>
    </w:p>
    <w:p>
      <w:pPr>
        <w:ind w:left="640" w:hanging="436"/>
        <w:spacing w:after="0"/>
        <w:tabs>
          <w:tab w:leader="none" w:pos="640" w:val="left"/>
        </w:tabs>
        <w:numPr>
          <w:ilvl w:val="0"/>
          <w:numId w:val="96"/>
        </w:numPr>
        <w:rPr>
          <w:rFonts w:ascii="Arial" w:cs="Arial" w:eastAsia="Arial" w:hAnsi="Arial"/>
          <w:sz w:val="18"/>
          <w:szCs w:val="18"/>
          <w:b w:val="1"/>
          <w:bCs w:val="1"/>
          <w:color w:val="auto"/>
        </w:rPr>
      </w:pPr>
      <w:r>
        <w:rPr>
          <w:rFonts w:ascii="Arial" w:cs="Arial" w:eastAsia="Arial" w:hAnsi="Arial"/>
          <w:sz w:val="18"/>
          <w:szCs w:val="18"/>
          <w:b w:val="1"/>
          <w:bCs w:val="1"/>
          <w:color w:val="auto"/>
        </w:rPr>
        <w:t>SUMMARY OF SIGNIFICANT ACCOUNTING POLICIES (CONTINUED)</w:t>
      </w:r>
    </w:p>
    <w:p>
      <w:pPr>
        <w:spacing w:after="0" w:line="131" w:lineRule="exact"/>
        <w:rPr>
          <w:sz w:val="20"/>
          <w:szCs w:val="20"/>
          <w:color w:val="auto"/>
        </w:rPr>
      </w:pPr>
    </w:p>
    <w:p>
      <w:pPr>
        <w:ind w:left="640" w:hanging="436"/>
        <w:spacing w:after="0"/>
        <w:tabs>
          <w:tab w:leader="none" w:pos="640" w:val="left"/>
        </w:tabs>
        <w:numPr>
          <w:ilvl w:val="0"/>
          <w:numId w:val="97"/>
        </w:numPr>
        <w:rPr>
          <w:rFonts w:ascii="Arial" w:cs="Arial" w:eastAsia="Arial" w:hAnsi="Arial"/>
          <w:sz w:val="18"/>
          <w:szCs w:val="18"/>
          <w:b w:val="1"/>
          <w:bCs w:val="1"/>
          <w:color w:val="auto"/>
        </w:rPr>
      </w:pPr>
      <w:r>
        <w:rPr>
          <w:rFonts w:ascii="Arial" w:cs="Arial" w:eastAsia="Arial" w:hAnsi="Arial"/>
          <w:sz w:val="18"/>
          <w:szCs w:val="18"/>
          <w:b w:val="1"/>
          <w:bCs w:val="1"/>
          <w:color w:val="auto"/>
        </w:rPr>
        <w:t>Interest-bearing loans and borrowings</w:t>
      </w:r>
    </w:p>
    <w:p>
      <w:pPr>
        <w:spacing w:after="0" w:line="121" w:lineRule="exact"/>
        <w:rPr>
          <w:sz w:val="20"/>
          <w:szCs w:val="20"/>
          <w:color w:val="auto"/>
        </w:rPr>
      </w:pPr>
    </w:p>
    <w:p>
      <w:pPr>
        <w:ind w:left="200"/>
        <w:spacing w:after="0"/>
        <w:rPr>
          <w:sz w:val="20"/>
          <w:szCs w:val="20"/>
          <w:color w:val="auto"/>
        </w:rPr>
      </w:pPr>
      <w:r>
        <w:rPr>
          <w:rFonts w:ascii="Arial" w:cs="Arial" w:eastAsia="Arial" w:hAnsi="Arial"/>
          <w:sz w:val="18"/>
          <w:szCs w:val="18"/>
          <w:color w:val="auto"/>
        </w:rPr>
        <w:t>All loans and borrowings are initially recognized at the fair value of the consideration received less directly attributable transaction costs.</w:t>
      </w:r>
    </w:p>
    <w:p>
      <w:pPr>
        <w:spacing w:after="0" w:line="225" w:lineRule="exact"/>
        <w:rPr>
          <w:sz w:val="20"/>
          <w:szCs w:val="20"/>
          <w:color w:val="auto"/>
        </w:rPr>
      </w:pPr>
    </w:p>
    <w:p>
      <w:pPr>
        <w:ind w:left="200" w:right="200"/>
        <w:spacing w:after="0" w:line="342" w:lineRule="auto"/>
        <w:rPr>
          <w:sz w:val="20"/>
          <w:szCs w:val="20"/>
          <w:color w:val="auto"/>
        </w:rPr>
      </w:pPr>
      <w:r>
        <w:rPr>
          <w:rFonts w:ascii="Arial" w:cs="Arial" w:eastAsia="Arial" w:hAnsi="Arial"/>
          <w:sz w:val="16"/>
          <w:szCs w:val="16"/>
          <w:color w:val="auto"/>
        </w:rPr>
        <w:t>After initial recognition, interest-bearing loans and borrowings are subsequently measured at amortized cost using the effective interest method. Fees paid on the establishment of loan facilities that are yield related are included as part of the carrying amount of the loans and borrowings.</w:t>
      </w:r>
    </w:p>
    <w:p>
      <w:pPr>
        <w:spacing w:after="0" w:line="124" w:lineRule="exact"/>
        <w:rPr>
          <w:sz w:val="20"/>
          <w:szCs w:val="20"/>
          <w:color w:val="auto"/>
        </w:rPr>
      </w:pPr>
    </w:p>
    <w:p>
      <w:pPr>
        <w:ind w:left="200" w:right="160"/>
        <w:spacing w:after="0" w:line="277" w:lineRule="auto"/>
        <w:rPr>
          <w:sz w:val="20"/>
          <w:szCs w:val="20"/>
          <w:color w:val="auto"/>
        </w:rPr>
      </w:pPr>
      <w:r>
        <w:rPr>
          <w:rFonts w:ascii="Arial" w:cs="Arial" w:eastAsia="Arial" w:hAnsi="Arial"/>
          <w:sz w:val="18"/>
          <w:szCs w:val="18"/>
          <w:color w:val="auto"/>
        </w:rPr>
        <w:t>Borrowings are classified as current liabilities unless the Company has an unconditional right to defer settlement of the liability for at least 12 months after the reporting date.</w:t>
      </w:r>
    </w:p>
    <w:p>
      <w:pPr>
        <w:spacing w:after="0" w:line="279" w:lineRule="exact"/>
        <w:rPr>
          <w:sz w:val="20"/>
          <w:szCs w:val="20"/>
          <w:color w:val="auto"/>
        </w:rPr>
      </w:pPr>
    </w:p>
    <w:p>
      <w:pPr>
        <w:ind w:left="200"/>
        <w:spacing w:after="0"/>
        <w:rPr>
          <w:sz w:val="20"/>
          <w:szCs w:val="20"/>
          <w:color w:val="auto"/>
        </w:rPr>
      </w:pPr>
      <w:r>
        <w:rPr>
          <w:rFonts w:ascii="Arial" w:cs="Arial" w:eastAsia="Arial" w:hAnsi="Arial"/>
          <w:sz w:val="18"/>
          <w:szCs w:val="18"/>
          <w:i w:val="1"/>
          <w:iCs w:val="1"/>
          <w:color w:val="auto"/>
        </w:rPr>
        <w:t>Borrowing costs</w:t>
      </w:r>
    </w:p>
    <w:p>
      <w:pPr>
        <w:spacing w:after="0" w:line="117" w:lineRule="exact"/>
        <w:rPr>
          <w:sz w:val="20"/>
          <w:szCs w:val="20"/>
          <w:color w:val="auto"/>
        </w:rPr>
      </w:pPr>
    </w:p>
    <w:p>
      <w:pPr>
        <w:ind w:left="200"/>
        <w:spacing w:after="0"/>
        <w:rPr>
          <w:sz w:val="20"/>
          <w:szCs w:val="20"/>
          <w:color w:val="auto"/>
        </w:rPr>
      </w:pPr>
      <w:r>
        <w:rPr>
          <w:rFonts w:ascii="Arial" w:cs="Arial" w:eastAsia="Arial" w:hAnsi="Arial"/>
          <w:sz w:val="18"/>
          <w:szCs w:val="18"/>
          <w:color w:val="auto"/>
        </w:rPr>
        <w:t>Borrowing costs, other than borrowing costs relating to qualifying assets, are recognized as an expense when incurred.</w:t>
      </w:r>
    </w:p>
    <w:p>
      <w:pPr>
        <w:spacing w:after="0" w:line="370" w:lineRule="exact"/>
        <w:rPr>
          <w:sz w:val="20"/>
          <w:szCs w:val="20"/>
          <w:color w:val="auto"/>
        </w:rPr>
      </w:pPr>
    </w:p>
    <w:p>
      <w:pPr>
        <w:ind w:left="640" w:hanging="436"/>
        <w:spacing w:after="0"/>
        <w:tabs>
          <w:tab w:leader="none" w:pos="640" w:val="left"/>
        </w:tabs>
        <w:numPr>
          <w:ilvl w:val="0"/>
          <w:numId w:val="98"/>
        </w:numPr>
        <w:rPr>
          <w:rFonts w:ascii="Arial" w:cs="Arial" w:eastAsia="Arial" w:hAnsi="Arial"/>
          <w:sz w:val="18"/>
          <w:szCs w:val="18"/>
          <w:b w:val="1"/>
          <w:bCs w:val="1"/>
          <w:color w:val="auto"/>
        </w:rPr>
      </w:pPr>
      <w:r>
        <w:rPr>
          <w:rFonts w:ascii="Arial" w:cs="Arial" w:eastAsia="Arial" w:hAnsi="Arial"/>
          <w:sz w:val="18"/>
          <w:szCs w:val="18"/>
          <w:b w:val="1"/>
          <w:bCs w:val="1"/>
          <w:color w:val="auto"/>
        </w:rPr>
        <w:t>Financial instruments</w:t>
      </w:r>
    </w:p>
    <w:p>
      <w:pPr>
        <w:spacing w:after="0" w:line="121" w:lineRule="exact"/>
        <w:rPr>
          <w:sz w:val="20"/>
          <w:szCs w:val="20"/>
          <w:color w:val="auto"/>
        </w:rPr>
      </w:pPr>
    </w:p>
    <w:p>
      <w:pPr>
        <w:ind w:left="200"/>
        <w:spacing w:after="0"/>
        <w:rPr>
          <w:sz w:val="20"/>
          <w:szCs w:val="20"/>
          <w:color w:val="auto"/>
        </w:rPr>
      </w:pPr>
      <w:r>
        <w:rPr>
          <w:rFonts w:ascii="Arial" w:cs="Arial" w:eastAsia="Arial" w:hAnsi="Arial"/>
          <w:sz w:val="18"/>
          <w:szCs w:val="18"/>
          <w:i w:val="1"/>
          <w:iCs w:val="1"/>
          <w:color w:val="auto"/>
        </w:rPr>
        <w:t>Recognition, initial measurement and derecognition</w:t>
      </w:r>
    </w:p>
    <w:p>
      <w:pPr>
        <w:spacing w:after="0" w:line="117" w:lineRule="exact"/>
        <w:rPr>
          <w:sz w:val="20"/>
          <w:szCs w:val="20"/>
          <w:color w:val="auto"/>
        </w:rPr>
      </w:pPr>
    </w:p>
    <w:p>
      <w:pPr>
        <w:ind w:left="200"/>
        <w:spacing w:after="0" w:line="264" w:lineRule="auto"/>
        <w:rPr>
          <w:sz w:val="20"/>
          <w:szCs w:val="20"/>
          <w:color w:val="auto"/>
        </w:rPr>
      </w:pPr>
      <w:r>
        <w:rPr>
          <w:rFonts w:ascii="Arial" w:cs="Arial" w:eastAsia="Arial" w:hAnsi="Arial"/>
          <w:sz w:val="18"/>
          <w:szCs w:val="18"/>
          <w:color w:val="auto"/>
        </w:rPr>
        <w:t>Financial assets and financial liabilities are recognized when the Company becomes a party to the contractual provisions of the financial instrument and are measured initially at fair value adjusted by transactions costs, except for those carried at fair value through profit or loss, which are measured initially at fair value. Subsequent measurement of financial assets and financial liabilities are described below.</w:t>
      </w:r>
    </w:p>
    <w:p>
      <w:pPr>
        <w:spacing w:after="0" w:line="181" w:lineRule="exact"/>
        <w:rPr>
          <w:sz w:val="20"/>
          <w:szCs w:val="20"/>
          <w:color w:val="auto"/>
        </w:rPr>
      </w:pPr>
    </w:p>
    <w:p>
      <w:pPr>
        <w:ind w:left="200" w:right="500"/>
        <w:spacing w:after="0" w:line="342" w:lineRule="auto"/>
        <w:rPr>
          <w:sz w:val="20"/>
          <w:szCs w:val="20"/>
          <w:color w:val="auto"/>
        </w:rPr>
      </w:pPr>
      <w:r>
        <w:rPr>
          <w:rFonts w:ascii="Arial" w:cs="Arial" w:eastAsia="Arial" w:hAnsi="Arial"/>
          <w:sz w:val="16"/>
          <w:szCs w:val="16"/>
          <w:color w:val="auto"/>
        </w:rPr>
        <w:t>Financial assets are derecognized when the contractual rights to the cash flows from the financial asset expire, or when the financial asset and all substantial risks and rewards are transferred. A financial liability is derecognized when it is extinguished, discharged, cancelled or expires.</w:t>
      </w:r>
    </w:p>
    <w:p>
      <w:pPr>
        <w:spacing w:after="0" w:line="232" w:lineRule="exact"/>
        <w:rPr>
          <w:sz w:val="20"/>
          <w:szCs w:val="20"/>
          <w:color w:val="auto"/>
        </w:rPr>
      </w:pPr>
    </w:p>
    <w:p>
      <w:pPr>
        <w:ind w:left="200"/>
        <w:spacing w:after="0"/>
        <w:rPr>
          <w:sz w:val="20"/>
          <w:szCs w:val="20"/>
          <w:color w:val="auto"/>
        </w:rPr>
      </w:pPr>
      <w:r>
        <w:rPr>
          <w:rFonts w:ascii="Arial" w:cs="Arial" w:eastAsia="Arial" w:hAnsi="Arial"/>
          <w:sz w:val="18"/>
          <w:szCs w:val="18"/>
          <w:i w:val="1"/>
          <w:iCs w:val="1"/>
          <w:color w:val="auto"/>
        </w:rPr>
        <w:t>Classification and subsequent measurement of financial assets</w:t>
      </w:r>
    </w:p>
    <w:p>
      <w:pPr>
        <w:spacing w:after="0" w:line="117" w:lineRule="exact"/>
        <w:rPr>
          <w:sz w:val="20"/>
          <w:szCs w:val="20"/>
          <w:color w:val="auto"/>
        </w:rPr>
      </w:pPr>
    </w:p>
    <w:p>
      <w:pPr>
        <w:ind w:left="200" w:right="300"/>
        <w:spacing w:after="0" w:line="277" w:lineRule="auto"/>
        <w:rPr>
          <w:sz w:val="20"/>
          <w:szCs w:val="20"/>
          <w:color w:val="auto"/>
        </w:rPr>
      </w:pPr>
      <w:r>
        <w:rPr>
          <w:rFonts w:ascii="Arial" w:cs="Arial" w:eastAsia="Arial" w:hAnsi="Arial"/>
          <w:sz w:val="18"/>
          <w:szCs w:val="18"/>
          <w:color w:val="auto"/>
        </w:rPr>
        <w:t>For the purpose of subsequent measurement, financial assets other than those designated and effective as hedging instruments are classified into the following categories upon initial recognition:</w:t>
      </w:r>
    </w:p>
    <w:p>
      <w:pPr>
        <w:spacing w:after="0" w:line="76" w:lineRule="exact"/>
        <w:rPr>
          <w:sz w:val="20"/>
          <w:szCs w:val="20"/>
          <w:color w:val="auto"/>
        </w:rPr>
      </w:pPr>
    </w:p>
    <w:p>
      <w:pPr>
        <w:ind w:left="1180" w:hanging="436"/>
        <w:spacing w:after="0"/>
        <w:tabs>
          <w:tab w:leader="none" w:pos="1180" w:val="left"/>
        </w:tabs>
        <w:numPr>
          <w:ilvl w:val="0"/>
          <w:numId w:val="99"/>
        </w:numPr>
        <w:rPr>
          <w:rFonts w:ascii="Arial" w:cs="Arial" w:eastAsia="Arial" w:hAnsi="Arial"/>
          <w:sz w:val="18"/>
          <w:szCs w:val="18"/>
          <w:color w:val="auto"/>
        </w:rPr>
      </w:pPr>
      <w:r>
        <w:rPr>
          <w:rFonts w:ascii="Arial" w:cs="Arial" w:eastAsia="Arial" w:hAnsi="Arial"/>
          <w:sz w:val="18"/>
          <w:szCs w:val="18"/>
          <w:color w:val="auto"/>
        </w:rPr>
        <w:t>Loans and receivables;</w:t>
      </w:r>
    </w:p>
    <w:p>
      <w:pPr>
        <w:spacing w:after="0" w:line="130" w:lineRule="exact"/>
        <w:rPr>
          <w:rFonts w:ascii="Arial" w:cs="Arial" w:eastAsia="Arial" w:hAnsi="Arial"/>
          <w:sz w:val="18"/>
          <w:szCs w:val="18"/>
          <w:color w:val="auto"/>
        </w:rPr>
      </w:pPr>
    </w:p>
    <w:p>
      <w:pPr>
        <w:ind w:left="1180" w:hanging="436"/>
        <w:spacing w:after="0"/>
        <w:tabs>
          <w:tab w:leader="none" w:pos="1180" w:val="left"/>
        </w:tabs>
        <w:numPr>
          <w:ilvl w:val="0"/>
          <w:numId w:val="99"/>
        </w:numPr>
        <w:rPr>
          <w:rFonts w:ascii="Arial" w:cs="Arial" w:eastAsia="Arial" w:hAnsi="Arial"/>
          <w:sz w:val="18"/>
          <w:szCs w:val="18"/>
          <w:color w:val="auto"/>
        </w:rPr>
      </w:pPr>
      <w:r>
        <w:rPr>
          <w:rFonts w:ascii="Arial" w:cs="Arial" w:eastAsia="Arial" w:hAnsi="Arial"/>
          <w:sz w:val="18"/>
          <w:szCs w:val="18"/>
          <w:color w:val="auto"/>
        </w:rPr>
        <w:t>Financial assets at Fair Value Through Profit or Loss (‘FVTPL’);</w:t>
      </w:r>
    </w:p>
    <w:p>
      <w:pPr>
        <w:spacing w:after="0" w:line="130" w:lineRule="exact"/>
        <w:rPr>
          <w:rFonts w:ascii="Arial" w:cs="Arial" w:eastAsia="Arial" w:hAnsi="Arial"/>
          <w:sz w:val="18"/>
          <w:szCs w:val="18"/>
          <w:color w:val="auto"/>
        </w:rPr>
      </w:pPr>
    </w:p>
    <w:p>
      <w:pPr>
        <w:ind w:left="1180" w:hanging="436"/>
        <w:spacing w:after="0"/>
        <w:tabs>
          <w:tab w:leader="none" w:pos="1180" w:val="left"/>
        </w:tabs>
        <w:numPr>
          <w:ilvl w:val="0"/>
          <w:numId w:val="99"/>
        </w:numPr>
        <w:rPr>
          <w:rFonts w:ascii="Arial" w:cs="Arial" w:eastAsia="Arial" w:hAnsi="Arial"/>
          <w:sz w:val="18"/>
          <w:szCs w:val="18"/>
          <w:color w:val="auto"/>
        </w:rPr>
      </w:pPr>
      <w:r>
        <w:rPr>
          <w:rFonts w:ascii="Arial" w:cs="Arial" w:eastAsia="Arial" w:hAnsi="Arial"/>
          <w:sz w:val="18"/>
          <w:szCs w:val="18"/>
          <w:color w:val="auto"/>
        </w:rPr>
        <w:t>Held-To-Maturity (‘HTM’) investments; or</w:t>
      </w:r>
    </w:p>
    <w:p>
      <w:pPr>
        <w:spacing w:after="0" w:line="130" w:lineRule="exact"/>
        <w:rPr>
          <w:rFonts w:ascii="Arial" w:cs="Arial" w:eastAsia="Arial" w:hAnsi="Arial"/>
          <w:sz w:val="18"/>
          <w:szCs w:val="18"/>
          <w:color w:val="auto"/>
        </w:rPr>
      </w:pPr>
    </w:p>
    <w:p>
      <w:pPr>
        <w:ind w:left="1180" w:hanging="436"/>
        <w:spacing w:after="0"/>
        <w:tabs>
          <w:tab w:leader="none" w:pos="1180" w:val="left"/>
        </w:tabs>
        <w:numPr>
          <w:ilvl w:val="0"/>
          <w:numId w:val="99"/>
        </w:numPr>
        <w:rPr>
          <w:rFonts w:ascii="Arial" w:cs="Arial" w:eastAsia="Arial" w:hAnsi="Arial"/>
          <w:sz w:val="18"/>
          <w:szCs w:val="18"/>
          <w:color w:val="auto"/>
        </w:rPr>
      </w:pPr>
      <w:r>
        <w:rPr>
          <w:rFonts w:ascii="Arial" w:cs="Arial" w:eastAsia="Arial" w:hAnsi="Arial"/>
          <w:sz w:val="18"/>
          <w:szCs w:val="18"/>
          <w:color w:val="auto"/>
        </w:rPr>
        <w:t>Available-For-Sale (‘AFS’) financial assets.</w:t>
      </w:r>
    </w:p>
    <w:p>
      <w:pPr>
        <w:spacing w:after="0" w:line="225" w:lineRule="exact"/>
        <w:rPr>
          <w:sz w:val="20"/>
          <w:szCs w:val="20"/>
          <w:color w:val="auto"/>
        </w:rPr>
      </w:pPr>
    </w:p>
    <w:p>
      <w:pPr>
        <w:jc w:val="both"/>
        <w:ind w:left="200" w:right="500"/>
        <w:spacing w:after="0" w:line="264" w:lineRule="auto"/>
        <w:rPr>
          <w:sz w:val="20"/>
          <w:szCs w:val="20"/>
          <w:color w:val="auto"/>
        </w:rPr>
      </w:pPr>
      <w:r>
        <w:rPr>
          <w:rFonts w:ascii="Arial" w:cs="Arial" w:eastAsia="Arial" w:hAnsi="Arial"/>
          <w:sz w:val="18"/>
          <w:szCs w:val="18"/>
          <w:color w:val="auto"/>
        </w:rPr>
        <w:t>All financial assets except for those at FVTPL are subject to review for impairment at least at each reporting date to identify whether there is any objective evidence that a financial asset or a group of financial assets is impaired. Different criteria to determine impairment are applied for each category of financial assets, which are described below.</w:t>
      </w:r>
    </w:p>
    <w:p>
      <w:pPr>
        <w:spacing w:after="0" w:line="181" w:lineRule="exact"/>
        <w:rPr>
          <w:sz w:val="20"/>
          <w:szCs w:val="20"/>
          <w:color w:val="auto"/>
        </w:rPr>
      </w:pPr>
    </w:p>
    <w:p>
      <w:pPr>
        <w:ind w:left="200" w:right="400"/>
        <w:spacing w:after="0" w:line="264" w:lineRule="auto"/>
        <w:rPr>
          <w:sz w:val="20"/>
          <w:szCs w:val="20"/>
          <w:color w:val="auto"/>
        </w:rPr>
      </w:pPr>
      <w:r>
        <w:rPr>
          <w:rFonts w:ascii="Arial" w:cs="Arial" w:eastAsia="Arial" w:hAnsi="Arial"/>
          <w:sz w:val="18"/>
          <w:szCs w:val="18"/>
          <w:color w:val="auto"/>
        </w:rPr>
        <w:t>All income and expenses relating to financial assets that are recognized in the Statement of Profit or Loss and Other Comprehensive Income are presented within finance costs, finance income or other financial items, except for impairment of trade receivables which is presented within other expenses.</w:t>
      </w:r>
    </w:p>
    <w:p>
      <w:pPr>
        <w:spacing w:after="0" w:line="114" w:lineRule="exact"/>
        <w:rPr>
          <w:sz w:val="20"/>
          <w:szCs w:val="20"/>
          <w:color w:val="auto"/>
        </w:rPr>
      </w:pPr>
    </w:p>
    <w:p>
      <w:pPr>
        <w:jc w:val="center"/>
        <w:ind w:right="-299"/>
        <w:spacing w:after="0"/>
        <w:rPr>
          <w:sz w:val="20"/>
          <w:szCs w:val="20"/>
          <w:color w:val="auto"/>
        </w:rPr>
      </w:pPr>
      <w:r>
        <w:rPr>
          <w:rFonts w:ascii="Arial" w:cs="Arial" w:eastAsia="Arial" w:hAnsi="Arial"/>
          <w:sz w:val="18"/>
          <w:szCs w:val="18"/>
          <w:color w:val="auto"/>
        </w:rPr>
        <w:t>F-18</w:t>
      </w:r>
    </w:p>
    <w:p>
      <w:pPr>
        <w:sectPr>
          <w:pgSz w:w="11900" w:h="16838" w:orient="portrait"/>
          <w:cols w:equalWidth="0" w:num="1">
            <w:col w:w="11140"/>
          </w:cols>
          <w:pgMar w:left="240" w:top="459" w:right="519" w:bottom="1440" w:gutter="0" w:footer="0" w:header="0"/>
        </w:sectPr>
      </w:pPr>
    </w:p>
    <w:bookmarkStart w:id="117" w:name="page118"/>
    <w:bookmarkEnd w:id="11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6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AVITA MEDICAL LIMITED</w:t>
      </w:r>
    </w:p>
    <w:p>
      <w:pPr>
        <w:spacing w:after="0" w:line="27"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9"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(IN AUSTRALIAN DOLLARS)</w:t>
      </w:r>
    </w:p>
    <w:p>
      <w:pPr>
        <w:spacing w:after="0" w:line="234" w:lineRule="exact"/>
        <w:rPr>
          <w:sz w:val="20"/>
          <w:szCs w:val="20"/>
          <w:color w:val="auto"/>
        </w:rPr>
      </w:pPr>
    </w:p>
    <w:p>
      <w:pPr>
        <w:ind w:left="640" w:hanging="436"/>
        <w:spacing w:after="0"/>
        <w:tabs>
          <w:tab w:leader="none" w:pos="640" w:val="left"/>
        </w:tabs>
        <w:numPr>
          <w:ilvl w:val="0"/>
          <w:numId w:val="100"/>
        </w:numPr>
        <w:rPr>
          <w:rFonts w:ascii="Arial" w:cs="Arial" w:eastAsia="Arial" w:hAnsi="Arial"/>
          <w:sz w:val="18"/>
          <w:szCs w:val="18"/>
          <w:b w:val="1"/>
          <w:bCs w:val="1"/>
          <w:color w:val="auto"/>
        </w:rPr>
      </w:pPr>
      <w:r>
        <w:rPr>
          <w:rFonts w:ascii="Arial" w:cs="Arial" w:eastAsia="Arial" w:hAnsi="Arial"/>
          <w:sz w:val="18"/>
          <w:szCs w:val="18"/>
          <w:b w:val="1"/>
          <w:bCs w:val="1"/>
          <w:color w:val="auto"/>
        </w:rPr>
        <w:t>SUMMARY OF SIGNIFICANT ACCOUNTING POLICIES (CONTINUED)</w:t>
      </w:r>
    </w:p>
    <w:p>
      <w:pPr>
        <w:spacing w:after="0" w:line="131" w:lineRule="exact"/>
        <w:rPr>
          <w:sz w:val="20"/>
          <w:szCs w:val="20"/>
          <w:color w:val="auto"/>
        </w:rPr>
      </w:pPr>
    </w:p>
    <w:p>
      <w:pPr>
        <w:ind w:left="640" w:hanging="436"/>
        <w:spacing w:after="0"/>
        <w:tabs>
          <w:tab w:leader="none" w:pos="640" w:val="left"/>
        </w:tabs>
        <w:numPr>
          <w:ilvl w:val="0"/>
          <w:numId w:val="101"/>
        </w:numPr>
        <w:rPr>
          <w:rFonts w:ascii="Arial" w:cs="Arial" w:eastAsia="Arial" w:hAnsi="Arial"/>
          <w:sz w:val="18"/>
          <w:szCs w:val="18"/>
          <w:b w:val="1"/>
          <w:bCs w:val="1"/>
          <w:color w:val="auto"/>
        </w:rPr>
      </w:pPr>
      <w:r>
        <w:rPr>
          <w:rFonts w:ascii="Arial" w:cs="Arial" w:eastAsia="Arial" w:hAnsi="Arial"/>
          <w:sz w:val="18"/>
          <w:szCs w:val="18"/>
          <w:b w:val="1"/>
          <w:bCs w:val="1"/>
          <w:color w:val="auto"/>
        </w:rPr>
        <w:t>Financial instruments (continued)</w:t>
      </w:r>
    </w:p>
    <w:p>
      <w:pPr>
        <w:spacing w:after="0" w:line="135" w:lineRule="exact"/>
        <w:rPr>
          <w:sz w:val="20"/>
          <w:szCs w:val="20"/>
          <w:color w:val="auto"/>
        </w:rPr>
      </w:pPr>
    </w:p>
    <w:p>
      <w:pPr>
        <w:ind w:left="200"/>
        <w:spacing w:after="0"/>
        <w:rPr>
          <w:sz w:val="20"/>
          <w:szCs w:val="20"/>
          <w:color w:val="auto"/>
        </w:rPr>
      </w:pPr>
      <w:r>
        <w:rPr>
          <w:rFonts w:ascii="Arial" w:cs="Arial" w:eastAsia="Arial" w:hAnsi="Arial"/>
          <w:sz w:val="18"/>
          <w:szCs w:val="18"/>
          <w:i w:val="1"/>
          <w:iCs w:val="1"/>
          <w:color w:val="auto"/>
        </w:rPr>
        <w:t>Loans and receivables</w:t>
      </w:r>
    </w:p>
    <w:p>
      <w:pPr>
        <w:spacing w:after="0" w:line="117" w:lineRule="exact"/>
        <w:rPr>
          <w:sz w:val="20"/>
          <w:szCs w:val="20"/>
          <w:color w:val="auto"/>
        </w:rPr>
      </w:pPr>
    </w:p>
    <w:p>
      <w:pPr>
        <w:ind w:left="200" w:right="240"/>
        <w:spacing w:after="0" w:line="259" w:lineRule="auto"/>
        <w:rPr>
          <w:sz w:val="20"/>
          <w:szCs w:val="20"/>
          <w:color w:val="auto"/>
        </w:rPr>
      </w:pPr>
      <w:r>
        <w:rPr>
          <w:rFonts w:ascii="Arial" w:cs="Arial" w:eastAsia="Arial" w:hAnsi="Arial"/>
          <w:sz w:val="18"/>
          <w:szCs w:val="18"/>
          <w:color w:val="auto"/>
        </w:rPr>
        <w:t>Loans and receivables are non-derivative financial assets with fixed or determinable payments that are not quoted in an active market. After initial recognition, these are measured at amortized cost using the effective interest method, less provision for impairment. Discounting is omitted where the effect of discounting is immaterial. The Company’s cash and cash equivalents, trade and most other receivables fall into this category of financial instruments.</w:t>
      </w:r>
    </w:p>
    <w:p>
      <w:pPr>
        <w:spacing w:after="0" w:line="187" w:lineRule="exact"/>
        <w:rPr>
          <w:sz w:val="20"/>
          <w:szCs w:val="20"/>
          <w:color w:val="auto"/>
        </w:rPr>
      </w:pPr>
    </w:p>
    <w:p>
      <w:pPr>
        <w:ind w:left="200" w:right="120"/>
        <w:spacing w:after="0" w:line="259" w:lineRule="auto"/>
        <w:rPr>
          <w:sz w:val="20"/>
          <w:szCs w:val="20"/>
          <w:color w:val="auto"/>
        </w:rPr>
      </w:pPr>
      <w:r>
        <w:rPr>
          <w:rFonts w:ascii="Arial" w:cs="Arial" w:eastAsia="Arial" w:hAnsi="Arial"/>
          <w:sz w:val="18"/>
          <w:szCs w:val="18"/>
          <w:color w:val="auto"/>
        </w:rPr>
        <w:t>Individually significant receivables are considered for impairment when they are past due or when other objective evidence is received that a specific counterparty will default. Receivables that are not considered to be individually impaired are reviewed for impairment in groups, which are determined by reference to the industry and region of a counterparty and other shared credit risk characteristics. The impairment loss estimate is then based on recent historical counterparty default rates for each identified group.</w:t>
      </w:r>
    </w:p>
    <w:p>
      <w:pPr>
        <w:spacing w:after="0" w:line="79" w:lineRule="exact"/>
        <w:rPr>
          <w:sz w:val="20"/>
          <w:szCs w:val="20"/>
          <w:color w:val="auto"/>
        </w:rPr>
      </w:pPr>
    </w:p>
    <w:p>
      <w:pPr>
        <w:ind w:left="200"/>
        <w:spacing w:after="0"/>
        <w:rPr>
          <w:sz w:val="20"/>
          <w:szCs w:val="20"/>
          <w:color w:val="auto"/>
        </w:rPr>
      </w:pPr>
      <w:r>
        <w:rPr>
          <w:rFonts w:ascii="Arial" w:cs="Arial" w:eastAsia="Arial" w:hAnsi="Arial"/>
          <w:sz w:val="18"/>
          <w:szCs w:val="18"/>
          <w:i w:val="1"/>
          <w:iCs w:val="1"/>
          <w:color w:val="auto"/>
        </w:rPr>
        <w:t>AFS financial assets</w:t>
      </w:r>
    </w:p>
    <w:p>
      <w:pPr>
        <w:spacing w:after="0" w:line="117" w:lineRule="exact"/>
        <w:rPr>
          <w:sz w:val="20"/>
          <w:szCs w:val="20"/>
          <w:color w:val="auto"/>
        </w:rPr>
      </w:pPr>
    </w:p>
    <w:p>
      <w:pPr>
        <w:ind w:left="200" w:right="460"/>
        <w:spacing w:after="0" w:line="277" w:lineRule="auto"/>
        <w:rPr>
          <w:sz w:val="20"/>
          <w:szCs w:val="20"/>
          <w:color w:val="auto"/>
        </w:rPr>
      </w:pPr>
      <w:r>
        <w:rPr>
          <w:rFonts w:ascii="Arial" w:cs="Arial" w:eastAsia="Arial" w:hAnsi="Arial"/>
          <w:sz w:val="18"/>
          <w:szCs w:val="18"/>
          <w:color w:val="auto"/>
        </w:rPr>
        <w:t>AFS financial assets are non-derivative financial assets that are either designated to this category or do not qualify for inclusion in any of the other categories of financial assets.</w:t>
      </w:r>
    </w:p>
    <w:p>
      <w:pPr>
        <w:spacing w:after="0" w:line="170" w:lineRule="exact"/>
        <w:rPr>
          <w:sz w:val="20"/>
          <w:szCs w:val="20"/>
          <w:color w:val="auto"/>
        </w:rPr>
      </w:pPr>
    </w:p>
    <w:p>
      <w:pPr>
        <w:ind w:left="200"/>
        <w:spacing w:after="0" w:line="276" w:lineRule="auto"/>
        <w:rPr>
          <w:sz w:val="20"/>
          <w:szCs w:val="20"/>
          <w:color w:val="auto"/>
        </w:rPr>
      </w:pPr>
      <w:r>
        <w:rPr>
          <w:rFonts w:ascii="Arial" w:cs="Arial" w:eastAsia="Arial" w:hAnsi="Arial"/>
          <w:sz w:val="17"/>
          <w:szCs w:val="17"/>
          <w:color w:val="auto"/>
        </w:rPr>
        <w:t>All AFS financial assets are measured at fair value. Gains and losses are recognized in other comprehensive income and reported within the AFS reserve within equity, except for impairment losses and foreign exchange differences on monetary assets, which are recognized in profit or loss. When the asset is disposed of or is determined to be impaired the cumulative gain or loss recognized in other comprehensive income is reclassified from the equity reserve to profit or loss and presented as a reclassification adjustment within other comprehensive income. Interest calculated using the effective interest method and dividends are recognized in profit or loss within ‘finance income’.</w:t>
      </w:r>
    </w:p>
    <w:p>
      <w:pPr>
        <w:spacing w:after="0" w:line="173" w:lineRule="exact"/>
        <w:rPr>
          <w:sz w:val="20"/>
          <w:szCs w:val="20"/>
          <w:color w:val="auto"/>
        </w:rPr>
      </w:pPr>
    </w:p>
    <w:p>
      <w:pPr>
        <w:ind w:left="200" w:right="320"/>
        <w:spacing w:after="0" w:line="264" w:lineRule="auto"/>
        <w:rPr>
          <w:sz w:val="20"/>
          <w:szCs w:val="20"/>
          <w:color w:val="auto"/>
        </w:rPr>
      </w:pPr>
      <w:r>
        <w:rPr>
          <w:rFonts w:ascii="Arial" w:cs="Arial" w:eastAsia="Arial" w:hAnsi="Arial"/>
          <w:sz w:val="18"/>
          <w:szCs w:val="18"/>
          <w:color w:val="auto"/>
        </w:rPr>
        <w:t>Reversals of impairment losses for AFS debt securities are recognized in profit or loss if the reversal can be objectively related to an event occurring after the impairment loss was recognized. For AFS equity investments impairment reversals are not recognized in profit loss and any subsequent increase in fair value is recognized in other comprehensive income.</w:t>
      </w:r>
    </w:p>
    <w:p>
      <w:pPr>
        <w:spacing w:after="0" w:line="289" w:lineRule="exact"/>
        <w:rPr>
          <w:sz w:val="20"/>
          <w:szCs w:val="20"/>
          <w:color w:val="auto"/>
        </w:rPr>
      </w:pPr>
    </w:p>
    <w:p>
      <w:pPr>
        <w:ind w:left="200"/>
        <w:spacing w:after="0"/>
        <w:rPr>
          <w:sz w:val="20"/>
          <w:szCs w:val="20"/>
          <w:color w:val="auto"/>
        </w:rPr>
      </w:pPr>
      <w:r>
        <w:rPr>
          <w:rFonts w:ascii="Arial" w:cs="Arial" w:eastAsia="Arial" w:hAnsi="Arial"/>
          <w:sz w:val="18"/>
          <w:szCs w:val="18"/>
          <w:i w:val="1"/>
          <w:iCs w:val="1"/>
          <w:color w:val="auto"/>
        </w:rPr>
        <w:t>Classification and subsequent measurement of financial liabilities</w:t>
      </w:r>
    </w:p>
    <w:p>
      <w:pPr>
        <w:spacing w:after="0" w:line="117" w:lineRule="exact"/>
        <w:rPr>
          <w:sz w:val="20"/>
          <w:szCs w:val="20"/>
          <w:color w:val="auto"/>
        </w:rPr>
      </w:pPr>
    </w:p>
    <w:p>
      <w:pPr>
        <w:ind w:left="200" w:right="20"/>
        <w:spacing w:after="0" w:line="259" w:lineRule="auto"/>
        <w:rPr>
          <w:sz w:val="20"/>
          <w:szCs w:val="20"/>
          <w:color w:val="auto"/>
        </w:rPr>
      </w:pPr>
      <w:r>
        <w:rPr>
          <w:rFonts w:ascii="Arial" w:cs="Arial" w:eastAsia="Arial" w:hAnsi="Arial"/>
          <w:sz w:val="18"/>
          <w:szCs w:val="18"/>
          <w:color w:val="auto"/>
        </w:rPr>
        <w:t>The Company’s financial liabilities include borrowings, trade and other payables. Financial liabilities are measured subsequently at amortized cost using the effective interest method, except for financial liabilities held for trading or designated at FVTPL, that are carried subsequently at fair value with gains or losses recognized in profit or loss. All derivative financial instruments that are not designated and effective as hedging instruments are accounted for at FVTPL.</w:t>
      </w:r>
    </w:p>
    <w:p>
      <w:pPr>
        <w:spacing w:after="0" w:line="331" w:lineRule="exact"/>
        <w:rPr>
          <w:sz w:val="20"/>
          <w:szCs w:val="20"/>
          <w:color w:val="auto"/>
        </w:rPr>
      </w:pPr>
    </w:p>
    <w:p>
      <w:pPr>
        <w:ind w:left="640" w:hanging="436"/>
        <w:spacing w:after="0"/>
        <w:tabs>
          <w:tab w:leader="none" w:pos="640" w:val="left"/>
        </w:tabs>
        <w:numPr>
          <w:ilvl w:val="0"/>
          <w:numId w:val="102"/>
        </w:numPr>
        <w:rPr>
          <w:rFonts w:ascii="Arial" w:cs="Arial" w:eastAsia="Arial" w:hAnsi="Arial"/>
          <w:sz w:val="18"/>
          <w:szCs w:val="18"/>
          <w:b w:val="1"/>
          <w:bCs w:val="1"/>
          <w:color w:val="auto"/>
        </w:rPr>
      </w:pPr>
      <w:r>
        <w:rPr>
          <w:rFonts w:ascii="Arial" w:cs="Arial" w:eastAsia="Arial" w:hAnsi="Arial"/>
          <w:sz w:val="18"/>
          <w:szCs w:val="18"/>
          <w:b w:val="1"/>
          <w:bCs w:val="1"/>
          <w:color w:val="auto"/>
        </w:rPr>
        <w:t>Provisions and employee leave benefits</w:t>
      </w:r>
    </w:p>
    <w:p>
      <w:pPr>
        <w:spacing w:after="0" w:line="121" w:lineRule="exact"/>
        <w:rPr>
          <w:sz w:val="20"/>
          <w:szCs w:val="20"/>
          <w:color w:val="auto"/>
        </w:rPr>
      </w:pPr>
    </w:p>
    <w:p>
      <w:pPr>
        <w:ind w:left="200" w:right="120"/>
        <w:spacing w:after="0" w:line="342" w:lineRule="auto"/>
        <w:rPr>
          <w:sz w:val="20"/>
          <w:szCs w:val="20"/>
          <w:color w:val="auto"/>
        </w:rPr>
      </w:pPr>
      <w:r>
        <w:rPr>
          <w:rFonts w:ascii="Arial" w:cs="Arial" w:eastAsia="Arial" w:hAnsi="Arial"/>
          <w:sz w:val="16"/>
          <w:szCs w:val="16"/>
          <w:color w:val="auto"/>
        </w:rPr>
        <w:t>Provisions are recognized when the Company has a present obligation (legal or constructive) as a result of a past event, it is probable that an outflow of resources embodying economic benefits will be required to settle the obligation and a reliable estimate can be made of the amount of the obligation.</w:t>
      </w:r>
    </w:p>
    <w:p>
      <w:pPr>
        <w:spacing w:after="0" w:line="56"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F-19</w:t>
      </w:r>
    </w:p>
    <w:p>
      <w:pPr>
        <w:sectPr>
          <w:pgSz w:w="11900" w:h="16838" w:orient="portrait"/>
          <w:cols w:equalWidth="0" w:num="1">
            <w:col w:w="11220"/>
          </w:cols>
          <w:pgMar w:left="240" w:top="459" w:right="439" w:bottom="1440" w:gutter="0" w:footer="0" w:header="0"/>
        </w:sectPr>
      </w:pPr>
    </w:p>
    <w:bookmarkStart w:id="118" w:name="page119"/>
    <w:bookmarkEnd w:id="11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6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AVITA MEDICAL LIMITED</w:t>
      </w:r>
    </w:p>
    <w:p>
      <w:pPr>
        <w:spacing w:after="0" w:line="27"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9"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(IN AUSTRALIAN DOLLARS)</w:t>
      </w:r>
    </w:p>
    <w:p>
      <w:pPr>
        <w:spacing w:after="0" w:line="234" w:lineRule="exact"/>
        <w:rPr>
          <w:sz w:val="20"/>
          <w:szCs w:val="20"/>
          <w:color w:val="auto"/>
        </w:rPr>
      </w:pPr>
    </w:p>
    <w:p>
      <w:pPr>
        <w:ind w:left="640" w:hanging="436"/>
        <w:spacing w:after="0"/>
        <w:tabs>
          <w:tab w:leader="none" w:pos="640" w:val="left"/>
        </w:tabs>
        <w:numPr>
          <w:ilvl w:val="0"/>
          <w:numId w:val="103"/>
        </w:numPr>
        <w:rPr>
          <w:rFonts w:ascii="Arial" w:cs="Arial" w:eastAsia="Arial" w:hAnsi="Arial"/>
          <w:sz w:val="18"/>
          <w:szCs w:val="18"/>
          <w:b w:val="1"/>
          <w:bCs w:val="1"/>
          <w:color w:val="auto"/>
        </w:rPr>
      </w:pPr>
      <w:r>
        <w:rPr>
          <w:rFonts w:ascii="Arial" w:cs="Arial" w:eastAsia="Arial" w:hAnsi="Arial"/>
          <w:sz w:val="18"/>
          <w:szCs w:val="18"/>
          <w:b w:val="1"/>
          <w:bCs w:val="1"/>
          <w:color w:val="auto"/>
        </w:rPr>
        <w:t>SUMMARY OF SIGNIFICANT ACCOUNTING POLICIES (CONTINUED)</w:t>
      </w:r>
    </w:p>
    <w:p>
      <w:pPr>
        <w:spacing w:after="0" w:line="131" w:lineRule="exact"/>
        <w:rPr>
          <w:sz w:val="20"/>
          <w:szCs w:val="20"/>
          <w:color w:val="auto"/>
        </w:rPr>
      </w:pPr>
    </w:p>
    <w:p>
      <w:pPr>
        <w:ind w:left="640" w:hanging="436"/>
        <w:spacing w:after="0"/>
        <w:tabs>
          <w:tab w:leader="none" w:pos="640" w:val="left"/>
        </w:tabs>
        <w:numPr>
          <w:ilvl w:val="0"/>
          <w:numId w:val="104"/>
        </w:numPr>
        <w:rPr>
          <w:rFonts w:ascii="Arial" w:cs="Arial" w:eastAsia="Arial" w:hAnsi="Arial"/>
          <w:sz w:val="18"/>
          <w:szCs w:val="18"/>
          <w:b w:val="1"/>
          <w:bCs w:val="1"/>
          <w:color w:val="auto"/>
        </w:rPr>
      </w:pPr>
      <w:r>
        <w:rPr>
          <w:rFonts w:ascii="Arial" w:cs="Arial" w:eastAsia="Arial" w:hAnsi="Arial"/>
          <w:sz w:val="18"/>
          <w:szCs w:val="18"/>
          <w:b w:val="1"/>
          <w:bCs w:val="1"/>
          <w:color w:val="auto"/>
        </w:rPr>
        <w:t>Provisions and employee leave benefits (continued)</w:t>
      </w:r>
    </w:p>
    <w:p>
      <w:pPr>
        <w:spacing w:after="0" w:line="135" w:lineRule="exact"/>
        <w:rPr>
          <w:sz w:val="20"/>
          <w:szCs w:val="20"/>
          <w:color w:val="auto"/>
        </w:rPr>
      </w:pPr>
    </w:p>
    <w:p>
      <w:pPr>
        <w:ind w:left="200" w:right="80"/>
        <w:spacing w:after="0" w:line="264" w:lineRule="auto"/>
        <w:rPr>
          <w:sz w:val="20"/>
          <w:szCs w:val="20"/>
          <w:color w:val="auto"/>
        </w:rPr>
      </w:pPr>
      <w:r>
        <w:rPr>
          <w:rFonts w:ascii="Arial" w:cs="Arial" w:eastAsia="Arial" w:hAnsi="Arial"/>
          <w:sz w:val="18"/>
          <w:szCs w:val="18"/>
          <w:color w:val="auto"/>
        </w:rPr>
        <w:t>When the Company expects some or all of a provision to be reimbursed, for example under an insurance contract, the reimbursement is recognized as a separate asset but only when the reimbursement is virtually certain. The expense relating to any provision is presented in profit or loss net of any reimbursement.</w:t>
      </w:r>
    </w:p>
    <w:p>
      <w:pPr>
        <w:spacing w:after="0" w:line="181" w:lineRule="exact"/>
        <w:rPr>
          <w:sz w:val="20"/>
          <w:szCs w:val="20"/>
          <w:color w:val="auto"/>
        </w:rPr>
      </w:pPr>
    </w:p>
    <w:p>
      <w:pPr>
        <w:ind w:left="200" w:right="100"/>
        <w:spacing w:after="0" w:line="257" w:lineRule="auto"/>
        <w:rPr>
          <w:sz w:val="20"/>
          <w:szCs w:val="20"/>
          <w:color w:val="auto"/>
        </w:rPr>
      </w:pPr>
      <w:r>
        <w:rPr>
          <w:rFonts w:ascii="Arial" w:cs="Arial" w:eastAsia="Arial" w:hAnsi="Arial"/>
          <w:sz w:val="18"/>
          <w:szCs w:val="18"/>
          <w:color w:val="auto"/>
        </w:rPr>
        <w:t>Provisions are measured at the present value of management’s best estimate of the expenditure required to settle the present obligation at the reporting date using a discounted cash flow methodology. The risks specific to the provision are factored into the cash flows and as such a risk-free government bond rate relative to the expected life of the provision is used as a discount rate. If the effect of the time value of money is material, provisions are discounted using a current pre-tax rate that reflects the time value of money and the risks specific to the liability. The increase in the provision resulting from the passage of time is recognized in finance costs.</w:t>
      </w:r>
    </w:p>
    <w:p>
      <w:pPr>
        <w:spacing w:after="0" w:line="296" w:lineRule="exact"/>
        <w:rPr>
          <w:sz w:val="20"/>
          <w:szCs w:val="20"/>
          <w:color w:val="auto"/>
        </w:rPr>
      </w:pPr>
    </w:p>
    <w:p>
      <w:pPr>
        <w:ind w:left="200"/>
        <w:spacing w:after="0"/>
        <w:rPr>
          <w:sz w:val="20"/>
          <w:szCs w:val="20"/>
          <w:color w:val="auto"/>
        </w:rPr>
      </w:pPr>
      <w:r>
        <w:rPr>
          <w:rFonts w:ascii="Arial" w:cs="Arial" w:eastAsia="Arial" w:hAnsi="Arial"/>
          <w:sz w:val="18"/>
          <w:szCs w:val="18"/>
          <w:i w:val="1"/>
          <w:iCs w:val="1"/>
          <w:color w:val="auto"/>
        </w:rPr>
        <w:t>Employee leave benefits</w:t>
      </w:r>
    </w:p>
    <w:p>
      <w:pPr>
        <w:spacing w:after="0" w:line="117" w:lineRule="exact"/>
        <w:rPr>
          <w:sz w:val="20"/>
          <w:szCs w:val="20"/>
          <w:color w:val="auto"/>
        </w:rPr>
      </w:pPr>
    </w:p>
    <w:p>
      <w:pPr>
        <w:jc w:val="both"/>
        <w:ind w:left="200"/>
        <w:spacing w:after="0" w:line="312" w:lineRule="auto"/>
        <w:rPr>
          <w:sz w:val="20"/>
          <w:szCs w:val="20"/>
          <w:color w:val="auto"/>
        </w:rPr>
      </w:pPr>
      <w:r>
        <w:rPr>
          <w:rFonts w:ascii="Arial" w:cs="Arial" w:eastAsia="Arial" w:hAnsi="Arial"/>
          <w:sz w:val="16"/>
          <w:szCs w:val="16"/>
          <w:color w:val="auto"/>
        </w:rPr>
        <w:t>Liabilities for wages and salaries, including non-monetary benefits, annual leave and accumulating sick leave expected to be settled within 12 months of the reporting date are recognized in respect of employees’ services up to the reporting date. They are measured at the amounts expected to be paid when the liabilities are settled. Expenses for non-accumulating sick leave are recognized when the leave is taken and are measured at the rates paid or payable.</w:t>
      </w:r>
    </w:p>
    <w:p>
      <w:pPr>
        <w:spacing w:after="0" w:line="291" w:lineRule="exact"/>
        <w:rPr>
          <w:sz w:val="20"/>
          <w:szCs w:val="20"/>
          <w:color w:val="auto"/>
        </w:rPr>
      </w:pPr>
    </w:p>
    <w:p>
      <w:pPr>
        <w:ind w:left="640" w:hanging="436"/>
        <w:spacing w:after="0"/>
        <w:tabs>
          <w:tab w:leader="none" w:pos="640" w:val="left"/>
        </w:tabs>
        <w:numPr>
          <w:ilvl w:val="0"/>
          <w:numId w:val="105"/>
        </w:numPr>
        <w:rPr>
          <w:rFonts w:ascii="Arial" w:cs="Arial" w:eastAsia="Arial" w:hAnsi="Arial"/>
          <w:sz w:val="18"/>
          <w:szCs w:val="18"/>
          <w:b w:val="1"/>
          <w:bCs w:val="1"/>
          <w:color w:val="auto"/>
        </w:rPr>
      </w:pPr>
      <w:r>
        <w:rPr>
          <w:rFonts w:ascii="Arial" w:cs="Arial" w:eastAsia="Arial" w:hAnsi="Arial"/>
          <w:sz w:val="18"/>
          <w:szCs w:val="18"/>
          <w:b w:val="1"/>
          <w:bCs w:val="1"/>
          <w:color w:val="auto"/>
        </w:rPr>
        <w:t>Share-based payment transactions</w:t>
      </w:r>
    </w:p>
    <w:p>
      <w:pPr>
        <w:spacing w:after="0" w:line="121" w:lineRule="exact"/>
        <w:rPr>
          <w:sz w:val="20"/>
          <w:szCs w:val="20"/>
          <w:color w:val="auto"/>
        </w:rPr>
      </w:pPr>
    </w:p>
    <w:p>
      <w:pPr>
        <w:ind w:left="200" w:right="60"/>
        <w:spacing w:after="0" w:line="277" w:lineRule="auto"/>
        <w:rPr>
          <w:sz w:val="20"/>
          <w:szCs w:val="20"/>
          <w:color w:val="auto"/>
        </w:rPr>
      </w:pPr>
      <w:r>
        <w:rPr>
          <w:rFonts w:ascii="Arial" w:cs="Arial" w:eastAsia="Arial" w:hAnsi="Arial"/>
          <w:sz w:val="18"/>
          <w:szCs w:val="18"/>
          <w:color w:val="auto"/>
        </w:rPr>
        <w:t>The Company provides benefits to employees (including Key Management Personnel) in the form of share-based payments, whereby employees render services in exchange for shares or rights over shares (equity-settled transactions).</w:t>
      </w:r>
    </w:p>
    <w:p>
      <w:pPr>
        <w:spacing w:after="0" w:line="170" w:lineRule="exact"/>
        <w:rPr>
          <w:sz w:val="20"/>
          <w:szCs w:val="20"/>
          <w:color w:val="auto"/>
        </w:rPr>
      </w:pPr>
    </w:p>
    <w:p>
      <w:pPr>
        <w:ind w:left="200"/>
        <w:spacing w:after="0"/>
        <w:rPr>
          <w:sz w:val="20"/>
          <w:szCs w:val="20"/>
          <w:color w:val="auto"/>
        </w:rPr>
      </w:pPr>
      <w:r>
        <w:rPr>
          <w:rFonts w:ascii="Arial" w:cs="Arial" w:eastAsia="Arial" w:hAnsi="Arial"/>
          <w:sz w:val="18"/>
          <w:szCs w:val="18"/>
          <w:color w:val="auto"/>
        </w:rPr>
        <w:t>The Company has in place an Employee Share Option Plan (ESOP) which provides benefits to Senior Executives.</w:t>
      </w:r>
    </w:p>
    <w:p>
      <w:pPr>
        <w:spacing w:after="0" w:line="225" w:lineRule="exact"/>
        <w:rPr>
          <w:sz w:val="20"/>
          <w:szCs w:val="20"/>
          <w:color w:val="auto"/>
        </w:rPr>
      </w:pPr>
    </w:p>
    <w:p>
      <w:pPr>
        <w:ind w:left="200"/>
        <w:spacing w:after="0" w:line="277" w:lineRule="auto"/>
        <w:rPr>
          <w:sz w:val="20"/>
          <w:szCs w:val="20"/>
          <w:color w:val="auto"/>
        </w:rPr>
      </w:pPr>
      <w:r>
        <w:rPr>
          <w:rFonts w:ascii="Arial" w:cs="Arial" w:eastAsia="Arial" w:hAnsi="Arial"/>
          <w:sz w:val="18"/>
          <w:szCs w:val="18"/>
          <w:color w:val="auto"/>
        </w:rPr>
        <w:t>The cost of these equity-settled transactions with employees is measured by reference to the fair value of the equity instruments at the date at which they are granted. The fair value is determined by an external valuer using a binomial model.</w:t>
      </w:r>
    </w:p>
    <w:p>
      <w:pPr>
        <w:spacing w:after="0" w:line="170" w:lineRule="exact"/>
        <w:rPr>
          <w:sz w:val="20"/>
          <w:szCs w:val="20"/>
          <w:color w:val="auto"/>
        </w:rPr>
      </w:pPr>
    </w:p>
    <w:p>
      <w:pPr>
        <w:jc w:val="both"/>
        <w:ind w:left="200" w:right="120"/>
        <w:spacing w:after="0" w:line="264" w:lineRule="auto"/>
        <w:rPr>
          <w:sz w:val="20"/>
          <w:szCs w:val="20"/>
          <w:color w:val="auto"/>
        </w:rPr>
      </w:pPr>
      <w:r>
        <w:rPr>
          <w:rFonts w:ascii="Arial" w:cs="Arial" w:eastAsia="Arial" w:hAnsi="Arial"/>
          <w:sz w:val="18"/>
          <w:szCs w:val="18"/>
          <w:color w:val="auto"/>
        </w:rPr>
        <w:t>The cost of equity-settled transactions is recognized, together with a corresponding increase in equity, over the period in which the performance and/or service conditions are fulfilled (the vesting period), ending on the date on which the relevant employees become fully entitled to the award (the vesting date).</w:t>
      </w:r>
    </w:p>
    <w:p>
      <w:pPr>
        <w:spacing w:after="0" w:line="181" w:lineRule="exact"/>
        <w:rPr>
          <w:sz w:val="20"/>
          <w:szCs w:val="20"/>
          <w:color w:val="auto"/>
        </w:rPr>
      </w:pPr>
    </w:p>
    <w:p>
      <w:pPr>
        <w:ind w:left="200"/>
        <w:spacing w:after="0"/>
        <w:rPr>
          <w:sz w:val="20"/>
          <w:szCs w:val="20"/>
          <w:color w:val="auto"/>
        </w:rPr>
      </w:pPr>
      <w:r>
        <w:rPr>
          <w:rFonts w:ascii="Arial" w:cs="Arial" w:eastAsia="Arial" w:hAnsi="Arial"/>
          <w:sz w:val="18"/>
          <w:szCs w:val="18"/>
          <w:color w:val="auto"/>
        </w:rPr>
        <w:t>At each subsequent reporting date until vesting, the cumulative charge to profit or loss is the product of:</w:t>
      </w:r>
    </w:p>
    <w:p>
      <w:pPr>
        <w:spacing w:after="0" w:line="131" w:lineRule="exact"/>
        <w:rPr>
          <w:sz w:val="20"/>
          <w:szCs w:val="20"/>
          <w:color w:val="auto"/>
        </w:rPr>
      </w:pPr>
    </w:p>
    <w:p>
      <w:pPr>
        <w:ind w:left="1180" w:hanging="544"/>
        <w:spacing w:after="0"/>
        <w:tabs>
          <w:tab w:leader="none" w:pos="1180" w:val="left"/>
        </w:tabs>
        <w:numPr>
          <w:ilvl w:val="0"/>
          <w:numId w:val="106"/>
        </w:numPr>
        <w:rPr>
          <w:rFonts w:ascii="Arial" w:cs="Arial" w:eastAsia="Arial" w:hAnsi="Arial"/>
          <w:sz w:val="18"/>
          <w:szCs w:val="18"/>
          <w:color w:val="auto"/>
        </w:rPr>
      </w:pPr>
      <w:r>
        <w:rPr>
          <w:rFonts w:ascii="Arial" w:cs="Arial" w:eastAsia="Arial" w:hAnsi="Arial"/>
          <w:sz w:val="18"/>
          <w:szCs w:val="18"/>
          <w:color w:val="auto"/>
        </w:rPr>
        <w:t>the grant date fair value of the award;</w:t>
      </w:r>
    </w:p>
    <w:p>
      <w:pPr>
        <w:spacing w:after="0" w:line="130" w:lineRule="exact"/>
        <w:rPr>
          <w:rFonts w:ascii="Arial" w:cs="Arial" w:eastAsia="Arial" w:hAnsi="Arial"/>
          <w:sz w:val="18"/>
          <w:szCs w:val="18"/>
          <w:color w:val="auto"/>
        </w:rPr>
      </w:pPr>
    </w:p>
    <w:p>
      <w:pPr>
        <w:ind w:left="1180" w:right="280" w:hanging="544"/>
        <w:spacing w:after="0" w:line="277" w:lineRule="auto"/>
        <w:tabs>
          <w:tab w:leader="none" w:pos="1180" w:val="left"/>
        </w:tabs>
        <w:numPr>
          <w:ilvl w:val="0"/>
          <w:numId w:val="106"/>
        </w:numPr>
        <w:rPr>
          <w:rFonts w:ascii="Arial" w:cs="Arial" w:eastAsia="Arial" w:hAnsi="Arial"/>
          <w:sz w:val="18"/>
          <w:szCs w:val="18"/>
          <w:color w:val="auto"/>
        </w:rPr>
      </w:pPr>
      <w:r>
        <w:rPr>
          <w:rFonts w:ascii="Arial" w:cs="Arial" w:eastAsia="Arial" w:hAnsi="Arial"/>
          <w:sz w:val="18"/>
          <w:szCs w:val="18"/>
          <w:color w:val="auto"/>
        </w:rPr>
        <w:t>the current best estimate of the number of awards that will vest, taking into account such factors as the likelihood of employee turnover during the vesting period and the likelihood of non-market performance conditions being met; and</w:t>
      </w:r>
    </w:p>
    <w:p>
      <w:pPr>
        <w:spacing w:after="0" w:line="75" w:lineRule="exact"/>
        <w:rPr>
          <w:rFonts w:ascii="Arial" w:cs="Arial" w:eastAsia="Arial" w:hAnsi="Arial"/>
          <w:sz w:val="18"/>
          <w:szCs w:val="18"/>
          <w:color w:val="auto"/>
        </w:rPr>
      </w:pPr>
    </w:p>
    <w:p>
      <w:pPr>
        <w:ind w:left="1180" w:hanging="544"/>
        <w:spacing w:after="0"/>
        <w:tabs>
          <w:tab w:leader="none" w:pos="1180" w:val="left"/>
        </w:tabs>
        <w:numPr>
          <w:ilvl w:val="0"/>
          <w:numId w:val="106"/>
        </w:numPr>
        <w:rPr>
          <w:rFonts w:ascii="Arial" w:cs="Arial" w:eastAsia="Arial" w:hAnsi="Arial"/>
          <w:sz w:val="18"/>
          <w:szCs w:val="18"/>
          <w:color w:val="auto"/>
        </w:rPr>
      </w:pPr>
      <w:r>
        <w:rPr>
          <w:rFonts w:ascii="Arial" w:cs="Arial" w:eastAsia="Arial" w:hAnsi="Arial"/>
          <w:sz w:val="18"/>
          <w:szCs w:val="18"/>
          <w:color w:val="auto"/>
        </w:rPr>
        <w:t>the expired portion of the vesting period.</w:t>
      </w:r>
    </w:p>
    <w:p>
      <w:pPr>
        <w:spacing w:after="0" w:line="225" w:lineRule="exact"/>
        <w:rPr>
          <w:sz w:val="20"/>
          <w:szCs w:val="20"/>
          <w:color w:val="auto"/>
        </w:rPr>
      </w:pPr>
    </w:p>
    <w:p>
      <w:pPr>
        <w:ind w:left="200" w:right="80"/>
        <w:spacing w:after="0" w:line="277" w:lineRule="auto"/>
        <w:rPr>
          <w:sz w:val="20"/>
          <w:szCs w:val="20"/>
          <w:color w:val="auto"/>
        </w:rPr>
      </w:pPr>
      <w:r>
        <w:rPr>
          <w:rFonts w:ascii="Arial" w:cs="Arial" w:eastAsia="Arial" w:hAnsi="Arial"/>
          <w:sz w:val="18"/>
          <w:szCs w:val="18"/>
          <w:color w:val="auto"/>
        </w:rPr>
        <w:t>The charge to profit or loss for the period is the cumulative amount as calculated above less the amounts already charged in previous periods. There is a corresponding entry to equity.</w:t>
      </w:r>
    </w:p>
    <w:p>
      <w:pPr>
        <w:spacing w:after="0" w:line="103"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F-20</w:t>
      </w:r>
    </w:p>
    <w:p>
      <w:pPr>
        <w:sectPr>
          <w:pgSz w:w="11900" w:h="16838" w:orient="portrait"/>
          <w:cols w:equalWidth="0" w:num="1">
            <w:col w:w="11200"/>
          </w:cols>
          <w:pgMar w:left="240" w:top="459" w:right="459" w:bottom="1440" w:gutter="0" w:footer="0" w:header="0"/>
        </w:sectPr>
      </w:pPr>
    </w:p>
    <w:bookmarkStart w:id="119" w:name="page120"/>
    <w:bookmarkEnd w:id="11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6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279"/>
        <w:spacing w:after="0"/>
        <w:rPr>
          <w:sz w:val="20"/>
          <w:szCs w:val="20"/>
          <w:color w:val="auto"/>
        </w:rPr>
      </w:pPr>
      <w:r>
        <w:rPr>
          <w:rFonts w:ascii="Arial" w:cs="Arial" w:eastAsia="Arial" w:hAnsi="Arial"/>
          <w:sz w:val="18"/>
          <w:szCs w:val="18"/>
          <w:b w:val="1"/>
          <w:bCs w:val="1"/>
          <w:color w:val="auto"/>
        </w:rPr>
        <w:t>AVITA MEDICAL LIMITED</w:t>
      </w:r>
    </w:p>
    <w:p>
      <w:pPr>
        <w:spacing w:after="0" w:line="27" w:lineRule="exact"/>
        <w:rPr>
          <w:sz w:val="20"/>
          <w:szCs w:val="20"/>
          <w:color w:val="auto"/>
        </w:rPr>
      </w:pPr>
    </w:p>
    <w:p>
      <w:pPr>
        <w:jc w:val="center"/>
        <w:ind w:right="-279"/>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9" w:lineRule="exact"/>
        <w:rPr>
          <w:sz w:val="20"/>
          <w:szCs w:val="20"/>
          <w:color w:val="auto"/>
        </w:rPr>
      </w:pPr>
    </w:p>
    <w:p>
      <w:pPr>
        <w:jc w:val="center"/>
        <w:ind w:right="-279"/>
        <w:spacing w:after="0"/>
        <w:rPr>
          <w:sz w:val="20"/>
          <w:szCs w:val="20"/>
          <w:color w:val="auto"/>
        </w:rPr>
      </w:pPr>
      <w:r>
        <w:rPr>
          <w:rFonts w:ascii="Arial" w:cs="Arial" w:eastAsia="Arial" w:hAnsi="Arial"/>
          <w:sz w:val="18"/>
          <w:szCs w:val="18"/>
          <w:b w:val="1"/>
          <w:bCs w:val="1"/>
          <w:color w:val="auto"/>
        </w:rPr>
        <w:t>(IN AUSTRALIAN DOLLARS)</w:t>
      </w:r>
    </w:p>
    <w:p>
      <w:pPr>
        <w:spacing w:after="0" w:line="234" w:lineRule="exact"/>
        <w:rPr>
          <w:sz w:val="20"/>
          <w:szCs w:val="20"/>
          <w:color w:val="auto"/>
        </w:rPr>
      </w:pPr>
    </w:p>
    <w:p>
      <w:pPr>
        <w:ind w:left="640" w:hanging="436"/>
        <w:spacing w:after="0"/>
        <w:tabs>
          <w:tab w:leader="none" w:pos="640" w:val="left"/>
        </w:tabs>
        <w:numPr>
          <w:ilvl w:val="0"/>
          <w:numId w:val="107"/>
        </w:numPr>
        <w:rPr>
          <w:rFonts w:ascii="Arial" w:cs="Arial" w:eastAsia="Arial" w:hAnsi="Arial"/>
          <w:sz w:val="18"/>
          <w:szCs w:val="18"/>
          <w:b w:val="1"/>
          <w:bCs w:val="1"/>
          <w:color w:val="auto"/>
        </w:rPr>
      </w:pPr>
      <w:r>
        <w:rPr>
          <w:rFonts w:ascii="Arial" w:cs="Arial" w:eastAsia="Arial" w:hAnsi="Arial"/>
          <w:sz w:val="18"/>
          <w:szCs w:val="18"/>
          <w:b w:val="1"/>
          <w:bCs w:val="1"/>
          <w:color w:val="auto"/>
        </w:rPr>
        <w:t>SUMMARY OF SIGNIFICANT ACCOUNTING POLICIES (CONTINUED)</w:t>
      </w:r>
    </w:p>
    <w:p>
      <w:pPr>
        <w:spacing w:after="0" w:line="131" w:lineRule="exact"/>
        <w:rPr>
          <w:sz w:val="20"/>
          <w:szCs w:val="20"/>
          <w:color w:val="auto"/>
        </w:rPr>
      </w:pPr>
    </w:p>
    <w:p>
      <w:pPr>
        <w:ind w:left="640" w:hanging="436"/>
        <w:spacing w:after="0"/>
        <w:tabs>
          <w:tab w:leader="none" w:pos="640" w:val="left"/>
        </w:tabs>
        <w:numPr>
          <w:ilvl w:val="0"/>
          <w:numId w:val="108"/>
        </w:numPr>
        <w:rPr>
          <w:rFonts w:ascii="Arial" w:cs="Arial" w:eastAsia="Arial" w:hAnsi="Arial"/>
          <w:sz w:val="18"/>
          <w:szCs w:val="18"/>
          <w:b w:val="1"/>
          <w:bCs w:val="1"/>
          <w:color w:val="auto"/>
        </w:rPr>
      </w:pPr>
      <w:r>
        <w:rPr>
          <w:rFonts w:ascii="Arial" w:cs="Arial" w:eastAsia="Arial" w:hAnsi="Arial"/>
          <w:sz w:val="18"/>
          <w:szCs w:val="18"/>
          <w:b w:val="1"/>
          <w:bCs w:val="1"/>
          <w:color w:val="auto"/>
        </w:rPr>
        <w:t>Share-based payment transactions (continued)</w:t>
      </w:r>
    </w:p>
    <w:p>
      <w:pPr>
        <w:spacing w:after="0" w:line="135" w:lineRule="exact"/>
        <w:rPr>
          <w:sz w:val="20"/>
          <w:szCs w:val="20"/>
          <w:color w:val="auto"/>
        </w:rPr>
      </w:pPr>
    </w:p>
    <w:p>
      <w:pPr>
        <w:ind w:left="200" w:right="100"/>
        <w:spacing w:after="0" w:line="277" w:lineRule="auto"/>
        <w:rPr>
          <w:sz w:val="20"/>
          <w:szCs w:val="20"/>
          <w:color w:val="auto"/>
        </w:rPr>
      </w:pPr>
      <w:r>
        <w:rPr>
          <w:rFonts w:ascii="Arial" w:cs="Arial" w:eastAsia="Arial" w:hAnsi="Arial"/>
          <w:sz w:val="18"/>
          <w:szCs w:val="18"/>
          <w:color w:val="auto"/>
        </w:rPr>
        <w:t>The expense recognized by Avita Medical Limited in relation to equity-settled awards only represents the expense associated with grants to employees of the parent. The expense recognized by the Company is the total expense associated with all such awards.</w:t>
      </w:r>
    </w:p>
    <w:p>
      <w:pPr>
        <w:spacing w:after="0" w:line="170" w:lineRule="exact"/>
        <w:rPr>
          <w:sz w:val="20"/>
          <w:szCs w:val="20"/>
          <w:color w:val="auto"/>
        </w:rPr>
      </w:pPr>
    </w:p>
    <w:p>
      <w:pPr>
        <w:jc w:val="both"/>
        <w:ind w:left="200"/>
        <w:spacing w:after="0" w:line="264" w:lineRule="auto"/>
        <w:rPr>
          <w:sz w:val="20"/>
          <w:szCs w:val="20"/>
          <w:color w:val="auto"/>
        </w:rPr>
      </w:pPr>
      <w:r>
        <w:rPr>
          <w:rFonts w:ascii="Arial" w:cs="Arial" w:eastAsia="Arial" w:hAnsi="Arial"/>
          <w:sz w:val="18"/>
          <w:szCs w:val="18"/>
          <w:color w:val="auto"/>
        </w:rPr>
        <w:t>Until an award has vested, any amounts recorded are contingent and will be adjusted if more or fewer awards vest than were originally anticipated to do so. Any award subject to a market condition is considered to vest irrespective of whether or not that market condition is fulfilled, provided that all other conditions are satisfied.</w:t>
      </w:r>
    </w:p>
    <w:p>
      <w:pPr>
        <w:spacing w:after="0" w:line="181" w:lineRule="exact"/>
        <w:rPr>
          <w:sz w:val="20"/>
          <w:szCs w:val="20"/>
          <w:color w:val="auto"/>
        </w:rPr>
      </w:pPr>
    </w:p>
    <w:p>
      <w:pPr>
        <w:ind w:left="200" w:right="160"/>
        <w:spacing w:after="0" w:line="264" w:lineRule="auto"/>
        <w:rPr>
          <w:sz w:val="20"/>
          <w:szCs w:val="20"/>
          <w:color w:val="auto"/>
        </w:rPr>
      </w:pPr>
      <w:r>
        <w:rPr>
          <w:rFonts w:ascii="Arial" w:cs="Arial" w:eastAsia="Arial" w:hAnsi="Arial"/>
          <w:sz w:val="18"/>
          <w:szCs w:val="18"/>
          <w:color w:val="auto"/>
        </w:rPr>
        <w:t>If the terms of an equity-settled award are modified, as a minimum an expense is recognized as if the terms had not been modified. An additional expense is recognized for any modification that increases the total fair value of the share-based payment arrangement, or is otherwise beneficial to the employee, as measured at the date of modification.</w:t>
      </w:r>
    </w:p>
    <w:p>
      <w:pPr>
        <w:spacing w:after="0" w:line="181" w:lineRule="exact"/>
        <w:rPr>
          <w:sz w:val="20"/>
          <w:szCs w:val="20"/>
          <w:color w:val="auto"/>
        </w:rPr>
      </w:pPr>
    </w:p>
    <w:p>
      <w:pPr>
        <w:jc w:val="both"/>
        <w:ind w:left="200" w:right="260"/>
        <w:spacing w:after="0" w:line="312" w:lineRule="auto"/>
        <w:rPr>
          <w:sz w:val="20"/>
          <w:szCs w:val="20"/>
          <w:color w:val="auto"/>
        </w:rPr>
      </w:pPr>
      <w:r>
        <w:rPr>
          <w:rFonts w:ascii="Arial" w:cs="Arial" w:eastAsia="Arial" w:hAnsi="Arial"/>
          <w:sz w:val="16"/>
          <w:szCs w:val="16"/>
          <w:color w:val="auto"/>
        </w:rPr>
        <w:t>If an equity-settled award is cancelled, it is treated as if it had vested on the date of cancellation, and any expense not yet recognized for the award is recognized immediately. However, if a new award is substituted for the cancelled award and designated as a replacement award on the date that it is granted, the cancelled and new award are treated as if they were a modification of the original award, as described in the previous paragraph.</w:t>
      </w:r>
    </w:p>
    <w:p>
      <w:pPr>
        <w:spacing w:after="0" w:line="147" w:lineRule="exact"/>
        <w:rPr>
          <w:sz w:val="20"/>
          <w:szCs w:val="20"/>
          <w:color w:val="auto"/>
        </w:rPr>
      </w:pPr>
    </w:p>
    <w:p>
      <w:pPr>
        <w:ind w:left="200"/>
        <w:spacing w:after="0"/>
        <w:rPr>
          <w:sz w:val="20"/>
          <w:szCs w:val="20"/>
          <w:color w:val="auto"/>
        </w:rPr>
      </w:pPr>
      <w:r>
        <w:rPr>
          <w:rFonts w:ascii="Arial" w:cs="Arial" w:eastAsia="Arial" w:hAnsi="Arial"/>
          <w:sz w:val="18"/>
          <w:szCs w:val="18"/>
          <w:color w:val="auto"/>
        </w:rPr>
        <w:t>The dilutive effect, if any, of outstanding options is reflected as additional share dilution in the computation of diluted earnings per share.</w:t>
      </w:r>
    </w:p>
    <w:p>
      <w:pPr>
        <w:spacing w:after="0" w:line="370" w:lineRule="exact"/>
        <w:rPr>
          <w:sz w:val="20"/>
          <w:szCs w:val="20"/>
          <w:color w:val="auto"/>
        </w:rPr>
      </w:pPr>
    </w:p>
    <w:p>
      <w:pPr>
        <w:ind w:left="640" w:hanging="436"/>
        <w:spacing w:after="0"/>
        <w:tabs>
          <w:tab w:leader="none" w:pos="640" w:val="left"/>
        </w:tabs>
        <w:numPr>
          <w:ilvl w:val="0"/>
          <w:numId w:val="109"/>
        </w:numPr>
        <w:rPr>
          <w:rFonts w:ascii="Arial" w:cs="Arial" w:eastAsia="Arial" w:hAnsi="Arial"/>
          <w:sz w:val="18"/>
          <w:szCs w:val="18"/>
          <w:b w:val="1"/>
          <w:bCs w:val="1"/>
          <w:color w:val="auto"/>
        </w:rPr>
      </w:pPr>
      <w:r>
        <w:rPr>
          <w:rFonts w:ascii="Arial" w:cs="Arial" w:eastAsia="Arial" w:hAnsi="Arial"/>
          <w:sz w:val="18"/>
          <w:szCs w:val="18"/>
          <w:b w:val="1"/>
          <w:bCs w:val="1"/>
          <w:color w:val="auto"/>
        </w:rPr>
        <w:t>Contributed equity</w:t>
      </w:r>
    </w:p>
    <w:p>
      <w:pPr>
        <w:spacing w:after="0" w:line="121" w:lineRule="exact"/>
        <w:rPr>
          <w:sz w:val="20"/>
          <w:szCs w:val="20"/>
          <w:color w:val="auto"/>
        </w:rPr>
      </w:pPr>
    </w:p>
    <w:p>
      <w:pPr>
        <w:ind w:left="200" w:right="100"/>
        <w:spacing w:after="0" w:line="277" w:lineRule="auto"/>
        <w:rPr>
          <w:sz w:val="20"/>
          <w:szCs w:val="20"/>
          <w:color w:val="auto"/>
        </w:rPr>
      </w:pPr>
      <w:r>
        <w:rPr>
          <w:rFonts w:ascii="Arial" w:cs="Arial" w:eastAsia="Arial" w:hAnsi="Arial"/>
          <w:sz w:val="18"/>
          <w:szCs w:val="18"/>
          <w:color w:val="auto"/>
        </w:rPr>
        <w:t>Ordinary shares are classified as equity. Incremental costs directly attributable to the issue of new shares or options are shown in equity as a deduction, net of tax, from the proceeds.</w:t>
      </w:r>
    </w:p>
    <w:p>
      <w:pPr>
        <w:spacing w:after="0" w:line="170" w:lineRule="exact"/>
        <w:rPr>
          <w:sz w:val="20"/>
          <w:szCs w:val="20"/>
          <w:color w:val="auto"/>
        </w:rPr>
      </w:pPr>
    </w:p>
    <w:p>
      <w:pPr>
        <w:ind w:left="200" w:right="680"/>
        <w:spacing w:after="0" w:line="277" w:lineRule="auto"/>
        <w:rPr>
          <w:sz w:val="20"/>
          <w:szCs w:val="20"/>
          <w:color w:val="auto"/>
        </w:rPr>
      </w:pPr>
      <w:r>
        <w:rPr>
          <w:rFonts w:ascii="Arial" w:cs="Arial" w:eastAsia="Arial" w:hAnsi="Arial"/>
          <w:sz w:val="18"/>
          <w:szCs w:val="18"/>
          <w:color w:val="auto"/>
        </w:rPr>
        <w:t>Basic loss per share is calculated as net loss attributable to members of the parent, adjusted to exclude any costs of servicing equity (other than dividends), divided by the weighted average number of ordinary shares.</w:t>
      </w:r>
    </w:p>
    <w:p>
      <w:pPr>
        <w:spacing w:after="0" w:line="170" w:lineRule="exact"/>
        <w:rPr>
          <w:sz w:val="20"/>
          <w:szCs w:val="20"/>
          <w:color w:val="auto"/>
        </w:rPr>
      </w:pPr>
    </w:p>
    <w:p>
      <w:pPr>
        <w:ind w:left="200"/>
        <w:spacing w:after="0"/>
        <w:rPr>
          <w:sz w:val="20"/>
          <w:szCs w:val="20"/>
          <w:color w:val="auto"/>
        </w:rPr>
      </w:pPr>
      <w:r>
        <w:rPr>
          <w:rFonts w:ascii="Arial" w:cs="Arial" w:eastAsia="Arial" w:hAnsi="Arial"/>
          <w:sz w:val="18"/>
          <w:szCs w:val="18"/>
          <w:color w:val="auto"/>
        </w:rPr>
        <w:t>Diluted loss per share is calculated as net loss attributable to members of the parent, adjusted for:</w:t>
      </w:r>
    </w:p>
    <w:p>
      <w:pPr>
        <w:spacing w:after="0" w:line="131" w:lineRule="exact"/>
        <w:rPr>
          <w:sz w:val="20"/>
          <w:szCs w:val="20"/>
          <w:color w:val="auto"/>
        </w:rPr>
      </w:pPr>
    </w:p>
    <w:p>
      <w:pPr>
        <w:ind w:left="1180" w:hanging="436"/>
        <w:spacing w:after="0"/>
        <w:tabs>
          <w:tab w:leader="none" w:pos="1180" w:val="left"/>
        </w:tabs>
        <w:numPr>
          <w:ilvl w:val="1"/>
          <w:numId w:val="110"/>
        </w:numPr>
        <w:rPr>
          <w:rFonts w:ascii="Arial" w:cs="Arial" w:eastAsia="Arial" w:hAnsi="Arial"/>
          <w:sz w:val="18"/>
          <w:szCs w:val="18"/>
          <w:color w:val="auto"/>
        </w:rPr>
      </w:pPr>
      <w:r>
        <w:rPr>
          <w:rFonts w:ascii="Arial" w:cs="Arial" w:eastAsia="Arial" w:hAnsi="Arial"/>
          <w:sz w:val="18"/>
          <w:szCs w:val="18"/>
          <w:color w:val="auto"/>
        </w:rPr>
        <w:t>costs of servicing equity (other than dividends);</w:t>
      </w:r>
    </w:p>
    <w:p>
      <w:pPr>
        <w:spacing w:after="0" w:line="130" w:lineRule="exact"/>
        <w:rPr>
          <w:rFonts w:ascii="Arial" w:cs="Arial" w:eastAsia="Arial" w:hAnsi="Arial"/>
          <w:sz w:val="18"/>
          <w:szCs w:val="18"/>
          <w:color w:val="auto"/>
        </w:rPr>
      </w:pPr>
    </w:p>
    <w:p>
      <w:pPr>
        <w:ind w:left="1180" w:hanging="436"/>
        <w:spacing w:after="0"/>
        <w:tabs>
          <w:tab w:leader="none" w:pos="1180" w:val="left"/>
        </w:tabs>
        <w:numPr>
          <w:ilvl w:val="1"/>
          <w:numId w:val="110"/>
        </w:numPr>
        <w:rPr>
          <w:rFonts w:ascii="Arial" w:cs="Arial" w:eastAsia="Arial" w:hAnsi="Arial"/>
          <w:sz w:val="16"/>
          <w:szCs w:val="16"/>
          <w:color w:val="auto"/>
        </w:rPr>
      </w:pPr>
      <w:r>
        <w:rPr>
          <w:rFonts w:ascii="Arial" w:cs="Arial" w:eastAsia="Arial" w:hAnsi="Arial"/>
          <w:sz w:val="16"/>
          <w:szCs w:val="16"/>
          <w:color w:val="auto"/>
        </w:rPr>
        <w:t>the after-tax effect of dividends and interest associated with dilutive potential ordinary shares that have been recognized as expenses; and</w:t>
      </w:r>
    </w:p>
    <w:p>
      <w:pPr>
        <w:spacing w:after="0" w:line="153" w:lineRule="exact"/>
        <w:rPr>
          <w:rFonts w:ascii="Arial" w:cs="Arial" w:eastAsia="Arial" w:hAnsi="Arial"/>
          <w:sz w:val="16"/>
          <w:szCs w:val="16"/>
          <w:color w:val="auto"/>
        </w:rPr>
      </w:pPr>
    </w:p>
    <w:p>
      <w:pPr>
        <w:ind w:left="1180" w:hanging="436"/>
        <w:spacing w:after="0"/>
        <w:tabs>
          <w:tab w:leader="none" w:pos="1180" w:val="left"/>
        </w:tabs>
        <w:numPr>
          <w:ilvl w:val="1"/>
          <w:numId w:val="110"/>
        </w:numPr>
        <w:rPr>
          <w:rFonts w:ascii="Arial" w:cs="Arial" w:eastAsia="Arial" w:hAnsi="Arial"/>
          <w:sz w:val="16"/>
          <w:szCs w:val="16"/>
          <w:color w:val="auto"/>
        </w:rPr>
      </w:pPr>
      <w:r>
        <w:rPr>
          <w:rFonts w:ascii="Arial" w:cs="Arial" w:eastAsia="Arial" w:hAnsi="Arial"/>
          <w:sz w:val="16"/>
          <w:szCs w:val="16"/>
          <w:color w:val="auto"/>
        </w:rPr>
        <w:t>other non-discretionary changes in revenues or expenses during the year that would result from the dilution of potential ordinary shares;</w:t>
      </w:r>
    </w:p>
    <w:p>
      <w:pPr>
        <w:spacing w:after="0" w:line="153" w:lineRule="exact"/>
        <w:rPr>
          <w:rFonts w:ascii="Arial" w:cs="Arial" w:eastAsia="Arial" w:hAnsi="Arial"/>
          <w:sz w:val="16"/>
          <w:szCs w:val="16"/>
          <w:color w:val="auto"/>
        </w:rPr>
      </w:pPr>
    </w:p>
    <w:p>
      <w:pPr>
        <w:ind w:left="1180" w:hanging="436"/>
        <w:spacing w:after="0"/>
        <w:tabs>
          <w:tab w:leader="none" w:pos="1180" w:val="left"/>
        </w:tabs>
        <w:numPr>
          <w:ilvl w:val="1"/>
          <w:numId w:val="110"/>
        </w:numPr>
        <w:rPr>
          <w:rFonts w:ascii="Arial" w:cs="Arial" w:eastAsia="Arial" w:hAnsi="Arial"/>
          <w:sz w:val="17"/>
          <w:szCs w:val="17"/>
          <w:color w:val="auto"/>
        </w:rPr>
      </w:pPr>
      <w:r>
        <w:rPr>
          <w:rFonts w:ascii="Arial" w:cs="Arial" w:eastAsia="Arial" w:hAnsi="Arial"/>
          <w:sz w:val="17"/>
          <w:szCs w:val="17"/>
          <w:color w:val="auto"/>
        </w:rPr>
        <w:t>divided by the weighted average number of ordinary shares and dilutive potential ordinary shares, adjusted for any bonus element.</w:t>
      </w:r>
    </w:p>
    <w:p>
      <w:pPr>
        <w:spacing w:after="0" w:line="381" w:lineRule="exact"/>
        <w:rPr>
          <w:rFonts w:ascii="Arial" w:cs="Arial" w:eastAsia="Arial" w:hAnsi="Arial"/>
          <w:sz w:val="17"/>
          <w:szCs w:val="17"/>
          <w:color w:val="auto"/>
        </w:rPr>
      </w:pPr>
    </w:p>
    <w:p>
      <w:pPr>
        <w:ind w:left="640" w:hanging="436"/>
        <w:spacing w:after="0"/>
        <w:tabs>
          <w:tab w:leader="none" w:pos="640" w:val="left"/>
        </w:tabs>
        <w:numPr>
          <w:ilvl w:val="0"/>
          <w:numId w:val="110"/>
        </w:numPr>
        <w:rPr>
          <w:rFonts w:ascii="Arial" w:cs="Arial" w:eastAsia="Arial" w:hAnsi="Arial"/>
          <w:sz w:val="18"/>
          <w:szCs w:val="18"/>
          <w:b w:val="1"/>
          <w:bCs w:val="1"/>
          <w:color w:val="auto"/>
        </w:rPr>
      </w:pPr>
      <w:r>
        <w:rPr>
          <w:rFonts w:ascii="Arial" w:cs="Arial" w:eastAsia="Arial" w:hAnsi="Arial"/>
          <w:sz w:val="18"/>
          <w:szCs w:val="18"/>
          <w:b w:val="1"/>
          <w:bCs w:val="1"/>
          <w:color w:val="auto"/>
        </w:rPr>
        <w:t>Research and development costs</w:t>
      </w:r>
    </w:p>
    <w:p>
      <w:pPr>
        <w:spacing w:after="0" w:line="121" w:lineRule="exact"/>
        <w:rPr>
          <w:sz w:val="20"/>
          <w:szCs w:val="20"/>
          <w:color w:val="auto"/>
        </w:rPr>
      </w:pPr>
    </w:p>
    <w:p>
      <w:pPr>
        <w:ind w:left="200" w:right="140"/>
        <w:spacing w:after="0" w:line="308" w:lineRule="auto"/>
        <w:rPr>
          <w:sz w:val="20"/>
          <w:szCs w:val="20"/>
          <w:color w:val="auto"/>
        </w:rPr>
      </w:pPr>
      <w:r>
        <w:rPr>
          <w:rFonts w:ascii="Arial" w:cs="Arial" w:eastAsia="Arial" w:hAnsi="Arial"/>
          <w:sz w:val="17"/>
          <w:szCs w:val="17"/>
          <w:color w:val="auto"/>
        </w:rPr>
        <w:t>Expenditures during the research phase of a project are recognized as expenses when incurred. Development costs are capitalized only when technical feasibility studies identify that the project is expected to deliver future economic benefits and these benefits can be measured reliably.</w:t>
      </w:r>
    </w:p>
    <w:p>
      <w:pPr>
        <w:spacing w:after="0" w:line="79" w:lineRule="exact"/>
        <w:rPr>
          <w:sz w:val="20"/>
          <w:szCs w:val="20"/>
          <w:color w:val="auto"/>
        </w:rPr>
      </w:pPr>
    </w:p>
    <w:p>
      <w:pPr>
        <w:jc w:val="center"/>
        <w:ind w:right="-279"/>
        <w:spacing w:after="0"/>
        <w:rPr>
          <w:sz w:val="20"/>
          <w:szCs w:val="20"/>
          <w:color w:val="auto"/>
        </w:rPr>
      </w:pPr>
      <w:r>
        <w:rPr>
          <w:rFonts w:ascii="Arial" w:cs="Arial" w:eastAsia="Arial" w:hAnsi="Arial"/>
          <w:sz w:val="18"/>
          <w:szCs w:val="18"/>
          <w:color w:val="auto"/>
        </w:rPr>
        <w:t>F-21</w:t>
      </w:r>
    </w:p>
    <w:p>
      <w:pPr>
        <w:sectPr>
          <w:pgSz w:w="11900" w:h="16838" w:orient="portrait"/>
          <w:cols w:equalWidth="0" w:num="1">
            <w:col w:w="11160"/>
          </w:cols>
          <w:pgMar w:left="240" w:top="459" w:right="499" w:bottom="1440" w:gutter="0" w:footer="0" w:header="0"/>
        </w:sectPr>
      </w:pPr>
    </w:p>
    <w:bookmarkStart w:id="120" w:name="page121"/>
    <w:bookmarkEnd w:id="12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6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239"/>
        <w:spacing w:after="0"/>
        <w:rPr>
          <w:sz w:val="20"/>
          <w:szCs w:val="20"/>
          <w:color w:val="auto"/>
        </w:rPr>
      </w:pPr>
      <w:r>
        <w:rPr>
          <w:rFonts w:ascii="Arial" w:cs="Arial" w:eastAsia="Arial" w:hAnsi="Arial"/>
          <w:sz w:val="18"/>
          <w:szCs w:val="18"/>
          <w:b w:val="1"/>
          <w:bCs w:val="1"/>
          <w:color w:val="auto"/>
        </w:rPr>
        <w:t>AVITA MEDICAL LIMITED</w:t>
      </w:r>
    </w:p>
    <w:p>
      <w:pPr>
        <w:spacing w:after="0" w:line="27" w:lineRule="exact"/>
        <w:rPr>
          <w:sz w:val="20"/>
          <w:szCs w:val="20"/>
          <w:color w:val="auto"/>
        </w:rPr>
      </w:pPr>
    </w:p>
    <w:p>
      <w:pPr>
        <w:jc w:val="center"/>
        <w:ind w:right="-239"/>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9" w:lineRule="exact"/>
        <w:rPr>
          <w:sz w:val="20"/>
          <w:szCs w:val="20"/>
          <w:color w:val="auto"/>
        </w:rPr>
      </w:pPr>
    </w:p>
    <w:p>
      <w:pPr>
        <w:jc w:val="center"/>
        <w:ind w:right="-239"/>
        <w:spacing w:after="0"/>
        <w:rPr>
          <w:sz w:val="20"/>
          <w:szCs w:val="20"/>
          <w:color w:val="auto"/>
        </w:rPr>
      </w:pPr>
      <w:r>
        <w:rPr>
          <w:rFonts w:ascii="Arial" w:cs="Arial" w:eastAsia="Arial" w:hAnsi="Arial"/>
          <w:sz w:val="18"/>
          <w:szCs w:val="18"/>
          <w:b w:val="1"/>
          <w:bCs w:val="1"/>
          <w:color w:val="auto"/>
        </w:rPr>
        <w:t>(IN AUSTRALIAN DOLLARS)</w:t>
      </w:r>
    </w:p>
    <w:p>
      <w:pPr>
        <w:spacing w:after="0" w:line="234" w:lineRule="exact"/>
        <w:rPr>
          <w:sz w:val="20"/>
          <w:szCs w:val="20"/>
          <w:color w:val="auto"/>
        </w:rPr>
      </w:pPr>
    </w:p>
    <w:p>
      <w:pPr>
        <w:ind w:left="640" w:hanging="436"/>
        <w:spacing w:after="0"/>
        <w:tabs>
          <w:tab w:leader="none" w:pos="640" w:val="left"/>
        </w:tabs>
        <w:numPr>
          <w:ilvl w:val="0"/>
          <w:numId w:val="111"/>
        </w:numPr>
        <w:rPr>
          <w:rFonts w:ascii="Arial" w:cs="Arial" w:eastAsia="Arial" w:hAnsi="Arial"/>
          <w:sz w:val="18"/>
          <w:szCs w:val="18"/>
          <w:b w:val="1"/>
          <w:bCs w:val="1"/>
          <w:color w:val="auto"/>
        </w:rPr>
      </w:pPr>
      <w:r>
        <w:rPr>
          <w:rFonts w:ascii="Arial" w:cs="Arial" w:eastAsia="Arial" w:hAnsi="Arial"/>
          <w:sz w:val="18"/>
          <w:szCs w:val="18"/>
          <w:b w:val="1"/>
          <w:bCs w:val="1"/>
          <w:color w:val="auto"/>
        </w:rPr>
        <w:t>SUMMARY OF SIGNIFICANT ACCOUNTING POLICIES (CONTINUED)</w:t>
      </w:r>
    </w:p>
    <w:p>
      <w:pPr>
        <w:spacing w:after="0" w:line="131" w:lineRule="exact"/>
        <w:rPr>
          <w:sz w:val="20"/>
          <w:szCs w:val="20"/>
          <w:color w:val="auto"/>
        </w:rPr>
      </w:pPr>
    </w:p>
    <w:p>
      <w:pPr>
        <w:ind w:left="640" w:hanging="436"/>
        <w:spacing w:after="0"/>
        <w:tabs>
          <w:tab w:leader="none" w:pos="640" w:val="left"/>
        </w:tabs>
        <w:numPr>
          <w:ilvl w:val="0"/>
          <w:numId w:val="112"/>
        </w:numPr>
        <w:rPr>
          <w:rFonts w:ascii="Arial" w:cs="Arial" w:eastAsia="Arial" w:hAnsi="Arial"/>
          <w:sz w:val="18"/>
          <w:szCs w:val="18"/>
          <w:b w:val="1"/>
          <w:bCs w:val="1"/>
          <w:color w:val="auto"/>
        </w:rPr>
      </w:pPr>
      <w:r>
        <w:rPr>
          <w:rFonts w:ascii="Arial" w:cs="Arial" w:eastAsia="Arial" w:hAnsi="Arial"/>
          <w:sz w:val="18"/>
          <w:szCs w:val="18"/>
          <w:b w:val="1"/>
          <w:bCs w:val="1"/>
          <w:color w:val="auto"/>
        </w:rPr>
        <w:t>Research and development costs (continued)</w:t>
      </w:r>
    </w:p>
    <w:p>
      <w:pPr>
        <w:spacing w:after="0" w:line="135" w:lineRule="exact"/>
        <w:rPr>
          <w:sz w:val="20"/>
          <w:szCs w:val="20"/>
          <w:color w:val="auto"/>
        </w:rPr>
      </w:pPr>
    </w:p>
    <w:p>
      <w:pPr>
        <w:ind w:left="200" w:right="60"/>
        <w:spacing w:after="0" w:line="277" w:lineRule="auto"/>
        <w:rPr>
          <w:sz w:val="20"/>
          <w:szCs w:val="20"/>
          <w:color w:val="auto"/>
        </w:rPr>
      </w:pPr>
      <w:r>
        <w:rPr>
          <w:rFonts w:ascii="Arial" w:cs="Arial" w:eastAsia="Arial" w:hAnsi="Arial"/>
          <w:sz w:val="18"/>
          <w:szCs w:val="18"/>
          <w:color w:val="auto"/>
        </w:rPr>
        <w:t>Capitalized development costs have a finite useful life and amortized on a systematic basis based on the future economic benefits over the useful life of the project.</w:t>
      </w:r>
    </w:p>
    <w:p>
      <w:pPr>
        <w:spacing w:after="0" w:line="315" w:lineRule="exact"/>
        <w:rPr>
          <w:sz w:val="20"/>
          <w:szCs w:val="20"/>
          <w:color w:val="auto"/>
        </w:rPr>
      </w:pPr>
    </w:p>
    <w:p>
      <w:pPr>
        <w:ind w:left="640" w:hanging="436"/>
        <w:spacing w:after="0"/>
        <w:tabs>
          <w:tab w:leader="none" w:pos="640" w:val="left"/>
        </w:tabs>
        <w:numPr>
          <w:ilvl w:val="0"/>
          <w:numId w:val="113"/>
        </w:numPr>
        <w:rPr>
          <w:rFonts w:ascii="Arial" w:cs="Arial" w:eastAsia="Arial" w:hAnsi="Arial"/>
          <w:sz w:val="18"/>
          <w:szCs w:val="18"/>
          <w:b w:val="1"/>
          <w:bCs w:val="1"/>
          <w:color w:val="auto"/>
        </w:rPr>
      </w:pPr>
      <w:r>
        <w:rPr>
          <w:rFonts w:ascii="Arial" w:cs="Arial" w:eastAsia="Arial" w:hAnsi="Arial"/>
          <w:sz w:val="18"/>
          <w:szCs w:val="18"/>
          <w:b w:val="1"/>
          <w:bCs w:val="1"/>
          <w:color w:val="auto"/>
        </w:rPr>
        <w:t>Going concern</w:t>
      </w:r>
    </w:p>
    <w:p>
      <w:pPr>
        <w:spacing w:after="0" w:line="121" w:lineRule="exact"/>
        <w:rPr>
          <w:sz w:val="20"/>
          <w:szCs w:val="20"/>
          <w:color w:val="auto"/>
        </w:rPr>
      </w:pPr>
    </w:p>
    <w:p>
      <w:pPr>
        <w:ind w:left="200" w:right="220"/>
        <w:spacing w:after="0" w:line="259" w:lineRule="auto"/>
        <w:rPr>
          <w:sz w:val="20"/>
          <w:szCs w:val="20"/>
          <w:color w:val="auto"/>
        </w:rPr>
      </w:pPr>
      <w:r>
        <w:rPr>
          <w:rFonts w:ascii="Arial" w:cs="Arial" w:eastAsia="Arial" w:hAnsi="Arial"/>
          <w:sz w:val="18"/>
          <w:szCs w:val="18"/>
          <w:color w:val="auto"/>
        </w:rPr>
        <w:t>These financial statements have been prepared on the basis of going concern, which contemplates the continuity of normal business activities and the realization of assets and settlement of liabilities in the ordinary course of business. During the financial year ended June 30, 2018, the Company has generated a loss for the period of A$16,519,155 (2017: A$11,511,024 and 2016: A$7,778,015) and the Company has used cash in operations of A$16,372,024 (2017: A$8,557,524 and 2016: A$7,938,557).</w:t>
      </w:r>
    </w:p>
    <w:p>
      <w:pPr>
        <w:spacing w:after="0" w:line="187" w:lineRule="exact"/>
        <w:rPr>
          <w:sz w:val="20"/>
          <w:szCs w:val="20"/>
          <w:color w:val="auto"/>
        </w:rPr>
      </w:pPr>
    </w:p>
    <w:p>
      <w:pPr>
        <w:ind w:left="200" w:right="200"/>
        <w:spacing w:after="0" w:line="286" w:lineRule="auto"/>
        <w:rPr>
          <w:sz w:val="20"/>
          <w:szCs w:val="20"/>
          <w:color w:val="auto"/>
        </w:rPr>
      </w:pPr>
      <w:r>
        <w:rPr>
          <w:rFonts w:ascii="Arial" w:cs="Arial" w:eastAsia="Arial" w:hAnsi="Arial"/>
          <w:sz w:val="17"/>
          <w:szCs w:val="17"/>
          <w:color w:val="auto"/>
        </w:rPr>
        <w:t>During the year ended June 30, 2018 and subsequent to year end, the Company completed a series of equity transactions totaling gross proceeds of A$74,775,545 which were used to fund operations. Of the total gross proceeds, A$29,760,645 was received in transactions completed during the year ended June 30, 2018, and A$45,014,900 was received in transactions completely subsequent to June 30, 2018.</w:t>
      </w:r>
    </w:p>
    <w:p>
      <w:pPr>
        <w:spacing w:after="0" w:line="166" w:lineRule="exact"/>
        <w:rPr>
          <w:sz w:val="20"/>
          <w:szCs w:val="20"/>
          <w:color w:val="auto"/>
        </w:rPr>
      </w:pPr>
    </w:p>
    <w:p>
      <w:pPr>
        <w:ind w:left="200"/>
        <w:spacing w:after="0"/>
        <w:rPr>
          <w:sz w:val="20"/>
          <w:szCs w:val="20"/>
          <w:color w:val="auto"/>
        </w:rPr>
      </w:pPr>
      <w:r>
        <w:rPr>
          <w:rFonts w:ascii="Arial" w:cs="Arial" w:eastAsia="Arial" w:hAnsi="Arial"/>
          <w:sz w:val="17"/>
          <w:szCs w:val="17"/>
          <w:color w:val="auto"/>
        </w:rPr>
        <w:t>On October 11, 2017 the Company completed a placement of 100,982,978 fully paid ordinary shares at a price of A$0.045 per share raising gross</w:t>
      </w:r>
    </w:p>
    <w:p>
      <w:pPr>
        <w:spacing w:after="0" w:line="35" w:lineRule="exact"/>
        <w:rPr>
          <w:sz w:val="20"/>
          <w:szCs w:val="20"/>
          <w:color w:val="auto"/>
        </w:rPr>
      </w:pPr>
    </w:p>
    <w:p>
      <w:pPr>
        <w:ind w:left="200"/>
        <w:spacing w:after="0"/>
        <w:rPr>
          <w:sz w:val="20"/>
          <w:szCs w:val="20"/>
          <w:color w:val="auto"/>
        </w:rPr>
      </w:pPr>
      <w:r>
        <w:rPr>
          <w:rFonts w:ascii="Arial" w:cs="Arial" w:eastAsia="Arial" w:hAnsi="Arial"/>
          <w:sz w:val="17"/>
          <w:szCs w:val="17"/>
          <w:color w:val="auto"/>
        </w:rPr>
        <w:t>proceeds of A$4,544,234. On November 7, 2017 the Company completed a rights offering of 276,502,853 fully paid ordinary shares at a price of</w:t>
      </w:r>
    </w:p>
    <w:p>
      <w:pPr>
        <w:spacing w:after="0" w:line="21" w:lineRule="exact"/>
        <w:rPr>
          <w:sz w:val="20"/>
          <w:szCs w:val="20"/>
          <w:color w:val="auto"/>
        </w:rPr>
      </w:pPr>
    </w:p>
    <w:p>
      <w:pPr>
        <w:ind w:left="200"/>
        <w:spacing w:after="0"/>
        <w:rPr>
          <w:sz w:val="20"/>
          <w:szCs w:val="20"/>
          <w:color w:val="auto"/>
        </w:rPr>
      </w:pPr>
      <w:r>
        <w:rPr>
          <w:rFonts w:ascii="Arial" w:cs="Arial" w:eastAsia="Arial" w:hAnsi="Arial"/>
          <w:sz w:val="16"/>
          <w:szCs w:val="16"/>
          <w:color w:val="auto"/>
        </w:rPr>
        <w:t>A$0.045 per share raising gross proceeds of A$12,442,628. On June 6, 2018 the Company completed the first tranche of an institutional placement in</w:t>
      </w:r>
    </w:p>
    <w:p>
      <w:pPr>
        <w:spacing w:after="0" w:line="32" w:lineRule="exact"/>
        <w:rPr>
          <w:sz w:val="20"/>
          <w:szCs w:val="20"/>
          <w:color w:val="auto"/>
        </w:rPr>
      </w:pPr>
    </w:p>
    <w:p>
      <w:pPr>
        <w:ind w:left="200"/>
        <w:spacing w:after="0"/>
        <w:rPr>
          <w:sz w:val="20"/>
          <w:szCs w:val="20"/>
          <w:color w:val="auto"/>
        </w:rPr>
      </w:pPr>
      <w:r>
        <w:rPr>
          <w:rFonts w:ascii="Arial" w:cs="Arial" w:eastAsia="Arial" w:hAnsi="Arial"/>
          <w:sz w:val="17"/>
          <w:szCs w:val="17"/>
          <w:color w:val="auto"/>
        </w:rPr>
        <w:t>which it issued 255,475,665 fully paid ordinary shares at a price of A$0.050 per share raising gross proceeds of A$12,773,783. The institutional</w:t>
      </w:r>
    </w:p>
    <w:p>
      <w:pPr>
        <w:spacing w:after="0" w:line="21" w:lineRule="exact"/>
        <w:rPr>
          <w:sz w:val="20"/>
          <w:szCs w:val="20"/>
          <w:color w:val="auto"/>
        </w:rPr>
      </w:pPr>
    </w:p>
    <w:p>
      <w:pPr>
        <w:ind w:left="200"/>
        <w:spacing w:after="0"/>
        <w:rPr>
          <w:sz w:val="20"/>
          <w:szCs w:val="20"/>
          <w:color w:val="auto"/>
        </w:rPr>
      </w:pPr>
      <w:r>
        <w:rPr>
          <w:rFonts w:ascii="Arial" w:cs="Arial" w:eastAsia="Arial" w:hAnsi="Arial"/>
          <w:sz w:val="17"/>
          <w:szCs w:val="17"/>
          <w:color w:val="auto"/>
        </w:rPr>
        <w:t>placement included a second tranche totaling A$3.250 million of gross proceeds, contingent upon shareholder approval. Shareholder approval for</w:t>
      </w:r>
    </w:p>
    <w:p>
      <w:pPr>
        <w:spacing w:after="0" w:line="21" w:lineRule="exact"/>
        <w:rPr>
          <w:sz w:val="20"/>
          <w:szCs w:val="20"/>
          <w:color w:val="auto"/>
        </w:rPr>
      </w:pPr>
    </w:p>
    <w:p>
      <w:pPr>
        <w:ind w:left="200"/>
        <w:spacing w:after="0"/>
        <w:rPr>
          <w:sz w:val="20"/>
          <w:szCs w:val="20"/>
          <w:color w:val="auto"/>
        </w:rPr>
      </w:pPr>
      <w:r>
        <w:rPr>
          <w:rFonts w:ascii="Arial" w:cs="Arial" w:eastAsia="Arial" w:hAnsi="Arial"/>
          <w:sz w:val="16"/>
          <w:szCs w:val="16"/>
          <w:color w:val="auto"/>
        </w:rPr>
        <w:t>Tranche 2 was received at an Extraordinary General Meeting held on July 23, 2018, and the Company issued 65 million shares at a price of A$0.050 per</w:t>
      </w:r>
    </w:p>
    <w:p>
      <w:pPr>
        <w:spacing w:after="0" w:line="32" w:lineRule="exact"/>
        <w:rPr>
          <w:sz w:val="20"/>
          <w:szCs w:val="20"/>
          <w:color w:val="auto"/>
        </w:rPr>
      </w:pPr>
    </w:p>
    <w:p>
      <w:pPr>
        <w:ind w:left="200"/>
        <w:spacing w:after="0"/>
        <w:rPr>
          <w:sz w:val="20"/>
          <w:szCs w:val="20"/>
          <w:color w:val="auto"/>
        </w:rPr>
      </w:pPr>
      <w:r>
        <w:rPr>
          <w:rFonts w:ascii="Arial" w:cs="Arial" w:eastAsia="Arial" w:hAnsi="Arial"/>
          <w:sz w:val="18"/>
          <w:szCs w:val="18"/>
          <w:color w:val="auto"/>
        </w:rPr>
        <w:t>share and received gross proceeds of A$3,250,000 on July 26, 2018.</w:t>
      </w:r>
    </w:p>
    <w:p>
      <w:pPr>
        <w:spacing w:after="0" w:line="211" w:lineRule="exact"/>
        <w:rPr>
          <w:sz w:val="20"/>
          <w:szCs w:val="20"/>
          <w:color w:val="auto"/>
        </w:rPr>
      </w:pPr>
    </w:p>
    <w:p>
      <w:pPr>
        <w:ind w:left="200" w:right="60"/>
        <w:spacing w:after="0" w:line="293" w:lineRule="auto"/>
        <w:rPr>
          <w:sz w:val="20"/>
          <w:szCs w:val="20"/>
          <w:color w:val="auto"/>
        </w:rPr>
      </w:pPr>
      <w:r>
        <w:rPr>
          <w:rFonts w:ascii="Arial" w:cs="Arial" w:eastAsia="Arial" w:hAnsi="Arial"/>
          <w:sz w:val="16"/>
          <w:szCs w:val="16"/>
          <w:color w:val="auto"/>
        </w:rPr>
        <w:t>Also subsequent to year end, on December 4, 2018 the Company completed the first tranche of an institutional placement of in which it issued 310,047,015 fully paid ordinary shares at a price of A$0.080 per share raising gross proceeds of A$24,803,761. The institutional placement included a second tranche totaling A$15.196 million of gross proceeds, contingent upon shareholder approval. Shareholder approval for Tranche 2 was received at an Extraordinary General Meeting held on January 14, 2019, and the Company issued 189,952,985 shares at a price of A$0.080 per share and received gross proceeds of A$15,196,239 on January 14, 2019. In addition, on January 11, 2010 the Company complete a Share Purchase Plan under which it issued 22,061,250 shares of stock at a price of A$0.080 per share and received gross proceeds of A$1,764,900.</w:t>
      </w:r>
    </w:p>
    <w:p>
      <w:pPr>
        <w:spacing w:after="0" w:line="165" w:lineRule="exact"/>
        <w:rPr>
          <w:sz w:val="20"/>
          <w:szCs w:val="20"/>
          <w:color w:val="auto"/>
        </w:rPr>
      </w:pPr>
    </w:p>
    <w:p>
      <w:pPr>
        <w:ind w:left="200" w:right="20"/>
        <w:spacing w:after="0" w:line="257" w:lineRule="auto"/>
        <w:rPr>
          <w:sz w:val="20"/>
          <w:szCs w:val="20"/>
          <w:color w:val="auto"/>
        </w:rPr>
      </w:pPr>
      <w:r>
        <w:rPr>
          <w:rFonts w:ascii="Arial" w:cs="Arial" w:eastAsia="Arial" w:hAnsi="Arial"/>
          <w:sz w:val="18"/>
          <w:szCs w:val="18"/>
          <w:color w:val="auto"/>
        </w:rPr>
        <w:t>The Company also benefits from cash inflows from the series of BARDA contracts, the first of which was awarded to the Company in September 2015. These payments from BARDA offset the costs from various activities undertaken to support the FDA regulatory approval process for RECELL in the U.S., preparation for the planned commercial launch of RECELL in the U.S., and other RECELL clinical programs in the U.S. Another anticipated source of capital for the Company is the potential triggering of the BARDA contract covering the initial purchase, storage and delivery of RECELL devices in the amount of US$7,594,620 (~A$10.2m).</w:t>
      </w:r>
    </w:p>
    <w:p>
      <w:pPr>
        <w:spacing w:after="0" w:line="188" w:lineRule="exact"/>
        <w:rPr>
          <w:sz w:val="20"/>
          <w:szCs w:val="20"/>
          <w:color w:val="auto"/>
        </w:rPr>
      </w:pPr>
    </w:p>
    <w:p>
      <w:pPr>
        <w:ind w:left="200" w:right="400"/>
        <w:spacing w:after="0" w:line="277" w:lineRule="auto"/>
        <w:rPr>
          <w:sz w:val="20"/>
          <w:szCs w:val="20"/>
          <w:color w:val="auto"/>
        </w:rPr>
      </w:pPr>
      <w:r>
        <w:rPr>
          <w:rFonts w:ascii="Arial" w:cs="Arial" w:eastAsia="Arial" w:hAnsi="Arial"/>
          <w:sz w:val="18"/>
          <w:szCs w:val="18"/>
          <w:color w:val="auto"/>
        </w:rPr>
        <w:t>The Company expects to be utilizing cash reserves until U.S. and international sales of its products reach the level to fund ongoing operations. The Company has historically funded its research and development activities</w:t>
      </w:r>
    </w:p>
    <w:p>
      <w:pPr>
        <w:spacing w:after="0" w:line="103"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F-22</w:t>
      </w:r>
    </w:p>
    <w:p>
      <w:pPr>
        <w:sectPr>
          <w:pgSz w:w="11900" w:h="16838" w:orient="portrait"/>
          <w:cols w:equalWidth="0" w:num="1">
            <w:col w:w="11180"/>
          </w:cols>
          <w:pgMar w:left="240" w:top="459" w:right="479" w:bottom="1440" w:gutter="0" w:footer="0" w:header="0"/>
        </w:sectPr>
      </w:pPr>
    </w:p>
    <w:bookmarkStart w:id="121" w:name="page122"/>
    <w:bookmarkEnd w:id="12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6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AVITA MEDICAL LIMITED</w:t>
      </w:r>
    </w:p>
    <w:p>
      <w:pPr>
        <w:spacing w:after="0" w:line="27"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9"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(IN AUSTRALIAN DOLLARS)</w:t>
      </w:r>
    </w:p>
    <w:p>
      <w:pPr>
        <w:spacing w:after="0" w:line="234" w:lineRule="exact"/>
        <w:rPr>
          <w:sz w:val="20"/>
          <w:szCs w:val="20"/>
          <w:color w:val="auto"/>
        </w:rPr>
      </w:pPr>
    </w:p>
    <w:p>
      <w:pPr>
        <w:ind w:left="640" w:hanging="436"/>
        <w:spacing w:after="0"/>
        <w:tabs>
          <w:tab w:leader="none" w:pos="640" w:val="left"/>
        </w:tabs>
        <w:numPr>
          <w:ilvl w:val="0"/>
          <w:numId w:val="114"/>
        </w:numPr>
        <w:rPr>
          <w:rFonts w:ascii="Arial" w:cs="Arial" w:eastAsia="Arial" w:hAnsi="Arial"/>
          <w:sz w:val="18"/>
          <w:szCs w:val="18"/>
          <w:b w:val="1"/>
          <w:bCs w:val="1"/>
          <w:color w:val="auto"/>
        </w:rPr>
      </w:pPr>
      <w:r>
        <w:rPr>
          <w:rFonts w:ascii="Arial" w:cs="Arial" w:eastAsia="Arial" w:hAnsi="Arial"/>
          <w:sz w:val="18"/>
          <w:szCs w:val="18"/>
          <w:b w:val="1"/>
          <w:bCs w:val="1"/>
          <w:color w:val="auto"/>
        </w:rPr>
        <w:t>SUMMARY OF SIGNIFICANT ACCOUNTING POLICIES (CONTINUED)</w:t>
      </w:r>
    </w:p>
    <w:p>
      <w:pPr>
        <w:spacing w:after="0" w:line="131" w:lineRule="exact"/>
        <w:rPr>
          <w:sz w:val="20"/>
          <w:szCs w:val="20"/>
          <w:color w:val="auto"/>
        </w:rPr>
      </w:pPr>
    </w:p>
    <w:p>
      <w:pPr>
        <w:ind w:left="640" w:hanging="436"/>
        <w:spacing w:after="0"/>
        <w:tabs>
          <w:tab w:leader="none" w:pos="640" w:val="left"/>
        </w:tabs>
        <w:numPr>
          <w:ilvl w:val="0"/>
          <w:numId w:val="115"/>
        </w:numPr>
        <w:rPr>
          <w:rFonts w:ascii="Arial" w:cs="Arial" w:eastAsia="Arial" w:hAnsi="Arial"/>
          <w:sz w:val="18"/>
          <w:szCs w:val="18"/>
          <w:b w:val="1"/>
          <w:bCs w:val="1"/>
          <w:color w:val="auto"/>
        </w:rPr>
      </w:pPr>
      <w:r>
        <w:rPr>
          <w:rFonts w:ascii="Arial" w:cs="Arial" w:eastAsia="Arial" w:hAnsi="Arial"/>
          <w:sz w:val="18"/>
          <w:szCs w:val="18"/>
          <w:b w:val="1"/>
          <w:bCs w:val="1"/>
          <w:color w:val="auto"/>
        </w:rPr>
        <w:t>Going concern (continued)</w:t>
      </w:r>
    </w:p>
    <w:p>
      <w:pPr>
        <w:spacing w:after="0" w:line="135" w:lineRule="exact"/>
        <w:rPr>
          <w:sz w:val="20"/>
          <w:szCs w:val="20"/>
          <w:color w:val="auto"/>
        </w:rPr>
      </w:pPr>
    </w:p>
    <w:p>
      <w:pPr>
        <w:jc w:val="both"/>
        <w:ind w:left="200" w:right="220"/>
        <w:spacing w:after="0" w:line="264" w:lineRule="auto"/>
        <w:rPr>
          <w:sz w:val="20"/>
          <w:szCs w:val="20"/>
          <w:color w:val="auto"/>
        </w:rPr>
      </w:pPr>
      <w:r>
        <w:rPr>
          <w:rFonts w:ascii="Arial" w:cs="Arial" w:eastAsia="Arial" w:hAnsi="Arial"/>
          <w:sz w:val="18"/>
          <w:szCs w:val="18"/>
          <w:color w:val="auto"/>
        </w:rPr>
        <w:t>through raising capital by issuing securities in the Company, and it is expected that similar funding will be obtained to provide working capital as and when required. If the Company is unable to raise capital in the future, the Company may need to curtail expenditures by scaling back certain research and development or other programs.</w:t>
      </w:r>
    </w:p>
    <w:p>
      <w:pPr>
        <w:spacing w:after="0" w:line="181" w:lineRule="exact"/>
        <w:rPr>
          <w:sz w:val="20"/>
          <w:szCs w:val="20"/>
          <w:color w:val="auto"/>
        </w:rPr>
      </w:pPr>
    </w:p>
    <w:p>
      <w:pPr>
        <w:ind w:left="200"/>
        <w:spacing w:after="0" w:line="264" w:lineRule="auto"/>
        <w:rPr>
          <w:sz w:val="20"/>
          <w:szCs w:val="20"/>
          <w:color w:val="auto"/>
        </w:rPr>
      </w:pPr>
      <w:r>
        <w:rPr>
          <w:rFonts w:ascii="Arial" w:cs="Arial" w:eastAsia="Arial" w:hAnsi="Arial"/>
          <w:sz w:val="18"/>
          <w:szCs w:val="18"/>
          <w:color w:val="auto"/>
        </w:rPr>
        <w:t>As a result of the above, the directors are satisfied that there is sufficient working capital to support the committed research development programs and other activities over the next 12 months and the Company has the ability to realize its assets and pay its liabilities and commitments in the normal course of business. Accordingly, the directors have prepared the financial report on a going concern basis.</w:t>
      </w:r>
    </w:p>
    <w:p>
      <w:pPr>
        <w:spacing w:after="0" w:line="326" w:lineRule="exact"/>
        <w:rPr>
          <w:sz w:val="20"/>
          <w:szCs w:val="20"/>
          <w:color w:val="auto"/>
        </w:rPr>
      </w:pPr>
    </w:p>
    <w:p>
      <w:pPr>
        <w:ind w:left="640" w:hanging="436"/>
        <w:spacing w:after="0"/>
        <w:tabs>
          <w:tab w:leader="none" w:pos="640" w:val="left"/>
        </w:tabs>
        <w:numPr>
          <w:ilvl w:val="0"/>
          <w:numId w:val="116"/>
        </w:numPr>
        <w:rPr>
          <w:rFonts w:ascii="Arial" w:cs="Arial" w:eastAsia="Arial" w:hAnsi="Arial"/>
          <w:sz w:val="18"/>
          <w:szCs w:val="18"/>
          <w:b w:val="1"/>
          <w:bCs w:val="1"/>
          <w:color w:val="auto"/>
        </w:rPr>
      </w:pPr>
      <w:r>
        <w:rPr>
          <w:rFonts w:ascii="Arial" w:cs="Arial" w:eastAsia="Arial" w:hAnsi="Arial"/>
          <w:sz w:val="18"/>
          <w:szCs w:val="18"/>
          <w:b w:val="1"/>
          <w:bCs w:val="1"/>
          <w:color w:val="auto"/>
        </w:rPr>
        <w:t>SIGNIFICANT ACCOUNTING JUDGEMENTS, ESTIMATES AND ASSUMPTIONS</w:t>
      </w:r>
    </w:p>
    <w:p>
      <w:pPr>
        <w:spacing w:after="0" w:line="121" w:lineRule="exact"/>
        <w:rPr>
          <w:sz w:val="20"/>
          <w:szCs w:val="20"/>
          <w:color w:val="auto"/>
        </w:rPr>
      </w:pPr>
    </w:p>
    <w:p>
      <w:pPr>
        <w:ind w:left="200" w:right="40"/>
        <w:spacing w:after="0" w:line="276" w:lineRule="auto"/>
        <w:rPr>
          <w:sz w:val="20"/>
          <w:szCs w:val="20"/>
          <w:color w:val="auto"/>
        </w:rPr>
      </w:pPr>
      <w:r>
        <w:rPr>
          <w:rFonts w:ascii="Arial" w:cs="Arial" w:eastAsia="Arial" w:hAnsi="Arial"/>
          <w:sz w:val="17"/>
          <w:szCs w:val="17"/>
          <w:color w:val="auto"/>
        </w:rPr>
        <w:t>The preparation of the financial statements requires management to make judgements, estimates and assumptions that affect the reported amounts in the financial statements. Management continually evaluates its judgements and estimates in relation to assets, liabilities, contingent liabilities, revenue and expenses. Management bases its judgements and estimates on historical experience and on other various factors it believes to be reasonable under the circumstances, the result of which form the basis of the carrying value of assets and liabilities that are not readily apparent from other sources. Actual results may differ from these estimates under different assumptions and conditions.</w:t>
      </w:r>
    </w:p>
    <w:p>
      <w:pPr>
        <w:spacing w:after="0" w:line="173" w:lineRule="exact"/>
        <w:rPr>
          <w:sz w:val="20"/>
          <w:szCs w:val="20"/>
          <w:color w:val="auto"/>
        </w:rPr>
      </w:pPr>
    </w:p>
    <w:p>
      <w:pPr>
        <w:ind w:left="200" w:right="220"/>
        <w:spacing w:after="0" w:line="264" w:lineRule="auto"/>
        <w:rPr>
          <w:sz w:val="20"/>
          <w:szCs w:val="20"/>
          <w:color w:val="auto"/>
        </w:rPr>
      </w:pPr>
      <w:r>
        <w:rPr>
          <w:rFonts w:ascii="Arial" w:cs="Arial" w:eastAsia="Arial" w:hAnsi="Arial"/>
          <w:sz w:val="18"/>
          <w:szCs w:val="18"/>
          <w:color w:val="auto"/>
        </w:rPr>
        <w:t>Management has identified the following critical accounting policies for which significant judgements, estimates and assumptions are made. Actual results may differ from these estimates under different assumptions and conditions and may materially affect financial results or the financial position reported in future periods.</w:t>
      </w:r>
    </w:p>
    <w:p>
      <w:pPr>
        <w:spacing w:after="0" w:line="326" w:lineRule="exact"/>
        <w:rPr>
          <w:sz w:val="20"/>
          <w:szCs w:val="20"/>
          <w:color w:val="auto"/>
        </w:rPr>
      </w:pPr>
    </w:p>
    <w:p>
      <w:pPr>
        <w:ind w:left="640" w:hanging="436"/>
        <w:spacing w:after="0"/>
        <w:tabs>
          <w:tab w:leader="none" w:pos="640" w:val="left"/>
        </w:tabs>
        <w:numPr>
          <w:ilvl w:val="0"/>
          <w:numId w:val="117"/>
        </w:numPr>
        <w:rPr>
          <w:rFonts w:ascii="Arial" w:cs="Arial" w:eastAsia="Arial" w:hAnsi="Arial"/>
          <w:sz w:val="18"/>
          <w:szCs w:val="18"/>
          <w:b w:val="1"/>
          <w:bCs w:val="1"/>
          <w:color w:val="auto"/>
        </w:rPr>
      </w:pPr>
      <w:r>
        <w:rPr>
          <w:rFonts w:ascii="Arial" w:cs="Arial" w:eastAsia="Arial" w:hAnsi="Arial"/>
          <w:sz w:val="18"/>
          <w:szCs w:val="18"/>
          <w:b w:val="1"/>
          <w:bCs w:val="1"/>
          <w:color w:val="auto"/>
        </w:rPr>
        <w:t>Significant accounting estimates and assumptions</w:t>
      </w:r>
    </w:p>
    <w:p>
      <w:pPr>
        <w:spacing w:after="0" w:line="121" w:lineRule="exact"/>
        <w:rPr>
          <w:sz w:val="20"/>
          <w:szCs w:val="20"/>
          <w:color w:val="auto"/>
        </w:rPr>
      </w:pPr>
    </w:p>
    <w:p>
      <w:pPr>
        <w:ind w:left="200"/>
        <w:spacing w:after="0"/>
        <w:rPr>
          <w:sz w:val="20"/>
          <w:szCs w:val="20"/>
          <w:color w:val="auto"/>
        </w:rPr>
      </w:pPr>
      <w:r>
        <w:rPr>
          <w:rFonts w:ascii="Arial" w:cs="Arial" w:eastAsia="Arial" w:hAnsi="Arial"/>
          <w:sz w:val="18"/>
          <w:szCs w:val="18"/>
          <w:i w:val="1"/>
          <w:iCs w:val="1"/>
          <w:color w:val="auto"/>
        </w:rPr>
        <w:t>Share-based payment transactions</w:t>
      </w:r>
    </w:p>
    <w:p>
      <w:pPr>
        <w:spacing w:after="0" w:line="117" w:lineRule="exact"/>
        <w:rPr>
          <w:sz w:val="20"/>
          <w:szCs w:val="20"/>
          <w:color w:val="auto"/>
        </w:rPr>
      </w:pPr>
    </w:p>
    <w:p>
      <w:pPr>
        <w:ind w:left="200" w:right="440"/>
        <w:spacing w:after="0" w:line="308" w:lineRule="auto"/>
        <w:rPr>
          <w:sz w:val="20"/>
          <w:szCs w:val="20"/>
          <w:color w:val="auto"/>
        </w:rPr>
      </w:pPr>
      <w:r>
        <w:rPr>
          <w:rFonts w:ascii="Arial" w:cs="Arial" w:eastAsia="Arial" w:hAnsi="Arial"/>
          <w:sz w:val="17"/>
          <w:szCs w:val="17"/>
          <w:color w:val="auto"/>
        </w:rPr>
        <w:t>The Company measures the cost of equity-settled transactions with employees by reference to the fair value of the equity instruments at the date at which they are granted. The fair value is determined by using a binomial model, using the assumptions detailed in note 18 (g).</w:t>
      </w:r>
    </w:p>
    <w:p>
      <w:pPr>
        <w:spacing w:after="0" w:line="147" w:lineRule="exact"/>
        <w:rPr>
          <w:sz w:val="20"/>
          <w:szCs w:val="20"/>
          <w:color w:val="auto"/>
        </w:rPr>
      </w:pPr>
    </w:p>
    <w:p>
      <w:pPr>
        <w:ind w:left="200" w:right="100"/>
        <w:spacing w:after="0" w:line="277" w:lineRule="auto"/>
        <w:rPr>
          <w:sz w:val="20"/>
          <w:szCs w:val="20"/>
          <w:color w:val="auto"/>
        </w:rPr>
      </w:pPr>
      <w:r>
        <w:rPr>
          <w:rFonts w:ascii="Arial" w:cs="Arial" w:eastAsia="Arial" w:hAnsi="Arial"/>
          <w:sz w:val="18"/>
          <w:szCs w:val="18"/>
          <w:color w:val="auto"/>
        </w:rPr>
        <w:t>The accounting estimates and assumptions relating to equity-settled share-based payments would have no impact on the carrying amounts of assets and liabilities within the next annual reporting period but may impact expenses and equity.</w:t>
      </w:r>
    </w:p>
    <w:p>
      <w:pPr>
        <w:spacing w:after="0" w:line="315" w:lineRule="exact"/>
        <w:rPr>
          <w:sz w:val="20"/>
          <w:szCs w:val="20"/>
          <w:color w:val="auto"/>
        </w:rPr>
      </w:pPr>
    </w:p>
    <w:p>
      <w:pPr>
        <w:ind w:left="640" w:hanging="436"/>
        <w:spacing w:after="0"/>
        <w:tabs>
          <w:tab w:leader="none" w:pos="640" w:val="left"/>
        </w:tabs>
        <w:numPr>
          <w:ilvl w:val="0"/>
          <w:numId w:val="118"/>
        </w:numPr>
        <w:rPr>
          <w:rFonts w:ascii="Arial" w:cs="Arial" w:eastAsia="Arial" w:hAnsi="Arial"/>
          <w:sz w:val="18"/>
          <w:szCs w:val="18"/>
          <w:b w:val="1"/>
          <w:bCs w:val="1"/>
          <w:color w:val="auto"/>
        </w:rPr>
      </w:pPr>
      <w:r>
        <w:rPr>
          <w:rFonts w:ascii="Arial" w:cs="Arial" w:eastAsia="Arial" w:hAnsi="Arial"/>
          <w:sz w:val="18"/>
          <w:szCs w:val="18"/>
          <w:b w:val="1"/>
          <w:bCs w:val="1"/>
          <w:color w:val="auto"/>
        </w:rPr>
        <w:t>Significant accounting judgments</w:t>
      </w:r>
    </w:p>
    <w:p>
      <w:pPr>
        <w:spacing w:after="0" w:line="121" w:lineRule="exact"/>
        <w:rPr>
          <w:sz w:val="20"/>
          <w:szCs w:val="20"/>
          <w:color w:val="auto"/>
        </w:rPr>
      </w:pPr>
    </w:p>
    <w:p>
      <w:pPr>
        <w:ind w:left="200"/>
        <w:spacing w:after="0"/>
        <w:rPr>
          <w:sz w:val="20"/>
          <w:szCs w:val="20"/>
          <w:color w:val="auto"/>
        </w:rPr>
      </w:pPr>
      <w:r>
        <w:rPr>
          <w:rFonts w:ascii="Arial" w:cs="Arial" w:eastAsia="Arial" w:hAnsi="Arial"/>
          <w:sz w:val="18"/>
          <w:szCs w:val="18"/>
          <w:i w:val="1"/>
          <w:iCs w:val="1"/>
          <w:color w:val="auto"/>
        </w:rPr>
        <w:t>Estimation of useful lives of assets</w:t>
      </w:r>
    </w:p>
    <w:p>
      <w:pPr>
        <w:spacing w:after="0" w:line="117" w:lineRule="exact"/>
        <w:rPr>
          <w:sz w:val="20"/>
          <w:szCs w:val="20"/>
          <w:color w:val="auto"/>
        </w:rPr>
      </w:pPr>
    </w:p>
    <w:p>
      <w:pPr>
        <w:ind w:left="200" w:right="180"/>
        <w:spacing w:after="0" w:line="264" w:lineRule="auto"/>
        <w:rPr>
          <w:sz w:val="20"/>
          <w:szCs w:val="20"/>
          <w:color w:val="auto"/>
        </w:rPr>
      </w:pPr>
      <w:r>
        <w:rPr>
          <w:rFonts w:ascii="Arial" w:cs="Arial" w:eastAsia="Arial" w:hAnsi="Arial"/>
          <w:sz w:val="18"/>
          <w:szCs w:val="18"/>
          <w:color w:val="auto"/>
        </w:rPr>
        <w:t>The estimation of the useful lives of assets has been based on historical experience. In addition, the condition of the assets is assessed at least once per year and considered against the remaining useful life. Adjustments to useful lives are made when considered necessary. Depreciation charges are included in note 4(d).</w:t>
      </w:r>
    </w:p>
    <w:p>
      <w:pPr>
        <w:spacing w:after="0" w:line="289" w:lineRule="exact"/>
        <w:rPr>
          <w:sz w:val="20"/>
          <w:szCs w:val="20"/>
          <w:color w:val="auto"/>
        </w:rPr>
      </w:pPr>
    </w:p>
    <w:p>
      <w:pPr>
        <w:ind w:left="200"/>
        <w:spacing w:after="0"/>
        <w:rPr>
          <w:sz w:val="20"/>
          <w:szCs w:val="20"/>
          <w:color w:val="auto"/>
        </w:rPr>
      </w:pPr>
      <w:r>
        <w:rPr>
          <w:rFonts w:ascii="Arial" w:cs="Arial" w:eastAsia="Arial" w:hAnsi="Arial"/>
          <w:sz w:val="18"/>
          <w:szCs w:val="18"/>
          <w:i w:val="1"/>
          <w:iCs w:val="1"/>
          <w:color w:val="auto"/>
        </w:rPr>
        <w:t>Impairment of non-financial assets other than goodwill</w:t>
      </w:r>
    </w:p>
    <w:p>
      <w:pPr>
        <w:spacing w:after="0" w:line="117" w:lineRule="exact"/>
        <w:rPr>
          <w:sz w:val="20"/>
          <w:szCs w:val="20"/>
          <w:color w:val="auto"/>
        </w:rPr>
      </w:pPr>
    </w:p>
    <w:p>
      <w:pPr>
        <w:ind w:left="200" w:right="160"/>
        <w:spacing w:after="0" w:line="277" w:lineRule="auto"/>
        <w:rPr>
          <w:sz w:val="20"/>
          <w:szCs w:val="20"/>
          <w:color w:val="auto"/>
        </w:rPr>
      </w:pPr>
      <w:r>
        <w:rPr>
          <w:rFonts w:ascii="Arial" w:cs="Arial" w:eastAsia="Arial" w:hAnsi="Arial"/>
          <w:sz w:val="18"/>
          <w:szCs w:val="18"/>
          <w:color w:val="auto"/>
        </w:rPr>
        <w:t>The Company assesses impairment of all assets at each reporting date by evaluating conditions specific to the Company and to the particular asset that may lead to impairment. These include product and manufacturing</w:t>
      </w:r>
    </w:p>
    <w:p>
      <w:pPr>
        <w:spacing w:after="0" w:line="103"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F-23</w:t>
      </w:r>
    </w:p>
    <w:p>
      <w:pPr>
        <w:sectPr>
          <w:pgSz w:w="11900" w:h="16838" w:orient="portrait"/>
          <w:cols w:equalWidth="0" w:num="1">
            <w:col w:w="11200"/>
          </w:cols>
          <w:pgMar w:left="240" w:top="459" w:right="459" w:bottom="1440" w:gutter="0" w:footer="0" w:header="0"/>
        </w:sectPr>
      </w:pPr>
    </w:p>
    <w:bookmarkStart w:id="122" w:name="page123"/>
    <w:bookmarkEnd w:id="12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6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AVITA MEDICAL LIMITED</w:t>
      </w:r>
    </w:p>
    <w:p>
      <w:pPr>
        <w:spacing w:after="0" w:line="27"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9"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(IN AUSTRALIAN DOLLARS)</w:t>
      </w:r>
    </w:p>
    <w:p>
      <w:pPr>
        <w:spacing w:after="0" w:line="234" w:lineRule="exact"/>
        <w:rPr>
          <w:sz w:val="20"/>
          <w:szCs w:val="20"/>
          <w:color w:val="auto"/>
        </w:rPr>
      </w:pPr>
    </w:p>
    <w:p>
      <w:pPr>
        <w:ind w:left="640" w:hanging="436"/>
        <w:spacing w:after="0"/>
        <w:tabs>
          <w:tab w:leader="none" w:pos="640" w:val="left"/>
        </w:tabs>
        <w:numPr>
          <w:ilvl w:val="0"/>
          <w:numId w:val="119"/>
        </w:numPr>
        <w:rPr>
          <w:rFonts w:ascii="Arial" w:cs="Arial" w:eastAsia="Arial" w:hAnsi="Arial"/>
          <w:sz w:val="18"/>
          <w:szCs w:val="18"/>
          <w:b w:val="1"/>
          <w:bCs w:val="1"/>
          <w:color w:val="auto"/>
        </w:rPr>
      </w:pPr>
      <w:r>
        <w:rPr>
          <w:rFonts w:ascii="Arial" w:cs="Arial" w:eastAsia="Arial" w:hAnsi="Arial"/>
          <w:sz w:val="18"/>
          <w:szCs w:val="18"/>
          <w:b w:val="1"/>
          <w:bCs w:val="1"/>
          <w:color w:val="auto"/>
        </w:rPr>
        <w:t>SIGNIFICANT ACCOUNTING JUDGEMENTS, ESTIMATES AND ASSUMPTIONS (CONTINUED)</w:t>
      </w:r>
    </w:p>
    <w:p>
      <w:pPr>
        <w:spacing w:after="0" w:line="131" w:lineRule="exact"/>
        <w:rPr>
          <w:sz w:val="20"/>
          <w:szCs w:val="20"/>
          <w:color w:val="auto"/>
        </w:rPr>
      </w:pPr>
    </w:p>
    <w:p>
      <w:pPr>
        <w:ind w:left="640" w:hanging="436"/>
        <w:spacing w:after="0"/>
        <w:tabs>
          <w:tab w:leader="none" w:pos="640" w:val="left"/>
        </w:tabs>
        <w:numPr>
          <w:ilvl w:val="0"/>
          <w:numId w:val="120"/>
        </w:numPr>
        <w:rPr>
          <w:rFonts w:ascii="Arial" w:cs="Arial" w:eastAsia="Arial" w:hAnsi="Arial"/>
          <w:sz w:val="18"/>
          <w:szCs w:val="18"/>
          <w:b w:val="1"/>
          <w:bCs w:val="1"/>
          <w:color w:val="auto"/>
        </w:rPr>
      </w:pPr>
      <w:r>
        <w:rPr>
          <w:rFonts w:ascii="Arial" w:cs="Arial" w:eastAsia="Arial" w:hAnsi="Arial"/>
          <w:sz w:val="18"/>
          <w:szCs w:val="18"/>
          <w:b w:val="1"/>
          <w:bCs w:val="1"/>
          <w:color w:val="auto"/>
        </w:rPr>
        <w:t>Significant accounting judgments (continued)</w:t>
      </w:r>
    </w:p>
    <w:p>
      <w:pPr>
        <w:spacing w:after="0" w:line="135" w:lineRule="exact"/>
        <w:rPr>
          <w:sz w:val="20"/>
          <w:szCs w:val="20"/>
          <w:color w:val="auto"/>
        </w:rPr>
      </w:pPr>
    </w:p>
    <w:p>
      <w:pPr>
        <w:ind w:left="200" w:right="120"/>
        <w:spacing w:after="0" w:line="308" w:lineRule="auto"/>
        <w:rPr>
          <w:sz w:val="20"/>
          <w:szCs w:val="20"/>
          <w:color w:val="auto"/>
        </w:rPr>
      </w:pPr>
      <w:r>
        <w:rPr>
          <w:rFonts w:ascii="Arial" w:cs="Arial" w:eastAsia="Arial" w:hAnsi="Arial"/>
          <w:sz w:val="17"/>
          <w:szCs w:val="17"/>
          <w:color w:val="auto"/>
        </w:rPr>
        <w:t>performance, technology, economic and political environments and future product expectations. If an impairment trigger exists, the recoverable amount of the asset is determined. This involves value in use calculations, which incorporate a number of key estimates and assumptions.</w:t>
      </w:r>
    </w:p>
    <w:p>
      <w:pPr>
        <w:spacing w:after="0" w:line="255" w:lineRule="exact"/>
        <w:rPr>
          <w:sz w:val="20"/>
          <w:szCs w:val="20"/>
          <w:color w:val="auto"/>
        </w:rPr>
      </w:pPr>
    </w:p>
    <w:p>
      <w:pPr>
        <w:ind w:left="200"/>
        <w:spacing w:after="0"/>
        <w:rPr>
          <w:sz w:val="20"/>
          <w:szCs w:val="20"/>
          <w:color w:val="auto"/>
        </w:rPr>
      </w:pPr>
      <w:r>
        <w:rPr>
          <w:rFonts w:ascii="Arial" w:cs="Arial" w:eastAsia="Arial" w:hAnsi="Arial"/>
          <w:sz w:val="18"/>
          <w:szCs w:val="18"/>
          <w:i w:val="1"/>
          <w:iCs w:val="1"/>
          <w:color w:val="auto"/>
        </w:rPr>
        <w:t>Taxation</w:t>
      </w:r>
    </w:p>
    <w:p>
      <w:pPr>
        <w:spacing w:after="0" w:line="117" w:lineRule="exact"/>
        <w:rPr>
          <w:sz w:val="20"/>
          <w:szCs w:val="20"/>
          <w:color w:val="auto"/>
        </w:rPr>
      </w:pPr>
    </w:p>
    <w:p>
      <w:pPr>
        <w:ind w:left="200" w:right="40"/>
        <w:spacing w:after="0" w:line="257" w:lineRule="auto"/>
        <w:rPr>
          <w:sz w:val="20"/>
          <w:szCs w:val="20"/>
          <w:color w:val="auto"/>
        </w:rPr>
      </w:pPr>
      <w:r>
        <w:rPr>
          <w:rFonts w:ascii="Arial" w:cs="Arial" w:eastAsia="Arial" w:hAnsi="Arial"/>
          <w:sz w:val="18"/>
          <w:szCs w:val="18"/>
          <w:color w:val="auto"/>
        </w:rPr>
        <w:t>The Company’s accounting policy for taxation requires management’s judgement as to the types of arrangements considered to be a tax on income in contrast to an operating cost. Judgement is also required in assessing whether deferred tax assets and certain deferred tax liabilities are recognized on the consolidated statement of financial position. Deferred tax assets, including those arising from unrecouped tax losses, capital losses and temporary differences, are recognized only where it is considered more likely than not that they will be recovered, which is dependent on the generation of sufficient future taxable profits.</w:t>
      </w:r>
    </w:p>
    <w:p>
      <w:pPr>
        <w:spacing w:after="0" w:line="188" w:lineRule="exact"/>
        <w:rPr>
          <w:sz w:val="20"/>
          <w:szCs w:val="20"/>
          <w:color w:val="auto"/>
        </w:rPr>
      </w:pPr>
    </w:p>
    <w:p>
      <w:pPr>
        <w:ind w:left="200" w:right="40"/>
        <w:spacing w:after="0" w:line="255" w:lineRule="auto"/>
        <w:rPr>
          <w:sz w:val="20"/>
          <w:szCs w:val="20"/>
          <w:color w:val="auto"/>
        </w:rPr>
      </w:pPr>
      <w:r>
        <w:rPr>
          <w:rFonts w:ascii="Arial" w:cs="Arial" w:eastAsia="Arial" w:hAnsi="Arial"/>
          <w:sz w:val="18"/>
          <w:szCs w:val="18"/>
          <w:color w:val="auto"/>
        </w:rPr>
        <w:t>Assumptions about the generation of future taxable profits depend on management’s estimates of future cash flows. These depend on estimates of future production and sales volumes, operating costs, capital expenditure, dividends and other capital management transactions. Judgements are also required about the application of income tax legislation. These judgements and assumptions are subject to risk and uncertainty, hence there is a possibility that changes in circumstances will alter expectations, which may impact the amount of deferred tax assets and deferred tax liabilities recognized on the consolidated statement of financial position and the amount of other tax losses and temporary differences not yet recognized. In such circumstances, some or all of the carrying amounts of recognized deferred tax assets and liabilities may require adjustment, resulting in a corresponding credit or charge to profit or loss.</w:t>
      </w:r>
    </w:p>
    <w:p>
      <w:pPr>
        <w:spacing w:after="0" w:line="334" w:lineRule="exact"/>
        <w:rPr>
          <w:sz w:val="20"/>
          <w:szCs w:val="20"/>
          <w:color w:val="auto"/>
        </w:rPr>
      </w:pPr>
    </w:p>
    <w:p>
      <w:pPr>
        <w:ind w:left="640" w:hanging="436"/>
        <w:spacing w:after="0"/>
        <w:tabs>
          <w:tab w:leader="none" w:pos="640" w:val="left"/>
        </w:tabs>
        <w:numPr>
          <w:ilvl w:val="0"/>
          <w:numId w:val="121"/>
        </w:numPr>
        <w:rPr>
          <w:rFonts w:ascii="Arial" w:cs="Arial" w:eastAsia="Arial" w:hAnsi="Arial"/>
          <w:sz w:val="18"/>
          <w:szCs w:val="18"/>
          <w:b w:val="1"/>
          <w:bCs w:val="1"/>
          <w:color w:val="auto"/>
        </w:rPr>
      </w:pPr>
      <w:r>
        <w:rPr>
          <w:rFonts w:ascii="Arial" w:cs="Arial" w:eastAsia="Arial" w:hAnsi="Arial"/>
          <w:sz w:val="18"/>
          <w:szCs w:val="18"/>
          <w:b w:val="1"/>
          <w:bCs w:val="1"/>
          <w:color w:val="auto"/>
        </w:rPr>
        <w:t>REVENUES AND EXPENSES</w:t>
      </w:r>
    </w:p>
    <w:p>
      <w:pPr>
        <w:spacing w:after="0" w:line="114" w:lineRule="exact"/>
        <w:rPr>
          <w:sz w:val="20"/>
          <w:szCs w:val="20"/>
          <w:color w:val="auto"/>
        </w:rPr>
      </w:pPr>
    </w:p>
    <w:tbl>
      <w:tblPr>
        <w:tblLayout w:type="fixed"/>
        <w:tblInd w:w="20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4060" w:type="dxa"/>
            <w:vAlign w:val="bottom"/>
          </w:tcPr>
          <w:p>
            <w:pPr>
              <w:spacing w:after="0"/>
              <w:rPr>
                <w:sz w:val="14"/>
                <w:szCs w:val="14"/>
                <w:color w:val="auto"/>
              </w:rPr>
            </w:pPr>
          </w:p>
        </w:tc>
        <w:tc>
          <w:tcPr>
            <w:tcW w:w="3820" w:type="dxa"/>
            <w:vAlign w:val="bottom"/>
            <w:gridSpan w:val="2"/>
            <w:vMerge w:val="restart"/>
          </w:tcPr>
          <w:p>
            <w:pPr>
              <w:jc w:val="center"/>
              <w:ind w:left="2788"/>
              <w:spacing w:after="0"/>
              <w:rPr>
                <w:sz w:val="20"/>
                <w:szCs w:val="20"/>
                <w:color w:val="auto"/>
              </w:rPr>
            </w:pPr>
            <w:r>
              <w:rPr>
                <w:rFonts w:ascii="Arial" w:cs="Arial" w:eastAsia="Arial" w:hAnsi="Arial"/>
                <w:sz w:val="14"/>
                <w:szCs w:val="14"/>
                <w:b w:val="1"/>
                <w:bCs w:val="1"/>
                <w:color w:val="auto"/>
                <w:w w:val="89"/>
              </w:rPr>
              <w:t>2018</w:t>
            </w:r>
          </w:p>
        </w:tc>
        <w:tc>
          <w:tcPr>
            <w:tcW w:w="1640" w:type="dxa"/>
            <w:vAlign w:val="bottom"/>
            <w:gridSpan w:val="3"/>
          </w:tcPr>
          <w:p>
            <w:pPr>
              <w:jc w:val="center"/>
              <w:ind w:left="59"/>
              <w:spacing w:after="0"/>
              <w:rPr>
                <w:sz w:val="20"/>
                <w:szCs w:val="20"/>
                <w:color w:val="auto"/>
              </w:rPr>
            </w:pPr>
            <w:r>
              <w:rPr>
                <w:rFonts w:ascii="Arial" w:cs="Arial" w:eastAsia="Arial" w:hAnsi="Arial"/>
                <w:sz w:val="14"/>
                <w:szCs w:val="14"/>
                <w:b w:val="1"/>
                <w:bCs w:val="1"/>
                <w:color w:val="auto"/>
                <w:w w:val="91"/>
              </w:rPr>
              <w:t>Year Ended June 30,</w:t>
            </w:r>
          </w:p>
        </w:tc>
        <w:tc>
          <w:tcPr>
            <w:tcW w:w="1100" w:type="dxa"/>
            <w:vAlign w:val="bottom"/>
            <w:gridSpan w:val="2"/>
            <w:vMerge w:val="restart"/>
          </w:tcPr>
          <w:p>
            <w:pPr>
              <w:jc w:val="center"/>
              <w:ind w:left="36"/>
              <w:spacing w:after="0"/>
              <w:rPr>
                <w:sz w:val="20"/>
                <w:szCs w:val="20"/>
                <w:color w:val="auto"/>
              </w:rPr>
            </w:pPr>
            <w:r>
              <w:rPr>
                <w:rFonts w:ascii="Arial" w:cs="Arial" w:eastAsia="Arial" w:hAnsi="Arial"/>
                <w:sz w:val="14"/>
                <w:szCs w:val="14"/>
                <w:b w:val="1"/>
                <w:bCs w:val="1"/>
                <w:color w:val="auto"/>
                <w:w w:val="96"/>
              </w:rPr>
              <w:t>2016</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4060" w:type="dxa"/>
            <w:vAlign w:val="bottom"/>
          </w:tcPr>
          <w:p>
            <w:pPr>
              <w:spacing w:after="0"/>
              <w:rPr>
                <w:sz w:val="14"/>
                <w:szCs w:val="14"/>
                <w:color w:val="auto"/>
              </w:rPr>
            </w:pPr>
          </w:p>
        </w:tc>
        <w:tc>
          <w:tcPr>
            <w:tcW w:w="3820" w:type="dxa"/>
            <w:vAlign w:val="bottom"/>
            <w:gridSpan w:val="2"/>
            <w:vMerge w:val="continue"/>
          </w:tcPr>
          <w:p>
            <w:pPr>
              <w:spacing w:after="0"/>
              <w:rPr>
                <w:sz w:val="14"/>
                <w:szCs w:val="14"/>
                <w:color w:val="auto"/>
              </w:rPr>
            </w:pPr>
          </w:p>
        </w:tc>
        <w:tc>
          <w:tcPr>
            <w:tcW w:w="1300" w:type="dxa"/>
            <w:vAlign w:val="bottom"/>
            <w:gridSpan w:val="2"/>
          </w:tcPr>
          <w:p>
            <w:pPr>
              <w:jc w:val="center"/>
              <w:ind w:left="399"/>
              <w:spacing w:after="0"/>
              <w:rPr>
                <w:sz w:val="20"/>
                <w:szCs w:val="20"/>
                <w:color w:val="auto"/>
              </w:rPr>
            </w:pPr>
            <w:r>
              <w:rPr>
                <w:rFonts w:ascii="Arial" w:cs="Arial" w:eastAsia="Arial" w:hAnsi="Arial"/>
                <w:sz w:val="14"/>
                <w:szCs w:val="14"/>
                <w:b w:val="1"/>
                <w:bCs w:val="1"/>
                <w:color w:val="auto"/>
                <w:w w:val="96"/>
              </w:rPr>
              <w:t>2017</w:t>
            </w:r>
          </w:p>
        </w:tc>
        <w:tc>
          <w:tcPr>
            <w:tcW w:w="340" w:type="dxa"/>
            <w:vAlign w:val="bottom"/>
          </w:tcPr>
          <w:p>
            <w:pPr>
              <w:spacing w:after="0"/>
              <w:rPr>
                <w:sz w:val="14"/>
                <w:szCs w:val="14"/>
                <w:color w:val="auto"/>
              </w:rPr>
            </w:pPr>
          </w:p>
        </w:tc>
        <w:tc>
          <w:tcPr>
            <w:tcW w:w="1100" w:type="dxa"/>
            <w:vAlign w:val="bottom"/>
            <w:gridSpan w:val="2"/>
            <w:vMerge w:val="continue"/>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34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(a)</w:t>
            </w:r>
          </w:p>
        </w:tc>
        <w:tc>
          <w:tcPr>
            <w:tcW w:w="4060" w:type="dxa"/>
            <w:vAlign w:val="bottom"/>
            <w:tcBorders>
              <w:top w:val="single" w:sz="8" w:color="CCEEFF"/>
            </w:tcBorders>
            <w:shd w:val="clear" w:color="auto" w:fill="CCEEFF"/>
          </w:tcPr>
          <w:p>
            <w:pPr>
              <w:ind w:left="160"/>
              <w:spacing w:after="0" w:line="196" w:lineRule="exact"/>
              <w:rPr>
                <w:sz w:val="20"/>
                <w:szCs w:val="20"/>
                <w:color w:val="auto"/>
              </w:rPr>
            </w:pPr>
            <w:r>
              <w:rPr>
                <w:rFonts w:ascii="Arial" w:cs="Arial" w:eastAsia="Arial" w:hAnsi="Arial"/>
                <w:sz w:val="18"/>
                <w:szCs w:val="18"/>
                <w:b w:val="1"/>
                <w:bCs w:val="1"/>
                <w:color w:val="auto"/>
              </w:rPr>
              <w:t>Revenue</w:t>
            </w:r>
          </w:p>
        </w:tc>
        <w:tc>
          <w:tcPr>
            <w:tcW w:w="2860" w:type="dxa"/>
            <w:vAlign w:val="bottom"/>
            <w:tcBorders>
              <w:top w:val="single" w:sz="8" w:color="CCEEFF"/>
            </w:tcBorders>
            <w:shd w:val="clear" w:color="auto" w:fill="CCEEFF"/>
          </w:tcPr>
          <w:p>
            <w:pPr>
              <w:spacing w:after="0"/>
              <w:rPr>
                <w:sz w:val="17"/>
                <w:szCs w:val="17"/>
                <w:color w:val="auto"/>
              </w:rPr>
            </w:pPr>
          </w:p>
        </w:tc>
        <w:tc>
          <w:tcPr>
            <w:tcW w:w="960" w:type="dxa"/>
            <w:vAlign w:val="bottom"/>
            <w:tcBorders>
              <w:top w:val="single" w:sz="8" w:color="auto"/>
            </w:tcBorders>
            <w:shd w:val="clear" w:color="auto" w:fill="CCEEFF"/>
          </w:tcPr>
          <w:p>
            <w:pPr>
              <w:spacing w:after="0"/>
              <w:rPr>
                <w:sz w:val="17"/>
                <w:szCs w:val="17"/>
                <w:color w:val="auto"/>
              </w:rPr>
            </w:pPr>
          </w:p>
        </w:tc>
        <w:tc>
          <w:tcPr>
            <w:tcW w:w="480" w:type="dxa"/>
            <w:vAlign w:val="bottom"/>
            <w:tcBorders>
              <w:top w:val="single" w:sz="8" w:color="CCEEFF"/>
            </w:tcBorders>
            <w:shd w:val="clear" w:color="auto" w:fill="CCEEFF"/>
          </w:tcPr>
          <w:p>
            <w:pPr>
              <w:spacing w:after="0"/>
              <w:rPr>
                <w:sz w:val="17"/>
                <w:szCs w:val="17"/>
                <w:color w:val="auto"/>
              </w:rPr>
            </w:pPr>
          </w:p>
        </w:tc>
        <w:tc>
          <w:tcPr>
            <w:tcW w:w="820" w:type="dxa"/>
            <w:vAlign w:val="bottom"/>
            <w:tcBorders>
              <w:top w:val="single" w:sz="8" w:color="auto"/>
            </w:tcBorders>
            <w:shd w:val="clear" w:color="auto" w:fill="CCEEFF"/>
          </w:tcPr>
          <w:p>
            <w:pPr>
              <w:spacing w:after="0"/>
              <w:rPr>
                <w:sz w:val="17"/>
                <w:szCs w:val="17"/>
                <w:color w:val="auto"/>
              </w:rPr>
            </w:pPr>
          </w:p>
        </w:tc>
        <w:tc>
          <w:tcPr>
            <w:tcW w:w="34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960" w:type="dxa"/>
            <w:vAlign w:val="bottom"/>
            <w:tcBorders>
              <w:top w:val="single" w:sz="8" w:color="auto"/>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060" w:type="dxa"/>
            <w:vAlign w:val="bottom"/>
          </w:tcPr>
          <w:p>
            <w:pPr>
              <w:ind w:left="160"/>
              <w:spacing w:after="0"/>
              <w:rPr>
                <w:sz w:val="20"/>
                <w:szCs w:val="20"/>
                <w:color w:val="auto"/>
              </w:rPr>
            </w:pPr>
            <w:r>
              <w:rPr>
                <w:rFonts w:ascii="Arial" w:cs="Arial" w:eastAsia="Arial" w:hAnsi="Arial"/>
                <w:sz w:val="18"/>
                <w:szCs w:val="18"/>
                <w:color w:val="auto"/>
              </w:rPr>
              <w:t>Sale of goods</w:t>
            </w:r>
          </w:p>
        </w:tc>
        <w:tc>
          <w:tcPr>
            <w:tcW w:w="2860" w:type="dxa"/>
            <w:vAlign w:val="bottom"/>
          </w:tcPr>
          <w:p>
            <w:pPr>
              <w:spacing w:after="0"/>
              <w:rPr>
                <w:sz w:val="18"/>
                <w:szCs w:val="18"/>
                <w:color w:val="auto"/>
              </w:rPr>
            </w:pPr>
          </w:p>
        </w:tc>
        <w:tc>
          <w:tcPr>
            <w:tcW w:w="960" w:type="dxa"/>
            <w:vAlign w:val="bottom"/>
          </w:tcPr>
          <w:p>
            <w:pPr>
              <w:jc w:val="center"/>
              <w:spacing w:after="0"/>
              <w:rPr>
                <w:sz w:val="20"/>
                <w:szCs w:val="20"/>
                <w:color w:val="auto"/>
              </w:rPr>
            </w:pPr>
            <w:r>
              <w:rPr>
                <w:rFonts w:ascii="Arial" w:cs="Arial" w:eastAsia="Arial" w:hAnsi="Arial"/>
                <w:sz w:val="18"/>
                <w:szCs w:val="18"/>
                <w:u w:val="single" w:color="auto"/>
                <w:color w:val="auto"/>
                <w:w w:val="93"/>
              </w:rPr>
              <w:t>A$</w:t>
            </w:r>
            <w:r>
              <w:rPr>
                <w:rFonts w:ascii="Arial" w:cs="Arial" w:eastAsia="Arial" w:hAnsi="Arial"/>
                <w:sz w:val="18"/>
                <w:szCs w:val="18"/>
                <w:color w:val="auto"/>
                <w:w w:val="93"/>
              </w:rPr>
              <w:t>1,198,861</w:t>
            </w:r>
          </w:p>
        </w:tc>
        <w:tc>
          <w:tcPr>
            <w:tcW w:w="1640" w:type="dxa"/>
            <w:vAlign w:val="bottom"/>
            <w:gridSpan w:val="3"/>
          </w:tcPr>
          <w:p>
            <w:pPr>
              <w:jc w:val="center"/>
              <w:ind w:left="59"/>
              <w:spacing w:after="0"/>
              <w:rPr>
                <w:sz w:val="20"/>
                <w:szCs w:val="20"/>
                <w:color w:val="auto"/>
              </w:rPr>
            </w:pPr>
            <w:r>
              <w:rPr>
                <w:rFonts w:ascii="Arial" w:cs="Arial" w:eastAsia="Arial" w:hAnsi="Arial"/>
                <w:sz w:val="18"/>
                <w:szCs w:val="18"/>
                <w:u w:val="single" w:color="auto"/>
                <w:color w:val="auto"/>
                <w:w w:val="94"/>
              </w:rPr>
              <w:t>A$</w:t>
            </w:r>
            <w:r>
              <w:rPr>
                <w:rFonts w:ascii="Arial" w:cs="Arial" w:eastAsia="Arial" w:hAnsi="Arial"/>
                <w:sz w:val="18"/>
                <w:szCs w:val="18"/>
                <w:color w:val="auto"/>
                <w:w w:val="94"/>
              </w:rPr>
              <w:t>901,376</w:t>
            </w:r>
          </w:p>
        </w:tc>
        <w:tc>
          <w:tcPr>
            <w:tcW w:w="1160" w:type="dxa"/>
            <w:vAlign w:val="bottom"/>
            <w:gridSpan w:val="3"/>
          </w:tcPr>
          <w:p>
            <w:pPr>
              <w:jc w:val="center"/>
              <w:spacing w:after="0"/>
              <w:rPr>
                <w:sz w:val="20"/>
                <w:szCs w:val="20"/>
                <w:color w:val="auto"/>
              </w:rPr>
            </w:pPr>
            <w:r>
              <w:rPr>
                <w:rFonts w:ascii="Arial" w:cs="Arial" w:eastAsia="Arial" w:hAnsi="Arial"/>
                <w:sz w:val="18"/>
                <w:szCs w:val="18"/>
                <w:u w:val="single" w:color="auto"/>
                <w:color w:val="auto"/>
                <w:w w:val="93"/>
              </w:rPr>
              <w:t>A$</w:t>
            </w:r>
            <w:r>
              <w:rPr>
                <w:rFonts w:ascii="Arial" w:cs="Arial" w:eastAsia="Arial" w:hAnsi="Arial"/>
                <w:sz w:val="18"/>
                <w:szCs w:val="18"/>
                <w:color w:val="auto"/>
                <w:w w:val="93"/>
              </w:rPr>
              <w:t>1,002,007</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340" w:type="dxa"/>
            <w:vAlign w:val="bottom"/>
          </w:tcPr>
          <w:p>
            <w:pPr>
              <w:spacing w:after="0"/>
              <w:rPr>
                <w:sz w:val="2"/>
                <w:szCs w:val="2"/>
                <w:color w:val="auto"/>
              </w:rPr>
            </w:pPr>
          </w:p>
        </w:tc>
        <w:tc>
          <w:tcPr>
            <w:tcW w:w="4060" w:type="dxa"/>
            <w:vAlign w:val="bottom"/>
          </w:tcPr>
          <w:p>
            <w:pPr>
              <w:spacing w:after="0"/>
              <w:rPr>
                <w:sz w:val="2"/>
                <w:szCs w:val="2"/>
                <w:color w:val="auto"/>
              </w:rPr>
            </w:pPr>
          </w:p>
        </w:tc>
        <w:tc>
          <w:tcPr>
            <w:tcW w:w="2860" w:type="dxa"/>
            <w:vAlign w:val="bottom"/>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480" w:type="dxa"/>
            <w:vAlign w:val="bottom"/>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140" w:type="dxa"/>
            <w:vAlign w:val="bottom"/>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4060" w:type="dxa"/>
            <w:vAlign w:val="bottom"/>
            <w:shd w:val="clear" w:color="auto" w:fill="CCEEFF"/>
          </w:tcPr>
          <w:p>
            <w:pPr>
              <w:ind w:left="160"/>
              <w:spacing w:after="0"/>
              <w:rPr>
                <w:sz w:val="20"/>
                <w:szCs w:val="20"/>
                <w:color w:val="auto"/>
              </w:rPr>
            </w:pPr>
            <w:r>
              <w:rPr>
                <w:rFonts w:ascii="Arial" w:cs="Arial" w:eastAsia="Arial" w:hAnsi="Arial"/>
                <w:sz w:val="18"/>
                <w:szCs w:val="18"/>
                <w:b w:val="1"/>
                <w:bCs w:val="1"/>
                <w:color w:val="auto"/>
              </w:rPr>
              <w:t>Total revenue</w:t>
            </w:r>
          </w:p>
        </w:tc>
        <w:tc>
          <w:tcPr>
            <w:tcW w:w="2860" w:type="dxa"/>
            <w:vAlign w:val="bottom"/>
            <w:shd w:val="clear" w:color="auto" w:fill="CCEEFF"/>
          </w:tcPr>
          <w:p>
            <w:pPr>
              <w:spacing w:after="0"/>
              <w:rPr>
                <w:sz w:val="18"/>
                <w:szCs w:val="18"/>
                <w:color w:val="auto"/>
              </w:rPr>
            </w:pPr>
          </w:p>
        </w:tc>
        <w:tc>
          <w:tcPr>
            <w:tcW w:w="960" w:type="dxa"/>
            <w:vAlign w:val="bottom"/>
            <w:shd w:val="clear" w:color="auto" w:fill="CCEEFF"/>
          </w:tcPr>
          <w:p>
            <w:pPr>
              <w:jc w:val="center"/>
              <w:spacing w:after="0"/>
              <w:rPr>
                <w:sz w:val="20"/>
                <w:szCs w:val="20"/>
                <w:color w:val="auto"/>
              </w:rPr>
            </w:pPr>
            <w:r>
              <w:rPr>
                <w:rFonts w:ascii="Arial" w:cs="Arial" w:eastAsia="Arial" w:hAnsi="Arial"/>
                <w:sz w:val="18"/>
                <w:szCs w:val="18"/>
                <w:b w:val="1"/>
                <w:bCs w:val="1"/>
                <w:u w:val="single" w:color="auto"/>
                <w:color w:val="auto"/>
                <w:w w:val="93"/>
              </w:rPr>
              <w:t>A$</w:t>
            </w:r>
            <w:r>
              <w:rPr>
                <w:rFonts w:ascii="Arial" w:cs="Arial" w:eastAsia="Arial" w:hAnsi="Arial"/>
                <w:sz w:val="18"/>
                <w:szCs w:val="18"/>
                <w:b w:val="1"/>
                <w:bCs w:val="1"/>
                <w:color w:val="auto"/>
                <w:w w:val="93"/>
              </w:rPr>
              <w:t>1,198,861</w:t>
            </w:r>
          </w:p>
        </w:tc>
        <w:tc>
          <w:tcPr>
            <w:tcW w:w="1640" w:type="dxa"/>
            <w:vAlign w:val="bottom"/>
            <w:gridSpan w:val="3"/>
            <w:shd w:val="clear" w:color="auto" w:fill="CCEEFF"/>
          </w:tcPr>
          <w:p>
            <w:pPr>
              <w:jc w:val="center"/>
              <w:ind w:left="59"/>
              <w:spacing w:after="0"/>
              <w:rPr>
                <w:sz w:val="20"/>
                <w:szCs w:val="20"/>
                <w:color w:val="auto"/>
              </w:rPr>
            </w:pPr>
            <w:r>
              <w:rPr>
                <w:rFonts w:ascii="Arial" w:cs="Arial" w:eastAsia="Arial" w:hAnsi="Arial"/>
                <w:sz w:val="18"/>
                <w:szCs w:val="18"/>
                <w:b w:val="1"/>
                <w:bCs w:val="1"/>
                <w:u w:val="single" w:color="auto"/>
                <w:color w:val="auto"/>
                <w:w w:val="93"/>
              </w:rPr>
              <w:t>A$</w:t>
            </w:r>
            <w:r>
              <w:rPr>
                <w:rFonts w:ascii="Arial" w:cs="Arial" w:eastAsia="Arial" w:hAnsi="Arial"/>
                <w:sz w:val="18"/>
                <w:szCs w:val="18"/>
                <w:b w:val="1"/>
                <w:bCs w:val="1"/>
                <w:color w:val="auto"/>
                <w:w w:val="93"/>
              </w:rPr>
              <w:t>901,376</w:t>
            </w:r>
          </w:p>
        </w:tc>
        <w:tc>
          <w:tcPr>
            <w:tcW w:w="1160" w:type="dxa"/>
            <w:vAlign w:val="bottom"/>
            <w:gridSpan w:val="3"/>
            <w:shd w:val="clear" w:color="auto" w:fill="CCEEFF"/>
          </w:tcPr>
          <w:p>
            <w:pPr>
              <w:jc w:val="center"/>
              <w:spacing w:after="0"/>
              <w:rPr>
                <w:sz w:val="20"/>
                <w:szCs w:val="20"/>
                <w:color w:val="auto"/>
              </w:rPr>
            </w:pPr>
            <w:r>
              <w:rPr>
                <w:rFonts w:ascii="Arial" w:cs="Arial" w:eastAsia="Arial" w:hAnsi="Arial"/>
                <w:sz w:val="18"/>
                <w:szCs w:val="18"/>
                <w:b w:val="1"/>
                <w:bCs w:val="1"/>
                <w:u w:val="single" w:color="auto"/>
                <w:color w:val="auto"/>
                <w:w w:val="93"/>
              </w:rPr>
              <w:t>A$</w:t>
            </w:r>
            <w:r>
              <w:rPr>
                <w:rFonts w:ascii="Arial" w:cs="Arial" w:eastAsia="Arial" w:hAnsi="Arial"/>
                <w:sz w:val="18"/>
                <w:szCs w:val="18"/>
                <w:b w:val="1"/>
                <w:bCs w:val="1"/>
                <w:color w:val="auto"/>
                <w:w w:val="93"/>
              </w:rPr>
              <w:t>1,002,007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060" w:type="dxa"/>
            <w:vAlign w:val="bottom"/>
          </w:tcPr>
          <w:p>
            <w:pPr>
              <w:spacing w:after="0" w:line="20" w:lineRule="exact"/>
              <w:rPr>
                <w:sz w:val="1"/>
                <w:szCs w:val="1"/>
                <w:color w:val="auto"/>
              </w:rPr>
            </w:pPr>
          </w:p>
        </w:tc>
        <w:tc>
          <w:tcPr>
            <w:tcW w:w="2860" w:type="dxa"/>
            <w:vAlign w:val="bottom"/>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jc w:val="both"/>
        <w:ind w:left="200" w:right="240"/>
        <w:spacing w:after="0" w:line="259" w:lineRule="auto"/>
        <w:rPr>
          <w:sz w:val="20"/>
          <w:szCs w:val="20"/>
          <w:color w:val="auto"/>
        </w:rPr>
      </w:pPr>
      <w:r>
        <w:rPr>
          <w:rFonts w:ascii="Arial" w:cs="Arial" w:eastAsia="Arial" w:hAnsi="Arial"/>
          <w:sz w:val="18"/>
          <w:szCs w:val="18"/>
          <w:color w:val="auto"/>
        </w:rPr>
        <w:t>The Company had been granted a BARDA contract in September 2015, wherein BARDA will fund the Company to support the ongoing U.S. clinical regulatory program towards FDA Premarket Approval and Compassionate Use program, and clinical and health economics research in U.S. pediatric burn care. The objectives support BARDA’s overarching goal of building burn care preparedness, by securing effective medical countermeasures for burn injuries for use in case of a mass casualty.</w:t>
      </w:r>
    </w:p>
    <w:p>
      <w:pPr>
        <w:spacing w:after="0" w:line="193" w:lineRule="exact"/>
        <w:rPr>
          <w:sz w:val="20"/>
          <w:szCs w:val="20"/>
          <w:color w:val="auto"/>
        </w:rPr>
      </w:pPr>
    </w:p>
    <w:tbl>
      <w:tblPr>
        <w:tblLayout w:type="fixed"/>
        <w:tblInd w:w="20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3280" w:type="dxa"/>
            <w:vAlign w:val="bottom"/>
          </w:tcPr>
          <w:p>
            <w:pPr>
              <w:spacing w:after="0"/>
              <w:rPr>
                <w:sz w:val="14"/>
                <w:szCs w:val="14"/>
                <w:color w:val="auto"/>
              </w:rPr>
            </w:pPr>
          </w:p>
        </w:tc>
        <w:tc>
          <w:tcPr>
            <w:tcW w:w="4380" w:type="dxa"/>
            <w:vAlign w:val="bottom"/>
            <w:gridSpan w:val="2"/>
            <w:vMerge w:val="restart"/>
          </w:tcPr>
          <w:p>
            <w:pPr>
              <w:jc w:val="right"/>
              <w:ind w:right="290"/>
              <w:spacing w:after="0"/>
              <w:rPr>
                <w:sz w:val="20"/>
                <w:szCs w:val="20"/>
                <w:color w:val="auto"/>
              </w:rPr>
            </w:pPr>
            <w:r>
              <w:rPr>
                <w:rFonts w:ascii="Arial" w:cs="Arial" w:eastAsia="Arial" w:hAnsi="Arial"/>
                <w:sz w:val="14"/>
                <w:szCs w:val="14"/>
                <w:b w:val="1"/>
                <w:bCs w:val="1"/>
                <w:color w:val="auto"/>
              </w:rPr>
              <w:t>2018</w:t>
            </w:r>
          </w:p>
        </w:tc>
        <w:tc>
          <w:tcPr>
            <w:tcW w:w="1700" w:type="dxa"/>
            <w:vAlign w:val="bottom"/>
            <w:gridSpan w:val="3"/>
          </w:tcPr>
          <w:p>
            <w:pPr>
              <w:ind w:left="260"/>
              <w:spacing w:after="0"/>
              <w:rPr>
                <w:sz w:val="20"/>
                <w:szCs w:val="20"/>
                <w:color w:val="auto"/>
              </w:rPr>
            </w:pPr>
            <w:r>
              <w:rPr>
                <w:rFonts w:ascii="Arial" w:cs="Arial" w:eastAsia="Arial" w:hAnsi="Arial"/>
                <w:sz w:val="14"/>
                <w:szCs w:val="14"/>
                <w:b w:val="1"/>
                <w:bCs w:val="1"/>
                <w:color w:val="auto"/>
              </w:rPr>
              <w:t>Year Ended June 30,</w:t>
            </w:r>
          </w:p>
        </w:tc>
        <w:tc>
          <w:tcPr>
            <w:tcW w:w="1140" w:type="dxa"/>
            <w:vAlign w:val="bottom"/>
            <w:gridSpan w:val="2"/>
            <w:vMerge w:val="restart"/>
          </w:tcPr>
          <w:p>
            <w:pPr>
              <w:jc w:val="right"/>
              <w:ind w:right="250"/>
              <w:spacing w:after="0"/>
              <w:rPr>
                <w:sz w:val="20"/>
                <w:szCs w:val="20"/>
                <w:color w:val="auto"/>
              </w:rPr>
            </w:pPr>
            <w:r>
              <w:rPr>
                <w:rFonts w:ascii="Arial" w:cs="Arial" w:eastAsia="Arial" w:hAnsi="Arial"/>
                <w:sz w:val="14"/>
                <w:szCs w:val="14"/>
                <w:b w:val="1"/>
                <w:bCs w:val="1"/>
                <w:color w:val="auto"/>
              </w:rPr>
              <w:t>2016</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3280" w:type="dxa"/>
            <w:vAlign w:val="bottom"/>
          </w:tcPr>
          <w:p>
            <w:pPr>
              <w:spacing w:after="0"/>
              <w:rPr>
                <w:sz w:val="14"/>
                <w:szCs w:val="14"/>
                <w:color w:val="auto"/>
              </w:rPr>
            </w:pPr>
          </w:p>
        </w:tc>
        <w:tc>
          <w:tcPr>
            <w:tcW w:w="4380" w:type="dxa"/>
            <w:vAlign w:val="bottom"/>
            <w:gridSpan w:val="2"/>
            <w:vMerge w:val="continue"/>
          </w:tcPr>
          <w:p>
            <w:pPr>
              <w:spacing w:after="0"/>
              <w:rPr>
                <w:sz w:val="14"/>
                <w:szCs w:val="14"/>
                <w:color w:val="auto"/>
              </w:rPr>
            </w:pPr>
          </w:p>
        </w:tc>
        <w:tc>
          <w:tcPr>
            <w:tcW w:w="1420" w:type="dxa"/>
            <w:vAlign w:val="bottom"/>
            <w:gridSpan w:val="2"/>
          </w:tcPr>
          <w:p>
            <w:pPr>
              <w:jc w:val="right"/>
              <w:ind w:right="250"/>
              <w:spacing w:after="0"/>
              <w:rPr>
                <w:sz w:val="20"/>
                <w:szCs w:val="20"/>
                <w:color w:val="auto"/>
              </w:rPr>
            </w:pPr>
            <w:r>
              <w:rPr>
                <w:rFonts w:ascii="Arial" w:cs="Arial" w:eastAsia="Arial" w:hAnsi="Arial"/>
                <w:sz w:val="14"/>
                <w:szCs w:val="14"/>
                <w:b w:val="1"/>
                <w:bCs w:val="1"/>
                <w:color w:val="auto"/>
              </w:rPr>
              <w:t>2017</w:t>
            </w:r>
          </w:p>
        </w:tc>
        <w:tc>
          <w:tcPr>
            <w:tcW w:w="280" w:type="dxa"/>
            <w:vAlign w:val="bottom"/>
          </w:tcPr>
          <w:p>
            <w:pPr>
              <w:spacing w:after="0"/>
              <w:rPr>
                <w:sz w:val="14"/>
                <w:szCs w:val="14"/>
                <w:color w:val="auto"/>
              </w:rPr>
            </w:pPr>
          </w:p>
        </w:tc>
        <w:tc>
          <w:tcPr>
            <w:tcW w:w="1140" w:type="dxa"/>
            <w:vAlign w:val="bottom"/>
            <w:gridSpan w:val="2"/>
            <w:vMerge w:val="continue"/>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46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(b)</w:t>
            </w:r>
          </w:p>
        </w:tc>
        <w:tc>
          <w:tcPr>
            <w:tcW w:w="3280" w:type="dxa"/>
            <w:vAlign w:val="bottom"/>
            <w:tcBorders>
              <w:top w:val="single" w:sz="8" w:color="CCEEFF"/>
            </w:tcBorders>
            <w:shd w:val="clear" w:color="auto" w:fill="CCEEFF"/>
          </w:tcPr>
          <w:p>
            <w:pPr>
              <w:ind w:left="240"/>
              <w:spacing w:after="0" w:line="196" w:lineRule="exact"/>
              <w:rPr>
                <w:sz w:val="20"/>
                <w:szCs w:val="20"/>
                <w:color w:val="auto"/>
              </w:rPr>
            </w:pPr>
            <w:r>
              <w:rPr>
                <w:rFonts w:ascii="Arial" w:cs="Arial" w:eastAsia="Arial" w:hAnsi="Arial"/>
                <w:sz w:val="18"/>
                <w:szCs w:val="18"/>
                <w:b w:val="1"/>
                <w:bCs w:val="1"/>
                <w:color w:val="auto"/>
              </w:rPr>
              <w:t>Other income</w:t>
            </w:r>
          </w:p>
        </w:tc>
        <w:tc>
          <w:tcPr>
            <w:tcW w:w="3340" w:type="dxa"/>
            <w:vAlign w:val="bottom"/>
            <w:tcBorders>
              <w:top w:val="single" w:sz="8" w:color="CCEEFF"/>
            </w:tcBorders>
            <w:shd w:val="clear" w:color="auto" w:fill="CCEEFF"/>
          </w:tcPr>
          <w:p>
            <w:pPr>
              <w:spacing w:after="0"/>
              <w:rPr>
                <w:sz w:val="17"/>
                <w:szCs w:val="17"/>
                <w:color w:val="auto"/>
              </w:rPr>
            </w:pPr>
          </w:p>
        </w:tc>
        <w:tc>
          <w:tcPr>
            <w:tcW w:w="1040" w:type="dxa"/>
            <w:vAlign w:val="bottom"/>
            <w:tcBorders>
              <w:top w:val="single" w:sz="8" w:color="auto"/>
            </w:tcBorders>
            <w:shd w:val="clear" w:color="auto" w:fill="CCEEFF"/>
          </w:tcPr>
          <w:p>
            <w:pPr>
              <w:spacing w:after="0"/>
              <w:rPr>
                <w:sz w:val="17"/>
                <w:szCs w:val="17"/>
                <w:color w:val="auto"/>
              </w:rPr>
            </w:pPr>
          </w:p>
        </w:tc>
        <w:tc>
          <w:tcPr>
            <w:tcW w:w="460" w:type="dxa"/>
            <w:vAlign w:val="bottom"/>
            <w:tcBorders>
              <w:top w:val="single" w:sz="8" w:color="CCEEFF"/>
            </w:tcBorders>
            <w:shd w:val="clear" w:color="auto" w:fill="CCEEFF"/>
          </w:tcPr>
          <w:p>
            <w:pPr>
              <w:spacing w:after="0"/>
              <w:rPr>
                <w:sz w:val="17"/>
                <w:szCs w:val="17"/>
                <w:color w:val="auto"/>
              </w:rPr>
            </w:pPr>
          </w:p>
        </w:tc>
        <w:tc>
          <w:tcPr>
            <w:tcW w:w="960" w:type="dxa"/>
            <w:vAlign w:val="bottom"/>
            <w:tcBorders>
              <w:top w:val="single" w:sz="8" w:color="auto"/>
            </w:tcBorders>
            <w:shd w:val="clear" w:color="auto" w:fill="CCEEFF"/>
          </w:tcPr>
          <w:p>
            <w:pPr>
              <w:spacing w:after="0"/>
              <w:rPr>
                <w:sz w:val="17"/>
                <w:szCs w:val="17"/>
                <w:color w:val="auto"/>
              </w:rPr>
            </w:pPr>
          </w:p>
        </w:tc>
        <w:tc>
          <w:tcPr>
            <w:tcW w:w="28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960" w:type="dxa"/>
            <w:vAlign w:val="bottom"/>
            <w:tcBorders>
              <w:top w:val="single" w:sz="8" w:color="auto"/>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3280" w:type="dxa"/>
            <w:vAlign w:val="bottom"/>
          </w:tcPr>
          <w:p>
            <w:pPr>
              <w:ind w:left="240"/>
              <w:spacing w:after="0"/>
              <w:rPr>
                <w:sz w:val="20"/>
                <w:szCs w:val="20"/>
                <w:color w:val="auto"/>
              </w:rPr>
            </w:pPr>
            <w:r>
              <w:rPr>
                <w:rFonts w:ascii="Arial" w:cs="Arial" w:eastAsia="Arial" w:hAnsi="Arial"/>
                <w:sz w:val="18"/>
                <w:szCs w:val="18"/>
                <w:color w:val="auto"/>
              </w:rPr>
              <w:t>BARDA income</w:t>
            </w:r>
          </w:p>
        </w:tc>
        <w:tc>
          <w:tcPr>
            <w:tcW w:w="4380" w:type="dxa"/>
            <w:vAlign w:val="bottom"/>
            <w:gridSpan w:val="2"/>
          </w:tcPr>
          <w:p>
            <w:pPr>
              <w:jc w:val="right"/>
              <w:spacing w:after="0"/>
              <w:rPr>
                <w:sz w:val="20"/>
                <w:szCs w:val="20"/>
                <w:color w:val="auto"/>
              </w:rPr>
            </w:pPr>
            <w:r>
              <w:rPr>
                <w:rFonts w:ascii="Arial" w:cs="Arial" w:eastAsia="Arial" w:hAnsi="Arial"/>
                <w:sz w:val="18"/>
                <w:szCs w:val="18"/>
                <w:color w:val="auto"/>
              </w:rPr>
              <w:t>A$10,104,081</w:t>
            </w:r>
          </w:p>
        </w:tc>
        <w:tc>
          <w:tcPr>
            <w:tcW w:w="1700" w:type="dxa"/>
            <w:vAlign w:val="bottom"/>
            <w:gridSpan w:val="3"/>
          </w:tcPr>
          <w:p>
            <w:pPr>
              <w:jc w:val="right"/>
              <w:ind w:right="280"/>
              <w:spacing w:after="0"/>
              <w:rPr>
                <w:sz w:val="20"/>
                <w:szCs w:val="20"/>
                <w:color w:val="auto"/>
              </w:rPr>
            </w:pPr>
            <w:r>
              <w:rPr>
                <w:rFonts w:ascii="Arial" w:cs="Arial" w:eastAsia="Arial" w:hAnsi="Arial"/>
                <w:sz w:val="18"/>
                <w:szCs w:val="18"/>
                <w:color w:val="auto"/>
              </w:rPr>
              <w:t>A$6,886,236</w:t>
            </w:r>
          </w:p>
        </w:tc>
        <w:tc>
          <w:tcPr>
            <w:tcW w:w="1200" w:type="dxa"/>
            <w:vAlign w:val="bottom"/>
            <w:gridSpan w:val="3"/>
          </w:tcPr>
          <w:p>
            <w:pPr>
              <w:jc w:val="right"/>
              <w:ind w:right="60"/>
              <w:spacing w:after="0"/>
              <w:rPr>
                <w:sz w:val="20"/>
                <w:szCs w:val="20"/>
                <w:color w:val="auto"/>
              </w:rPr>
            </w:pPr>
            <w:r>
              <w:rPr>
                <w:rFonts w:ascii="Arial" w:cs="Arial" w:eastAsia="Arial" w:hAnsi="Arial"/>
                <w:sz w:val="18"/>
                <w:szCs w:val="18"/>
                <w:color w:val="auto"/>
              </w:rPr>
              <w:t>A$2,424,357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3280" w:type="dxa"/>
            <w:vAlign w:val="bottom"/>
            <w:shd w:val="clear" w:color="auto" w:fill="CCEEFF"/>
          </w:tcPr>
          <w:p>
            <w:pPr>
              <w:ind w:left="240"/>
              <w:spacing w:after="0"/>
              <w:rPr>
                <w:sz w:val="20"/>
                <w:szCs w:val="20"/>
                <w:color w:val="auto"/>
              </w:rPr>
            </w:pPr>
            <w:r>
              <w:rPr>
                <w:rFonts w:ascii="Arial" w:cs="Arial" w:eastAsia="Arial" w:hAnsi="Arial"/>
                <w:sz w:val="18"/>
                <w:szCs w:val="18"/>
                <w:color w:val="auto"/>
              </w:rPr>
              <w:t>Other income</w:t>
            </w:r>
          </w:p>
        </w:tc>
        <w:tc>
          <w:tcPr>
            <w:tcW w:w="43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68,617</w:t>
            </w:r>
          </w:p>
        </w:tc>
        <w:tc>
          <w:tcPr>
            <w:tcW w:w="1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344,734</w:t>
            </w:r>
          </w:p>
        </w:tc>
        <w:tc>
          <w:tcPr>
            <w:tcW w:w="2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120,160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3280" w:type="dxa"/>
            <w:vAlign w:val="bottom"/>
          </w:tcPr>
          <w:p>
            <w:pPr>
              <w:ind w:left="240"/>
              <w:spacing w:after="0"/>
              <w:rPr>
                <w:sz w:val="20"/>
                <w:szCs w:val="20"/>
                <w:color w:val="auto"/>
              </w:rPr>
            </w:pPr>
            <w:r>
              <w:rPr>
                <w:rFonts w:ascii="Arial" w:cs="Arial" w:eastAsia="Arial" w:hAnsi="Arial"/>
                <w:sz w:val="18"/>
                <w:szCs w:val="18"/>
                <w:b w:val="1"/>
                <w:bCs w:val="1"/>
                <w:color w:val="auto"/>
              </w:rPr>
              <w:t>Total other income</w:t>
            </w:r>
          </w:p>
        </w:tc>
        <w:tc>
          <w:tcPr>
            <w:tcW w:w="3340" w:type="dxa"/>
            <w:vAlign w:val="bottom"/>
          </w:tcPr>
          <w:p>
            <w:pPr>
              <w:spacing w:after="0"/>
              <w:rPr>
                <w:sz w:val="19"/>
                <w:szCs w:val="19"/>
                <w:color w:val="auto"/>
              </w:rPr>
            </w:pP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u w:val="single" w:color="auto"/>
                <w:color w:val="auto"/>
                <w:w w:val="90"/>
              </w:rPr>
              <w:t>A$</w:t>
            </w:r>
            <w:r>
              <w:rPr>
                <w:rFonts w:ascii="Arial" w:cs="Arial" w:eastAsia="Arial" w:hAnsi="Arial"/>
                <w:sz w:val="18"/>
                <w:szCs w:val="18"/>
                <w:b w:val="1"/>
                <w:bCs w:val="1"/>
                <w:color w:val="auto"/>
                <w:w w:val="90"/>
              </w:rPr>
              <w:t>10,172,698</w:t>
            </w:r>
          </w:p>
        </w:tc>
        <w:tc>
          <w:tcPr>
            <w:tcW w:w="460" w:type="dxa"/>
            <w:vAlign w:val="bottom"/>
          </w:tcPr>
          <w:p>
            <w:pPr>
              <w:spacing w:after="0"/>
              <w:rPr>
                <w:sz w:val="19"/>
                <w:szCs w:val="19"/>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u w:val="single" w:color="auto"/>
                <w:color w:val="auto"/>
                <w:w w:val="91"/>
              </w:rPr>
              <w:t>A$</w:t>
            </w:r>
            <w:r>
              <w:rPr>
                <w:rFonts w:ascii="Arial" w:cs="Arial" w:eastAsia="Arial" w:hAnsi="Arial"/>
                <w:sz w:val="18"/>
                <w:szCs w:val="18"/>
                <w:b w:val="1"/>
                <w:bCs w:val="1"/>
                <w:color w:val="auto"/>
                <w:w w:val="91"/>
              </w:rPr>
              <w:t>7,230,970</w:t>
            </w:r>
          </w:p>
        </w:tc>
        <w:tc>
          <w:tcPr>
            <w:tcW w:w="2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u w:val="single" w:color="auto"/>
                <w:color w:val="auto"/>
                <w:w w:val="91"/>
              </w:rPr>
              <w:t>A$</w:t>
            </w:r>
            <w:r>
              <w:rPr>
                <w:rFonts w:ascii="Arial" w:cs="Arial" w:eastAsia="Arial" w:hAnsi="Arial"/>
                <w:sz w:val="18"/>
                <w:szCs w:val="18"/>
                <w:b w:val="1"/>
                <w:bCs w:val="1"/>
                <w:color w:val="auto"/>
                <w:w w:val="91"/>
              </w:rPr>
              <w:t>2,544,517</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72"/>
        </w:trPr>
        <w:tc>
          <w:tcPr>
            <w:tcW w:w="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3280" w:type="dxa"/>
            <w:vAlign w:val="bottom"/>
          </w:tcPr>
          <w:p>
            <w:pPr>
              <w:spacing w:after="0"/>
              <w:rPr>
                <w:sz w:val="24"/>
                <w:szCs w:val="24"/>
                <w:color w:val="auto"/>
              </w:rPr>
            </w:pPr>
          </w:p>
        </w:tc>
        <w:tc>
          <w:tcPr>
            <w:tcW w:w="4380" w:type="dxa"/>
            <w:vAlign w:val="bottom"/>
            <w:gridSpan w:val="2"/>
          </w:tcPr>
          <w:p>
            <w:pPr>
              <w:jc w:val="right"/>
              <w:ind w:right="2370"/>
              <w:spacing w:after="0"/>
              <w:rPr>
                <w:sz w:val="20"/>
                <w:szCs w:val="20"/>
                <w:color w:val="auto"/>
              </w:rPr>
            </w:pPr>
            <w:r>
              <w:rPr>
                <w:rFonts w:ascii="Arial" w:cs="Arial" w:eastAsia="Arial" w:hAnsi="Arial"/>
                <w:sz w:val="18"/>
                <w:szCs w:val="18"/>
                <w:color w:val="auto"/>
              </w:rPr>
              <w:t>F-24</w:t>
            </w:r>
          </w:p>
        </w:tc>
        <w:tc>
          <w:tcPr>
            <w:tcW w:w="4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240" w:top="459" w:right="419" w:bottom="1440" w:gutter="0" w:footer="0" w:header="0"/>
        </w:sectPr>
      </w:pPr>
    </w:p>
    <w:bookmarkStart w:id="123" w:name="page124"/>
    <w:bookmarkEnd w:id="12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7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AVITA MEDICAL LIMITED</w:t>
      </w:r>
    </w:p>
    <w:p>
      <w:pPr>
        <w:spacing w:after="0" w:line="27"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9"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(IN AUSTRALIAN DOLLARS)</w:t>
      </w:r>
    </w:p>
    <w:p>
      <w:pPr>
        <w:spacing w:after="0" w:line="234" w:lineRule="exact"/>
        <w:rPr>
          <w:sz w:val="20"/>
          <w:szCs w:val="20"/>
          <w:color w:val="auto"/>
        </w:rPr>
      </w:pPr>
    </w:p>
    <w:tbl>
      <w:tblPr>
        <w:tblLayout w:type="fixed"/>
        <w:tblInd w:w="200" w:type="dxa"/>
        <w:tblCellMar>
          <w:top w:w="0" w:type="dxa"/>
          <w:left w:w="0" w:type="dxa"/>
          <w:bottom w:w="0" w:type="dxa"/>
          <w:right w:w="0" w:type="dxa"/>
        </w:tblCellMar>
      </w:tblPr>
      <w:tr>
        <w:trPr>
          <w:trHeight w:val="234"/>
        </w:trPr>
        <w:tc>
          <w:tcPr>
            <w:tcW w:w="320" w:type="dxa"/>
            <w:vAlign w:val="bottom"/>
            <w:gridSpan w:val="2"/>
          </w:tcPr>
          <w:p>
            <w:pPr>
              <w:spacing w:after="0"/>
              <w:rPr>
                <w:sz w:val="20"/>
                <w:szCs w:val="20"/>
                <w:color w:val="auto"/>
              </w:rPr>
            </w:pPr>
            <w:r>
              <w:rPr>
                <w:rFonts w:ascii="Arial" w:cs="Arial" w:eastAsia="Arial" w:hAnsi="Arial"/>
                <w:sz w:val="18"/>
                <w:szCs w:val="18"/>
                <w:b w:val="1"/>
                <w:bCs w:val="1"/>
                <w:color w:val="auto"/>
              </w:rPr>
              <w:t>4.</w:t>
            </w:r>
          </w:p>
        </w:tc>
        <w:tc>
          <w:tcPr>
            <w:tcW w:w="8600" w:type="dxa"/>
            <w:vAlign w:val="bottom"/>
            <w:gridSpan w:val="2"/>
          </w:tcPr>
          <w:p>
            <w:pPr>
              <w:ind w:left="120"/>
              <w:spacing w:after="0"/>
              <w:rPr>
                <w:sz w:val="20"/>
                <w:szCs w:val="20"/>
                <w:color w:val="auto"/>
              </w:rPr>
            </w:pPr>
            <w:r>
              <w:rPr>
                <w:rFonts w:ascii="Arial" w:cs="Arial" w:eastAsia="Arial" w:hAnsi="Arial"/>
                <w:sz w:val="18"/>
                <w:szCs w:val="18"/>
                <w:b w:val="1"/>
                <w:bCs w:val="1"/>
                <w:color w:val="auto"/>
              </w:rPr>
              <w:t>REVENUES AND EXPENSES (CONTINUED)</w:t>
            </w:r>
          </w:p>
        </w:tc>
        <w:tc>
          <w:tcPr>
            <w:tcW w:w="44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8600" w:type="dxa"/>
            <w:vAlign w:val="bottom"/>
            <w:gridSpan w:val="2"/>
            <w:vMerge w:val="restart"/>
          </w:tcPr>
          <w:p>
            <w:pPr>
              <w:jc w:val="right"/>
              <w:ind w:right="240"/>
              <w:spacing w:after="0"/>
              <w:rPr>
                <w:sz w:val="20"/>
                <w:szCs w:val="20"/>
                <w:color w:val="auto"/>
              </w:rPr>
            </w:pPr>
            <w:r>
              <w:rPr>
                <w:rFonts w:ascii="Arial" w:cs="Arial" w:eastAsia="Arial" w:hAnsi="Arial"/>
                <w:sz w:val="14"/>
                <w:szCs w:val="14"/>
                <w:b w:val="1"/>
                <w:bCs w:val="1"/>
                <w:color w:val="auto"/>
              </w:rPr>
              <w:t>2018</w:t>
            </w:r>
          </w:p>
        </w:tc>
        <w:tc>
          <w:tcPr>
            <w:tcW w:w="1640" w:type="dxa"/>
            <w:vAlign w:val="bottom"/>
            <w:gridSpan w:val="3"/>
          </w:tcPr>
          <w:p>
            <w:pPr>
              <w:ind w:left="20"/>
              <w:spacing w:after="0"/>
              <w:rPr>
                <w:sz w:val="20"/>
                <w:szCs w:val="20"/>
                <w:color w:val="auto"/>
              </w:rPr>
            </w:pPr>
            <w:r>
              <w:rPr>
                <w:rFonts w:ascii="Arial" w:cs="Arial" w:eastAsia="Arial" w:hAnsi="Arial"/>
                <w:sz w:val="14"/>
                <w:szCs w:val="14"/>
                <w:b w:val="1"/>
                <w:bCs w:val="1"/>
                <w:color w:val="auto"/>
              </w:rPr>
              <w:t>Year Ended June 30,</w:t>
            </w:r>
          </w:p>
        </w:tc>
        <w:tc>
          <w:tcPr>
            <w:tcW w:w="420" w:type="dxa"/>
            <w:vAlign w:val="bottom"/>
            <w:vMerge w:val="restart"/>
          </w:tcPr>
          <w:p>
            <w:pPr>
              <w:jc w:val="right"/>
              <w:ind w:right="8"/>
              <w:spacing w:after="0"/>
              <w:rPr>
                <w:sz w:val="20"/>
                <w:szCs w:val="20"/>
                <w:color w:val="auto"/>
              </w:rPr>
            </w:pPr>
            <w:r>
              <w:rPr>
                <w:rFonts w:ascii="Arial" w:cs="Arial" w:eastAsia="Arial" w:hAnsi="Arial"/>
                <w:sz w:val="14"/>
                <w:szCs w:val="14"/>
                <w:b w:val="1"/>
                <w:bCs w:val="1"/>
                <w:color w:val="auto"/>
              </w:rPr>
              <w:t>2016</w:t>
            </w: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600" w:type="dxa"/>
            <w:vAlign w:val="bottom"/>
            <w:gridSpan w:val="2"/>
            <w:vMerge w:val="continue"/>
          </w:tcPr>
          <w:p>
            <w:pPr>
              <w:spacing w:after="0"/>
              <w:rPr>
                <w:sz w:val="14"/>
                <w:szCs w:val="14"/>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4"/>
                <w:szCs w:val="14"/>
                <w:b w:val="1"/>
                <w:bCs w:val="1"/>
                <w:color w:val="auto"/>
              </w:rPr>
              <w:t>2017</w:t>
            </w:r>
          </w:p>
        </w:tc>
        <w:tc>
          <w:tcPr>
            <w:tcW w:w="460" w:type="dxa"/>
            <w:vAlign w:val="bottom"/>
          </w:tcPr>
          <w:p>
            <w:pPr>
              <w:spacing w:after="0"/>
              <w:rPr>
                <w:sz w:val="14"/>
                <w:szCs w:val="14"/>
                <w:color w:val="auto"/>
              </w:rPr>
            </w:pPr>
          </w:p>
        </w:tc>
        <w:tc>
          <w:tcPr>
            <w:tcW w:w="420" w:type="dxa"/>
            <w:vAlign w:val="bottom"/>
            <w:vMerge w:val="continue"/>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30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(c)</w:t>
            </w:r>
          </w:p>
        </w:tc>
        <w:tc>
          <w:tcPr>
            <w:tcW w:w="7860" w:type="dxa"/>
            <w:vAlign w:val="bottom"/>
            <w:tcBorders>
              <w:top w:val="single" w:sz="8" w:color="CCEEFF"/>
            </w:tcBorders>
            <w:shd w:val="clear" w:color="auto" w:fill="CCEEFF"/>
          </w:tcPr>
          <w:p>
            <w:pPr>
              <w:ind w:left="100"/>
              <w:spacing w:after="0" w:line="196" w:lineRule="exact"/>
              <w:rPr>
                <w:sz w:val="20"/>
                <w:szCs w:val="20"/>
                <w:color w:val="auto"/>
              </w:rPr>
            </w:pPr>
            <w:r>
              <w:rPr>
                <w:rFonts w:ascii="Arial" w:cs="Arial" w:eastAsia="Arial" w:hAnsi="Arial"/>
                <w:sz w:val="18"/>
                <w:szCs w:val="18"/>
                <w:b w:val="1"/>
                <w:bCs w:val="1"/>
                <w:color w:val="auto"/>
              </w:rPr>
              <w:t>Finance costs</w:t>
            </w:r>
          </w:p>
        </w:tc>
        <w:tc>
          <w:tcPr>
            <w:tcW w:w="740" w:type="dxa"/>
            <w:vAlign w:val="bottom"/>
            <w:tcBorders>
              <w:top w:val="single" w:sz="8" w:color="auto"/>
            </w:tcBorders>
            <w:shd w:val="clear" w:color="auto" w:fill="CCEEFF"/>
          </w:tcPr>
          <w:p>
            <w:pPr>
              <w:spacing w:after="0"/>
              <w:rPr>
                <w:sz w:val="17"/>
                <w:szCs w:val="17"/>
                <w:color w:val="auto"/>
              </w:rPr>
            </w:pPr>
          </w:p>
        </w:tc>
        <w:tc>
          <w:tcPr>
            <w:tcW w:w="440" w:type="dxa"/>
            <w:vAlign w:val="bottom"/>
            <w:tcBorders>
              <w:top w:val="single" w:sz="8" w:color="CCEEFF"/>
            </w:tcBorders>
            <w:shd w:val="clear" w:color="auto" w:fill="CCEEFF"/>
          </w:tcPr>
          <w:p>
            <w:pPr>
              <w:spacing w:after="0"/>
              <w:rPr>
                <w:sz w:val="17"/>
                <w:szCs w:val="17"/>
                <w:color w:val="auto"/>
              </w:rPr>
            </w:pPr>
          </w:p>
        </w:tc>
        <w:tc>
          <w:tcPr>
            <w:tcW w:w="740" w:type="dxa"/>
            <w:vAlign w:val="bottom"/>
            <w:tcBorders>
              <w:top w:val="single" w:sz="8" w:color="auto"/>
            </w:tcBorders>
            <w:shd w:val="clear" w:color="auto" w:fill="CCEEFF"/>
          </w:tcPr>
          <w:p>
            <w:pPr>
              <w:spacing w:after="0"/>
              <w:rPr>
                <w:sz w:val="17"/>
                <w:szCs w:val="17"/>
                <w:color w:val="auto"/>
              </w:rPr>
            </w:pPr>
          </w:p>
        </w:tc>
        <w:tc>
          <w:tcPr>
            <w:tcW w:w="460" w:type="dxa"/>
            <w:vAlign w:val="bottom"/>
            <w:tcBorders>
              <w:top w:val="single" w:sz="8" w:color="CCEEFF"/>
            </w:tcBorders>
            <w:shd w:val="clear" w:color="auto" w:fill="CCEEFF"/>
          </w:tcPr>
          <w:p>
            <w:pPr>
              <w:spacing w:after="0"/>
              <w:rPr>
                <w:sz w:val="17"/>
                <w:szCs w:val="17"/>
                <w:color w:val="auto"/>
              </w:rPr>
            </w:pPr>
          </w:p>
        </w:tc>
        <w:tc>
          <w:tcPr>
            <w:tcW w:w="420" w:type="dxa"/>
            <w:vAlign w:val="bottom"/>
            <w:tcBorders>
              <w:top w:val="single" w:sz="8" w:color="auto"/>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bl>
    <w:p>
      <w:pPr>
        <w:spacing w:after="0" w:line="1" w:lineRule="exact"/>
        <w:rPr>
          <w:sz w:val="20"/>
          <w:szCs w:val="20"/>
          <w:color w:val="auto"/>
        </w:rPr>
      </w:pPr>
    </w:p>
    <w:tbl>
      <w:tblPr>
        <w:tblLayout w:type="fixed"/>
        <w:tblInd w:w="220" w:type="dxa"/>
        <w:tblCellMar>
          <w:top w:w="0" w:type="dxa"/>
          <w:left w:w="0" w:type="dxa"/>
          <w:bottom w:w="0" w:type="dxa"/>
          <w:right w:w="0" w:type="dxa"/>
        </w:tblCellMar>
      </w:tblPr>
      <w:tr>
        <w:trPr>
          <w:trHeight w:val="216"/>
        </w:trPr>
        <w:tc>
          <w:tcPr>
            <w:tcW w:w="4560" w:type="dxa"/>
            <w:vAlign w:val="bottom"/>
          </w:tcPr>
          <w:p>
            <w:pPr>
              <w:ind w:left="400"/>
              <w:spacing w:after="0"/>
              <w:rPr>
                <w:sz w:val="20"/>
                <w:szCs w:val="20"/>
                <w:color w:val="auto"/>
              </w:rPr>
            </w:pPr>
            <w:r>
              <w:rPr>
                <w:rFonts w:ascii="Arial" w:cs="Arial" w:eastAsia="Arial" w:hAnsi="Arial"/>
                <w:sz w:val="18"/>
                <w:szCs w:val="18"/>
                <w:color w:val="auto"/>
              </w:rPr>
              <w:t>Other loans</w:t>
            </w:r>
          </w:p>
        </w:tc>
        <w:tc>
          <w:tcPr>
            <w:tcW w:w="4340" w:type="dxa"/>
            <w:vAlign w:val="bottom"/>
            <w:gridSpan w:val="2"/>
          </w:tcPr>
          <w:p>
            <w:pPr>
              <w:ind w:left="3600"/>
              <w:spacing w:after="0"/>
              <w:rPr>
                <w:sz w:val="20"/>
                <w:szCs w:val="20"/>
                <w:color w:val="auto"/>
              </w:rPr>
            </w:pPr>
            <w:r>
              <w:rPr>
                <w:rFonts w:ascii="Arial" w:cs="Arial" w:eastAsia="Arial" w:hAnsi="Arial"/>
                <w:sz w:val="18"/>
                <w:szCs w:val="18"/>
                <w:u w:val="single" w:color="auto"/>
                <w:color w:val="auto"/>
                <w:w w:val="93"/>
              </w:rPr>
              <w:t>A$</w:t>
            </w:r>
            <w:r>
              <w:rPr>
                <w:rFonts w:ascii="Arial" w:cs="Arial" w:eastAsia="Arial" w:hAnsi="Arial"/>
                <w:sz w:val="18"/>
                <w:szCs w:val="18"/>
                <w:color w:val="auto"/>
                <w:w w:val="93"/>
              </w:rPr>
              <w:t>26,586</w:t>
            </w:r>
          </w:p>
        </w:tc>
        <w:tc>
          <w:tcPr>
            <w:tcW w:w="1180" w:type="dxa"/>
            <w:vAlign w:val="bottom"/>
            <w:gridSpan w:val="2"/>
          </w:tcPr>
          <w:p>
            <w:pPr>
              <w:ind w:left="440"/>
              <w:spacing w:after="0"/>
              <w:rPr>
                <w:sz w:val="20"/>
                <w:szCs w:val="20"/>
                <w:color w:val="auto"/>
              </w:rPr>
            </w:pPr>
            <w:r>
              <w:rPr>
                <w:rFonts w:ascii="Arial" w:cs="Arial" w:eastAsia="Arial" w:hAnsi="Arial"/>
                <w:sz w:val="18"/>
                <w:szCs w:val="18"/>
                <w:u w:val="single" w:color="auto"/>
                <w:color w:val="auto"/>
                <w:w w:val="93"/>
              </w:rPr>
              <w:t>A$</w:t>
            </w:r>
            <w:r>
              <w:rPr>
                <w:rFonts w:ascii="Arial" w:cs="Arial" w:eastAsia="Arial" w:hAnsi="Arial"/>
                <w:sz w:val="18"/>
                <w:szCs w:val="18"/>
                <w:color w:val="auto"/>
                <w:w w:val="93"/>
              </w:rPr>
              <w:t>12,754</w:t>
            </w:r>
          </w:p>
        </w:tc>
        <w:tc>
          <w:tcPr>
            <w:tcW w:w="940" w:type="dxa"/>
            <w:vAlign w:val="bottom"/>
            <w:gridSpan w:val="3"/>
          </w:tcPr>
          <w:p>
            <w:pPr>
              <w:ind w:left="460"/>
              <w:spacing w:after="0"/>
              <w:rPr>
                <w:sz w:val="20"/>
                <w:szCs w:val="20"/>
                <w:color w:val="auto"/>
              </w:rPr>
            </w:pPr>
            <w:r>
              <w:rPr>
                <w:rFonts w:ascii="Arial" w:cs="Arial" w:eastAsia="Arial" w:hAnsi="Arial"/>
                <w:sz w:val="18"/>
                <w:szCs w:val="18"/>
                <w:u w:val="single" w:color="auto"/>
                <w:color w:val="auto"/>
              </w:rPr>
              <w:t>A$</w:t>
            </w:r>
            <w:r>
              <w:rPr>
                <w:rFonts w:ascii="Arial" w:cs="Arial" w:eastAsia="Arial" w:hAnsi="Arial"/>
                <w:sz w:val="18"/>
                <w:szCs w:val="18"/>
                <w:color w:val="auto"/>
              </w:rPr>
              <w:t>21</w:t>
            </w:r>
          </w:p>
        </w:tc>
        <w:tc>
          <w:tcPr>
            <w:tcW w:w="0" w:type="dxa"/>
            <w:vAlign w:val="bottom"/>
          </w:tcPr>
          <w:p>
            <w:pPr>
              <w:spacing w:after="0"/>
              <w:rPr>
                <w:sz w:val="1"/>
                <w:szCs w:val="1"/>
                <w:color w:val="auto"/>
              </w:rPr>
            </w:pPr>
          </w:p>
        </w:tc>
      </w:tr>
      <w:tr>
        <w:trPr>
          <w:trHeight w:val="27"/>
        </w:trPr>
        <w:tc>
          <w:tcPr>
            <w:tcW w:w="4560" w:type="dxa"/>
            <w:vAlign w:val="bottom"/>
          </w:tcPr>
          <w:p>
            <w:pPr>
              <w:spacing w:after="0"/>
              <w:rPr>
                <w:sz w:val="2"/>
                <w:szCs w:val="2"/>
                <w:color w:val="auto"/>
              </w:rPr>
            </w:pPr>
          </w:p>
        </w:tc>
        <w:tc>
          <w:tcPr>
            <w:tcW w:w="3600" w:type="dxa"/>
            <w:vAlign w:val="bottom"/>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460" w:type="dxa"/>
            <w:vAlign w:val="bottom"/>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4560" w:type="dxa"/>
            <w:vAlign w:val="bottom"/>
            <w:shd w:val="clear" w:color="auto" w:fill="CCEEFF"/>
          </w:tcPr>
          <w:p>
            <w:pPr>
              <w:spacing w:after="0"/>
              <w:rPr>
                <w:sz w:val="18"/>
                <w:szCs w:val="18"/>
                <w:color w:val="auto"/>
              </w:rPr>
            </w:pPr>
          </w:p>
        </w:tc>
        <w:tc>
          <w:tcPr>
            <w:tcW w:w="4340" w:type="dxa"/>
            <w:vAlign w:val="bottom"/>
            <w:gridSpan w:val="2"/>
            <w:shd w:val="clear" w:color="auto" w:fill="CCEEFF"/>
          </w:tcPr>
          <w:p>
            <w:pPr>
              <w:ind w:left="3600"/>
              <w:spacing w:after="0"/>
              <w:rPr>
                <w:sz w:val="20"/>
                <w:szCs w:val="20"/>
                <w:color w:val="auto"/>
              </w:rPr>
            </w:pPr>
            <w:r>
              <w:rPr>
                <w:rFonts w:ascii="Arial" w:cs="Arial" w:eastAsia="Arial" w:hAnsi="Arial"/>
                <w:sz w:val="18"/>
                <w:szCs w:val="18"/>
                <w:b w:val="1"/>
                <w:bCs w:val="1"/>
                <w:u w:val="single" w:color="auto"/>
                <w:color w:val="auto"/>
                <w:w w:val="92"/>
              </w:rPr>
              <w:t>A$</w:t>
            </w:r>
            <w:r>
              <w:rPr>
                <w:rFonts w:ascii="Arial" w:cs="Arial" w:eastAsia="Arial" w:hAnsi="Arial"/>
                <w:sz w:val="18"/>
                <w:szCs w:val="18"/>
                <w:b w:val="1"/>
                <w:bCs w:val="1"/>
                <w:color w:val="auto"/>
                <w:w w:val="92"/>
              </w:rPr>
              <w:t>26,586</w:t>
            </w:r>
          </w:p>
        </w:tc>
        <w:tc>
          <w:tcPr>
            <w:tcW w:w="1180" w:type="dxa"/>
            <w:vAlign w:val="bottom"/>
            <w:gridSpan w:val="2"/>
            <w:shd w:val="clear" w:color="auto" w:fill="CCEEFF"/>
          </w:tcPr>
          <w:p>
            <w:pPr>
              <w:ind w:left="440"/>
              <w:spacing w:after="0"/>
              <w:rPr>
                <w:sz w:val="20"/>
                <w:szCs w:val="20"/>
                <w:color w:val="auto"/>
              </w:rPr>
            </w:pPr>
            <w:r>
              <w:rPr>
                <w:rFonts w:ascii="Arial" w:cs="Arial" w:eastAsia="Arial" w:hAnsi="Arial"/>
                <w:sz w:val="18"/>
                <w:szCs w:val="18"/>
                <w:b w:val="1"/>
                <w:bCs w:val="1"/>
                <w:u w:val="single" w:color="auto"/>
                <w:color w:val="auto"/>
                <w:w w:val="92"/>
              </w:rPr>
              <w:t>A$</w:t>
            </w:r>
            <w:r>
              <w:rPr>
                <w:rFonts w:ascii="Arial" w:cs="Arial" w:eastAsia="Arial" w:hAnsi="Arial"/>
                <w:sz w:val="18"/>
                <w:szCs w:val="18"/>
                <w:b w:val="1"/>
                <w:bCs w:val="1"/>
                <w:color w:val="auto"/>
                <w:w w:val="92"/>
              </w:rPr>
              <w:t>12,754</w:t>
            </w:r>
          </w:p>
        </w:tc>
        <w:tc>
          <w:tcPr>
            <w:tcW w:w="940" w:type="dxa"/>
            <w:vAlign w:val="bottom"/>
            <w:gridSpan w:val="3"/>
            <w:shd w:val="clear" w:color="auto" w:fill="CCEEFF"/>
          </w:tcPr>
          <w:p>
            <w:pPr>
              <w:ind w:left="460"/>
              <w:spacing w:after="0"/>
              <w:rPr>
                <w:sz w:val="20"/>
                <w:szCs w:val="20"/>
                <w:color w:val="auto"/>
              </w:rPr>
            </w:pPr>
            <w:r>
              <w:rPr>
                <w:rFonts w:ascii="Arial" w:cs="Arial" w:eastAsia="Arial" w:hAnsi="Arial"/>
                <w:sz w:val="18"/>
                <w:szCs w:val="18"/>
                <w:b w:val="1"/>
                <w:bCs w:val="1"/>
                <w:u w:val="single" w:color="auto"/>
                <w:color w:val="auto"/>
              </w:rPr>
              <w:t>A$</w:t>
            </w:r>
            <w:r>
              <w:rPr>
                <w:rFonts w:ascii="Arial" w:cs="Arial" w:eastAsia="Arial" w:hAnsi="Arial"/>
                <w:sz w:val="18"/>
                <w:szCs w:val="18"/>
                <w:b w:val="1"/>
                <w:bCs w:val="1"/>
                <w:color w:val="auto"/>
              </w:rPr>
              <w:t>21</w:t>
            </w:r>
          </w:p>
        </w:tc>
        <w:tc>
          <w:tcPr>
            <w:tcW w:w="0" w:type="dxa"/>
            <w:vAlign w:val="bottom"/>
          </w:tcPr>
          <w:p>
            <w:pPr>
              <w:spacing w:after="0"/>
              <w:rPr>
                <w:sz w:val="1"/>
                <w:szCs w:val="1"/>
                <w:color w:val="auto"/>
              </w:rPr>
            </w:pPr>
          </w:p>
        </w:tc>
      </w:tr>
      <w:tr>
        <w:trPr>
          <w:trHeight w:val="20"/>
        </w:trPr>
        <w:tc>
          <w:tcPr>
            <w:tcW w:w="4560" w:type="dxa"/>
            <w:vAlign w:val="bottom"/>
          </w:tcPr>
          <w:p>
            <w:pPr>
              <w:spacing w:after="0" w:line="20" w:lineRule="exact"/>
              <w:rPr>
                <w:sz w:val="1"/>
                <w:szCs w:val="1"/>
                <w:color w:val="auto"/>
              </w:rPr>
            </w:pPr>
          </w:p>
        </w:tc>
        <w:tc>
          <w:tcPr>
            <w:tcW w:w="360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63"/>
        </w:trPr>
        <w:tc>
          <w:tcPr>
            <w:tcW w:w="4560" w:type="dxa"/>
            <w:vAlign w:val="bottom"/>
          </w:tcPr>
          <w:p>
            <w:pPr>
              <w:spacing w:after="0"/>
              <w:rPr>
                <w:sz w:val="24"/>
                <w:szCs w:val="24"/>
                <w:color w:val="auto"/>
              </w:rPr>
            </w:pPr>
          </w:p>
        </w:tc>
        <w:tc>
          <w:tcPr>
            <w:tcW w:w="3600" w:type="dxa"/>
            <w:vAlign w:val="bottom"/>
          </w:tcPr>
          <w:p>
            <w:pPr>
              <w:spacing w:after="0"/>
              <w:rPr>
                <w:sz w:val="24"/>
                <w:szCs w:val="24"/>
                <w:color w:val="auto"/>
              </w:rPr>
            </w:pPr>
          </w:p>
        </w:tc>
        <w:tc>
          <w:tcPr>
            <w:tcW w:w="1920" w:type="dxa"/>
            <w:vAlign w:val="bottom"/>
            <w:gridSpan w:val="3"/>
          </w:tcPr>
          <w:p>
            <w:pPr>
              <w:jc w:val="right"/>
              <w:ind w:right="160"/>
              <w:spacing w:after="0"/>
              <w:rPr>
                <w:sz w:val="20"/>
                <w:szCs w:val="20"/>
                <w:color w:val="auto"/>
              </w:rPr>
            </w:pPr>
            <w:r>
              <w:rPr>
                <w:rFonts w:ascii="Arial" w:cs="Arial" w:eastAsia="Arial" w:hAnsi="Arial"/>
                <w:sz w:val="14"/>
                <w:szCs w:val="14"/>
                <w:b w:val="1"/>
                <w:bCs w:val="1"/>
                <w:color w:val="auto"/>
              </w:rPr>
              <w:t>Year Ended June 30,</w:t>
            </w:r>
          </w:p>
        </w:tc>
        <w:tc>
          <w:tcPr>
            <w:tcW w:w="880" w:type="dxa"/>
            <w:vAlign w:val="bottom"/>
            <w:gridSpan w:val="2"/>
            <w:vMerge w:val="restart"/>
          </w:tcPr>
          <w:p>
            <w:pPr>
              <w:jc w:val="right"/>
              <w:ind w:right="240"/>
              <w:spacing w:after="0"/>
              <w:rPr>
                <w:sz w:val="20"/>
                <w:szCs w:val="20"/>
                <w:color w:val="auto"/>
              </w:rPr>
            </w:pPr>
            <w:r>
              <w:rPr>
                <w:rFonts w:ascii="Arial" w:cs="Arial" w:eastAsia="Arial" w:hAnsi="Arial"/>
                <w:sz w:val="14"/>
                <w:szCs w:val="14"/>
                <w:b w:val="1"/>
                <w:bCs w:val="1"/>
                <w:color w:val="auto"/>
              </w:rPr>
              <w:t>2016</w:t>
            </w: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3"/>
        </w:trPr>
        <w:tc>
          <w:tcPr>
            <w:tcW w:w="4560" w:type="dxa"/>
            <w:vAlign w:val="bottom"/>
          </w:tcPr>
          <w:p>
            <w:pPr>
              <w:spacing w:after="0"/>
              <w:rPr>
                <w:sz w:val="15"/>
                <w:szCs w:val="15"/>
                <w:color w:val="auto"/>
              </w:rPr>
            </w:pPr>
          </w:p>
        </w:tc>
        <w:tc>
          <w:tcPr>
            <w:tcW w:w="4340" w:type="dxa"/>
            <w:vAlign w:val="bottom"/>
            <w:gridSpan w:val="2"/>
          </w:tcPr>
          <w:p>
            <w:pPr>
              <w:jc w:val="right"/>
              <w:ind w:right="648"/>
              <w:spacing w:after="0"/>
              <w:rPr>
                <w:sz w:val="20"/>
                <w:szCs w:val="20"/>
                <w:color w:val="auto"/>
              </w:rPr>
            </w:pPr>
            <w:r>
              <w:rPr>
                <w:rFonts w:ascii="Arial" w:cs="Arial" w:eastAsia="Arial" w:hAnsi="Arial"/>
                <w:sz w:val="14"/>
                <w:szCs w:val="14"/>
                <w:b w:val="1"/>
                <w:bCs w:val="1"/>
                <w:color w:val="auto"/>
              </w:rPr>
              <w:t>2018</w:t>
            </w:r>
          </w:p>
        </w:tc>
        <w:tc>
          <w:tcPr>
            <w:tcW w:w="1180" w:type="dxa"/>
            <w:vAlign w:val="bottom"/>
            <w:gridSpan w:val="2"/>
          </w:tcPr>
          <w:p>
            <w:pPr>
              <w:jc w:val="right"/>
              <w:ind w:right="620"/>
              <w:spacing w:after="0"/>
              <w:rPr>
                <w:sz w:val="20"/>
                <w:szCs w:val="20"/>
                <w:color w:val="auto"/>
              </w:rPr>
            </w:pPr>
            <w:r>
              <w:rPr>
                <w:rFonts w:ascii="Arial" w:cs="Arial" w:eastAsia="Arial" w:hAnsi="Arial"/>
                <w:sz w:val="14"/>
                <w:szCs w:val="14"/>
                <w:b w:val="1"/>
                <w:bCs w:val="1"/>
                <w:color w:val="auto"/>
              </w:rPr>
              <w:t>2017</w:t>
            </w:r>
          </w:p>
        </w:tc>
        <w:tc>
          <w:tcPr>
            <w:tcW w:w="880" w:type="dxa"/>
            <w:vAlign w:val="bottom"/>
            <w:gridSpan w:val="2"/>
            <w:vMerge w:val="continue"/>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-635</wp:posOffset>
            </wp:positionV>
            <wp:extent cx="6997700" cy="28321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71">
                      <a:extLst>
                        <a:ext uri="{28A0092B-C50C-407E-A947-70E740481C1C}"/>
                      </a:extLst>
                    </a:blip>
                    <a:srcRect/>
                    <a:stretch>
                      <a:fillRect/>
                    </a:stretch>
                  </pic:blipFill>
                  <pic:spPr bwMode="auto">
                    <a:xfrm>
                      <a:off x="0" y="0"/>
                      <a:ext cx="6997700" cy="283210"/>
                    </a:xfrm>
                    <a:prstGeom prst="rect">
                      <a:avLst/>
                    </a:prstGeom>
                    <a:noFill/>
                  </pic:spPr>
                </pic:pic>
              </a:graphicData>
            </a:graphic>
          </wp:anchor>
        </w:drawing>
      </w:r>
    </w:p>
    <w:p>
      <w:pPr>
        <w:ind w:left="900" w:right="6280" w:hanging="696"/>
        <w:spacing w:after="0" w:line="249" w:lineRule="auto"/>
        <w:tabs>
          <w:tab w:leader="none" w:pos="900" w:val="left"/>
        </w:tabs>
        <w:numPr>
          <w:ilvl w:val="0"/>
          <w:numId w:val="122"/>
        </w:numPr>
        <w:rPr>
          <w:rFonts w:ascii="Arial" w:cs="Arial" w:eastAsia="Arial" w:hAnsi="Arial"/>
          <w:sz w:val="18"/>
          <w:szCs w:val="18"/>
          <w:b w:val="1"/>
          <w:bCs w:val="1"/>
          <w:color w:val="auto"/>
        </w:rPr>
      </w:pPr>
      <w:r>
        <w:rPr>
          <w:rFonts w:ascii="Arial" w:cs="Arial" w:eastAsia="Arial" w:hAnsi="Arial"/>
          <w:sz w:val="18"/>
          <w:szCs w:val="18"/>
          <w:b w:val="1"/>
          <w:bCs w:val="1"/>
          <w:color w:val="auto"/>
        </w:rPr>
        <w:t>Depreciation, impairment and amortization included in profit or loss</w:t>
      </w:r>
    </w:p>
    <w:p>
      <w:pPr>
        <w:spacing w:after="0" w:line="1" w:lineRule="exact"/>
        <w:rPr>
          <w:sz w:val="20"/>
          <w:szCs w:val="20"/>
          <w:color w:val="auto"/>
        </w:rPr>
      </w:pPr>
    </w:p>
    <w:tbl>
      <w:tblPr>
        <w:tblLayout w:type="fixed"/>
        <w:tblInd w:w="200" w:type="dxa"/>
        <w:tblCellMar>
          <w:top w:w="0" w:type="dxa"/>
          <w:left w:w="0" w:type="dxa"/>
          <w:bottom w:w="0" w:type="dxa"/>
          <w:right w:w="0" w:type="dxa"/>
        </w:tblCellMar>
      </w:tblPr>
      <w:tr>
        <w:trPr>
          <w:trHeight w:val="230"/>
        </w:trPr>
        <w:tc>
          <w:tcPr>
            <w:tcW w:w="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5920" w:type="dxa"/>
            <w:vAlign w:val="bottom"/>
          </w:tcPr>
          <w:p>
            <w:pPr>
              <w:ind w:left="300"/>
              <w:spacing w:after="0"/>
              <w:rPr>
                <w:sz w:val="20"/>
                <w:szCs w:val="20"/>
                <w:color w:val="auto"/>
              </w:rPr>
            </w:pPr>
            <w:r>
              <w:rPr>
                <w:rFonts w:ascii="Arial" w:cs="Arial" w:eastAsia="Arial" w:hAnsi="Arial"/>
                <w:sz w:val="18"/>
                <w:szCs w:val="18"/>
                <w:color w:val="auto"/>
              </w:rPr>
              <w:t>Depreciation</w:t>
            </w:r>
          </w:p>
        </w:tc>
        <w:tc>
          <w:tcPr>
            <w:tcW w:w="1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60" w:type="dxa"/>
            <w:vAlign w:val="bottom"/>
            <w:gridSpan w:val="4"/>
          </w:tcPr>
          <w:p>
            <w:pPr>
              <w:ind w:left="40"/>
              <w:spacing w:after="0"/>
              <w:rPr>
                <w:sz w:val="20"/>
                <w:szCs w:val="20"/>
                <w:color w:val="auto"/>
              </w:rPr>
            </w:pPr>
            <w:r>
              <w:rPr>
                <w:rFonts w:ascii="Arial" w:cs="Arial" w:eastAsia="Arial" w:hAnsi="Arial"/>
                <w:sz w:val="18"/>
                <w:szCs w:val="18"/>
                <w:color w:val="auto"/>
                <w:w w:val="91"/>
              </w:rPr>
              <w:t>A$143,546</w:t>
            </w:r>
          </w:p>
        </w:tc>
        <w:tc>
          <w:tcPr>
            <w:tcW w:w="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60" w:type="dxa"/>
            <w:vAlign w:val="bottom"/>
            <w:gridSpan w:val="5"/>
          </w:tcPr>
          <w:p>
            <w:pPr>
              <w:ind w:left="40"/>
              <w:spacing w:after="0"/>
              <w:rPr>
                <w:sz w:val="20"/>
                <w:szCs w:val="20"/>
                <w:color w:val="auto"/>
              </w:rPr>
            </w:pPr>
            <w:r>
              <w:rPr>
                <w:rFonts w:ascii="Arial" w:cs="Arial" w:eastAsia="Arial" w:hAnsi="Arial"/>
                <w:sz w:val="18"/>
                <w:szCs w:val="18"/>
                <w:color w:val="auto"/>
              </w:rPr>
              <w:t>A$139,703</w:t>
            </w:r>
          </w:p>
        </w:tc>
        <w:tc>
          <w:tcPr>
            <w:tcW w:w="120" w:type="dxa"/>
            <w:vAlign w:val="bottom"/>
          </w:tcPr>
          <w:p>
            <w:pPr>
              <w:spacing w:after="0"/>
              <w:rPr>
                <w:sz w:val="19"/>
                <w:szCs w:val="19"/>
                <w:color w:val="auto"/>
              </w:rPr>
            </w:pPr>
          </w:p>
        </w:tc>
        <w:tc>
          <w:tcPr>
            <w:tcW w:w="880" w:type="dxa"/>
            <w:vAlign w:val="bottom"/>
            <w:gridSpan w:val="3"/>
          </w:tcPr>
          <w:p>
            <w:pPr>
              <w:jc w:val="right"/>
              <w:ind w:right="60"/>
              <w:spacing w:after="0"/>
              <w:rPr>
                <w:sz w:val="20"/>
                <w:szCs w:val="20"/>
                <w:color w:val="auto"/>
              </w:rPr>
            </w:pPr>
            <w:r>
              <w:rPr>
                <w:rFonts w:ascii="Arial" w:cs="Arial" w:eastAsia="Arial" w:hAnsi="Arial"/>
                <w:sz w:val="18"/>
                <w:szCs w:val="18"/>
                <w:color w:val="auto"/>
              </w:rPr>
              <w:t>A$83,724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5920" w:type="dxa"/>
            <w:vAlign w:val="bottom"/>
            <w:shd w:val="clear" w:color="auto" w:fill="CCEEFF"/>
          </w:tcPr>
          <w:p>
            <w:pPr>
              <w:ind w:left="300"/>
              <w:spacing w:after="0"/>
              <w:rPr>
                <w:sz w:val="20"/>
                <w:szCs w:val="20"/>
                <w:color w:val="auto"/>
              </w:rPr>
            </w:pPr>
            <w:r>
              <w:rPr>
                <w:rFonts w:ascii="Arial" w:cs="Arial" w:eastAsia="Arial" w:hAnsi="Arial"/>
                <w:sz w:val="18"/>
                <w:szCs w:val="18"/>
                <w:color w:val="auto"/>
              </w:rPr>
              <w:t>(Profit)/Loss on disposal of plant and equipment</w:t>
            </w:r>
          </w:p>
        </w:tc>
        <w:tc>
          <w:tcPr>
            <w:tcW w:w="1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20" w:type="dxa"/>
            <w:vAlign w:val="bottom"/>
            <w:gridSpan w:val="3"/>
            <w:shd w:val="clear" w:color="auto" w:fill="CCEEFF"/>
          </w:tcPr>
          <w:p>
            <w:pPr>
              <w:ind w:left="540"/>
              <w:spacing w:after="0"/>
              <w:rPr>
                <w:sz w:val="20"/>
                <w:szCs w:val="20"/>
                <w:color w:val="auto"/>
              </w:rPr>
            </w:pPr>
            <w:r>
              <w:rPr>
                <w:rFonts w:ascii="Arial" w:cs="Arial" w:eastAsia="Arial" w:hAnsi="Arial"/>
                <w:sz w:val="18"/>
                <w:szCs w:val="18"/>
                <w:color w:val="auto"/>
              </w:rPr>
              <w:t>—</w:t>
            </w:r>
          </w:p>
        </w:tc>
        <w:tc>
          <w:tcPr>
            <w:tcW w:w="1580" w:type="dxa"/>
            <w:vAlign w:val="bottom"/>
            <w:gridSpan w:val="7"/>
            <w:shd w:val="clear" w:color="auto" w:fill="CCEEFF"/>
          </w:tcPr>
          <w:p>
            <w:pPr>
              <w:jc w:val="right"/>
              <w:ind w:right="240"/>
              <w:spacing w:after="0"/>
              <w:rPr>
                <w:sz w:val="20"/>
                <w:szCs w:val="20"/>
                <w:color w:val="auto"/>
              </w:rPr>
            </w:pPr>
            <w:r>
              <w:rPr>
                <w:rFonts w:ascii="Arial" w:cs="Arial" w:eastAsia="Arial" w:hAnsi="Arial"/>
                <w:sz w:val="18"/>
                <w:szCs w:val="18"/>
                <w:color w:val="auto"/>
              </w:rPr>
              <w:t>(1,347)</w:t>
            </w:r>
          </w:p>
        </w:tc>
        <w:tc>
          <w:tcPr>
            <w:tcW w:w="9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440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59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20" w:type="dxa"/>
            <w:vAlign w:val="bottom"/>
            <w:tcBorders>
              <w:top w:val="single" w:sz="8" w:color="auto"/>
              <w:bottom w:val="single" w:sz="8" w:color="auto"/>
            </w:tcBorders>
            <w:gridSpan w:val="3"/>
          </w:tcPr>
          <w:p>
            <w:pPr>
              <w:spacing w:after="0"/>
              <w:rPr>
                <w:sz w:val="20"/>
                <w:szCs w:val="20"/>
                <w:color w:val="auto"/>
              </w:rPr>
            </w:pPr>
            <w:r>
              <w:rPr>
                <w:rFonts w:ascii="Arial" w:cs="Arial" w:eastAsia="Arial" w:hAnsi="Arial"/>
                <w:sz w:val="18"/>
                <w:szCs w:val="18"/>
                <w:b w:val="1"/>
                <w:bCs w:val="1"/>
                <w:u w:val="single" w:color="auto"/>
                <w:color w:val="auto"/>
                <w:w w:val="90"/>
              </w:rPr>
              <w:t>A$</w:t>
            </w:r>
            <w:r>
              <w:rPr>
                <w:rFonts w:ascii="Arial" w:cs="Arial" w:eastAsia="Arial" w:hAnsi="Arial"/>
                <w:sz w:val="18"/>
                <w:szCs w:val="18"/>
                <w:b w:val="1"/>
                <w:bCs w:val="1"/>
                <w:color w:val="auto"/>
                <w:w w:val="90"/>
              </w:rPr>
              <w:t>143,546</w:t>
            </w:r>
          </w:p>
        </w:tc>
        <w:tc>
          <w:tcPr>
            <w:tcW w:w="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20" w:type="dxa"/>
            <w:vAlign w:val="bottom"/>
            <w:tcBorders>
              <w:top w:val="single" w:sz="8" w:color="auto"/>
              <w:bottom w:val="single" w:sz="8" w:color="auto"/>
            </w:tcBorders>
            <w:gridSpan w:val="3"/>
          </w:tcPr>
          <w:p>
            <w:pPr>
              <w:spacing w:after="0"/>
              <w:rPr>
                <w:sz w:val="20"/>
                <w:szCs w:val="20"/>
                <w:color w:val="auto"/>
              </w:rPr>
            </w:pPr>
            <w:r>
              <w:rPr>
                <w:rFonts w:ascii="Arial" w:cs="Arial" w:eastAsia="Arial" w:hAnsi="Arial"/>
                <w:sz w:val="18"/>
                <w:szCs w:val="18"/>
                <w:b w:val="1"/>
                <w:bCs w:val="1"/>
                <w:u w:val="single" w:color="auto"/>
                <w:color w:val="auto"/>
                <w:w w:val="90"/>
              </w:rPr>
              <w:t>A$</w:t>
            </w:r>
            <w:r>
              <w:rPr>
                <w:rFonts w:ascii="Arial" w:cs="Arial" w:eastAsia="Arial" w:hAnsi="Arial"/>
                <w:sz w:val="18"/>
                <w:szCs w:val="18"/>
                <w:b w:val="1"/>
                <w:bCs w:val="1"/>
                <w:color w:val="auto"/>
                <w:w w:val="90"/>
              </w:rPr>
              <w:t>138,356</w:t>
            </w:r>
          </w:p>
        </w:tc>
        <w:tc>
          <w:tcPr>
            <w:tcW w:w="3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u w:val="single" w:color="auto"/>
                <w:color w:val="auto"/>
                <w:w w:val="92"/>
              </w:rPr>
              <w:t>A$</w:t>
            </w:r>
            <w:r>
              <w:rPr>
                <w:rFonts w:ascii="Arial" w:cs="Arial" w:eastAsia="Arial" w:hAnsi="Arial"/>
                <w:sz w:val="18"/>
                <w:szCs w:val="18"/>
                <w:b w:val="1"/>
                <w:bCs w:val="1"/>
                <w:color w:val="auto"/>
                <w:w w:val="92"/>
              </w:rPr>
              <w:t>84,164</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59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63"/>
        </w:trPr>
        <w:tc>
          <w:tcPr>
            <w:tcW w:w="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5920" w:type="dxa"/>
            <w:vAlign w:val="bottom"/>
          </w:tcPr>
          <w:p>
            <w:pPr>
              <w:spacing w:after="0"/>
              <w:rPr>
                <w:sz w:val="24"/>
                <w:szCs w:val="24"/>
                <w:color w:val="auto"/>
              </w:rPr>
            </w:pPr>
          </w:p>
        </w:tc>
        <w:tc>
          <w:tcPr>
            <w:tcW w:w="1900" w:type="dxa"/>
            <w:vAlign w:val="bottom"/>
            <w:gridSpan w:val="4"/>
            <w:vMerge w:val="restart"/>
          </w:tcPr>
          <w:p>
            <w:pPr>
              <w:jc w:val="right"/>
              <w:ind w:right="170"/>
              <w:spacing w:after="0"/>
              <w:rPr>
                <w:sz w:val="20"/>
                <w:szCs w:val="20"/>
                <w:color w:val="auto"/>
              </w:rPr>
            </w:pPr>
            <w:r>
              <w:rPr>
                <w:rFonts w:ascii="Arial" w:cs="Arial" w:eastAsia="Arial" w:hAnsi="Arial"/>
                <w:sz w:val="14"/>
                <w:szCs w:val="14"/>
                <w:b w:val="1"/>
                <w:bCs w:val="1"/>
                <w:color w:val="auto"/>
              </w:rPr>
              <w:t>2018</w:t>
            </w:r>
          </w:p>
        </w:tc>
        <w:tc>
          <w:tcPr>
            <w:tcW w:w="2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580" w:type="dxa"/>
            <w:vAlign w:val="bottom"/>
            <w:gridSpan w:val="7"/>
          </w:tcPr>
          <w:p>
            <w:pPr>
              <w:jc w:val="center"/>
              <w:ind w:right="120"/>
              <w:spacing w:after="0"/>
              <w:rPr>
                <w:sz w:val="20"/>
                <w:szCs w:val="20"/>
                <w:color w:val="auto"/>
              </w:rPr>
            </w:pPr>
            <w:r>
              <w:rPr>
                <w:rFonts w:ascii="Arial" w:cs="Arial" w:eastAsia="Arial" w:hAnsi="Arial"/>
                <w:sz w:val="14"/>
                <w:szCs w:val="14"/>
                <w:b w:val="1"/>
                <w:bCs w:val="1"/>
                <w:color w:val="auto"/>
                <w:w w:val="91"/>
              </w:rPr>
              <w:t>Year Ended June 30,</w:t>
            </w:r>
          </w:p>
        </w:tc>
        <w:tc>
          <w:tcPr>
            <w:tcW w:w="940" w:type="dxa"/>
            <w:vAlign w:val="bottom"/>
            <w:gridSpan w:val="3"/>
            <w:vMerge w:val="restart"/>
          </w:tcPr>
          <w:p>
            <w:pPr>
              <w:jc w:val="right"/>
              <w:ind w:right="190"/>
              <w:spacing w:after="0"/>
              <w:rPr>
                <w:sz w:val="20"/>
                <w:szCs w:val="20"/>
                <w:color w:val="auto"/>
              </w:rPr>
            </w:pPr>
            <w:r>
              <w:rPr>
                <w:rFonts w:ascii="Arial" w:cs="Arial" w:eastAsia="Arial" w:hAnsi="Arial"/>
                <w:sz w:val="14"/>
                <w:szCs w:val="14"/>
                <w:b w:val="1"/>
                <w:bCs w:val="1"/>
                <w:color w:val="auto"/>
              </w:rPr>
              <w:t>2016</w:t>
            </w: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5920" w:type="dxa"/>
            <w:vAlign w:val="bottom"/>
          </w:tcPr>
          <w:p>
            <w:pPr>
              <w:spacing w:after="0"/>
              <w:rPr>
                <w:sz w:val="14"/>
                <w:szCs w:val="14"/>
                <w:color w:val="auto"/>
              </w:rPr>
            </w:pPr>
          </w:p>
        </w:tc>
        <w:tc>
          <w:tcPr>
            <w:tcW w:w="1900" w:type="dxa"/>
            <w:vAlign w:val="bottom"/>
            <w:gridSpan w:val="4"/>
            <w:vMerge w:val="continue"/>
          </w:tcPr>
          <w:p>
            <w:pPr>
              <w:spacing w:after="0"/>
              <w:rPr>
                <w:sz w:val="14"/>
                <w:szCs w:val="14"/>
                <w:color w:val="auto"/>
              </w:rPr>
            </w:pPr>
          </w:p>
        </w:tc>
        <w:tc>
          <w:tcPr>
            <w:tcW w:w="2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140" w:type="dxa"/>
            <w:vAlign w:val="bottom"/>
            <w:gridSpan w:val="4"/>
          </w:tcPr>
          <w:p>
            <w:pPr>
              <w:jc w:val="center"/>
              <w:ind w:left="225"/>
              <w:spacing w:after="0"/>
              <w:rPr>
                <w:sz w:val="20"/>
                <w:szCs w:val="20"/>
                <w:color w:val="auto"/>
              </w:rPr>
            </w:pPr>
            <w:r>
              <w:rPr>
                <w:rFonts w:ascii="Arial" w:cs="Arial" w:eastAsia="Arial" w:hAnsi="Arial"/>
                <w:sz w:val="14"/>
                <w:szCs w:val="14"/>
                <w:b w:val="1"/>
                <w:bCs w:val="1"/>
                <w:color w:val="auto"/>
                <w:w w:val="89"/>
              </w:rPr>
              <w:t>2017</w:t>
            </w:r>
          </w:p>
        </w:tc>
        <w:tc>
          <w:tcPr>
            <w:tcW w:w="1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40" w:type="dxa"/>
            <w:vAlign w:val="bottom"/>
            <w:gridSpan w:val="3"/>
            <w:vMerge w:val="continue"/>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(e)</w:t>
            </w:r>
          </w:p>
        </w:tc>
        <w:tc>
          <w:tcPr>
            <w:tcW w:w="5920" w:type="dxa"/>
            <w:vAlign w:val="bottom"/>
            <w:tcBorders>
              <w:top w:val="single" w:sz="8" w:color="CCEEFF"/>
            </w:tcBorders>
            <w:shd w:val="clear" w:color="auto" w:fill="CCEEFF"/>
          </w:tcPr>
          <w:p>
            <w:pPr>
              <w:ind w:left="300"/>
              <w:spacing w:after="0"/>
              <w:rPr>
                <w:sz w:val="20"/>
                <w:szCs w:val="20"/>
                <w:color w:val="auto"/>
              </w:rPr>
            </w:pPr>
            <w:r>
              <w:rPr>
                <w:rFonts w:ascii="Arial" w:cs="Arial" w:eastAsia="Arial" w:hAnsi="Arial"/>
                <w:sz w:val="18"/>
                <w:szCs w:val="18"/>
                <w:b w:val="1"/>
                <w:bCs w:val="1"/>
                <w:color w:val="auto"/>
              </w:rPr>
              <w:t>Cost of sales</w:t>
            </w:r>
          </w:p>
        </w:tc>
        <w:tc>
          <w:tcPr>
            <w:tcW w:w="1100" w:type="dxa"/>
            <w:vAlign w:val="bottom"/>
            <w:tcBorders>
              <w:top w:val="single" w:sz="8" w:color="CCEEFF"/>
            </w:tcBorders>
            <w:shd w:val="clear" w:color="auto" w:fill="CCEEFF"/>
          </w:tcPr>
          <w:p>
            <w:pPr>
              <w:spacing w:after="0"/>
              <w:rPr>
                <w:sz w:val="18"/>
                <w:szCs w:val="18"/>
                <w:color w:val="auto"/>
              </w:rPr>
            </w:pPr>
          </w:p>
        </w:tc>
        <w:tc>
          <w:tcPr>
            <w:tcW w:w="800" w:type="dxa"/>
            <w:vAlign w:val="bottom"/>
            <w:tcBorders>
              <w:top w:val="single" w:sz="8" w:color="auto"/>
              <w:bottom w:val="single" w:sz="8" w:color="auto"/>
            </w:tcBorders>
            <w:gridSpan w:val="3"/>
            <w:shd w:val="clear" w:color="auto" w:fill="CCEEFF"/>
          </w:tcPr>
          <w:p>
            <w:pPr>
              <w:jc w:val="center"/>
              <w:spacing w:after="0"/>
              <w:rPr>
                <w:sz w:val="20"/>
                <w:szCs w:val="20"/>
                <w:color w:val="auto"/>
              </w:rPr>
            </w:pPr>
            <w:r>
              <w:rPr>
                <w:rFonts w:ascii="Arial" w:cs="Arial" w:eastAsia="Arial" w:hAnsi="Arial"/>
                <w:sz w:val="18"/>
                <w:szCs w:val="18"/>
                <w:u w:val="single" w:color="auto"/>
                <w:color w:val="auto"/>
                <w:w w:val="91"/>
              </w:rPr>
              <w:t>A$</w:t>
            </w:r>
            <w:r>
              <w:rPr>
                <w:rFonts w:ascii="Arial" w:cs="Arial" w:eastAsia="Arial" w:hAnsi="Arial"/>
                <w:sz w:val="18"/>
                <w:szCs w:val="18"/>
                <w:color w:val="auto"/>
                <w:w w:val="91"/>
              </w:rPr>
              <w:t>511,646</w:t>
            </w:r>
          </w:p>
        </w:tc>
        <w:tc>
          <w:tcPr>
            <w:tcW w:w="20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CCEEFF"/>
            </w:tcBorders>
            <w:shd w:val="clear" w:color="auto" w:fill="CCEEFF"/>
          </w:tcPr>
          <w:p>
            <w:pPr>
              <w:spacing w:after="0"/>
              <w:rPr>
                <w:sz w:val="18"/>
                <w:szCs w:val="18"/>
                <w:color w:val="auto"/>
              </w:rPr>
            </w:pPr>
          </w:p>
        </w:tc>
        <w:tc>
          <w:tcPr>
            <w:tcW w:w="820" w:type="dxa"/>
            <w:vAlign w:val="bottom"/>
            <w:tcBorders>
              <w:top w:val="single" w:sz="8" w:color="auto"/>
              <w:bottom w:val="single" w:sz="8" w:color="auto"/>
            </w:tcBorders>
            <w:gridSpan w:val="3"/>
            <w:shd w:val="clear" w:color="auto" w:fill="CCEEFF"/>
          </w:tcPr>
          <w:p>
            <w:pPr>
              <w:jc w:val="center"/>
              <w:spacing w:after="0"/>
              <w:rPr>
                <w:sz w:val="20"/>
                <w:szCs w:val="20"/>
                <w:color w:val="auto"/>
              </w:rPr>
            </w:pPr>
            <w:r>
              <w:rPr>
                <w:rFonts w:ascii="Arial" w:cs="Arial" w:eastAsia="Arial" w:hAnsi="Arial"/>
                <w:sz w:val="18"/>
                <w:szCs w:val="18"/>
                <w:u w:val="single" w:color="auto"/>
                <w:color w:val="auto"/>
                <w:w w:val="94"/>
              </w:rPr>
              <w:t>A$</w:t>
            </w:r>
            <w:r>
              <w:rPr>
                <w:rFonts w:ascii="Arial" w:cs="Arial" w:eastAsia="Arial" w:hAnsi="Arial"/>
                <w:sz w:val="18"/>
                <w:szCs w:val="18"/>
                <w:color w:val="auto"/>
                <w:w w:val="94"/>
              </w:rPr>
              <w:t>463,285</w:t>
            </w:r>
          </w:p>
        </w:tc>
        <w:tc>
          <w:tcPr>
            <w:tcW w:w="10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CCEEFF"/>
            </w:tcBorders>
            <w:gridSpan w:val="2"/>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82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w w:val="91"/>
              </w:rPr>
              <w:t>A$</w:t>
            </w:r>
            <w:r>
              <w:rPr>
                <w:rFonts w:ascii="Arial" w:cs="Arial" w:eastAsia="Arial" w:hAnsi="Arial"/>
                <w:sz w:val="18"/>
                <w:szCs w:val="18"/>
                <w:color w:val="auto"/>
                <w:w w:val="91"/>
              </w:rPr>
              <w:t>401,568</w:t>
            </w:r>
          </w:p>
        </w:tc>
        <w:tc>
          <w:tcPr>
            <w:tcW w:w="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59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63"/>
        </w:trPr>
        <w:tc>
          <w:tcPr>
            <w:tcW w:w="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5920" w:type="dxa"/>
            <w:vAlign w:val="bottom"/>
          </w:tcPr>
          <w:p>
            <w:pPr>
              <w:spacing w:after="0"/>
              <w:rPr>
                <w:sz w:val="24"/>
                <w:szCs w:val="24"/>
                <w:color w:val="auto"/>
              </w:rPr>
            </w:pPr>
          </w:p>
        </w:tc>
        <w:tc>
          <w:tcPr>
            <w:tcW w:w="1900" w:type="dxa"/>
            <w:vAlign w:val="bottom"/>
            <w:gridSpan w:val="4"/>
            <w:vMerge w:val="restart"/>
          </w:tcPr>
          <w:p>
            <w:pPr>
              <w:jc w:val="right"/>
              <w:spacing w:after="0"/>
              <w:rPr>
                <w:sz w:val="20"/>
                <w:szCs w:val="20"/>
                <w:color w:val="auto"/>
              </w:rPr>
            </w:pPr>
            <w:r>
              <w:rPr>
                <w:rFonts w:ascii="Arial" w:cs="Arial" w:eastAsia="Arial" w:hAnsi="Arial"/>
                <w:sz w:val="14"/>
                <w:szCs w:val="14"/>
                <w:b w:val="1"/>
                <w:bCs w:val="1"/>
                <w:color w:val="auto"/>
              </w:rPr>
              <w:t>2018</w:t>
            </w:r>
          </w:p>
        </w:tc>
        <w:tc>
          <w:tcPr>
            <w:tcW w:w="2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580" w:type="dxa"/>
            <w:vAlign w:val="bottom"/>
            <w:gridSpan w:val="7"/>
          </w:tcPr>
          <w:p>
            <w:pPr>
              <w:jc w:val="center"/>
              <w:spacing w:after="0"/>
              <w:rPr>
                <w:sz w:val="20"/>
                <w:szCs w:val="20"/>
                <w:color w:val="auto"/>
              </w:rPr>
            </w:pPr>
            <w:r>
              <w:rPr>
                <w:rFonts w:ascii="Arial" w:cs="Arial" w:eastAsia="Arial" w:hAnsi="Arial"/>
                <w:sz w:val="14"/>
                <w:szCs w:val="14"/>
                <w:b w:val="1"/>
                <w:bCs w:val="1"/>
                <w:color w:val="auto"/>
                <w:w w:val="93"/>
              </w:rPr>
              <w:t>Year Ended June 30,</w:t>
            </w:r>
          </w:p>
        </w:tc>
        <w:tc>
          <w:tcPr>
            <w:tcW w:w="940" w:type="dxa"/>
            <w:vAlign w:val="bottom"/>
            <w:gridSpan w:val="3"/>
            <w:vMerge w:val="restart"/>
          </w:tcPr>
          <w:p>
            <w:pPr>
              <w:jc w:val="right"/>
              <w:ind w:right="190"/>
              <w:spacing w:after="0"/>
              <w:rPr>
                <w:sz w:val="20"/>
                <w:szCs w:val="20"/>
                <w:color w:val="auto"/>
              </w:rPr>
            </w:pPr>
            <w:r>
              <w:rPr>
                <w:rFonts w:ascii="Arial" w:cs="Arial" w:eastAsia="Arial" w:hAnsi="Arial"/>
                <w:sz w:val="14"/>
                <w:szCs w:val="14"/>
                <w:b w:val="1"/>
                <w:bCs w:val="1"/>
                <w:color w:val="auto"/>
              </w:rPr>
              <w:t>2016</w:t>
            </w: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5920" w:type="dxa"/>
            <w:vAlign w:val="bottom"/>
          </w:tcPr>
          <w:p>
            <w:pPr>
              <w:spacing w:after="0"/>
              <w:rPr>
                <w:sz w:val="14"/>
                <w:szCs w:val="14"/>
                <w:color w:val="auto"/>
              </w:rPr>
            </w:pPr>
          </w:p>
        </w:tc>
        <w:tc>
          <w:tcPr>
            <w:tcW w:w="1900" w:type="dxa"/>
            <w:vAlign w:val="bottom"/>
            <w:gridSpan w:val="4"/>
            <w:vMerge w:val="continue"/>
          </w:tcPr>
          <w:p>
            <w:pPr>
              <w:spacing w:after="0"/>
              <w:rPr>
                <w:sz w:val="14"/>
                <w:szCs w:val="14"/>
                <w:color w:val="auto"/>
              </w:rPr>
            </w:pPr>
          </w:p>
        </w:tc>
        <w:tc>
          <w:tcPr>
            <w:tcW w:w="2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140" w:type="dxa"/>
            <w:vAlign w:val="bottom"/>
            <w:gridSpan w:val="4"/>
          </w:tcPr>
          <w:p>
            <w:pPr>
              <w:jc w:val="center"/>
              <w:ind w:left="425"/>
              <w:spacing w:after="0"/>
              <w:rPr>
                <w:sz w:val="20"/>
                <w:szCs w:val="20"/>
                <w:color w:val="auto"/>
              </w:rPr>
            </w:pPr>
            <w:r>
              <w:rPr>
                <w:rFonts w:ascii="Arial" w:cs="Arial" w:eastAsia="Arial" w:hAnsi="Arial"/>
                <w:sz w:val="14"/>
                <w:szCs w:val="14"/>
                <w:b w:val="1"/>
                <w:bCs w:val="1"/>
                <w:color w:val="auto"/>
                <w:w w:val="89"/>
              </w:rPr>
              <w:t>2017</w:t>
            </w:r>
          </w:p>
        </w:tc>
        <w:tc>
          <w:tcPr>
            <w:tcW w:w="1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40" w:type="dxa"/>
            <w:vAlign w:val="bottom"/>
            <w:gridSpan w:val="3"/>
            <w:vMerge w:val="continue"/>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(f)</w:t>
            </w:r>
          </w:p>
        </w:tc>
        <w:tc>
          <w:tcPr>
            <w:tcW w:w="5920" w:type="dxa"/>
            <w:vAlign w:val="bottom"/>
            <w:tcBorders>
              <w:top w:val="single" w:sz="8" w:color="CCEEFF"/>
            </w:tcBorders>
            <w:shd w:val="clear" w:color="auto" w:fill="CCEEFF"/>
          </w:tcPr>
          <w:p>
            <w:pPr>
              <w:ind w:left="200"/>
              <w:spacing w:after="0"/>
              <w:rPr>
                <w:sz w:val="20"/>
                <w:szCs w:val="20"/>
                <w:color w:val="auto"/>
              </w:rPr>
            </w:pPr>
            <w:r>
              <w:rPr>
                <w:rFonts w:ascii="Arial" w:cs="Arial" w:eastAsia="Arial" w:hAnsi="Arial"/>
                <w:sz w:val="18"/>
                <w:szCs w:val="18"/>
                <w:b w:val="1"/>
                <w:bCs w:val="1"/>
                <w:color w:val="auto"/>
              </w:rPr>
              <w:t>Lease payments and other expenses included in profit or loss</w:t>
            </w:r>
          </w:p>
        </w:tc>
        <w:tc>
          <w:tcPr>
            <w:tcW w:w="11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820" w:type="dxa"/>
            <w:vAlign w:val="bottom"/>
            <w:tcBorders>
              <w:top w:val="single" w:sz="8" w:color="auto"/>
              <w:bottom w:val="single" w:sz="8" w:color="auto"/>
            </w:tcBorders>
            <w:gridSpan w:val="3"/>
            <w:shd w:val="clear" w:color="auto" w:fill="CCEEFF"/>
          </w:tcPr>
          <w:p>
            <w:pPr>
              <w:jc w:val="center"/>
              <w:spacing w:after="0"/>
              <w:rPr>
                <w:sz w:val="20"/>
                <w:szCs w:val="20"/>
                <w:color w:val="auto"/>
              </w:rPr>
            </w:pPr>
            <w:r>
              <w:rPr>
                <w:rFonts w:ascii="Arial" w:cs="Arial" w:eastAsia="Arial" w:hAnsi="Arial"/>
                <w:sz w:val="18"/>
                <w:szCs w:val="18"/>
                <w:u w:val="single" w:color="auto"/>
                <w:color w:val="auto"/>
                <w:w w:val="94"/>
              </w:rPr>
              <w:t>A$</w:t>
            </w:r>
            <w:r>
              <w:rPr>
                <w:rFonts w:ascii="Arial" w:cs="Arial" w:eastAsia="Arial" w:hAnsi="Arial"/>
                <w:sz w:val="18"/>
                <w:szCs w:val="18"/>
                <w:color w:val="auto"/>
                <w:w w:val="94"/>
              </w:rPr>
              <w:t>463,095</w:t>
            </w:r>
          </w:p>
        </w:tc>
        <w:tc>
          <w:tcPr>
            <w:tcW w:w="4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820" w:type="dxa"/>
            <w:vAlign w:val="bottom"/>
            <w:tcBorders>
              <w:top w:val="single" w:sz="8" w:color="auto"/>
              <w:bottom w:val="single" w:sz="8" w:color="auto"/>
            </w:tcBorders>
            <w:gridSpan w:val="3"/>
            <w:shd w:val="clear" w:color="auto" w:fill="CCEEFF"/>
          </w:tcPr>
          <w:p>
            <w:pPr>
              <w:jc w:val="center"/>
              <w:ind w:right="20"/>
              <w:spacing w:after="0"/>
              <w:rPr>
                <w:sz w:val="20"/>
                <w:szCs w:val="20"/>
                <w:color w:val="auto"/>
              </w:rPr>
            </w:pPr>
            <w:r>
              <w:rPr>
                <w:rFonts w:ascii="Arial" w:cs="Arial" w:eastAsia="Arial" w:hAnsi="Arial"/>
                <w:sz w:val="18"/>
                <w:szCs w:val="18"/>
                <w:u w:val="single" w:color="auto"/>
                <w:color w:val="auto"/>
                <w:w w:val="91"/>
              </w:rPr>
              <w:t>A$</w:t>
            </w:r>
            <w:r>
              <w:rPr>
                <w:rFonts w:ascii="Arial" w:cs="Arial" w:eastAsia="Arial" w:hAnsi="Arial"/>
                <w:sz w:val="18"/>
                <w:szCs w:val="18"/>
                <w:color w:val="auto"/>
                <w:w w:val="91"/>
              </w:rPr>
              <w:t>418,193</w:t>
            </w:r>
          </w:p>
        </w:tc>
        <w:tc>
          <w:tcPr>
            <w:tcW w:w="340" w:type="dxa"/>
            <w:vAlign w:val="bottom"/>
            <w:tcBorders>
              <w:top w:val="single" w:sz="8" w:color="CCEEFF"/>
            </w:tcBorders>
            <w:gridSpan w:val="2"/>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82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w w:val="91"/>
              </w:rPr>
              <w:t>A$</w:t>
            </w:r>
            <w:r>
              <w:rPr>
                <w:rFonts w:ascii="Arial" w:cs="Arial" w:eastAsia="Arial" w:hAnsi="Arial"/>
                <w:sz w:val="18"/>
                <w:szCs w:val="18"/>
                <w:color w:val="auto"/>
                <w:w w:val="91"/>
              </w:rPr>
              <w:t>283,412</w:t>
            </w:r>
          </w:p>
        </w:tc>
        <w:tc>
          <w:tcPr>
            <w:tcW w:w="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59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460" w:type="dxa"/>
            <w:vAlign w:val="bottom"/>
            <w:gridSpan w:val="3"/>
          </w:tcPr>
          <w:p>
            <w:pPr>
              <w:spacing w:after="0" w:line="20" w:lineRule="exact"/>
              <w:rPr>
                <w:sz w:val="1"/>
                <w:szCs w:val="1"/>
                <w:color w:val="auto"/>
              </w:rPr>
            </w:pPr>
          </w:p>
        </w:tc>
        <w:tc>
          <w:tcPr>
            <w:tcW w:w="820" w:type="dxa"/>
            <w:vAlign w:val="bottom"/>
            <w:tcBorders>
              <w:bottom w:val="single" w:sz="8" w:color="auto"/>
            </w:tcBorders>
            <w:gridSpan w:val="3"/>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63"/>
        </w:trPr>
        <w:tc>
          <w:tcPr>
            <w:tcW w:w="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5920" w:type="dxa"/>
            <w:vAlign w:val="bottom"/>
          </w:tcPr>
          <w:p>
            <w:pPr>
              <w:spacing w:after="0"/>
              <w:rPr>
                <w:sz w:val="24"/>
                <w:szCs w:val="24"/>
                <w:color w:val="auto"/>
              </w:rPr>
            </w:pPr>
          </w:p>
        </w:tc>
        <w:tc>
          <w:tcPr>
            <w:tcW w:w="1900" w:type="dxa"/>
            <w:vAlign w:val="bottom"/>
            <w:gridSpan w:val="4"/>
            <w:vMerge w:val="restart"/>
          </w:tcPr>
          <w:p>
            <w:pPr>
              <w:jc w:val="right"/>
              <w:ind w:right="370"/>
              <w:spacing w:after="0"/>
              <w:rPr>
                <w:sz w:val="20"/>
                <w:szCs w:val="20"/>
                <w:color w:val="auto"/>
              </w:rPr>
            </w:pPr>
            <w:r>
              <w:rPr>
                <w:rFonts w:ascii="Arial" w:cs="Arial" w:eastAsia="Arial" w:hAnsi="Arial"/>
                <w:sz w:val="14"/>
                <w:szCs w:val="14"/>
                <w:b w:val="1"/>
                <w:bCs w:val="1"/>
                <w:color w:val="auto"/>
              </w:rPr>
              <w:t>2018</w:t>
            </w:r>
          </w:p>
        </w:tc>
        <w:tc>
          <w:tcPr>
            <w:tcW w:w="1820" w:type="dxa"/>
            <w:vAlign w:val="bottom"/>
            <w:gridSpan w:val="9"/>
          </w:tcPr>
          <w:p>
            <w:pPr>
              <w:jc w:val="right"/>
              <w:ind w:right="380"/>
              <w:spacing w:after="0"/>
              <w:rPr>
                <w:sz w:val="20"/>
                <w:szCs w:val="20"/>
                <w:color w:val="auto"/>
              </w:rPr>
            </w:pPr>
            <w:r>
              <w:rPr>
                <w:rFonts w:ascii="Arial" w:cs="Arial" w:eastAsia="Arial" w:hAnsi="Arial"/>
                <w:sz w:val="14"/>
                <w:szCs w:val="14"/>
                <w:b w:val="1"/>
                <w:bCs w:val="1"/>
                <w:color w:val="auto"/>
              </w:rPr>
              <w:t>Year Ended June 30,</w:t>
            </w:r>
          </w:p>
        </w:tc>
        <w:tc>
          <w:tcPr>
            <w:tcW w:w="940" w:type="dxa"/>
            <w:vAlign w:val="bottom"/>
            <w:gridSpan w:val="3"/>
            <w:vMerge w:val="restart"/>
          </w:tcPr>
          <w:p>
            <w:pPr>
              <w:jc w:val="right"/>
              <w:ind w:right="250"/>
              <w:spacing w:after="0"/>
              <w:rPr>
                <w:sz w:val="20"/>
                <w:szCs w:val="20"/>
                <w:color w:val="auto"/>
              </w:rPr>
            </w:pPr>
            <w:r>
              <w:rPr>
                <w:rFonts w:ascii="Arial" w:cs="Arial" w:eastAsia="Arial" w:hAnsi="Arial"/>
                <w:sz w:val="14"/>
                <w:szCs w:val="14"/>
                <w:b w:val="1"/>
                <w:bCs w:val="1"/>
                <w:color w:val="auto"/>
              </w:rPr>
              <w:t>2016</w:t>
            </w: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5920" w:type="dxa"/>
            <w:vAlign w:val="bottom"/>
          </w:tcPr>
          <w:p>
            <w:pPr>
              <w:spacing w:after="0"/>
              <w:rPr>
                <w:sz w:val="15"/>
                <w:szCs w:val="15"/>
                <w:color w:val="auto"/>
              </w:rPr>
            </w:pPr>
          </w:p>
        </w:tc>
        <w:tc>
          <w:tcPr>
            <w:tcW w:w="1900" w:type="dxa"/>
            <w:vAlign w:val="bottom"/>
            <w:gridSpan w:val="4"/>
            <w:vMerge w:val="continue"/>
          </w:tcPr>
          <w:p>
            <w:pPr>
              <w:spacing w:after="0"/>
              <w:rPr>
                <w:sz w:val="15"/>
                <w:szCs w:val="15"/>
                <w:color w:val="auto"/>
              </w:rPr>
            </w:pPr>
          </w:p>
        </w:tc>
        <w:tc>
          <w:tcPr>
            <w:tcW w:w="2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140" w:type="dxa"/>
            <w:vAlign w:val="bottom"/>
            <w:gridSpan w:val="4"/>
          </w:tcPr>
          <w:p>
            <w:pPr>
              <w:ind w:left="460"/>
              <w:spacing w:after="0"/>
              <w:rPr>
                <w:sz w:val="20"/>
                <w:szCs w:val="20"/>
                <w:color w:val="auto"/>
              </w:rPr>
            </w:pPr>
            <w:r>
              <w:rPr>
                <w:rFonts w:ascii="Arial" w:cs="Arial" w:eastAsia="Arial" w:hAnsi="Arial"/>
                <w:sz w:val="14"/>
                <w:szCs w:val="14"/>
                <w:b w:val="1"/>
                <w:bCs w:val="1"/>
                <w:color w:val="auto"/>
              </w:rPr>
              <w:t>2017</w:t>
            </w:r>
          </w:p>
        </w:tc>
        <w:tc>
          <w:tcPr>
            <w:tcW w:w="1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940" w:type="dxa"/>
            <w:vAlign w:val="bottom"/>
            <w:gridSpan w:val="3"/>
            <w:vMerge w:val="continue"/>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-635</wp:posOffset>
            </wp:positionV>
            <wp:extent cx="6997700" cy="13716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72">
                      <a:extLst>
                        <a:ext uri="{28A0092B-C50C-407E-A947-70E740481C1C}"/>
                      </a:extLst>
                    </a:blip>
                    <a:srcRect/>
                    <a:stretch>
                      <a:fillRect/>
                    </a:stretch>
                  </pic:blipFill>
                  <pic:spPr bwMode="auto">
                    <a:xfrm>
                      <a:off x="0" y="0"/>
                      <a:ext cx="6997700" cy="137160"/>
                    </a:xfrm>
                    <a:prstGeom prst="rect">
                      <a:avLst/>
                    </a:prstGeom>
                    <a:noFill/>
                  </pic:spPr>
                </pic:pic>
              </a:graphicData>
            </a:graphic>
          </wp:anchor>
        </w:drawing>
      </w:r>
    </w:p>
    <w:p>
      <w:pPr>
        <w:ind w:left="900" w:hanging="696"/>
        <w:spacing w:after="0"/>
        <w:tabs>
          <w:tab w:leader="none" w:pos="900" w:val="left"/>
        </w:tabs>
        <w:numPr>
          <w:ilvl w:val="0"/>
          <w:numId w:val="123"/>
        </w:numPr>
        <w:rPr>
          <w:rFonts w:ascii="Arial" w:cs="Arial" w:eastAsia="Arial" w:hAnsi="Arial"/>
          <w:sz w:val="18"/>
          <w:szCs w:val="18"/>
          <w:b w:val="1"/>
          <w:bCs w:val="1"/>
          <w:color w:val="auto"/>
        </w:rPr>
      </w:pPr>
      <w:r>
        <w:rPr>
          <w:rFonts w:ascii="Arial" w:cs="Arial" w:eastAsia="Arial" w:hAnsi="Arial"/>
          <w:sz w:val="18"/>
          <w:szCs w:val="18"/>
          <w:b w:val="1"/>
          <w:bCs w:val="1"/>
          <w:color w:val="auto"/>
        </w:rPr>
        <w:t>Employee benefits expense</w:t>
      </w:r>
    </w:p>
    <w:p>
      <w:pPr>
        <w:spacing w:after="0" w:line="7" w:lineRule="exact"/>
        <w:rPr>
          <w:sz w:val="20"/>
          <w:szCs w:val="20"/>
          <w:color w:val="auto"/>
        </w:rPr>
      </w:pPr>
    </w:p>
    <w:tbl>
      <w:tblPr>
        <w:tblLayout w:type="fixed"/>
        <w:tblInd w:w="220" w:type="dxa"/>
        <w:tblCellMar>
          <w:top w:w="0" w:type="dxa"/>
          <w:left w:w="0" w:type="dxa"/>
          <w:bottom w:w="0" w:type="dxa"/>
          <w:right w:w="0" w:type="dxa"/>
        </w:tblCellMar>
      </w:tblPr>
      <w:tr>
        <w:trPr>
          <w:trHeight w:val="216"/>
        </w:trPr>
        <w:tc>
          <w:tcPr>
            <w:tcW w:w="5520" w:type="dxa"/>
            <w:vAlign w:val="bottom"/>
          </w:tcPr>
          <w:p>
            <w:pPr>
              <w:ind w:left="680"/>
              <w:spacing w:after="0"/>
              <w:rPr>
                <w:sz w:val="20"/>
                <w:szCs w:val="20"/>
                <w:color w:val="auto"/>
              </w:rPr>
            </w:pPr>
            <w:r>
              <w:rPr>
                <w:rFonts w:ascii="Arial" w:cs="Arial" w:eastAsia="Arial" w:hAnsi="Arial"/>
                <w:sz w:val="18"/>
                <w:szCs w:val="18"/>
                <w:color w:val="auto"/>
              </w:rPr>
              <w:t>Salaries and wages</w:t>
            </w:r>
          </w:p>
        </w:tc>
        <w:tc>
          <w:tcPr>
            <w:tcW w:w="1780" w:type="dxa"/>
            <w:vAlign w:val="bottom"/>
            <w:gridSpan w:val="2"/>
          </w:tcPr>
          <w:p>
            <w:pPr>
              <w:ind w:left="1560"/>
              <w:spacing w:after="0"/>
              <w:rPr>
                <w:sz w:val="20"/>
                <w:szCs w:val="20"/>
                <w:color w:val="auto"/>
              </w:rPr>
            </w:pPr>
            <w:r>
              <w:rPr>
                <w:rFonts w:ascii="Arial" w:cs="Arial" w:eastAsia="Arial" w:hAnsi="Arial"/>
                <w:sz w:val="18"/>
                <w:szCs w:val="18"/>
                <w:color w:val="auto"/>
                <w:w w:val="90"/>
              </w:rPr>
              <w:t>A$</w:t>
            </w:r>
          </w:p>
        </w:tc>
        <w:tc>
          <w:tcPr>
            <w:tcW w:w="820" w:type="dxa"/>
            <w:vAlign w:val="bottom"/>
          </w:tcPr>
          <w:p>
            <w:pPr>
              <w:jc w:val="right"/>
              <w:spacing w:after="0"/>
              <w:rPr>
                <w:sz w:val="20"/>
                <w:szCs w:val="20"/>
                <w:color w:val="auto"/>
              </w:rPr>
            </w:pPr>
            <w:r>
              <w:rPr>
                <w:rFonts w:ascii="Arial" w:cs="Arial" w:eastAsia="Arial" w:hAnsi="Arial"/>
                <w:sz w:val="18"/>
                <w:szCs w:val="18"/>
                <w:color w:val="auto"/>
                <w:w w:val="99"/>
              </w:rPr>
              <w:t>8,057,869</w:t>
            </w:r>
          </w:p>
        </w:tc>
        <w:tc>
          <w:tcPr>
            <w:tcW w:w="1420" w:type="dxa"/>
            <w:vAlign w:val="bottom"/>
            <w:gridSpan w:val="2"/>
          </w:tcPr>
          <w:p>
            <w:pPr>
              <w:jc w:val="right"/>
              <w:spacing w:after="0"/>
              <w:rPr>
                <w:sz w:val="20"/>
                <w:szCs w:val="20"/>
                <w:color w:val="auto"/>
              </w:rPr>
            </w:pPr>
            <w:r>
              <w:rPr>
                <w:rFonts w:ascii="Arial" w:cs="Arial" w:eastAsia="Arial" w:hAnsi="Arial"/>
                <w:sz w:val="18"/>
                <w:szCs w:val="18"/>
                <w:color w:val="auto"/>
              </w:rPr>
              <w:t>A$6,143,458</w:t>
            </w:r>
          </w:p>
        </w:tc>
        <w:tc>
          <w:tcPr>
            <w:tcW w:w="1480" w:type="dxa"/>
            <w:vAlign w:val="bottom"/>
            <w:gridSpan w:val="3"/>
          </w:tcPr>
          <w:p>
            <w:pPr>
              <w:jc w:val="right"/>
              <w:ind w:right="60"/>
              <w:spacing w:after="0"/>
              <w:rPr>
                <w:sz w:val="20"/>
                <w:szCs w:val="20"/>
                <w:color w:val="auto"/>
              </w:rPr>
            </w:pPr>
            <w:r>
              <w:rPr>
                <w:rFonts w:ascii="Arial" w:cs="Arial" w:eastAsia="Arial" w:hAnsi="Arial"/>
                <w:sz w:val="18"/>
                <w:szCs w:val="18"/>
                <w:color w:val="auto"/>
              </w:rPr>
              <w:t>A$4,669,718</w:t>
            </w:r>
          </w:p>
        </w:tc>
      </w:tr>
      <w:tr>
        <w:trPr>
          <w:trHeight w:val="216"/>
        </w:trPr>
        <w:tc>
          <w:tcPr>
            <w:tcW w:w="5520" w:type="dxa"/>
            <w:vAlign w:val="bottom"/>
            <w:shd w:val="clear" w:color="auto" w:fill="CCEEFF"/>
          </w:tcPr>
          <w:p>
            <w:pPr>
              <w:ind w:left="680"/>
              <w:spacing w:after="0"/>
              <w:rPr>
                <w:sz w:val="20"/>
                <w:szCs w:val="20"/>
                <w:color w:val="auto"/>
              </w:rPr>
            </w:pPr>
            <w:r>
              <w:rPr>
                <w:rFonts w:ascii="Arial" w:cs="Arial" w:eastAsia="Arial" w:hAnsi="Arial"/>
                <w:sz w:val="18"/>
                <w:szCs w:val="18"/>
                <w:color w:val="auto"/>
              </w:rPr>
              <w:t>Share-based expenses</w:t>
            </w:r>
          </w:p>
        </w:tc>
        <w:tc>
          <w:tcPr>
            <w:tcW w:w="15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1,835,157</w:t>
            </w:r>
          </w:p>
        </w:tc>
        <w:tc>
          <w:tcPr>
            <w:tcW w:w="1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1,587,243</w:t>
            </w:r>
          </w:p>
        </w:tc>
        <w:tc>
          <w:tcPr>
            <w:tcW w:w="1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956,658</w:t>
            </w:r>
          </w:p>
        </w:tc>
        <w:tc>
          <w:tcPr>
            <w:tcW w:w="60" w:type="dxa"/>
            <w:vAlign w:val="bottom"/>
            <w:shd w:val="clear" w:color="auto" w:fill="CCEEFF"/>
          </w:tcPr>
          <w:p>
            <w:pPr>
              <w:spacing w:after="0"/>
              <w:rPr>
                <w:sz w:val="18"/>
                <w:szCs w:val="18"/>
                <w:color w:val="auto"/>
              </w:rPr>
            </w:pPr>
          </w:p>
        </w:tc>
      </w:tr>
      <w:tr>
        <w:trPr>
          <w:trHeight w:val="223"/>
        </w:trPr>
        <w:tc>
          <w:tcPr>
            <w:tcW w:w="5520" w:type="dxa"/>
            <w:vAlign w:val="bottom"/>
          </w:tcPr>
          <w:p>
            <w:pPr>
              <w:ind w:left="680"/>
              <w:spacing w:after="0"/>
              <w:rPr>
                <w:sz w:val="20"/>
                <w:szCs w:val="20"/>
                <w:color w:val="auto"/>
              </w:rPr>
            </w:pPr>
            <w:r>
              <w:rPr>
                <w:rFonts w:ascii="Arial" w:cs="Arial" w:eastAsia="Arial" w:hAnsi="Arial"/>
                <w:sz w:val="18"/>
                <w:szCs w:val="18"/>
                <w:color w:val="auto"/>
              </w:rPr>
              <w:t>Defined contribution superannuation expense</w:t>
            </w:r>
          </w:p>
        </w:tc>
        <w:tc>
          <w:tcPr>
            <w:tcW w:w="156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374,435</w:t>
            </w:r>
          </w:p>
        </w:tc>
        <w:tc>
          <w:tcPr>
            <w:tcW w:w="460" w:type="dxa"/>
            <w:vAlign w:val="bottom"/>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341,586</w:t>
            </w:r>
          </w:p>
        </w:tc>
        <w:tc>
          <w:tcPr>
            <w:tcW w:w="460" w:type="dxa"/>
            <w:vAlign w:val="bottom"/>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311,435</w:t>
            </w:r>
          </w:p>
        </w:tc>
        <w:tc>
          <w:tcPr>
            <w:tcW w:w="60" w:type="dxa"/>
            <w:vAlign w:val="bottom"/>
          </w:tcPr>
          <w:p>
            <w:pPr>
              <w:spacing w:after="0"/>
              <w:rPr>
                <w:sz w:val="19"/>
                <w:szCs w:val="19"/>
                <w:color w:val="auto"/>
              </w:rPr>
            </w:pPr>
          </w:p>
        </w:tc>
      </w:tr>
      <w:tr>
        <w:trPr>
          <w:trHeight w:val="216"/>
        </w:trPr>
        <w:tc>
          <w:tcPr>
            <w:tcW w:w="5520" w:type="dxa"/>
            <w:vAlign w:val="bottom"/>
            <w:shd w:val="clear" w:color="auto" w:fill="CCEEFF"/>
          </w:tcPr>
          <w:p>
            <w:pPr>
              <w:spacing w:after="0"/>
              <w:rPr>
                <w:sz w:val="18"/>
                <w:szCs w:val="18"/>
                <w:color w:val="auto"/>
              </w:rPr>
            </w:pPr>
          </w:p>
        </w:tc>
        <w:tc>
          <w:tcPr>
            <w:tcW w:w="1780" w:type="dxa"/>
            <w:vAlign w:val="bottom"/>
            <w:gridSpan w:val="2"/>
            <w:shd w:val="clear" w:color="auto" w:fill="CCEEFF"/>
          </w:tcPr>
          <w:p>
            <w:pPr>
              <w:ind w:left="1560"/>
              <w:spacing w:after="0"/>
              <w:rPr>
                <w:sz w:val="20"/>
                <w:szCs w:val="20"/>
                <w:color w:val="auto"/>
              </w:rPr>
            </w:pPr>
            <w:r>
              <w:rPr>
                <w:rFonts w:ascii="Arial" w:cs="Arial" w:eastAsia="Arial" w:hAnsi="Arial"/>
                <w:sz w:val="18"/>
                <w:szCs w:val="18"/>
                <w:b w:val="1"/>
                <w:bCs w:val="1"/>
                <w:u w:val="single" w:color="auto"/>
                <w:color w:val="auto"/>
                <w:w w:val="86"/>
              </w:rPr>
              <w:t>A$</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88"/>
              </w:rPr>
              <w:t>10,267,461</w:t>
            </w:r>
          </w:p>
        </w:tc>
        <w:tc>
          <w:tcPr>
            <w:tcW w:w="142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u w:val="single" w:color="auto"/>
                <w:color w:val="auto"/>
              </w:rPr>
              <w:t>A$</w:t>
            </w:r>
            <w:r>
              <w:rPr>
                <w:rFonts w:ascii="Arial" w:cs="Arial" w:eastAsia="Arial" w:hAnsi="Arial"/>
                <w:sz w:val="18"/>
                <w:szCs w:val="18"/>
                <w:b w:val="1"/>
                <w:bCs w:val="1"/>
                <w:color w:val="auto"/>
              </w:rPr>
              <w:t>8,072,287</w:t>
            </w:r>
          </w:p>
        </w:tc>
        <w:tc>
          <w:tcPr>
            <w:tcW w:w="148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b w:val="1"/>
                <w:bCs w:val="1"/>
                <w:u w:val="single" w:color="auto"/>
                <w:color w:val="auto"/>
              </w:rPr>
              <w:t>A</w:t>
            </w:r>
            <w:r>
              <w:rPr>
                <w:rFonts w:ascii="Arial" w:cs="Arial" w:eastAsia="Arial" w:hAnsi="Arial"/>
                <w:sz w:val="18"/>
                <w:szCs w:val="18"/>
                <w:b w:val="1"/>
                <w:bCs w:val="1"/>
                <w:color w:val="auto"/>
              </w:rPr>
              <w:t>$ 5,937,811</w:t>
            </w:r>
          </w:p>
        </w:tc>
      </w:tr>
      <w:tr>
        <w:trPr>
          <w:trHeight w:val="20"/>
        </w:trPr>
        <w:tc>
          <w:tcPr>
            <w:tcW w:w="552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360" w:lineRule="exact"/>
        <w:rPr>
          <w:sz w:val="20"/>
          <w:szCs w:val="20"/>
          <w:color w:val="auto"/>
        </w:rPr>
      </w:pPr>
    </w:p>
    <w:p>
      <w:pPr>
        <w:ind w:left="640" w:hanging="436"/>
        <w:spacing w:after="0"/>
        <w:tabs>
          <w:tab w:leader="none" w:pos="640" w:val="left"/>
        </w:tabs>
        <w:numPr>
          <w:ilvl w:val="0"/>
          <w:numId w:val="124"/>
        </w:numPr>
        <w:rPr>
          <w:rFonts w:ascii="Arial" w:cs="Arial" w:eastAsia="Arial" w:hAnsi="Arial"/>
          <w:sz w:val="18"/>
          <w:szCs w:val="18"/>
          <w:b w:val="1"/>
          <w:bCs w:val="1"/>
          <w:color w:val="auto"/>
        </w:rPr>
      </w:pPr>
      <w:r>
        <w:rPr>
          <w:rFonts w:ascii="Arial" w:cs="Arial" w:eastAsia="Arial" w:hAnsi="Arial"/>
          <w:sz w:val="18"/>
          <w:szCs w:val="18"/>
          <w:b w:val="1"/>
          <w:bCs w:val="1"/>
          <w:color w:val="auto"/>
        </w:rPr>
        <w:t>LOSS PER SHARE</w:t>
      </w:r>
    </w:p>
    <w:p>
      <w:pPr>
        <w:spacing w:after="0" w:line="121" w:lineRule="exact"/>
        <w:rPr>
          <w:sz w:val="20"/>
          <w:szCs w:val="20"/>
          <w:color w:val="auto"/>
        </w:rPr>
      </w:pPr>
    </w:p>
    <w:p>
      <w:pPr>
        <w:ind w:left="200" w:right="180"/>
        <w:spacing w:after="0" w:line="277" w:lineRule="auto"/>
        <w:rPr>
          <w:sz w:val="20"/>
          <w:szCs w:val="20"/>
          <w:color w:val="auto"/>
        </w:rPr>
      </w:pPr>
      <w:r>
        <w:rPr>
          <w:rFonts w:ascii="Arial" w:cs="Arial" w:eastAsia="Arial" w:hAnsi="Arial"/>
          <w:sz w:val="18"/>
          <w:szCs w:val="18"/>
          <w:color w:val="auto"/>
        </w:rPr>
        <w:t>Basic loss per share amounts are calculated by dividing the net loss for the year by the weighted average number of ordinary shares outstanding during the year.</w:t>
      </w:r>
    </w:p>
    <w:p>
      <w:pPr>
        <w:spacing w:after="0" w:line="170" w:lineRule="exact"/>
        <w:rPr>
          <w:sz w:val="20"/>
          <w:szCs w:val="20"/>
          <w:color w:val="auto"/>
        </w:rPr>
      </w:pPr>
    </w:p>
    <w:p>
      <w:pPr>
        <w:jc w:val="both"/>
        <w:ind w:left="200" w:right="140"/>
        <w:spacing w:after="0" w:line="264" w:lineRule="auto"/>
        <w:rPr>
          <w:sz w:val="20"/>
          <w:szCs w:val="20"/>
          <w:color w:val="auto"/>
        </w:rPr>
      </w:pPr>
      <w:r>
        <w:rPr>
          <w:rFonts w:ascii="Arial" w:cs="Arial" w:eastAsia="Arial" w:hAnsi="Arial"/>
          <w:sz w:val="18"/>
          <w:szCs w:val="18"/>
          <w:color w:val="auto"/>
        </w:rPr>
        <w:t>Diluted earnings per share amounts are calculated by dividing the net loss for the year by the weighted average number of ordinary shares outstanding during the year plus the weighted average number of ordinary shares that would be issued on the conversion of all the dilutive potential ordinary shares into ordinary shares.</w:t>
      </w:r>
    </w:p>
    <w:p>
      <w:pPr>
        <w:spacing w:after="0" w:line="181" w:lineRule="exact"/>
        <w:rPr>
          <w:sz w:val="20"/>
          <w:szCs w:val="20"/>
          <w:color w:val="auto"/>
        </w:rPr>
      </w:pPr>
    </w:p>
    <w:p>
      <w:pPr>
        <w:ind w:left="200"/>
        <w:spacing w:after="0"/>
        <w:rPr>
          <w:sz w:val="20"/>
          <w:szCs w:val="20"/>
          <w:color w:val="auto"/>
        </w:rPr>
      </w:pPr>
      <w:r>
        <w:rPr>
          <w:rFonts w:ascii="Arial" w:cs="Arial" w:eastAsia="Arial" w:hAnsi="Arial"/>
          <w:sz w:val="18"/>
          <w:szCs w:val="18"/>
          <w:color w:val="auto"/>
        </w:rPr>
        <w:t>The following reflects the income and share data used in the basic and diluted loss per share computations:</w:t>
      </w:r>
    </w:p>
    <w:p>
      <w:pPr>
        <w:spacing w:after="0" w:line="231" w:lineRule="exact"/>
        <w:rPr>
          <w:sz w:val="20"/>
          <w:szCs w:val="20"/>
          <w:color w:val="auto"/>
        </w:rPr>
      </w:pPr>
    </w:p>
    <w:tbl>
      <w:tblPr>
        <w:tblLayout w:type="fixed"/>
        <w:tblInd w:w="20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880" w:type="dxa"/>
            <w:vAlign w:val="bottom"/>
          </w:tcPr>
          <w:p>
            <w:pPr>
              <w:spacing w:after="0"/>
              <w:rPr>
                <w:sz w:val="14"/>
                <w:szCs w:val="14"/>
                <w:color w:val="auto"/>
              </w:rPr>
            </w:pPr>
          </w:p>
        </w:tc>
        <w:tc>
          <w:tcPr>
            <w:tcW w:w="1380" w:type="dxa"/>
            <w:vAlign w:val="bottom"/>
            <w:gridSpan w:val="2"/>
            <w:vMerge w:val="restart"/>
          </w:tcPr>
          <w:p>
            <w:pPr>
              <w:jc w:val="right"/>
              <w:ind w:right="350"/>
              <w:spacing w:after="0"/>
              <w:rPr>
                <w:sz w:val="20"/>
                <w:szCs w:val="20"/>
                <w:color w:val="auto"/>
              </w:rPr>
            </w:pPr>
            <w:r>
              <w:rPr>
                <w:rFonts w:ascii="Arial" w:cs="Arial" w:eastAsia="Arial" w:hAnsi="Arial"/>
                <w:sz w:val="14"/>
                <w:szCs w:val="14"/>
                <w:b w:val="1"/>
                <w:bCs w:val="1"/>
                <w:color w:val="auto"/>
              </w:rPr>
              <w:t>2018</w:t>
            </w:r>
          </w:p>
        </w:tc>
        <w:tc>
          <w:tcPr>
            <w:tcW w:w="340" w:type="dxa"/>
            <w:vAlign w:val="bottom"/>
          </w:tcPr>
          <w:p>
            <w:pPr>
              <w:spacing w:after="0"/>
              <w:rPr>
                <w:sz w:val="14"/>
                <w:szCs w:val="14"/>
                <w:color w:val="auto"/>
              </w:rPr>
            </w:pPr>
          </w:p>
        </w:tc>
        <w:tc>
          <w:tcPr>
            <w:tcW w:w="1860" w:type="dxa"/>
            <w:vAlign w:val="bottom"/>
            <w:gridSpan w:val="3"/>
          </w:tcPr>
          <w:p>
            <w:pPr>
              <w:jc w:val="center"/>
              <w:spacing w:after="0"/>
              <w:rPr>
                <w:sz w:val="20"/>
                <w:szCs w:val="20"/>
                <w:color w:val="auto"/>
              </w:rPr>
            </w:pPr>
            <w:r>
              <w:rPr>
                <w:rFonts w:ascii="Arial" w:cs="Arial" w:eastAsia="Arial" w:hAnsi="Arial"/>
                <w:sz w:val="14"/>
                <w:szCs w:val="14"/>
                <w:b w:val="1"/>
                <w:bCs w:val="1"/>
                <w:color w:val="auto"/>
                <w:w w:val="91"/>
              </w:rPr>
              <w:t>Year Ended June 30,</w:t>
            </w:r>
          </w:p>
        </w:tc>
        <w:tc>
          <w:tcPr>
            <w:tcW w:w="1440" w:type="dxa"/>
            <w:vAlign w:val="bottom"/>
            <w:gridSpan w:val="2"/>
            <w:vMerge w:val="restart"/>
          </w:tcPr>
          <w:p>
            <w:pPr>
              <w:jc w:val="right"/>
              <w:ind w:right="330"/>
              <w:spacing w:after="0"/>
              <w:rPr>
                <w:sz w:val="20"/>
                <w:szCs w:val="20"/>
                <w:color w:val="auto"/>
              </w:rPr>
            </w:pPr>
            <w:r>
              <w:rPr>
                <w:rFonts w:ascii="Arial" w:cs="Arial" w:eastAsia="Arial" w:hAnsi="Arial"/>
                <w:sz w:val="14"/>
                <w:szCs w:val="14"/>
                <w:b w:val="1"/>
                <w:bCs w:val="1"/>
                <w:color w:val="auto"/>
              </w:rPr>
              <w:t>2016</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5880" w:type="dxa"/>
            <w:vAlign w:val="bottom"/>
          </w:tcPr>
          <w:p>
            <w:pPr>
              <w:spacing w:after="0"/>
              <w:rPr>
                <w:sz w:val="14"/>
                <w:szCs w:val="14"/>
                <w:color w:val="auto"/>
              </w:rPr>
            </w:pPr>
          </w:p>
        </w:tc>
        <w:tc>
          <w:tcPr>
            <w:tcW w:w="1380" w:type="dxa"/>
            <w:vAlign w:val="bottom"/>
            <w:gridSpan w:val="2"/>
            <w:vMerge w:val="continue"/>
          </w:tcPr>
          <w:p>
            <w:pPr>
              <w:spacing w:after="0"/>
              <w:rPr>
                <w:sz w:val="14"/>
                <w:szCs w:val="14"/>
                <w:color w:val="auto"/>
              </w:rPr>
            </w:pPr>
          </w:p>
        </w:tc>
        <w:tc>
          <w:tcPr>
            <w:tcW w:w="340" w:type="dxa"/>
            <w:vAlign w:val="bottom"/>
          </w:tcPr>
          <w:p>
            <w:pPr>
              <w:spacing w:after="0"/>
              <w:rPr>
                <w:sz w:val="14"/>
                <w:szCs w:val="14"/>
                <w:color w:val="auto"/>
              </w:rPr>
            </w:pPr>
          </w:p>
        </w:tc>
        <w:tc>
          <w:tcPr>
            <w:tcW w:w="1480" w:type="dxa"/>
            <w:vAlign w:val="bottom"/>
            <w:gridSpan w:val="2"/>
          </w:tcPr>
          <w:p>
            <w:pPr>
              <w:jc w:val="center"/>
              <w:ind w:left="242"/>
              <w:spacing w:after="0"/>
              <w:rPr>
                <w:sz w:val="20"/>
                <w:szCs w:val="20"/>
                <w:color w:val="auto"/>
              </w:rPr>
            </w:pPr>
            <w:r>
              <w:rPr>
                <w:rFonts w:ascii="Arial" w:cs="Arial" w:eastAsia="Arial" w:hAnsi="Arial"/>
                <w:sz w:val="14"/>
                <w:szCs w:val="14"/>
                <w:b w:val="1"/>
                <w:bCs w:val="1"/>
                <w:color w:val="auto"/>
                <w:w w:val="89"/>
              </w:rPr>
              <w:t>2017</w:t>
            </w:r>
          </w:p>
        </w:tc>
        <w:tc>
          <w:tcPr>
            <w:tcW w:w="380" w:type="dxa"/>
            <w:vAlign w:val="bottom"/>
          </w:tcPr>
          <w:p>
            <w:pPr>
              <w:spacing w:after="0"/>
              <w:rPr>
                <w:sz w:val="14"/>
                <w:szCs w:val="14"/>
                <w:color w:val="auto"/>
              </w:rPr>
            </w:pPr>
          </w:p>
        </w:tc>
        <w:tc>
          <w:tcPr>
            <w:tcW w:w="144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8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Net loss for the period</w:t>
            </w:r>
          </w:p>
        </w:tc>
        <w:tc>
          <w:tcPr>
            <w:tcW w:w="240" w:type="dxa"/>
            <w:vAlign w:val="bottom"/>
            <w:tcBorders>
              <w:top w:val="single" w:sz="8" w:color="CCEEFF"/>
            </w:tcBorders>
            <w:shd w:val="clear" w:color="auto" w:fill="CCEEFF"/>
          </w:tcPr>
          <w:p>
            <w:pPr>
              <w:spacing w:after="0"/>
              <w:rPr>
                <w:sz w:val="18"/>
                <w:szCs w:val="18"/>
                <w:color w:val="auto"/>
              </w:rPr>
            </w:pP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u w:val="single" w:color="auto"/>
                <w:color w:val="auto"/>
                <w:w w:val="89"/>
              </w:rPr>
              <w:t>A</w:t>
            </w:r>
            <w:r>
              <w:rPr>
                <w:rFonts w:ascii="Arial" w:cs="Arial" w:eastAsia="Arial" w:hAnsi="Arial"/>
                <w:sz w:val="18"/>
                <w:szCs w:val="18"/>
                <w:color w:val="auto"/>
                <w:w w:val="89"/>
              </w:rPr>
              <w:t>$ (16,519,155</w:t>
            </w:r>
          </w:p>
        </w:tc>
        <w:tc>
          <w:tcPr>
            <w:tcW w:w="340" w:type="dxa"/>
            <w:vAlign w:val="bottom"/>
            <w:tcBorders>
              <w:top w:val="single" w:sz="8" w:color="CCEEFF"/>
            </w:tcBorders>
            <w:shd w:val="clear" w:color="auto" w:fill="CCEEFF"/>
          </w:tcPr>
          <w:p>
            <w:pPr>
              <w:jc w:val="right"/>
              <w:ind w:right="260"/>
              <w:spacing w:after="0"/>
              <w:rPr>
                <w:sz w:val="20"/>
                <w:szCs w:val="20"/>
                <w:color w:val="auto"/>
              </w:rPr>
            </w:pPr>
            <w:r>
              <w:rPr>
                <w:rFonts w:ascii="Arial" w:cs="Arial" w:eastAsia="Arial" w:hAnsi="Arial"/>
                <w:sz w:val="8"/>
                <w:szCs w:val="8"/>
                <w:color w:val="auto"/>
                <w:w w:val="73"/>
              </w:rPr>
              <w:t>)</w:t>
            </w:r>
          </w:p>
        </w:tc>
        <w:tc>
          <w:tcPr>
            <w:tcW w:w="340" w:type="dxa"/>
            <w:vAlign w:val="bottom"/>
            <w:tcBorders>
              <w:top w:val="single" w:sz="8" w:color="CCEEFF"/>
            </w:tcBorders>
            <w:shd w:val="clear" w:color="auto" w:fill="CCEEFF"/>
          </w:tcPr>
          <w:p>
            <w:pPr>
              <w:spacing w:after="0"/>
              <w:rPr>
                <w:sz w:val="18"/>
                <w:szCs w:val="18"/>
                <w:color w:val="auto"/>
              </w:rPr>
            </w:pPr>
          </w:p>
        </w:tc>
        <w:tc>
          <w:tcPr>
            <w:tcW w:w="1140" w:type="dxa"/>
            <w:vAlign w:val="bottom"/>
            <w:tcBorders>
              <w:top w:val="single" w:sz="8" w:color="auto"/>
              <w:bottom w:val="single" w:sz="8" w:color="auto"/>
            </w:tcBorders>
            <w:shd w:val="clear" w:color="auto" w:fill="CCEEFF"/>
          </w:tcPr>
          <w:p>
            <w:pPr>
              <w:jc w:val="center"/>
              <w:spacing w:after="0"/>
              <w:rPr>
                <w:sz w:val="20"/>
                <w:szCs w:val="20"/>
                <w:color w:val="auto"/>
              </w:rPr>
            </w:pPr>
            <w:r>
              <w:rPr>
                <w:rFonts w:ascii="Arial" w:cs="Arial" w:eastAsia="Arial" w:hAnsi="Arial"/>
                <w:sz w:val="18"/>
                <w:szCs w:val="18"/>
                <w:u w:val="single" w:color="auto"/>
                <w:color w:val="auto"/>
                <w:w w:val="92"/>
              </w:rPr>
              <w:t>A</w:t>
            </w:r>
            <w:r>
              <w:rPr>
                <w:rFonts w:ascii="Arial" w:cs="Arial" w:eastAsia="Arial" w:hAnsi="Arial"/>
                <w:sz w:val="18"/>
                <w:szCs w:val="18"/>
                <w:color w:val="auto"/>
                <w:w w:val="92"/>
              </w:rPr>
              <w:t>$ (11,511,024</w:t>
            </w:r>
          </w:p>
        </w:tc>
        <w:tc>
          <w:tcPr>
            <w:tcW w:w="380" w:type="dxa"/>
            <w:vAlign w:val="bottom"/>
            <w:tcBorders>
              <w:top w:val="single" w:sz="8" w:color="CCEEFF"/>
            </w:tcBorders>
            <w:shd w:val="clear" w:color="auto" w:fill="CCEEFF"/>
          </w:tcPr>
          <w:p>
            <w:pPr>
              <w:jc w:val="right"/>
              <w:ind w:right="240"/>
              <w:spacing w:after="0"/>
              <w:rPr>
                <w:sz w:val="20"/>
                <w:szCs w:val="20"/>
                <w:color w:val="auto"/>
              </w:rPr>
            </w:pPr>
            <w:r>
              <w:rPr>
                <w:rFonts w:ascii="Arial" w:cs="Arial" w:eastAsia="Arial" w:hAnsi="Arial"/>
                <w:sz w:val="16"/>
                <w:szCs w:val="16"/>
                <w:color w:val="auto"/>
                <w:w w:val="74"/>
              </w:rPr>
              <w:t>)</w:t>
            </w:r>
          </w:p>
        </w:tc>
        <w:tc>
          <w:tcPr>
            <w:tcW w:w="300" w:type="dxa"/>
            <w:vAlign w:val="bottom"/>
            <w:tcBorders>
              <w:top w:val="single" w:sz="8" w:color="CCEEFF"/>
            </w:tcBorders>
            <w:shd w:val="clear" w:color="auto" w:fill="CCEEFF"/>
          </w:tcPr>
          <w:p>
            <w:pPr>
              <w:spacing w:after="0"/>
              <w:rPr>
                <w:sz w:val="18"/>
                <w:szCs w:val="18"/>
                <w:color w:val="auto"/>
              </w:rPr>
            </w:pP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u w:val="single" w:color="auto"/>
                <w:color w:val="auto"/>
                <w:w w:val="94"/>
              </w:rPr>
              <w:t>A</w:t>
            </w:r>
            <w:r>
              <w:rPr>
                <w:rFonts w:ascii="Arial" w:cs="Arial" w:eastAsia="Arial" w:hAnsi="Arial"/>
                <w:sz w:val="18"/>
                <w:szCs w:val="18"/>
                <w:color w:val="auto"/>
                <w:w w:val="94"/>
              </w:rPr>
              <w:t>$  (7,778,015</w:t>
            </w:r>
          </w:p>
        </w:tc>
        <w:tc>
          <w:tcPr>
            <w:tcW w:w="120" w:type="dxa"/>
            <w:vAlign w:val="bottom"/>
            <w:tcBorders>
              <w:top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0"/>
        </w:trPr>
        <w:tc>
          <w:tcPr>
            <w:tcW w:w="5900" w:type="dxa"/>
            <w:vAlign w:val="bottom"/>
            <w:gridSpan w:val="2"/>
            <w:vMerge w:val="restart"/>
          </w:tcPr>
          <w:p>
            <w:pPr>
              <w:spacing w:after="0"/>
              <w:rPr>
                <w:sz w:val="20"/>
                <w:szCs w:val="20"/>
                <w:color w:val="auto"/>
              </w:rPr>
            </w:pPr>
            <w:r>
              <w:rPr>
                <w:rFonts w:ascii="Arial" w:cs="Arial" w:eastAsia="Arial" w:hAnsi="Arial"/>
                <w:sz w:val="18"/>
                <w:szCs w:val="18"/>
                <w:color w:val="auto"/>
                <w:w w:val="98"/>
              </w:rPr>
              <w:t>Weighted average number of ordinary shares for basic and diluted loss per</w:t>
            </w:r>
          </w:p>
        </w:tc>
        <w:tc>
          <w:tcPr>
            <w:tcW w:w="24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900" w:type="dxa"/>
            <w:vAlign w:val="bottom"/>
            <w:gridSpan w:val="2"/>
            <w:vMerge w:val="continue"/>
          </w:tcPr>
          <w:p>
            <w:pPr>
              <w:spacing w:after="0"/>
              <w:rPr>
                <w:sz w:val="17"/>
                <w:szCs w:val="17"/>
                <w:color w:val="auto"/>
              </w:rPr>
            </w:pPr>
          </w:p>
        </w:tc>
        <w:tc>
          <w:tcPr>
            <w:tcW w:w="2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880" w:type="dxa"/>
            <w:vAlign w:val="bottom"/>
          </w:tcPr>
          <w:p>
            <w:pPr>
              <w:ind w:left="160"/>
              <w:spacing w:after="0"/>
              <w:rPr>
                <w:sz w:val="20"/>
                <w:szCs w:val="20"/>
                <w:color w:val="auto"/>
              </w:rPr>
            </w:pPr>
            <w:r>
              <w:rPr>
                <w:rFonts w:ascii="Arial" w:cs="Arial" w:eastAsia="Arial" w:hAnsi="Arial"/>
                <w:sz w:val="18"/>
                <w:szCs w:val="18"/>
                <w:color w:val="auto"/>
              </w:rPr>
              <w:t>share</w:t>
            </w:r>
          </w:p>
        </w:tc>
        <w:tc>
          <w:tcPr>
            <w:tcW w:w="1380" w:type="dxa"/>
            <w:vAlign w:val="bottom"/>
            <w:gridSpan w:val="2"/>
          </w:tcPr>
          <w:p>
            <w:pPr>
              <w:jc w:val="right"/>
              <w:spacing w:after="0"/>
              <w:rPr>
                <w:sz w:val="20"/>
                <w:szCs w:val="20"/>
                <w:color w:val="auto"/>
              </w:rPr>
            </w:pPr>
            <w:r>
              <w:rPr>
                <w:rFonts w:ascii="Arial" w:cs="Arial" w:eastAsia="Arial" w:hAnsi="Arial"/>
                <w:sz w:val="18"/>
                <w:szCs w:val="18"/>
                <w:color w:val="auto"/>
              </w:rPr>
              <w:t>934,312,458</w:t>
            </w:r>
          </w:p>
        </w:tc>
        <w:tc>
          <w:tcPr>
            <w:tcW w:w="340" w:type="dxa"/>
            <w:vAlign w:val="bottom"/>
          </w:tcPr>
          <w:p>
            <w:pPr>
              <w:spacing w:after="0"/>
              <w:rPr>
                <w:sz w:val="20"/>
                <w:szCs w:val="20"/>
                <w:color w:val="auto"/>
              </w:rPr>
            </w:pPr>
          </w:p>
        </w:tc>
        <w:tc>
          <w:tcPr>
            <w:tcW w:w="1480" w:type="dxa"/>
            <w:vAlign w:val="bottom"/>
            <w:gridSpan w:val="2"/>
          </w:tcPr>
          <w:p>
            <w:pPr>
              <w:jc w:val="right"/>
              <w:spacing w:after="0"/>
              <w:rPr>
                <w:sz w:val="20"/>
                <w:szCs w:val="20"/>
                <w:color w:val="auto"/>
              </w:rPr>
            </w:pPr>
            <w:r>
              <w:rPr>
                <w:rFonts w:ascii="Arial" w:cs="Arial" w:eastAsia="Arial" w:hAnsi="Arial"/>
                <w:sz w:val="18"/>
                <w:szCs w:val="18"/>
                <w:color w:val="auto"/>
              </w:rPr>
              <w:t>669,930,538</w:t>
            </w:r>
          </w:p>
        </w:tc>
        <w:tc>
          <w:tcPr>
            <w:tcW w:w="380" w:type="dxa"/>
            <w:vAlign w:val="bottom"/>
          </w:tcPr>
          <w:p>
            <w:pPr>
              <w:spacing w:after="0"/>
              <w:rPr>
                <w:sz w:val="20"/>
                <w:szCs w:val="20"/>
                <w:color w:val="auto"/>
              </w:rPr>
            </w:pPr>
          </w:p>
        </w:tc>
        <w:tc>
          <w:tcPr>
            <w:tcW w:w="1440" w:type="dxa"/>
            <w:vAlign w:val="bottom"/>
            <w:gridSpan w:val="2"/>
          </w:tcPr>
          <w:p>
            <w:pPr>
              <w:jc w:val="right"/>
              <w:spacing w:after="0"/>
              <w:rPr>
                <w:sz w:val="20"/>
                <w:szCs w:val="20"/>
                <w:color w:val="auto"/>
              </w:rPr>
            </w:pPr>
            <w:r>
              <w:rPr>
                <w:rFonts w:ascii="Arial" w:cs="Arial" w:eastAsia="Arial" w:hAnsi="Arial"/>
                <w:sz w:val="18"/>
                <w:szCs w:val="18"/>
                <w:color w:val="auto"/>
              </w:rPr>
              <w:t>498,786,987</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880" w:type="dxa"/>
            <w:vAlign w:val="bottom"/>
            <w:vMerge w:val="restart"/>
          </w:tcPr>
          <w:p>
            <w:pPr>
              <w:ind w:left="5320"/>
              <w:spacing w:after="0"/>
              <w:rPr>
                <w:sz w:val="20"/>
                <w:szCs w:val="20"/>
                <w:color w:val="auto"/>
              </w:rPr>
            </w:pPr>
            <w:r>
              <w:rPr>
                <w:rFonts w:ascii="Arial" w:cs="Arial" w:eastAsia="Arial" w:hAnsi="Arial"/>
                <w:sz w:val="18"/>
                <w:szCs w:val="18"/>
                <w:color w:val="auto"/>
              </w:rPr>
              <w:t>F-25</w:t>
            </w:r>
          </w:p>
        </w:tc>
        <w:tc>
          <w:tcPr>
            <w:tcW w:w="240" w:type="dxa"/>
            <w:vAlign w:val="bottom"/>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20" w:type="dxa"/>
            <w:vAlign w:val="bottom"/>
          </w:tcPr>
          <w:p>
            <w:pPr>
              <w:spacing w:after="0"/>
              <w:rPr>
                <w:sz w:val="24"/>
                <w:szCs w:val="24"/>
                <w:color w:val="auto"/>
              </w:rPr>
            </w:pPr>
          </w:p>
        </w:tc>
        <w:tc>
          <w:tcPr>
            <w:tcW w:w="5880" w:type="dxa"/>
            <w:vAlign w:val="bottom"/>
            <w:vMerge w:val="continue"/>
          </w:tcPr>
          <w:p>
            <w:pPr>
              <w:spacing w:after="0"/>
              <w:rPr>
                <w:sz w:val="24"/>
                <w:szCs w:val="24"/>
                <w:color w:val="auto"/>
              </w:rPr>
            </w:pPr>
          </w:p>
        </w:tc>
        <w:tc>
          <w:tcPr>
            <w:tcW w:w="2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240" w:top="459" w:right="419" w:bottom="1440" w:gutter="0" w:footer="0" w:header="0"/>
        </w:sectPr>
      </w:pPr>
    </w:p>
    <w:bookmarkStart w:id="124" w:name="page125"/>
    <w:bookmarkEnd w:id="12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7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AVITA MEDICAL LIMITED</w:t>
      </w:r>
    </w:p>
    <w:p>
      <w:pPr>
        <w:spacing w:after="0" w:line="27"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9"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(IN AUSTRALIAN DOLLARS)</w:t>
      </w:r>
    </w:p>
    <w:p>
      <w:pPr>
        <w:spacing w:after="0" w:line="234" w:lineRule="exact"/>
        <w:rPr>
          <w:sz w:val="20"/>
          <w:szCs w:val="20"/>
          <w:color w:val="auto"/>
        </w:rPr>
      </w:pPr>
    </w:p>
    <w:p>
      <w:pPr>
        <w:ind w:left="640" w:hanging="436"/>
        <w:spacing w:after="0"/>
        <w:tabs>
          <w:tab w:leader="none" w:pos="640" w:val="left"/>
        </w:tabs>
        <w:numPr>
          <w:ilvl w:val="0"/>
          <w:numId w:val="125"/>
        </w:numPr>
        <w:rPr>
          <w:rFonts w:ascii="Arial" w:cs="Arial" w:eastAsia="Arial" w:hAnsi="Arial"/>
          <w:sz w:val="18"/>
          <w:szCs w:val="18"/>
          <w:b w:val="1"/>
          <w:bCs w:val="1"/>
          <w:color w:val="auto"/>
        </w:rPr>
      </w:pPr>
      <w:r>
        <w:rPr>
          <w:rFonts w:ascii="Arial" w:cs="Arial" w:eastAsia="Arial" w:hAnsi="Arial"/>
          <w:sz w:val="18"/>
          <w:szCs w:val="18"/>
          <w:b w:val="1"/>
          <w:bCs w:val="1"/>
          <w:color w:val="auto"/>
        </w:rPr>
        <w:t>LOSS PER SHARE (CONTINUED)</w:t>
      </w:r>
    </w:p>
    <w:p>
      <w:pPr>
        <w:spacing w:after="0" w:line="135" w:lineRule="exact"/>
        <w:rPr>
          <w:sz w:val="20"/>
          <w:szCs w:val="20"/>
          <w:color w:val="auto"/>
        </w:rPr>
      </w:pPr>
    </w:p>
    <w:p>
      <w:pPr>
        <w:ind w:left="200" w:right="60"/>
        <w:spacing w:after="0" w:line="264" w:lineRule="auto"/>
        <w:rPr>
          <w:sz w:val="20"/>
          <w:szCs w:val="20"/>
          <w:color w:val="auto"/>
        </w:rPr>
      </w:pPr>
      <w:r>
        <w:rPr>
          <w:rFonts w:ascii="Arial" w:cs="Arial" w:eastAsia="Arial" w:hAnsi="Arial"/>
          <w:sz w:val="18"/>
          <w:szCs w:val="18"/>
          <w:color w:val="auto"/>
        </w:rPr>
        <w:t>Transactions involving ordinary shares or potential ordinary shares that would change the number of ordinary shares or potential ordinary shares outstanding between the reporting date and the date of the completion of these financial statements are disclosed in Note 25 to the consolidated financial statements.</w:t>
      </w:r>
    </w:p>
    <w:p>
      <w:pPr>
        <w:spacing w:after="0" w:line="181" w:lineRule="exact"/>
        <w:rPr>
          <w:sz w:val="20"/>
          <w:szCs w:val="20"/>
          <w:color w:val="auto"/>
        </w:rPr>
      </w:pPr>
    </w:p>
    <w:p>
      <w:pPr>
        <w:ind w:left="200" w:right="440"/>
        <w:spacing w:after="0" w:line="277" w:lineRule="auto"/>
        <w:rPr>
          <w:sz w:val="20"/>
          <w:szCs w:val="20"/>
          <w:color w:val="auto"/>
        </w:rPr>
      </w:pPr>
      <w:r>
        <w:rPr>
          <w:rFonts w:ascii="Arial" w:cs="Arial" w:eastAsia="Arial" w:hAnsi="Arial"/>
          <w:sz w:val="18"/>
          <w:szCs w:val="18"/>
          <w:color w:val="auto"/>
        </w:rPr>
        <w:t>A total of 29,131,664 options (2017: 24,797,286 and 2016: 11,147,289) were not included in the dilutive loss per share calculation as they are anti-dilutive.</w:t>
      </w:r>
    </w:p>
    <w:p>
      <w:pPr>
        <w:spacing w:after="0" w:line="315" w:lineRule="exact"/>
        <w:rPr>
          <w:sz w:val="20"/>
          <w:szCs w:val="20"/>
          <w:color w:val="auto"/>
        </w:rPr>
      </w:pPr>
    </w:p>
    <w:tbl>
      <w:tblPr>
        <w:tblLayout w:type="fixed"/>
        <w:tblInd w:w="200" w:type="dxa"/>
        <w:tblCellMar>
          <w:top w:w="0" w:type="dxa"/>
          <w:left w:w="0" w:type="dxa"/>
          <w:bottom w:w="0" w:type="dxa"/>
          <w:right w:w="0" w:type="dxa"/>
        </w:tblCellMar>
      </w:tblPr>
      <w:tr>
        <w:trPr>
          <w:trHeight w:val="234"/>
        </w:trPr>
        <w:tc>
          <w:tcPr>
            <w:tcW w:w="280" w:type="dxa"/>
            <w:vAlign w:val="bottom"/>
            <w:gridSpan w:val="2"/>
          </w:tcPr>
          <w:p>
            <w:pPr>
              <w:spacing w:after="0"/>
              <w:rPr>
                <w:sz w:val="20"/>
                <w:szCs w:val="20"/>
                <w:color w:val="auto"/>
              </w:rPr>
            </w:pPr>
            <w:r>
              <w:rPr>
                <w:rFonts w:ascii="Arial" w:cs="Arial" w:eastAsia="Arial" w:hAnsi="Arial"/>
                <w:sz w:val="18"/>
                <w:szCs w:val="18"/>
                <w:b w:val="1"/>
                <w:bCs w:val="1"/>
                <w:color w:val="auto"/>
              </w:rPr>
              <w:t>6.</w:t>
            </w:r>
          </w:p>
        </w:tc>
        <w:tc>
          <w:tcPr>
            <w:tcW w:w="5760" w:type="dxa"/>
            <w:vAlign w:val="bottom"/>
          </w:tcPr>
          <w:p>
            <w:pPr>
              <w:ind w:left="160"/>
              <w:spacing w:after="0"/>
              <w:rPr>
                <w:sz w:val="20"/>
                <w:szCs w:val="20"/>
                <w:color w:val="auto"/>
              </w:rPr>
            </w:pPr>
            <w:r>
              <w:rPr>
                <w:rFonts w:ascii="Arial" w:cs="Arial" w:eastAsia="Arial" w:hAnsi="Arial"/>
                <w:sz w:val="18"/>
                <w:szCs w:val="18"/>
                <w:b w:val="1"/>
                <w:bCs w:val="1"/>
                <w:color w:val="auto"/>
              </w:rPr>
              <w:t>INCOME TAX</w:t>
            </w:r>
          </w:p>
        </w:tc>
        <w:tc>
          <w:tcPr>
            <w:tcW w:w="3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576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80" w:type="dxa"/>
            <w:vAlign w:val="bottom"/>
            <w:vMerge w:val="restart"/>
          </w:tcPr>
          <w:p>
            <w:pPr>
              <w:jc w:val="right"/>
              <w:ind w:right="331"/>
              <w:spacing w:after="0"/>
              <w:rPr>
                <w:sz w:val="20"/>
                <w:szCs w:val="20"/>
                <w:color w:val="auto"/>
              </w:rPr>
            </w:pPr>
            <w:r>
              <w:rPr>
                <w:rFonts w:ascii="Arial" w:cs="Arial" w:eastAsia="Arial" w:hAnsi="Arial"/>
                <w:sz w:val="14"/>
                <w:szCs w:val="14"/>
                <w:b w:val="1"/>
                <w:bCs w:val="1"/>
                <w:color w:val="auto"/>
              </w:rPr>
              <w:t>2018</w:t>
            </w:r>
          </w:p>
        </w:tc>
        <w:tc>
          <w:tcPr>
            <w:tcW w:w="300" w:type="dxa"/>
            <w:vAlign w:val="bottom"/>
          </w:tcPr>
          <w:p>
            <w:pPr>
              <w:spacing w:after="0"/>
              <w:rPr>
                <w:sz w:val="21"/>
                <w:szCs w:val="21"/>
                <w:color w:val="auto"/>
              </w:rPr>
            </w:pPr>
          </w:p>
        </w:tc>
        <w:tc>
          <w:tcPr>
            <w:tcW w:w="1740" w:type="dxa"/>
            <w:vAlign w:val="bottom"/>
            <w:gridSpan w:val="4"/>
          </w:tcPr>
          <w:p>
            <w:pPr>
              <w:jc w:val="right"/>
              <w:ind w:right="180"/>
              <w:spacing w:after="0"/>
              <w:rPr>
                <w:sz w:val="20"/>
                <w:szCs w:val="20"/>
                <w:color w:val="auto"/>
              </w:rPr>
            </w:pPr>
            <w:r>
              <w:rPr>
                <w:rFonts w:ascii="Arial" w:cs="Arial" w:eastAsia="Arial" w:hAnsi="Arial"/>
                <w:sz w:val="14"/>
                <w:szCs w:val="14"/>
                <w:b w:val="1"/>
                <w:bCs w:val="1"/>
                <w:color w:val="auto"/>
              </w:rPr>
              <w:t>Year Ended June 30</w:t>
            </w:r>
          </w:p>
        </w:tc>
        <w:tc>
          <w:tcPr>
            <w:tcW w:w="2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40" w:type="dxa"/>
            <w:vAlign w:val="bottom"/>
            <w:vMerge w:val="restart"/>
          </w:tcPr>
          <w:p>
            <w:pPr>
              <w:jc w:val="right"/>
              <w:ind w:right="311"/>
              <w:spacing w:after="0"/>
              <w:rPr>
                <w:sz w:val="20"/>
                <w:szCs w:val="20"/>
                <w:color w:val="auto"/>
              </w:rPr>
            </w:pPr>
            <w:r>
              <w:rPr>
                <w:rFonts w:ascii="Arial" w:cs="Arial" w:eastAsia="Arial" w:hAnsi="Arial"/>
                <w:sz w:val="14"/>
                <w:szCs w:val="14"/>
                <w:b w:val="1"/>
                <w:bCs w:val="1"/>
                <w:color w:val="auto"/>
              </w:rPr>
              <w:t>2016</w:t>
            </w:r>
          </w:p>
        </w:tc>
        <w:tc>
          <w:tcPr>
            <w:tcW w:w="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260" w:type="dxa"/>
            <w:vAlign w:val="bottom"/>
            <w:tcBorders>
              <w:bottom w:val="single" w:sz="8" w:color="CCEEFF"/>
            </w:tcBorders>
          </w:tcPr>
          <w:p>
            <w:pPr>
              <w:spacing w:after="0"/>
              <w:rPr>
                <w:sz w:val="14"/>
                <w:szCs w:val="14"/>
                <w:color w:val="auto"/>
              </w:rPr>
            </w:pPr>
          </w:p>
        </w:tc>
        <w:tc>
          <w:tcPr>
            <w:tcW w:w="5760" w:type="dxa"/>
            <w:vAlign w:val="bottom"/>
            <w:tcBorders>
              <w:bottom w:val="single" w:sz="8" w:color="CCEEFF"/>
            </w:tcBorders>
          </w:tcPr>
          <w:p>
            <w:pPr>
              <w:spacing w:after="0"/>
              <w:rPr>
                <w:sz w:val="14"/>
                <w:szCs w:val="14"/>
                <w:color w:val="auto"/>
              </w:rPr>
            </w:pPr>
          </w:p>
        </w:tc>
        <w:tc>
          <w:tcPr>
            <w:tcW w:w="360" w:type="dxa"/>
            <w:vAlign w:val="bottom"/>
            <w:tcBorders>
              <w:bottom w:val="single" w:sz="8" w:color="CCEEFF"/>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vMerge w:val="continue"/>
          </w:tcPr>
          <w:p>
            <w:pPr>
              <w:spacing w:after="0"/>
              <w:rPr>
                <w:sz w:val="14"/>
                <w:szCs w:val="14"/>
                <w:color w:val="auto"/>
              </w:rPr>
            </w:pPr>
          </w:p>
        </w:tc>
        <w:tc>
          <w:tcPr>
            <w:tcW w:w="300" w:type="dxa"/>
            <w:vAlign w:val="bottom"/>
            <w:tcBorders>
              <w:bottom w:val="single" w:sz="8" w:color="CCEEFF"/>
            </w:tcBorders>
          </w:tcPr>
          <w:p>
            <w:pPr>
              <w:spacing w:after="0"/>
              <w:rPr>
                <w:sz w:val="14"/>
                <w:szCs w:val="14"/>
                <w:color w:val="auto"/>
              </w:rPr>
            </w:pPr>
          </w:p>
        </w:tc>
        <w:tc>
          <w:tcPr>
            <w:tcW w:w="320" w:type="dxa"/>
            <w:vAlign w:val="bottom"/>
            <w:tcBorders>
              <w:bottom w:val="single" w:sz="8" w:color="CCEEFF"/>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jc w:val="right"/>
              <w:ind w:right="331"/>
              <w:spacing w:after="0"/>
              <w:rPr>
                <w:sz w:val="20"/>
                <w:szCs w:val="20"/>
                <w:color w:val="auto"/>
              </w:rPr>
            </w:pPr>
            <w:r>
              <w:rPr>
                <w:rFonts w:ascii="Arial" w:cs="Arial" w:eastAsia="Arial" w:hAnsi="Arial"/>
                <w:sz w:val="14"/>
                <w:szCs w:val="14"/>
                <w:b w:val="1"/>
                <w:bCs w:val="1"/>
                <w:color w:val="auto"/>
              </w:rPr>
              <w:t>2017</w:t>
            </w:r>
          </w:p>
        </w:tc>
        <w:tc>
          <w:tcPr>
            <w:tcW w:w="320" w:type="dxa"/>
            <w:vAlign w:val="bottom"/>
            <w:tcBorders>
              <w:bottom w:val="single" w:sz="8" w:color="CCEEFF"/>
            </w:tcBorders>
          </w:tcPr>
          <w:p>
            <w:pPr>
              <w:spacing w:after="0"/>
              <w:rPr>
                <w:sz w:val="14"/>
                <w:szCs w:val="14"/>
                <w:color w:val="auto"/>
              </w:rPr>
            </w:pPr>
          </w:p>
        </w:tc>
        <w:tc>
          <w:tcPr>
            <w:tcW w:w="280" w:type="dxa"/>
            <w:vAlign w:val="bottom"/>
            <w:tcBorders>
              <w:bottom w:val="single" w:sz="8" w:color="CCEEFF"/>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vMerge w:val="continue"/>
          </w:tcPr>
          <w:p>
            <w:pPr>
              <w:spacing w:after="0"/>
              <w:rPr>
                <w:sz w:val="14"/>
                <w:szCs w:val="14"/>
                <w:color w:val="auto"/>
              </w:rPr>
            </w:pPr>
          </w:p>
        </w:tc>
        <w:tc>
          <w:tcPr>
            <w:tcW w:w="12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260" w:type="dxa"/>
            <w:vAlign w:val="bottom"/>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(a)</w:t>
            </w:r>
          </w:p>
        </w:tc>
        <w:tc>
          <w:tcPr>
            <w:tcW w:w="5760" w:type="dxa"/>
            <w:vAlign w:val="bottom"/>
            <w:shd w:val="clear" w:color="auto" w:fill="CCEEFF"/>
          </w:tcPr>
          <w:p>
            <w:pPr>
              <w:ind w:left="80"/>
              <w:spacing w:after="0" w:line="196" w:lineRule="exact"/>
              <w:rPr>
                <w:sz w:val="20"/>
                <w:szCs w:val="20"/>
                <w:color w:val="auto"/>
              </w:rPr>
            </w:pPr>
            <w:r>
              <w:rPr>
                <w:rFonts w:ascii="Arial" w:cs="Arial" w:eastAsia="Arial" w:hAnsi="Arial"/>
                <w:sz w:val="18"/>
                <w:szCs w:val="18"/>
                <w:b w:val="1"/>
                <w:bCs w:val="1"/>
                <w:color w:val="auto"/>
              </w:rPr>
              <w:t>Income tax expense</w:t>
            </w:r>
          </w:p>
        </w:tc>
        <w:tc>
          <w:tcPr>
            <w:tcW w:w="3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20" w:type="dxa"/>
            <w:vAlign w:val="bottom"/>
            <w:gridSpan w:val="2"/>
          </w:tcPr>
          <w:p>
            <w:pPr>
              <w:spacing w:after="0"/>
              <w:rPr>
                <w:sz w:val="20"/>
                <w:szCs w:val="20"/>
                <w:color w:val="auto"/>
              </w:rPr>
            </w:pPr>
            <w:r>
              <w:rPr>
                <w:rFonts w:ascii="Arial" w:cs="Arial" w:eastAsia="Arial" w:hAnsi="Arial"/>
                <w:sz w:val="18"/>
                <w:szCs w:val="18"/>
                <w:color w:val="auto"/>
              </w:rPr>
              <w:t>The major components of income tax benefit are:</w:t>
            </w:r>
          </w:p>
        </w:tc>
        <w:tc>
          <w:tcPr>
            <w:tcW w:w="3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20" w:type="dxa"/>
            <w:vAlign w:val="bottom"/>
            <w:gridSpan w:val="2"/>
            <w:shd w:val="clear" w:color="auto" w:fill="CCEEFF"/>
          </w:tcPr>
          <w:p>
            <w:pPr>
              <w:spacing w:after="0"/>
              <w:rPr>
                <w:sz w:val="20"/>
                <w:szCs w:val="20"/>
                <w:color w:val="auto"/>
              </w:rPr>
            </w:pPr>
            <w:r>
              <w:rPr>
                <w:rFonts w:ascii="Arial" w:cs="Arial" w:eastAsia="Arial" w:hAnsi="Arial"/>
                <w:sz w:val="18"/>
                <w:szCs w:val="18"/>
                <w:i w:val="1"/>
                <w:iCs w:val="1"/>
                <w:color w:val="auto"/>
              </w:rPr>
              <w:t>Current income tax benefit:</w:t>
            </w:r>
          </w:p>
        </w:tc>
        <w:tc>
          <w:tcPr>
            <w:tcW w:w="3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20" w:type="dxa"/>
            <w:vAlign w:val="bottom"/>
            <w:gridSpan w:val="2"/>
          </w:tcPr>
          <w:p>
            <w:pPr>
              <w:spacing w:after="0"/>
              <w:rPr>
                <w:sz w:val="20"/>
                <w:szCs w:val="20"/>
                <w:color w:val="auto"/>
              </w:rPr>
            </w:pPr>
            <w:r>
              <w:rPr>
                <w:rFonts w:ascii="Arial" w:cs="Arial" w:eastAsia="Arial" w:hAnsi="Arial"/>
                <w:sz w:val="18"/>
                <w:szCs w:val="18"/>
                <w:color w:val="auto"/>
              </w:rPr>
              <w:t>Current income tax benefit – R&amp;D Claim</w:t>
            </w:r>
          </w:p>
        </w:tc>
        <w:tc>
          <w:tcPr>
            <w:tcW w:w="580" w:type="dxa"/>
            <w:vAlign w:val="bottom"/>
            <w:gridSpan w:val="2"/>
          </w:tcPr>
          <w:p>
            <w:pPr>
              <w:ind w:left="360"/>
              <w:spacing w:after="0"/>
              <w:rPr>
                <w:sz w:val="20"/>
                <w:szCs w:val="20"/>
                <w:color w:val="auto"/>
              </w:rPr>
            </w:pPr>
            <w:r>
              <w:rPr>
                <w:rFonts w:ascii="Arial" w:cs="Arial" w:eastAsia="Arial" w:hAnsi="Arial"/>
                <w:sz w:val="18"/>
                <w:szCs w:val="18"/>
                <w:color w:val="auto"/>
                <w:w w:val="90"/>
              </w:rPr>
              <w:t>A$</w:t>
            </w:r>
          </w:p>
        </w:tc>
        <w:tc>
          <w:tcPr>
            <w:tcW w:w="1180" w:type="dxa"/>
            <w:vAlign w:val="bottom"/>
            <w:gridSpan w:val="2"/>
          </w:tcPr>
          <w:p>
            <w:pPr>
              <w:jc w:val="right"/>
              <w:ind w:right="160"/>
              <w:spacing w:after="0"/>
              <w:rPr>
                <w:sz w:val="20"/>
                <w:szCs w:val="20"/>
                <w:color w:val="auto"/>
              </w:rPr>
            </w:pPr>
            <w:r>
              <w:rPr>
                <w:rFonts w:ascii="Arial" w:cs="Arial" w:eastAsia="Arial" w:hAnsi="Arial"/>
                <w:sz w:val="18"/>
                <w:szCs w:val="18"/>
                <w:color w:val="auto"/>
                <w:w w:val="99"/>
              </w:rPr>
              <w:t>(1,420,752)</w:t>
            </w:r>
          </w:p>
        </w:tc>
        <w:tc>
          <w:tcPr>
            <w:tcW w:w="540" w:type="dxa"/>
            <w:vAlign w:val="bottom"/>
            <w:gridSpan w:val="2"/>
          </w:tcPr>
          <w:p>
            <w:pPr>
              <w:ind w:left="300"/>
              <w:spacing w:after="0"/>
              <w:rPr>
                <w:sz w:val="20"/>
                <w:szCs w:val="20"/>
                <w:color w:val="auto"/>
              </w:rPr>
            </w:pPr>
            <w:r>
              <w:rPr>
                <w:rFonts w:ascii="Arial" w:cs="Arial" w:eastAsia="Arial" w:hAnsi="Arial"/>
                <w:sz w:val="18"/>
                <w:szCs w:val="18"/>
                <w:color w:val="auto"/>
                <w:w w:val="99"/>
              </w:rPr>
              <w:t>A$</w:t>
            </w:r>
          </w:p>
        </w:tc>
        <w:tc>
          <w:tcPr>
            <w:tcW w:w="1200" w:type="dxa"/>
            <w:vAlign w:val="bottom"/>
            <w:gridSpan w:val="2"/>
          </w:tcPr>
          <w:p>
            <w:pPr>
              <w:jc w:val="right"/>
              <w:ind w:right="180"/>
              <w:spacing w:after="0"/>
              <w:rPr>
                <w:sz w:val="20"/>
                <w:szCs w:val="20"/>
                <w:color w:val="auto"/>
              </w:rPr>
            </w:pPr>
            <w:r>
              <w:rPr>
                <w:rFonts w:ascii="Arial" w:cs="Arial" w:eastAsia="Arial" w:hAnsi="Arial"/>
                <w:sz w:val="18"/>
                <w:szCs w:val="18"/>
                <w:color w:val="auto"/>
                <w:w w:val="99"/>
              </w:rPr>
              <w:t>(1,048,634)</w:t>
            </w:r>
          </w:p>
        </w:tc>
        <w:tc>
          <w:tcPr>
            <w:tcW w:w="540" w:type="dxa"/>
            <w:vAlign w:val="bottom"/>
            <w:gridSpan w:val="2"/>
          </w:tcPr>
          <w:p>
            <w:pPr>
              <w:ind w:left="280"/>
              <w:spacing w:after="0"/>
              <w:rPr>
                <w:sz w:val="20"/>
                <w:szCs w:val="20"/>
                <w:color w:val="auto"/>
              </w:rPr>
            </w:pPr>
            <w:r>
              <w:rPr>
                <w:rFonts w:ascii="Arial" w:cs="Arial" w:eastAsia="Arial" w:hAnsi="Arial"/>
                <w:sz w:val="18"/>
                <w:szCs w:val="18"/>
                <w:color w:val="auto"/>
              </w:rPr>
              <w:t>A$</w:t>
            </w:r>
          </w:p>
        </w:tc>
        <w:tc>
          <w:tcPr>
            <w:tcW w:w="960" w:type="dxa"/>
            <w:vAlign w:val="bottom"/>
            <w:gridSpan w:val="2"/>
          </w:tcPr>
          <w:p>
            <w:pPr>
              <w:jc w:val="right"/>
              <w:spacing w:after="0"/>
              <w:rPr>
                <w:sz w:val="20"/>
                <w:szCs w:val="20"/>
                <w:color w:val="auto"/>
              </w:rPr>
            </w:pPr>
            <w:r>
              <w:rPr>
                <w:rFonts w:ascii="Arial" w:cs="Arial" w:eastAsia="Arial" w:hAnsi="Arial"/>
                <w:sz w:val="18"/>
                <w:szCs w:val="18"/>
                <w:color w:val="auto"/>
              </w:rPr>
              <w:t>(971,881)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Adjustment for prior year tax</w:t>
            </w:r>
          </w:p>
        </w:tc>
        <w:tc>
          <w:tcPr>
            <w:tcW w:w="3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34,956</w:t>
            </w:r>
          </w:p>
        </w:tc>
        <w:tc>
          <w:tcPr>
            <w:tcW w:w="3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6040" w:type="dxa"/>
            <w:vAlign w:val="bottom"/>
            <w:gridSpan w:val="3"/>
          </w:tcPr>
          <w:p>
            <w:pPr>
              <w:spacing w:after="0"/>
              <w:rPr>
                <w:sz w:val="20"/>
                <w:szCs w:val="20"/>
                <w:color w:val="auto"/>
              </w:rPr>
            </w:pPr>
            <w:r>
              <w:rPr>
                <w:rFonts w:ascii="Arial" w:cs="Arial" w:eastAsia="Arial" w:hAnsi="Arial"/>
                <w:sz w:val="18"/>
                <w:szCs w:val="18"/>
                <w:color w:val="auto"/>
              </w:rPr>
              <w:t>Income tax benefit reported in profit or loss – R&amp;D Claim</w:t>
            </w:r>
          </w:p>
        </w:tc>
        <w:tc>
          <w:tcPr>
            <w:tcW w:w="360" w:type="dxa"/>
            <w:vAlign w:val="bottom"/>
          </w:tcPr>
          <w:p>
            <w:pPr>
              <w:spacing w:after="0"/>
              <w:rPr>
                <w:sz w:val="20"/>
                <w:szCs w:val="20"/>
                <w:color w:val="auto"/>
              </w:rPr>
            </w:pPr>
          </w:p>
        </w:tc>
        <w:tc>
          <w:tcPr>
            <w:tcW w:w="22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u w:val="single" w:color="auto"/>
                <w:color w:val="auto"/>
                <w:w w:val="90"/>
              </w:rPr>
              <w:t>A</w:t>
            </w:r>
            <w:r>
              <w:rPr>
                <w:rFonts w:ascii="Arial" w:cs="Arial" w:eastAsia="Arial" w:hAnsi="Arial"/>
                <w:sz w:val="18"/>
                <w:szCs w:val="18"/>
                <w:color w:val="auto"/>
                <w:w w:val="90"/>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(1,385,796</w:t>
            </w:r>
          </w:p>
        </w:tc>
        <w:tc>
          <w:tcPr>
            <w:tcW w:w="300" w:type="dxa"/>
            <w:vAlign w:val="bottom"/>
          </w:tcPr>
          <w:p>
            <w:pPr>
              <w:jc w:val="right"/>
              <w:ind w:right="160"/>
              <w:spacing w:after="0"/>
              <w:rPr>
                <w:sz w:val="20"/>
                <w:szCs w:val="20"/>
                <w:color w:val="auto"/>
              </w:rPr>
            </w:pPr>
            <w:r>
              <w:rPr>
                <w:rFonts w:ascii="Arial" w:cs="Arial" w:eastAsia="Arial" w:hAnsi="Arial"/>
                <w:sz w:val="16"/>
                <w:szCs w:val="16"/>
                <w:color w:val="auto"/>
                <w:w w:val="74"/>
              </w:rPr>
              <w:t>)</w:t>
            </w:r>
          </w:p>
        </w:tc>
        <w:tc>
          <w:tcPr>
            <w:tcW w:w="320" w:type="dxa"/>
            <w:vAlign w:val="bottom"/>
          </w:tcPr>
          <w:p>
            <w:pPr>
              <w:spacing w:after="0"/>
              <w:rPr>
                <w:sz w:val="20"/>
                <w:szCs w:val="20"/>
                <w:color w:val="auto"/>
              </w:rPr>
            </w:pPr>
          </w:p>
        </w:tc>
        <w:tc>
          <w:tcPr>
            <w:tcW w:w="22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u w:val="single" w:color="auto"/>
                <w:color w:val="auto"/>
                <w:w w:val="90"/>
              </w:rPr>
              <w:t>A</w:t>
            </w:r>
            <w:r>
              <w:rPr>
                <w:rFonts w:ascii="Arial" w:cs="Arial" w:eastAsia="Arial" w:hAnsi="Arial"/>
                <w:sz w:val="18"/>
                <w:szCs w:val="18"/>
                <w:color w:val="auto"/>
                <w:w w:val="90"/>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(1,048,634</w:t>
            </w:r>
          </w:p>
        </w:tc>
        <w:tc>
          <w:tcPr>
            <w:tcW w:w="320" w:type="dxa"/>
            <w:vAlign w:val="bottom"/>
          </w:tcPr>
          <w:p>
            <w:pPr>
              <w:jc w:val="right"/>
              <w:ind w:right="180"/>
              <w:spacing w:after="0"/>
              <w:rPr>
                <w:sz w:val="20"/>
                <w:szCs w:val="20"/>
                <w:color w:val="auto"/>
              </w:rPr>
            </w:pPr>
            <w:r>
              <w:rPr>
                <w:rFonts w:ascii="Arial" w:cs="Arial" w:eastAsia="Arial" w:hAnsi="Arial"/>
                <w:sz w:val="16"/>
                <w:szCs w:val="16"/>
                <w:color w:val="auto"/>
                <w:w w:val="74"/>
              </w:rPr>
              <w:t>)</w:t>
            </w:r>
          </w:p>
        </w:tc>
        <w:tc>
          <w:tcPr>
            <w:tcW w:w="280" w:type="dxa"/>
            <w:vAlign w:val="bottom"/>
          </w:tcPr>
          <w:p>
            <w:pPr>
              <w:spacing w:after="0"/>
              <w:rPr>
                <w:sz w:val="20"/>
                <w:szCs w:val="20"/>
                <w:color w:val="auto"/>
              </w:rPr>
            </w:pPr>
          </w:p>
        </w:tc>
        <w:tc>
          <w:tcPr>
            <w:tcW w:w="26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u w:val="single" w:color="auto"/>
                <w:color w:val="auto"/>
              </w:rPr>
              <w:t>A</w:t>
            </w:r>
            <w:r>
              <w:rPr>
                <w:rFonts w:ascii="Arial" w:cs="Arial" w:eastAsia="Arial" w:hAnsi="Arial"/>
                <w:sz w:val="18"/>
                <w:szCs w:val="18"/>
                <w:color w:val="auto"/>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(971,881</w:t>
            </w:r>
          </w:p>
        </w:tc>
        <w:tc>
          <w:tcPr>
            <w:tcW w:w="120" w:type="dxa"/>
            <w:vAlign w:val="bottom"/>
          </w:tcPr>
          <w:p>
            <w:pPr>
              <w:jc w:val="right"/>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6020" w:type="dxa"/>
            <w:vAlign w:val="bottom"/>
            <w:gridSpan w:val="2"/>
            <w:shd w:val="clear" w:color="auto" w:fill="CCEEFF"/>
          </w:tcPr>
          <w:p>
            <w:pPr>
              <w:spacing w:after="0" w:line="198" w:lineRule="exact"/>
              <w:rPr>
                <w:sz w:val="20"/>
                <w:szCs w:val="20"/>
                <w:color w:val="auto"/>
              </w:rPr>
            </w:pPr>
            <w:r>
              <w:rPr>
                <w:rFonts w:ascii="Arial" w:cs="Arial" w:eastAsia="Arial" w:hAnsi="Arial"/>
                <w:sz w:val="18"/>
                <w:szCs w:val="18"/>
                <w:b w:val="1"/>
                <w:bCs w:val="1"/>
                <w:color w:val="auto"/>
              </w:rPr>
              <w:t>(b)  Numerical reconciliation of income tax expense to prima facie tax</w:t>
            </w:r>
          </w:p>
        </w:tc>
        <w:tc>
          <w:tcPr>
            <w:tcW w:w="3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5760" w:type="dxa"/>
            <w:vAlign w:val="bottom"/>
            <w:shd w:val="clear" w:color="auto" w:fill="CCEEFF"/>
          </w:tcPr>
          <w:p>
            <w:pPr>
              <w:ind w:left="80"/>
              <w:spacing w:after="0"/>
              <w:rPr>
                <w:sz w:val="20"/>
                <w:szCs w:val="20"/>
                <w:color w:val="auto"/>
              </w:rPr>
            </w:pPr>
            <w:r>
              <w:rPr>
                <w:rFonts w:ascii="Arial" w:cs="Arial" w:eastAsia="Arial" w:hAnsi="Arial"/>
                <w:sz w:val="18"/>
                <w:szCs w:val="18"/>
                <w:b w:val="1"/>
                <w:bCs w:val="1"/>
                <w:color w:val="auto"/>
              </w:rPr>
              <w:t>payable</w:t>
            </w:r>
          </w:p>
        </w:tc>
        <w:tc>
          <w:tcPr>
            <w:tcW w:w="36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88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88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8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20" w:type="dxa"/>
            <w:vAlign w:val="bottom"/>
            <w:gridSpan w:val="2"/>
          </w:tcPr>
          <w:p>
            <w:pPr>
              <w:spacing w:after="0"/>
              <w:rPr>
                <w:sz w:val="20"/>
                <w:szCs w:val="20"/>
                <w:color w:val="auto"/>
              </w:rPr>
            </w:pPr>
            <w:r>
              <w:rPr>
                <w:rFonts w:ascii="Arial" w:cs="Arial" w:eastAsia="Arial" w:hAnsi="Arial"/>
                <w:sz w:val="18"/>
                <w:szCs w:val="18"/>
                <w:color w:val="auto"/>
              </w:rPr>
              <w:t>Loss from continuing operations before income tax expense</w:t>
            </w:r>
          </w:p>
        </w:tc>
        <w:tc>
          <w:tcPr>
            <w:tcW w:w="1760" w:type="dxa"/>
            <w:vAlign w:val="bottom"/>
            <w:gridSpan w:val="4"/>
          </w:tcPr>
          <w:p>
            <w:pPr>
              <w:ind w:left="360"/>
              <w:spacing w:after="0"/>
              <w:rPr>
                <w:sz w:val="20"/>
                <w:szCs w:val="20"/>
                <w:color w:val="auto"/>
              </w:rPr>
            </w:pPr>
            <w:r>
              <w:rPr>
                <w:rFonts w:ascii="Arial" w:cs="Arial" w:eastAsia="Arial" w:hAnsi="Arial"/>
                <w:sz w:val="18"/>
                <w:szCs w:val="18"/>
                <w:color w:val="auto"/>
              </w:rPr>
              <w:t>A$(17,904,569)</w:t>
            </w:r>
          </w:p>
        </w:tc>
        <w:tc>
          <w:tcPr>
            <w:tcW w:w="1740" w:type="dxa"/>
            <w:vAlign w:val="bottom"/>
            <w:gridSpan w:val="4"/>
          </w:tcPr>
          <w:p>
            <w:pPr>
              <w:ind w:left="300"/>
              <w:spacing w:after="0"/>
              <w:rPr>
                <w:sz w:val="20"/>
                <w:szCs w:val="20"/>
                <w:color w:val="auto"/>
              </w:rPr>
            </w:pPr>
            <w:r>
              <w:rPr>
                <w:rFonts w:ascii="Arial" w:cs="Arial" w:eastAsia="Arial" w:hAnsi="Arial"/>
                <w:sz w:val="18"/>
                <w:szCs w:val="18"/>
                <w:color w:val="auto"/>
              </w:rPr>
              <w:t>A$(12,559,261)</w:t>
            </w:r>
          </w:p>
        </w:tc>
        <w:tc>
          <w:tcPr>
            <w:tcW w:w="1500" w:type="dxa"/>
            <w:vAlign w:val="bottom"/>
            <w:gridSpan w:val="4"/>
          </w:tcPr>
          <w:p>
            <w:pPr>
              <w:ind w:left="280"/>
              <w:spacing w:after="0"/>
              <w:rPr>
                <w:sz w:val="20"/>
                <w:szCs w:val="20"/>
                <w:color w:val="auto"/>
              </w:rPr>
            </w:pPr>
            <w:r>
              <w:rPr>
                <w:rFonts w:ascii="Arial" w:cs="Arial" w:eastAsia="Arial" w:hAnsi="Arial"/>
                <w:sz w:val="18"/>
                <w:szCs w:val="18"/>
                <w:color w:val="auto"/>
                <w:w w:val="96"/>
              </w:rPr>
              <w:t>A$(11,243,843)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Profit for the period from discontinued operations</w:t>
            </w:r>
          </w:p>
        </w:tc>
        <w:tc>
          <w:tcPr>
            <w:tcW w:w="3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2,493,947</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57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220" w:type="dxa"/>
            <w:vAlign w:val="bottom"/>
            <w:tcBorders>
              <w:top w:val="single" w:sz="8" w:color="auto"/>
              <w:bottom w:val="single" w:sz="8" w:color="auto"/>
            </w:tcBorders>
          </w:tcPr>
          <w:p>
            <w:pPr>
              <w:spacing w:after="0"/>
              <w:rPr>
                <w:sz w:val="20"/>
                <w:szCs w:val="20"/>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84"/>
              </w:rPr>
              <w:t>(17,904,569)</w:t>
            </w:r>
          </w:p>
        </w:tc>
        <w:tc>
          <w:tcPr>
            <w:tcW w:w="3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20" w:type="dxa"/>
            <w:vAlign w:val="bottom"/>
            <w:tcBorders>
              <w:top w:val="single" w:sz="8" w:color="auto"/>
              <w:bottom w:val="single" w:sz="8" w:color="auto"/>
            </w:tcBorders>
          </w:tcPr>
          <w:p>
            <w:pPr>
              <w:spacing w:after="0"/>
              <w:rPr>
                <w:sz w:val="20"/>
                <w:szCs w:val="20"/>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84"/>
              </w:rPr>
              <w:t>(12,559,261)</w:t>
            </w:r>
          </w:p>
        </w:tc>
        <w:tc>
          <w:tcPr>
            <w:tcW w:w="3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60" w:type="dxa"/>
            <w:vAlign w:val="bottom"/>
            <w:tcBorders>
              <w:top w:val="single" w:sz="8" w:color="auto"/>
              <w:bottom w:val="single" w:sz="8" w:color="auto"/>
            </w:tcBorders>
          </w:tcPr>
          <w:p>
            <w:pPr>
              <w:spacing w:after="0"/>
              <w:rPr>
                <w:sz w:val="20"/>
                <w:szCs w:val="20"/>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89"/>
              </w:rPr>
              <w:t>(8,749,896)</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Tax at the Australian rate of 27.5% (2017: 27.5% and 2016: 30%)</w:t>
            </w:r>
          </w:p>
        </w:tc>
        <w:tc>
          <w:tcPr>
            <w:tcW w:w="58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9"/>
              </w:rPr>
              <w:t>(4,923,756)</w:t>
            </w:r>
          </w:p>
        </w:tc>
        <w:tc>
          <w:tcPr>
            <w:tcW w:w="54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99"/>
              </w:rPr>
              <w:t>(3,767,778)</w:t>
            </w:r>
          </w:p>
        </w:tc>
        <w:tc>
          <w:tcPr>
            <w:tcW w:w="54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5"/>
              </w:rPr>
              <w:t>(2,624,969)</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6020" w:type="dxa"/>
            <w:vAlign w:val="bottom"/>
            <w:gridSpan w:val="2"/>
          </w:tcPr>
          <w:p>
            <w:pPr>
              <w:spacing w:after="0" w:line="201" w:lineRule="exact"/>
              <w:rPr>
                <w:sz w:val="20"/>
                <w:szCs w:val="20"/>
                <w:color w:val="auto"/>
              </w:rPr>
            </w:pPr>
            <w:r>
              <w:rPr>
                <w:rFonts w:ascii="Arial" w:cs="Arial" w:eastAsia="Arial" w:hAnsi="Arial"/>
                <w:sz w:val="18"/>
                <w:szCs w:val="18"/>
                <w:color w:val="auto"/>
                <w:w w:val="96"/>
              </w:rPr>
              <w:t>Tax effect of amounts which are not deductible/(taxable) in calculating taxable</w:t>
            </w:r>
          </w:p>
        </w:tc>
        <w:tc>
          <w:tcPr>
            <w:tcW w:w="3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6020" w:type="dxa"/>
            <w:vAlign w:val="bottom"/>
            <w:gridSpan w:val="2"/>
          </w:tcPr>
          <w:p>
            <w:pPr>
              <w:ind w:left="160"/>
              <w:spacing w:after="0"/>
              <w:rPr>
                <w:sz w:val="20"/>
                <w:szCs w:val="20"/>
                <w:color w:val="auto"/>
              </w:rPr>
            </w:pPr>
            <w:r>
              <w:rPr>
                <w:rFonts w:ascii="Arial" w:cs="Arial" w:eastAsia="Arial" w:hAnsi="Arial"/>
                <w:sz w:val="18"/>
                <w:szCs w:val="18"/>
                <w:color w:val="auto"/>
              </w:rPr>
              <w:t>income:</w:t>
            </w:r>
          </w:p>
        </w:tc>
        <w:tc>
          <w:tcPr>
            <w:tcW w:w="3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Other</w:t>
            </w:r>
          </w:p>
        </w:tc>
        <w:tc>
          <w:tcPr>
            <w:tcW w:w="3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1,464,746</w:t>
            </w:r>
          </w:p>
        </w:tc>
        <w:tc>
          <w:tcPr>
            <w:tcW w:w="3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792,798</w:t>
            </w:r>
          </w:p>
        </w:tc>
        <w:tc>
          <w:tcPr>
            <w:tcW w:w="3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921,793</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20" w:type="dxa"/>
            <w:vAlign w:val="bottom"/>
            <w:gridSpan w:val="2"/>
          </w:tcPr>
          <w:p>
            <w:pPr>
              <w:spacing w:after="0"/>
              <w:rPr>
                <w:sz w:val="20"/>
                <w:szCs w:val="20"/>
                <w:color w:val="auto"/>
              </w:rPr>
            </w:pPr>
            <w:r>
              <w:rPr>
                <w:rFonts w:ascii="Arial" w:cs="Arial" w:eastAsia="Arial" w:hAnsi="Arial"/>
                <w:sz w:val="18"/>
                <w:szCs w:val="18"/>
                <w:color w:val="auto"/>
              </w:rPr>
              <w:t>Tax losses not brought to account</w:t>
            </w:r>
          </w:p>
        </w:tc>
        <w:tc>
          <w:tcPr>
            <w:tcW w:w="3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3,537,629</w:t>
            </w:r>
          </w:p>
        </w:tc>
        <w:tc>
          <w:tcPr>
            <w:tcW w:w="3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2,974,980</w:t>
            </w:r>
          </w:p>
        </w:tc>
        <w:tc>
          <w:tcPr>
            <w:tcW w:w="3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1,703,176</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Research and development tax offset</w:t>
            </w:r>
          </w:p>
        </w:tc>
        <w:tc>
          <w:tcPr>
            <w:tcW w:w="3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9"/>
              </w:rPr>
              <w:t>(1,420,751)</w:t>
            </w:r>
          </w:p>
        </w:tc>
        <w:tc>
          <w:tcPr>
            <w:tcW w:w="3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99"/>
              </w:rPr>
              <w:t>(1,048,634)</w:t>
            </w:r>
          </w:p>
        </w:tc>
        <w:tc>
          <w:tcPr>
            <w:tcW w:w="2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(971,881)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20" w:type="dxa"/>
            <w:vAlign w:val="bottom"/>
            <w:gridSpan w:val="2"/>
          </w:tcPr>
          <w:p>
            <w:pPr>
              <w:spacing w:after="0"/>
              <w:rPr>
                <w:sz w:val="20"/>
                <w:szCs w:val="20"/>
                <w:color w:val="auto"/>
              </w:rPr>
            </w:pPr>
            <w:r>
              <w:rPr>
                <w:rFonts w:ascii="Arial" w:cs="Arial" w:eastAsia="Arial" w:hAnsi="Arial"/>
                <w:sz w:val="18"/>
                <w:szCs w:val="18"/>
                <w:color w:val="auto"/>
              </w:rPr>
              <w:t>Adjustment for prior year research and development tax offset</w:t>
            </w:r>
          </w:p>
        </w:tc>
        <w:tc>
          <w:tcPr>
            <w:tcW w:w="3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34,955</w:t>
            </w:r>
          </w:p>
        </w:tc>
        <w:tc>
          <w:tcPr>
            <w:tcW w:w="3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6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Adjustment due to change in tax rate</w:t>
            </w:r>
          </w:p>
        </w:tc>
        <w:tc>
          <w:tcPr>
            <w:tcW w:w="3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66,341</w:t>
            </w:r>
          </w:p>
        </w:tc>
        <w:tc>
          <w:tcPr>
            <w:tcW w:w="3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57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220" w:type="dxa"/>
            <w:vAlign w:val="bottom"/>
            <w:tcBorders>
              <w:top w:val="single" w:sz="8" w:color="auto"/>
              <w:bottom w:val="single" w:sz="8" w:color="auto"/>
            </w:tcBorders>
          </w:tcPr>
          <w:p>
            <w:pPr>
              <w:spacing w:after="0"/>
              <w:rPr>
                <w:sz w:val="20"/>
                <w:szCs w:val="20"/>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3"/>
              </w:rPr>
              <w:t>(1,240,836)</w:t>
            </w:r>
          </w:p>
        </w:tc>
        <w:tc>
          <w:tcPr>
            <w:tcW w:w="3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20" w:type="dxa"/>
            <w:vAlign w:val="bottom"/>
            <w:tcBorders>
              <w:top w:val="single" w:sz="8" w:color="auto"/>
              <w:bottom w:val="single" w:sz="8" w:color="auto"/>
            </w:tcBorders>
          </w:tcPr>
          <w:p>
            <w:pPr>
              <w:spacing w:after="0"/>
              <w:rPr>
                <w:sz w:val="20"/>
                <w:szCs w:val="20"/>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3"/>
              </w:rPr>
              <w:t>(1,048,634)</w:t>
            </w:r>
          </w:p>
        </w:tc>
        <w:tc>
          <w:tcPr>
            <w:tcW w:w="3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60" w:type="dxa"/>
            <w:vAlign w:val="bottom"/>
            <w:tcBorders>
              <w:top w:val="single" w:sz="8" w:color="auto"/>
              <w:bottom w:val="single" w:sz="8" w:color="auto"/>
            </w:tcBorders>
          </w:tcPr>
          <w:p>
            <w:pPr>
              <w:spacing w:after="0"/>
              <w:rPr>
                <w:sz w:val="20"/>
                <w:szCs w:val="20"/>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(971,881)</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Movement in deferred tax asset</w:t>
            </w:r>
          </w:p>
        </w:tc>
        <w:tc>
          <w:tcPr>
            <w:tcW w:w="3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41,629</w:t>
            </w:r>
          </w:p>
        </w:tc>
        <w:tc>
          <w:tcPr>
            <w:tcW w:w="3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451,777</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6020" w:type="dxa"/>
            <w:vAlign w:val="bottom"/>
            <w:gridSpan w:val="2"/>
          </w:tcPr>
          <w:p>
            <w:pPr>
              <w:spacing w:after="0" w:line="201" w:lineRule="exact"/>
              <w:rPr>
                <w:sz w:val="20"/>
                <w:szCs w:val="20"/>
                <w:color w:val="auto"/>
              </w:rPr>
            </w:pPr>
            <w:r>
              <w:rPr>
                <w:rFonts w:ascii="Arial" w:cs="Arial" w:eastAsia="Arial" w:hAnsi="Arial"/>
                <w:sz w:val="18"/>
                <w:szCs w:val="18"/>
                <w:color w:val="auto"/>
              </w:rPr>
              <w:t>Deferred tax assets not brought to account as realization is not considered</w:t>
            </w:r>
          </w:p>
        </w:tc>
        <w:tc>
          <w:tcPr>
            <w:tcW w:w="3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6020" w:type="dxa"/>
            <w:vAlign w:val="bottom"/>
            <w:gridSpan w:val="2"/>
          </w:tcPr>
          <w:p>
            <w:pPr>
              <w:ind w:left="160"/>
              <w:spacing w:after="0"/>
              <w:rPr>
                <w:sz w:val="20"/>
                <w:szCs w:val="20"/>
                <w:color w:val="auto"/>
              </w:rPr>
            </w:pPr>
            <w:r>
              <w:rPr>
                <w:rFonts w:ascii="Arial" w:cs="Arial" w:eastAsia="Arial" w:hAnsi="Arial"/>
                <w:sz w:val="18"/>
                <w:szCs w:val="18"/>
                <w:color w:val="auto"/>
              </w:rPr>
              <w:t>probable</w:t>
            </w:r>
          </w:p>
        </w:tc>
        <w:tc>
          <w:tcPr>
            <w:tcW w:w="3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80" w:type="dxa"/>
            <w:vAlign w:val="bottom"/>
            <w:gridSpan w:val="2"/>
          </w:tcPr>
          <w:p>
            <w:pPr>
              <w:jc w:val="right"/>
              <w:ind w:right="160"/>
              <w:spacing w:after="0"/>
              <w:rPr>
                <w:sz w:val="20"/>
                <w:szCs w:val="20"/>
                <w:color w:val="auto"/>
              </w:rPr>
            </w:pPr>
            <w:r>
              <w:rPr>
                <w:rFonts w:ascii="Arial" w:cs="Arial" w:eastAsia="Arial" w:hAnsi="Arial"/>
                <w:sz w:val="18"/>
                <w:szCs w:val="18"/>
                <w:color w:val="auto"/>
              </w:rPr>
              <w:t>(144,960)</w:t>
            </w:r>
          </w:p>
        </w:tc>
        <w:tc>
          <w:tcPr>
            <w:tcW w:w="3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00" w:type="dxa"/>
            <w:vAlign w:val="bottom"/>
            <w:gridSpan w:val="2"/>
          </w:tcPr>
          <w:p>
            <w:pPr>
              <w:jc w:val="right"/>
              <w:ind w:right="180"/>
              <w:spacing w:after="0"/>
              <w:rPr>
                <w:sz w:val="20"/>
                <w:szCs w:val="20"/>
                <w:color w:val="auto"/>
              </w:rPr>
            </w:pPr>
            <w:r>
              <w:rPr>
                <w:rFonts w:ascii="Arial" w:cs="Arial" w:eastAsia="Arial" w:hAnsi="Arial"/>
                <w:sz w:val="18"/>
                <w:szCs w:val="18"/>
                <w:color w:val="auto"/>
              </w:rPr>
              <w:t>(41,629)</w:t>
            </w:r>
          </w:p>
        </w:tc>
        <w:tc>
          <w:tcPr>
            <w:tcW w:w="2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60" w:type="dxa"/>
            <w:vAlign w:val="bottom"/>
            <w:gridSpan w:val="2"/>
          </w:tcPr>
          <w:p>
            <w:pPr>
              <w:jc w:val="right"/>
              <w:spacing w:after="0"/>
              <w:rPr>
                <w:sz w:val="20"/>
                <w:szCs w:val="20"/>
                <w:color w:val="auto"/>
              </w:rPr>
            </w:pPr>
            <w:r>
              <w:rPr>
                <w:rFonts w:ascii="Arial" w:cs="Arial" w:eastAsia="Arial" w:hAnsi="Arial"/>
                <w:sz w:val="18"/>
                <w:szCs w:val="18"/>
                <w:color w:val="auto"/>
              </w:rPr>
              <w:t>(451,777)</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260" w:type="dxa"/>
            <w:vAlign w:val="bottom"/>
          </w:tcPr>
          <w:p>
            <w:pPr>
              <w:spacing w:after="0"/>
              <w:rPr>
                <w:sz w:val="2"/>
                <w:szCs w:val="2"/>
                <w:color w:val="auto"/>
              </w:rPr>
            </w:pPr>
          </w:p>
        </w:tc>
        <w:tc>
          <w:tcPr>
            <w:tcW w:w="5760" w:type="dxa"/>
            <w:vAlign w:val="bottom"/>
          </w:tcPr>
          <w:p>
            <w:pPr>
              <w:spacing w:after="0"/>
              <w:rPr>
                <w:sz w:val="2"/>
                <w:szCs w:val="2"/>
                <w:color w:val="auto"/>
              </w:rPr>
            </w:pPr>
          </w:p>
        </w:tc>
        <w:tc>
          <w:tcPr>
            <w:tcW w:w="36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32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280" w:type="dxa"/>
            <w:vAlign w:val="bottom"/>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602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Income tax benefit</w:t>
            </w:r>
          </w:p>
        </w:tc>
        <w:tc>
          <w:tcPr>
            <w:tcW w:w="580" w:type="dxa"/>
            <w:vAlign w:val="bottom"/>
            <w:gridSpan w:val="2"/>
            <w:shd w:val="clear" w:color="auto" w:fill="CCEEFF"/>
          </w:tcPr>
          <w:p>
            <w:pPr>
              <w:ind w:left="360"/>
              <w:spacing w:after="0"/>
              <w:rPr>
                <w:sz w:val="20"/>
                <w:szCs w:val="20"/>
                <w:color w:val="auto"/>
              </w:rPr>
            </w:pPr>
            <w:r>
              <w:rPr>
                <w:rFonts w:ascii="Arial" w:cs="Arial" w:eastAsia="Arial" w:hAnsi="Arial"/>
                <w:sz w:val="18"/>
                <w:szCs w:val="18"/>
                <w:b w:val="1"/>
                <w:bCs w:val="1"/>
                <w:u w:val="single" w:color="auto"/>
                <w:color w:val="auto"/>
                <w:w w:val="86"/>
              </w:rPr>
              <w:t>A</w:t>
            </w:r>
            <w:r>
              <w:rPr>
                <w:rFonts w:ascii="Arial" w:cs="Arial" w:eastAsia="Arial" w:hAnsi="Arial"/>
                <w:sz w:val="18"/>
                <w:szCs w:val="18"/>
                <w:b w:val="1"/>
                <w:bCs w:val="1"/>
                <w:color w:val="auto"/>
                <w:w w:val="86"/>
              </w:rPr>
              <w:t>$</w:t>
            </w:r>
          </w:p>
        </w:tc>
        <w:tc>
          <w:tcPr>
            <w:tcW w:w="11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b w:val="1"/>
                <w:bCs w:val="1"/>
                <w:color w:val="auto"/>
                <w:w w:val="99"/>
              </w:rPr>
              <w:t>(1,385,796)</w:t>
            </w:r>
          </w:p>
        </w:tc>
        <w:tc>
          <w:tcPr>
            <w:tcW w:w="540" w:type="dxa"/>
            <w:vAlign w:val="bottom"/>
            <w:gridSpan w:val="2"/>
            <w:shd w:val="clear" w:color="auto" w:fill="CCEEFF"/>
          </w:tcPr>
          <w:p>
            <w:pPr>
              <w:ind w:left="300"/>
              <w:spacing w:after="0"/>
              <w:rPr>
                <w:sz w:val="20"/>
                <w:szCs w:val="20"/>
                <w:color w:val="auto"/>
              </w:rPr>
            </w:pPr>
            <w:r>
              <w:rPr>
                <w:rFonts w:ascii="Arial" w:cs="Arial" w:eastAsia="Arial" w:hAnsi="Arial"/>
                <w:sz w:val="18"/>
                <w:szCs w:val="18"/>
                <w:b w:val="1"/>
                <w:bCs w:val="1"/>
                <w:u w:val="single" w:color="auto"/>
                <w:color w:val="auto"/>
                <w:w w:val="95"/>
              </w:rPr>
              <w:t>A</w:t>
            </w:r>
            <w:r>
              <w:rPr>
                <w:rFonts w:ascii="Arial" w:cs="Arial" w:eastAsia="Arial" w:hAnsi="Arial"/>
                <w:sz w:val="18"/>
                <w:szCs w:val="18"/>
                <w:b w:val="1"/>
                <w:bCs w:val="1"/>
                <w:color w:val="auto"/>
                <w:w w:val="95"/>
              </w:rPr>
              <w:t>$</w:t>
            </w:r>
          </w:p>
        </w:tc>
        <w:tc>
          <w:tcPr>
            <w:tcW w:w="12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b w:val="1"/>
                <w:bCs w:val="1"/>
                <w:color w:val="auto"/>
                <w:w w:val="99"/>
              </w:rPr>
              <w:t>(1,048,634)</w:t>
            </w:r>
          </w:p>
        </w:tc>
        <w:tc>
          <w:tcPr>
            <w:tcW w:w="540" w:type="dxa"/>
            <w:vAlign w:val="bottom"/>
            <w:gridSpan w:val="2"/>
            <w:shd w:val="clear" w:color="auto" w:fill="CCEEFF"/>
          </w:tcPr>
          <w:p>
            <w:pPr>
              <w:ind w:left="280"/>
              <w:spacing w:after="0"/>
              <w:rPr>
                <w:sz w:val="20"/>
                <w:szCs w:val="20"/>
                <w:color w:val="auto"/>
              </w:rPr>
            </w:pPr>
            <w:r>
              <w:rPr>
                <w:rFonts w:ascii="Arial" w:cs="Arial" w:eastAsia="Arial" w:hAnsi="Arial"/>
                <w:sz w:val="18"/>
                <w:szCs w:val="18"/>
                <w:b w:val="1"/>
                <w:bCs w:val="1"/>
                <w:u w:val="single" w:color="auto"/>
                <w:color w:val="auto"/>
              </w:rPr>
              <w:t>A</w:t>
            </w:r>
            <w:r>
              <w:rPr>
                <w:rFonts w:ascii="Arial" w:cs="Arial" w:eastAsia="Arial" w:hAnsi="Arial"/>
                <w:sz w:val="18"/>
                <w:szCs w:val="18"/>
                <w:b w:val="1"/>
                <w:bCs w:val="1"/>
                <w:color w:val="auto"/>
              </w:rPr>
              <w:t>$</w:t>
            </w:r>
          </w:p>
        </w:tc>
        <w:tc>
          <w:tcPr>
            <w:tcW w:w="96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(971,881)</w:t>
            </w:r>
          </w:p>
        </w:tc>
        <w:tc>
          <w:tcPr>
            <w:tcW w:w="0" w:type="dxa"/>
            <w:vAlign w:val="bottom"/>
          </w:tcPr>
          <w:p>
            <w:pPr>
              <w:spacing w:after="0"/>
              <w:rPr>
                <w:sz w:val="1"/>
                <w:szCs w:val="1"/>
                <w:color w:val="auto"/>
              </w:rPr>
            </w:pPr>
          </w:p>
        </w:tc>
      </w:tr>
      <w:tr>
        <w:trPr>
          <w:trHeight w:val="372"/>
        </w:trPr>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760" w:type="dxa"/>
            <w:vAlign w:val="bottom"/>
          </w:tcPr>
          <w:p>
            <w:pPr>
              <w:ind w:left="5060"/>
              <w:spacing w:after="0"/>
              <w:rPr>
                <w:sz w:val="20"/>
                <w:szCs w:val="20"/>
                <w:color w:val="auto"/>
              </w:rPr>
            </w:pPr>
            <w:r>
              <w:rPr>
                <w:rFonts w:ascii="Arial" w:cs="Arial" w:eastAsia="Arial" w:hAnsi="Arial"/>
                <w:sz w:val="18"/>
                <w:szCs w:val="18"/>
                <w:color w:val="auto"/>
              </w:rPr>
              <w:t>F-26</w:t>
            </w:r>
          </w:p>
        </w:tc>
        <w:tc>
          <w:tcPr>
            <w:tcW w:w="360" w:type="dxa"/>
            <w:vAlign w:val="bottom"/>
          </w:tcPr>
          <w:p>
            <w:pPr>
              <w:spacing w:after="0"/>
              <w:rPr>
                <w:sz w:val="24"/>
                <w:szCs w:val="24"/>
                <w:color w:val="auto"/>
              </w:rPr>
            </w:pPr>
          </w:p>
        </w:tc>
        <w:tc>
          <w:tcPr>
            <w:tcW w:w="220" w:type="dxa"/>
            <w:vAlign w:val="bottom"/>
            <w:tcBorders>
              <w:top w:val="single" w:sz="8" w:color="auto"/>
            </w:tcBorders>
          </w:tcPr>
          <w:p>
            <w:pPr>
              <w:spacing w:after="0"/>
              <w:rPr>
                <w:sz w:val="24"/>
                <w:szCs w:val="24"/>
                <w:color w:val="auto"/>
              </w:rPr>
            </w:pPr>
          </w:p>
        </w:tc>
        <w:tc>
          <w:tcPr>
            <w:tcW w:w="880" w:type="dxa"/>
            <w:vAlign w:val="bottom"/>
            <w:tcBorders>
              <w:top w:val="single" w:sz="8" w:color="auto"/>
            </w:tcBorders>
          </w:tcPr>
          <w:p>
            <w:pPr>
              <w:spacing w:after="0"/>
              <w:rPr>
                <w:sz w:val="24"/>
                <w:szCs w:val="24"/>
                <w:color w:val="auto"/>
              </w:rPr>
            </w:pPr>
          </w:p>
        </w:tc>
        <w:tc>
          <w:tcPr>
            <w:tcW w:w="3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20" w:type="dxa"/>
            <w:vAlign w:val="bottom"/>
            <w:tcBorders>
              <w:top w:val="single" w:sz="8" w:color="auto"/>
            </w:tcBorders>
          </w:tcPr>
          <w:p>
            <w:pPr>
              <w:spacing w:after="0"/>
              <w:rPr>
                <w:sz w:val="24"/>
                <w:szCs w:val="24"/>
                <w:color w:val="auto"/>
              </w:rPr>
            </w:pPr>
          </w:p>
        </w:tc>
        <w:tc>
          <w:tcPr>
            <w:tcW w:w="880" w:type="dxa"/>
            <w:vAlign w:val="bottom"/>
            <w:tcBorders>
              <w:top w:val="single" w:sz="8" w:color="auto"/>
            </w:tcBorders>
          </w:tcPr>
          <w:p>
            <w:pPr>
              <w:spacing w:after="0"/>
              <w:rPr>
                <w:sz w:val="24"/>
                <w:szCs w:val="24"/>
                <w:color w:val="auto"/>
              </w:rPr>
            </w:pPr>
          </w:p>
        </w:tc>
        <w:tc>
          <w:tcPr>
            <w:tcW w:w="3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60" w:type="dxa"/>
            <w:vAlign w:val="bottom"/>
            <w:tcBorders>
              <w:top w:val="single" w:sz="8" w:color="auto"/>
            </w:tcBorders>
          </w:tcPr>
          <w:p>
            <w:pPr>
              <w:spacing w:after="0"/>
              <w:rPr>
                <w:sz w:val="24"/>
                <w:szCs w:val="24"/>
                <w:color w:val="auto"/>
              </w:rPr>
            </w:pPr>
          </w:p>
        </w:tc>
        <w:tc>
          <w:tcPr>
            <w:tcW w:w="84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240" w:top="459" w:right="419" w:bottom="1440" w:gutter="0" w:footer="0" w:header="0"/>
        </w:sectPr>
      </w:pPr>
    </w:p>
    <w:bookmarkStart w:id="125" w:name="page126"/>
    <w:bookmarkEnd w:id="12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7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AVITA MEDICAL LIMITED</w:t>
      </w:r>
    </w:p>
    <w:p>
      <w:pPr>
        <w:spacing w:after="0" w:line="27"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9"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(IN AUSTRALIAN DOLLARS)</w:t>
      </w:r>
    </w:p>
    <w:p>
      <w:pPr>
        <w:spacing w:after="0" w:line="234" w:lineRule="exact"/>
        <w:rPr>
          <w:sz w:val="20"/>
          <w:szCs w:val="20"/>
          <w:color w:val="auto"/>
        </w:rPr>
      </w:pPr>
    </w:p>
    <w:tbl>
      <w:tblPr>
        <w:tblLayout w:type="fixed"/>
        <w:tblInd w:w="200" w:type="dxa"/>
        <w:tblCellMar>
          <w:top w:w="0" w:type="dxa"/>
          <w:left w:w="0" w:type="dxa"/>
          <w:bottom w:w="0" w:type="dxa"/>
          <w:right w:w="0" w:type="dxa"/>
        </w:tblCellMar>
      </w:tblPr>
      <w:tr>
        <w:trPr>
          <w:trHeight w:val="234"/>
        </w:trPr>
        <w:tc>
          <w:tcPr>
            <w:tcW w:w="160" w:type="dxa"/>
            <w:vAlign w:val="bottom"/>
            <w:gridSpan w:val="2"/>
          </w:tcPr>
          <w:p>
            <w:pPr>
              <w:spacing w:after="0"/>
              <w:rPr>
                <w:sz w:val="20"/>
                <w:szCs w:val="20"/>
                <w:color w:val="auto"/>
              </w:rPr>
            </w:pPr>
            <w:r>
              <w:rPr>
                <w:rFonts w:ascii="Arial" w:cs="Arial" w:eastAsia="Arial" w:hAnsi="Arial"/>
                <w:sz w:val="18"/>
                <w:szCs w:val="18"/>
                <w:b w:val="1"/>
                <w:bCs w:val="1"/>
                <w:color w:val="auto"/>
                <w:w w:val="92"/>
              </w:rPr>
              <w:t>6.</w:t>
            </w:r>
          </w:p>
        </w:tc>
        <w:tc>
          <w:tcPr>
            <w:tcW w:w="4320" w:type="dxa"/>
            <w:vAlign w:val="bottom"/>
          </w:tcPr>
          <w:p>
            <w:pPr>
              <w:ind w:left="280"/>
              <w:spacing w:after="0"/>
              <w:rPr>
                <w:sz w:val="20"/>
                <w:szCs w:val="20"/>
                <w:color w:val="auto"/>
              </w:rPr>
            </w:pPr>
            <w:r>
              <w:rPr>
                <w:rFonts w:ascii="Arial" w:cs="Arial" w:eastAsia="Arial" w:hAnsi="Arial"/>
                <w:sz w:val="18"/>
                <w:szCs w:val="18"/>
                <w:b w:val="1"/>
                <w:bCs w:val="1"/>
                <w:color w:val="auto"/>
              </w:rPr>
              <w:t>INCOME TAX (CONTINUED)</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43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580" w:type="dxa"/>
            <w:vAlign w:val="bottom"/>
            <w:gridSpan w:val="2"/>
            <w:vMerge w:val="restart"/>
          </w:tcPr>
          <w:p>
            <w:pPr>
              <w:jc w:val="right"/>
              <w:ind w:right="74"/>
              <w:spacing w:after="0"/>
              <w:rPr>
                <w:sz w:val="20"/>
                <w:szCs w:val="20"/>
                <w:color w:val="auto"/>
              </w:rPr>
            </w:pPr>
            <w:r>
              <w:rPr>
                <w:rFonts w:ascii="Arial" w:cs="Arial" w:eastAsia="Arial" w:hAnsi="Arial"/>
                <w:sz w:val="14"/>
                <w:szCs w:val="14"/>
                <w:b w:val="1"/>
                <w:bCs w:val="1"/>
                <w:color w:val="auto"/>
              </w:rPr>
              <w:t>2018</w:t>
            </w:r>
          </w:p>
        </w:tc>
        <w:tc>
          <w:tcPr>
            <w:tcW w:w="22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40" w:type="dxa"/>
            <w:vAlign w:val="bottom"/>
            <w:gridSpan w:val="6"/>
          </w:tcPr>
          <w:p>
            <w:pPr>
              <w:ind w:left="60"/>
              <w:spacing w:after="0"/>
              <w:rPr>
                <w:sz w:val="20"/>
                <w:szCs w:val="20"/>
                <w:color w:val="auto"/>
              </w:rPr>
            </w:pPr>
            <w:r>
              <w:rPr>
                <w:rFonts w:ascii="Arial" w:cs="Arial" w:eastAsia="Arial" w:hAnsi="Arial"/>
                <w:sz w:val="14"/>
                <w:szCs w:val="14"/>
                <w:b w:val="1"/>
                <w:bCs w:val="1"/>
                <w:color w:val="auto"/>
              </w:rPr>
              <w:t>As of June 30,</w:t>
            </w:r>
          </w:p>
        </w:tc>
        <w:tc>
          <w:tcPr>
            <w:tcW w:w="2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660" w:type="dxa"/>
            <w:vAlign w:val="bottom"/>
            <w:vMerge w:val="restart"/>
          </w:tcPr>
          <w:p>
            <w:pPr>
              <w:jc w:val="right"/>
              <w:ind w:right="212"/>
              <w:spacing w:after="0"/>
              <w:rPr>
                <w:sz w:val="20"/>
                <w:szCs w:val="20"/>
                <w:color w:val="auto"/>
              </w:rPr>
            </w:pPr>
            <w:r>
              <w:rPr>
                <w:rFonts w:ascii="Arial" w:cs="Arial" w:eastAsia="Arial" w:hAnsi="Arial"/>
                <w:sz w:val="14"/>
                <w:szCs w:val="14"/>
                <w:b w:val="1"/>
                <w:bCs w:val="1"/>
                <w:color w:val="auto"/>
              </w:rPr>
              <w:t>2016</w:t>
            </w:r>
          </w:p>
        </w:tc>
        <w:tc>
          <w:tcPr>
            <w:tcW w:w="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140" w:type="dxa"/>
            <w:vAlign w:val="bottom"/>
            <w:tcBorders>
              <w:bottom w:val="single" w:sz="8" w:color="CCEEFF"/>
            </w:tcBorders>
          </w:tcPr>
          <w:p>
            <w:pPr>
              <w:spacing w:after="0"/>
              <w:rPr>
                <w:sz w:val="14"/>
                <w:szCs w:val="14"/>
                <w:color w:val="auto"/>
              </w:rPr>
            </w:pPr>
          </w:p>
        </w:tc>
        <w:tc>
          <w:tcPr>
            <w:tcW w:w="4320" w:type="dxa"/>
            <w:vAlign w:val="bottom"/>
            <w:tcBorders>
              <w:bottom w:val="single" w:sz="8" w:color="CCEEFF"/>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240" w:type="dxa"/>
            <w:vAlign w:val="bottom"/>
            <w:tcBorders>
              <w:bottom w:val="single" w:sz="8" w:color="CCEEFF"/>
            </w:tcBorders>
          </w:tcPr>
          <w:p>
            <w:pPr>
              <w:spacing w:after="0"/>
              <w:rPr>
                <w:sz w:val="14"/>
                <w:szCs w:val="14"/>
                <w:color w:val="auto"/>
              </w:rPr>
            </w:pPr>
          </w:p>
        </w:tc>
        <w:tc>
          <w:tcPr>
            <w:tcW w:w="600" w:type="dxa"/>
            <w:vAlign w:val="bottom"/>
            <w:tcBorders>
              <w:bottom w:val="single" w:sz="8" w:color="CCEEFF"/>
            </w:tcBorders>
          </w:tcPr>
          <w:p>
            <w:pPr>
              <w:spacing w:after="0"/>
              <w:rPr>
                <w:sz w:val="14"/>
                <w:szCs w:val="14"/>
                <w:color w:val="auto"/>
              </w:rPr>
            </w:pPr>
          </w:p>
        </w:tc>
        <w:tc>
          <w:tcPr>
            <w:tcW w:w="400" w:type="dxa"/>
            <w:vAlign w:val="bottom"/>
            <w:tcBorders>
              <w:bottom w:val="single" w:sz="8" w:color="CCEEFF"/>
            </w:tcBorders>
          </w:tcPr>
          <w:p>
            <w:pPr>
              <w:spacing w:after="0"/>
              <w:rPr>
                <w:sz w:val="14"/>
                <w:szCs w:val="14"/>
                <w:color w:val="auto"/>
              </w:rPr>
            </w:pPr>
          </w:p>
        </w:tc>
        <w:tc>
          <w:tcPr>
            <w:tcW w:w="140" w:type="dxa"/>
            <w:vAlign w:val="bottom"/>
            <w:tcBorders>
              <w:bottom w:val="single" w:sz="8" w:color="CCEEFF"/>
            </w:tcBorders>
          </w:tcPr>
          <w:p>
            <w:pPr>
              <w:spacing w:after="0"/>
              <w:rPr>
                <w:sz w:val="14"/>
                <w:szCs w:val="14"/>
                <w:color w:val="auto"/>
              </w:rPr>
            </w:pPr>
          </w:p>
        </w:tc>
        <w:tc>
          <w:tcPr>
            <w:tcW w:w="72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gridSpan w:val="2"/>
            <w:vMerge w:val="continue"/>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520" w:type="dxa"/>
            <w:vAlign w:val="bottom"/>
            <w:tcBorders>
              <w:bottom w:val="single" w:sz="8" w:color="CCEEFF"/>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140" w:type="dxa"/>
            <w:vAlign w:val="bottom"/>
            <w:tcBorders>
              <w:bottom w:val="single" w:sz="8" w:color="CCEEFF"/>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gridSpan w:val="2"/>
          </w:tcPr>
          <w:p>
            <w:pPr>
              <w:ind w:left="60"/>
              <w:spacing w:after="0"/>
              <w:rPr>
                <w:sz w:val="20"/>
                <w:szCs w:val="20"/>
                <w:color w:val="auto"/>
              </w:rPr>
            </w:pPr>
            <w:r>
              <w:rPr>
                <w:rFonts w:ascii="Arial" w:cs="Arial" w:eastAsia="Arial" w:hAnsi="Arial"/>
                <w:sz w:val="14"/>
                <w:szCs w:val="14"/>
                <w:b w:val="1"/>
                <w:bCs w:val="1"/>
                <w:color w:val="auto"/>
              </w:rPr>
              <w:t>2017</w:t>
            </w:r>
          </w:p>
        </w:tc>
        <w:tc>
          <w:tcPr>
            <w:tcW w:w="140" w:type="dxa"/>
            <w:vAlign w:val="bottom"/>
            <w:tcBorders>
              <w:bottom w:val="single" w:sz="8" w:color="CCEEFF"/>
            </w:tcBorders>
          </w:tcPr>
          <w:p>
            <w:pPr>
              <w:spacing w:after="0"/>
              <w:rPr>
                <w:sz w:val="14"/>
                <w:szCs w:val="14"/>
                <w:color w:val="auto"/>
              </w:rPr>
            </w:pPr>
          </w:p>
        </w:tc>
        <w:tc>
          <w:tcPr>
            <w:tcW w:w="300" w:type="dxa"/>
            <w:vAlign w:val="bottom"/>
            <w:tcBorders>
              <w:bottom w:val="single" w:sz="8" w:color="CCEEFF"/>
            </w:tcBorders>
          </w:tcPr>
          <w:p>
            <w:pPr>
              <w:spacing w:after="0"/>
              <w:rPr>
                <w:sz w:val="14"/>
                <w:szCs w:val="14"/>
                <w:color w:val="auto"/>
              </w:rPr>
            </w:pPr>
          </w:p>
        </w:tc>
        <w:tc>
          <w:tcPr>
            <w:tcW w:w="240" w:type="dxa"/>
            <w:vAlign w:val="bottom"/>
            <w:tcBorders>
              <w:bottom w:val="single" w:sz="8" w:color="CCEEFF"/>
            </w:tcBorders>
          </w:tcPr>
          <w:p>
            <w:pPr>
              <w:spacing w:after="0"/>
              <w:rPr>
                <w:sz w:val="14"/>
                <w:szCs w:val="14"/>
                <w:color w:val="auto"/>
              </w:rPr>
            </w:pPr>
          </w:p>
        </w:tc>
        <w:tc>
          <w:tcPr>
            <w:tcW w:w="80" w:type="dxa"/>
            <w:vAlign w:val="bottom"/>
            <w:tcBorders>
              <w:bottom w:val="single" w:sz="8" w:color="CCEEFF"/>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vMerge w:val="continue"/>
          </w:tcPr>
          <w:p>
            <w:pPr>
              <w:spacing w:after="0"/>
              <w:rPr>
                <w:sz w:val="14"/>
                <w:szCs w:val="14"/>
                <w:color w:val="auto"/>
              </w:rPr>
            </w:pPr>
          </w:p>
        </w:tc>
        <w:tc>
          <w:tcPr>
            <w:tcW w:w="12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4460" w:type="dxa"/>
            <w:vAlign w:val="bottom"/>
            <w:gridSpan w:val="2"/>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(c)  Non-current assets – Deferred tax assets</w:t>
            </w: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20" w:type="dxa"/>
            <w:vAlign w:val="bottom"/>
            <w:tcBorders>
              <w:right w:val="single" w:sz="8" w:color="CCEEFF"/>
            </w:tcBorders>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60" w:type="dxa"/>
            <w:vAlign w:val="bottom"/>
            <w:gridSpan w:val="2"/>
          </w:tcPr>
          <w:p>
            <w:pPr>
              <w:spacing w:after="0"/>
              <w:rPr>
                <w:sz w:val="20"/>
                <w:szCs w:val="20"/>
                <w:color w:val="auto"/>
              </w:rPr>
            </w:pPr>
            <w:r>
              <w:rPr>
                <w:rFonts w:ascii="Arial" w:cs="Arial" w:eastAsia="Arial" w:hAnsi="Arial"/>
                <w:sz w:val="18"/>
                <w:szCs w:val="18"/>
                <w:color w:val="auto"/>
                <w:w w:val="91"/>
              </w:rPr>
              <w:t>The balance comprises temporary differences attributable to:</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Provisions</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A$</w:t>
            </w:r>
          </w:p>
        </w:tc>
        <w:tc>
          <w:tcPr>
            <w:tcW w:w="8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122,243</w:t>
            </w: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w w:val="99"/>
              </w:rPr>
              <w:t>A$</w:t>
            </w: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48,513</w:t>
            </w:r>
          </w:p>
        </w:tc>
        <w:tc>
          <w:tcPr>
            <w:tcW w:w="1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30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w w:val="90"/>
              </w:rPr>
              <w:t>A$</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82,074</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60" w:type="dxa"/>
            <w:vAlign w:val="bottom"/>
            <w:gridSpan w:val="2"/>
          </w:tcPr>
          <w:p>
            <w:pPr>
              <w:spacing w:after="0"/>
              <w:rPr>
                <w:sz w:val="20"/>
                <w:szCs w:val="20"/>
                <w:color w:val="auto"/>
              </w:rPr>
            </w:pPr>
            <w:r>
              <w:rPr>
                <w:rFonts w:ascii="Arial" w:cs="Arial" w:eastAsia="Arial" w:hAnsi="Arial"/>
                <w:sz w:val="18"/>
                <w:szCs w:val="18"/>
                <w:color w:val="auto"/>
              </w:rPr>
              <w:t>Property, plant and equipment</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0" w:type="dxa"/>
            <w:vAlign w:val="bottom"/>
            <w:gridSpan w:val="3"/>
          </w:tcPr>
          <w:p>
            <w:pPr>
              <w:jc w:val="right"/>
              <w:spacing w:after="0"/>
              <w:rPr>
                <w:sz w:val="20"/>
                <w:szCs w:val="20"/>
                <w:color w:val="auto"/>
              </w:rPr>
            </w:pPr>
            <w:r>
              <w:rPr>
                <w:rFonts w:ascii="Arial" w:cs="Arial" w:eastAsia="Arial" w:hAnsi="Arial"/>
                <w:sz w:val="18"/>
                <w:szCs w:val="18"/>
                <w:color w:val="auto"/>
              </w:rPr>
              <w:t>10,155</w:t>
            </w: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40" w:type="dxa"/>
            <w:vAlign w:val="bottom"/>
            <w:gridSpan w:val="2"/>
          </w:tcPr>
          <w:p>
            <w:pPr>
              <w:jc w:val="right"/>
              <w:spacing w:after="0"/>
              <w:rPr>
                <w:sz w:val="20"/>
                <w:szCs w:val="20"/>
                <w:color w:val="auto"/>
              </w:rPr>
            </w:pPr>
            <w:r>
              <w:rPr>
                <w:rFonts w:ascii="Arial" w:cs="Arial" w:eastAsia="Arial" w:hAnsi="Arial"/>
                <w:sz w:val="18"/>
                <w:szCs w:val="18"/>
                <w:color w:val="auto"/>
              </w:rPr>
              <w:t>12,945</w:t>
            </w:r>
          </w:p>
        </w:tc>
        <w:tc>
          <w:tcPr>
            <w:tcW w:w="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13,905</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Intangible assets</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20" w:type="dxa"/>
            <w:vAlign w:val="bottom"/>
            <w:tcBorders>
              <w:right w:val="single" w:sz="8" w:color="CCEEFF"/>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w w:val="94"/>
              </w:rPr>
              <w:t>1,025,616</w:t>
            </w: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5"/>
              </w:rPr>
              <w:t>735,400</w:t>
            </w:r>
          </w:p>
        </w:tc>
        <w:tc>
          <w:tcPr>
            <w:tcW w:w="1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611,343</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460" w:type="dxa"/>
            <w:vAlign w:val="bottom"/>
            <w:gridSpan w:val="2"/>
          </w:tcPr>
          <w:p>
            <w:pPr>
              <w:spacing w:after="0"/>
              <w:rPr>
                <w:sz w:val="20"/>
                <w:szCs w:val="20"/>
                <w:color w:val="auto"/>
              </w:rPr>
            </w:pPr>
            <w:r>
              <w:rPr>
                <w:rFonts w:ascii="Arial" w:cs="Arial" w:eastAsia="Arial" w:hAnsi="Arial"/>
                <w:sz w:val="18"/>
                <w:szCs w:val="18"/>
                <w:color w:val="auto"/>
              </w:rPr>
              <w:t>Other</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00" w:type="dxa"/>
            <w:vAlign w:val="bottom"/>
            <w:gridSpan w:val="3"/>
          </w:tcPr>
          <w:p>
            <w:pPr>
              <w:jc w:val="right"/>
              <w:spacing w:after="0"/>
              <w:rPr>
                <w:sz w:val="20"/>
                <w:szCs w:val="20"/>
                <w:color w:val="auto"/>
              </w:rPr>
            </w:pPr>
            <w:r>
              <w:rPr>
                <w:rFonts w:ascii="Arial" w:cs="Arial" w:eastAsia="Arial" w:hAnsi="Arial"/>
                <w:sz w:val="18"/>
                <w:szCs w:val="18"/>
                <w:color w:val="auto"/>
              </w:rPr>
              <w:t>2,378</w:t>
            </w:r>
          </w:p>
        </w:tc>
        <w:tc>
          <w:tcPr>
            <w:tcW w:w="5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80" w:type="dxa"/>
            <w:vAlign w:val="bottom"/>
            <w:gridSpan w:val="3"/>
          </w:tcPr>
          <w:p>
            <w:pPr>
              <w:jc w:val="right"/>
              <w:ind w:right="80"/>
              <w:spacing w:after="0"/>
              <w:rPr>
                <w:sz w:val="20"/>
                <w:szCs w:val="20"/>
                <w:color w:val="auto"/>
              </w:rPr>
            </w:pPr>
            <w:r>
              <w:rPr>
                <w:rFonts w:ascii="Arial" w:cs="Arial" w:eastAsia="Arial" w:hAnsi="Arial"/>
                <w:sz w:val="18"/>
                <w:szCs w:val="18"/>
                <w:color w:val="auto"/>
              </w:rPr>
              <w:t>(766)</w:t>
            </w:r>
          </w:p>
        </w:tc>
        <w:tc>
          <w:tcPr>
            <w:tcW w:w="3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6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Total deferred tax assets</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20" w:type="dxa"/>
            <w:vAlign w:val="bottom"/>
            <w:tcBorders>
              <w:right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spacing w:after="0"/>
              <w:rPr>
                <w:sz w:val="18"/>
                <w:szCs w:val="18"/>
                <w:color w:val="auto"/>
              </w:rPr>
            </w:pPr>
          </w:p>
        </w:tc>
        <w:tc>
          <w:tcPr>
            <w:tcW w:w="800" w:type="dxa"/>
            <w:vAlign w:val="bottom"/>
            <w:tcBorders>
              <w:top w:val="single" w:sz="8" w:color="auto"/>
              <w:bottom w:val="single" w:sz="8" w:color="auto"/>
            </w:tcBorders>
            <w:gridSpan w:val="3"/>
            <w:shd w:val="clear" w:color="auto" w:fill="CCEEFF"/>
          </w:tcPr>
          <w:p>
            <w:pPr>
              <w:jc w:val="right"/>
              <w:spacing w:after="0"/>
              <w:rPr>
                <w:sz w:val="20"/>
                <w:szCs w:val="20"/>
                <w:color w:val="auto"/>
              </w:rPr>
            </w:pPr>
            <w:r>
              <w:rPr>
                <w:rFonts w:ascii="Arial" w:cs="Arial" w:eastAsia="Arial" w:hAnsi="Arial"/>
                <w:sz w:val="18"/>
                <w:szCs w:val="18"/>
                <w:b w:val="1"/>
                <w:bCs w:val="1"/>
                <w:color w:val="auto"/>
                <w:w w:val="94"/>
              </w:rPr>
              <w:t>1,160,392</w:t>
            </w: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20" w:type="dxa"/>
            <w:vAlign w:val="bottom"/>
            <w:tcBorders>
              <w:top w:val="single" w:sz="8" w:color="auto"/>
              <w:bottom w:val="single" w:sz="8" w:color="auto"/>
            </w:tcBorders>
            <w:shd w:val="clear" w:color="auto" w:fill="CCEEFF"/>
          </w:tcPr>
          <w:p>
            <w:pPr>
              <w:spacing w:after="0"/>
              <w:rPr>
                <w:sz w:val="18"/>
                <w:szCs w:val="18"/>
                <w:color w:val="auto"/>
              </w:rPr>
            </w:pPr>
          </w:p>
        </w:tc>
        <w:tc>
          <w:tcPr>
            <w:tcW w:w="64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w w:val="95"/>
              </w:rPr>
              <w:t>796,092</w:t>
            </w:r>
          </w:p>
        </w:tc>
        <w:tc>
          <w:tcPr>
            <w:tcW w:w="1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tcBorders>
              <w:top w:val="single" w:sz="8" w:color="auto"/>
              <w:bottom w:val="single" w:sz="8" w:color="auto"/>
            </w:tcBorders>
            <w:shd w:val="clear" w:color="auto" w:fill="CCEEFF"/>
          </w:tcPr>
          <w:p>
            <w:pPr>
              <w:spacing w:after="0"/>
              <w:rPr>
                <w:sz w:val="18"/>
                <w:szCs w:val="18"/>
                <w:color w:val="auto"/>
              </w:rPr>
            </w:pP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8"/>
              </w:rPr>
              <w:t>707,322</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480" w:type="dxa"/>
            <w:vAlign w:val="bottom"/>
            <w:gridSpan w:val="3"/>
          </w:tcPr>
          <w:p>
            <w:pPr>
              <w:spacing w:after="0"/>
              <w:rPr>
                <w:sz w:val="20"/>
                <w:szCs w:val="20"/>
                <w:color w:val="auto"/>
              </w:rPr>
            </w:pPr>
            <w:r>
              <w:rPr>
                <w:rFonts w:ascii="Arial" w:cs="Arial" w:eastAsia="Arial" w:hAnsi="Arial"/>
                <w:sz w:val="18"/>
                <w:szCs w:val="18"/>
                <w:color w:val="auto"/>
                <w:w w:val="96"/>
              </w:rPr>
              <w:t>Set off deferred tax liabilities pursuant to set-off provisions</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440" w:type="dxa"/>
            <w:vAlign w:val="bottom"/>
            <w:tcBorders>
              <w:bottom w:val="single" w:sz="8" w:color="auto"/>
            </w:tcBorders>
            <w:gridSpan w:val="2"/>
          </w:tcPr>
          <w:p>
            <w:pPr>
              <w:ind w:left="160"/>
              <w:spacing w:after="0"/>
              <w:rPr>
                <w:sz w:val="20"/>
                <w:szCs w:val="20"/>
                <w:color w:val="auto"/>
              </w:rPr>
            </w:pPr>
            <w:r>
              <w:rPr>
                <w:rFonts w:ascii="Arial" w:cs="Arial" w:eastAsia="Arial" w:hAnsi="Arial"/>
                <w:sz w:val="18"/>
                <w:szCs w:val="18"/>
                <w:color w:val="auto"/>
              </w:rPr>
              <w:t>—</w:t>
            </w:r>
          </w:p>
        </w:tc>
        <w:tc>
          <w:tcPr>
            <w:tcW w:w="5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66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20" w:type="dxa"/>
            <w:vAlign w:val="bottom"/>
            <w:tcBorders>
              <w:right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gridSpan w:val="3"/>
            <w:shd w:val="clear" w:color="auto" w:fill="CCEEFF"/>
          </w:tcPr>
          <w:p>
            <w:pPr>
              <w:jc w:val="right"/>
              <w:spacing w:after="0"/>
              <w:rPr>
                <w:sz w:val="20"/>
                <w:szCs w:val="20"/>
                <w:color w:val="auto"/>
              </w:rPr>
            </w:pPr>
            <w:r>
              <w:rPr>
                <w:rFonts w:ascii="Arial" w:cs="Arial" w:eastAsia="Arial" w:hAnsi="Arial"/>
                <w:sz w:val="18"/>
                <w:szCs w:val="18"/>
                <w:b w:val="1"/>
                <w:bCs w:val="1"/>
                <w:color w:val="auto"/>
                <w:w w:val="94"/>
              </w:rPr>
              <w:t>1,160,392</w:t>
            </w: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w w:val="95"/>
              </w:rPr>
              <w:t>796,092</w:t>
            </w:r>
          </w:p>
        </w:tc>
        <w:tc>
          <w:tcPr>
            <w:tcW w:w="1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8"/>
              </w:rPr>
              <w:t>707,322</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5820" w:type="dxa"/>
            <w:vAlign w:val="bottom"/>
            <w:gridSpan w:val="7"/>
          </w:tcPr>
          <w:p>
            <w:pPr>
              <w:spacing w:after="0"/>
              <w:rPr>
                <w:sz w:val="20"/>
                <w:szCs w:val="20"/>
                <w:color w:val="auto"/>
              </w:rPr>
            </w:pPr>
            <w:r>
              <w:rPr>
                <w:rFonts w:ascii="Arial" w:cs="Arial" w:eastAsia="Arial" w:hAnsi="Arial"/>
                <w:sz w:val="18"/>
                <w:szCs w:val="18"/>
                <w:color w:val="auto"/>
                <w:w w:val="97"/>
              </w:rPr>
              <w:t>Deferred tax assets not brought to account as realization is not considered</w:t>
            </w:r>
          </w:p>
        </w:tc>
        <w:tc>
          <w:tcPr>
            <w:tcW w:w="1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320" w:type="dxa"/>
            <w:vAlign w:val="bottom"/>
          </w:tcPr>
          <w:p>
            <w:pPr>
              <w:ind w:left="20"/>
              <w:spacing w:after="0"/>
              <w:rPr>
                <w:sz w:val="20"/>
                <w:szCs w:val="20"/>
                <w:color w:val="auto"/>
              </w:rPr>
            </w:pPr>
            <w:r>
              <w:rPr>
                <w:rFonts w:ascii="Arial" w:cs="Arial" w:eastAsia="Arial" w:hAnsi="Arial"/>
                <w:sz w:val="18"/>
                <w:szCs w:val="18"/>
                <w:color w:val="auto"/>
              </w:rPr>
              <w:t>probable</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20" w:type="dxa"/>
            <w:vAlign w:val="bottom"/>
            <w:gridSpan w:val="4"/>
          </w:tcPr>
          <w:p>
            <w:pPr>
              <w:jc w:val="right"/>
              <w:ind w:right="480"/>
              <w:spacing w:after="0"/>
              <w:rPr>
                <w:sz w:val="20"/>
                <w:szCs w:val="20"/>
                <w:color w:val="auto"/>
              </w:rPr>
            </w:pPr>
            <w:r>
              <w:rPr>
                <w:rFonts w:ascii="Arial" w:cs="Arial" w:eastAsia="Arial" w:hAnsi="Arial"/>
                <w:sz w:val="18"/>
                <w:szCs w:val="18"/>
                <w:color w:val="auto"/>
                <w:w w:val="89"/>
              </w:rPr>
              <w:t>(1,160,392)</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80" w:type="dxa"/>
            <w:vAlign w:val="bottom"/>
            <w:gridSpan w:val="3"/>
          </w:tcPr>
          <w:p>
            <w:pPr>
              <w:jc w:val="right"/>
              <w:ind w:right="80"/>
              <w:spacing w:after="0"/>
              <w:rPr>
                <w:sz w:val="20"/>
                <w:szCs w:val="20"/>
                <w:color w:val="auto"/>
              </w:rPr>
            </w:pPr>
            <w:r>
              <w:rPr>
                <w:rFonts w:ascii="Arial" w:cs="Arial" w:eastAsia="Arial" w:hAnsi="Arial"/>
                <w:sz w:val="18"/>
                <w:szCs w:val="18"/>
                <w:color w:val="auto"/>
                <w:w w:val="88"/>
              </w:rPr>
              <w:t>(796,092)</w:t>
            </w:r>
          </w:p>
        </w:tc>
        <w:tc>
          <w:tcPr>
            <w:tcW w:w="3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80" w:type="dxa"/>
            <w:vAlign w:val="bottom"/>
            <w:gridSpan w:val="2"/>
          </w:tcPr>
          <w:p>
            <w:pPr>
              <w:jc w:val="right"/>
              <w:ind w:right="60"/>
              <w:spacing w:after="0"/>
              <w:rPr>
                <w:sz w:val="20"/>
                <w:szCs w:val="20"/>
                <w:color w:val="auto"/>
              </w:rPr>
            </w:pPr>
            <w:r>
              <w:rPr>
                <w:rFonts w:ascii="Arial" w:cs="Arial" w:eastAsia="Arial" w:hAnsi="Arial"/>
                <w:sz w:val="18"/>
                <w:szCs w:val="18"/>
                <w:color w:val="auto"/>
                <w:w w:val="90"/>
              </w:rPr>
              <w:t>(707,322)</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140" w:type="dxa"/>
            <w:vAlign w:val="bottom"/>
          </w:tcPr>
          <w:p>
            <w:pPr>
              <w:spacing w:after="0"/>
              <w:rPr>
                <w:sz w:val="2"/>
                <w:szCs w:val="2"/>
                <w:color w:val="auto"/>
              </w:rPr>
            </w:pPr>
          </w:p>
        </w:tc>
        <w:tc>
          <w:tcPr>
            <w:tcW w:w="4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6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20" w:type="dxa"/>
            <w:vAlign w:val="bottom"/>
            <w:tcBorders>
              <w:right w:val="single" w:sz="8" w:color="auto"/>
            </w:tcBorders>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3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46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Deferred tax assets recognized</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A$</w:t>
            </w:r>
          </w:p>
        </w:tc>
        <w:tc>
          <w:tcPr>
            <w:tcW w:w="360" w:type="dxa"/>
            <w:vAlign w:val="bottom"/>
            <w:shd w:val="clear" w:color="auto" w:fill="CCEEFF"/>
          </w:tcPr>
          <w:p>
            <w:pPr>
              <w:spacing w:after="0"/>
              <w:rPr>
                <w:sz w:val="18"/>
                <w:szCs w:val="18"/>
                <w:color w:val="auto"/>
              </w:rPr>
            </w:pPr>
          </w:p>
        </w:tc>
        <w:tc>
          <w:tcPr>
            <w:tcW w:w="1060" w:type="dxa"/>
            <w:vAlign w:val="bottom"/>
            <w:gridSpan w:val="4"/>
            <w:shd w:val="clear" w:color="auto" w:fill="CCEEFF"/>
          </w:tcPr>
          <w:p>
            <w:pPr>
              <w:ind w:left="160"/>
              <w:spacing w:after="0"/>
              <w:rPr>
                <w:sz w:val="20"/>
                <w:szCs w:val="20"/>
                <w:color w:val="auto"/>
              </w:rPr>
            </w:pPr>
            <w:r>
              <w:rPr>
                <w:rFonts w:ascii="Arial" w:cs="Arial" w:eastAsia="Arial" w:hAnsi="Arial"/>
                <w:sz w:val="18"/>
                <w:szCs w:val="18"/>
                <w:b w:val="1"/>
                <w:bCs w:val="1"/>
                <w:color w:val="auto"/>
              </w:rPr>
              <w:t>—</w:t>
            </w:r>
          </w:p>
        </w:tc>
        <w:tc>
          <w:tcPr>
            <w:tcW w:w="360" w:type="dxa"/>
            <w:vAlign w:val="bottom"/>
            <w:gridSpan w:val="2"/>
            <w:shd w:val="clear" w:color="auto" w:fill="CCEEFF"/>
          </w:tcPr>
          <w:p>
            <w:pPr>
              <w:ind w:left="120"/>
              <w:spacing w:after="0"/>
              <w:rPr>
                <w:sz w:val="20"/>
                <w:szCs w:val="20"/>
                <w:color w:val="auto"/>
              </w:rPr>
            </w:pPr>
            <w:r>
              <w:rPr>
                <w:rFonts w:ascii="Arial" w:cs="Arial" w:eastAsia="Arial" w:hAnsi="Arial"/>
                <w:sz w:val="18"/>
                <w:szCs w:val="18"/>
                <w:b w:val="1"/>
                <w:bCs w:val="1"/>
                <w:color w:val="auto"/>
                <w:w w:val="95"/>
              </w:rPr>
              <w:t>A$</w:t>
            </w:r>
          </w:p>
        </w:tc>
        <w:tc>
          <w:tcPr>
            <w:tcW w:w="80" w:type="dxa"/>
            <w:vAlign w:val="bottom"/>
            <w:shd w:val="clear" w:color="auto" w:fill="CCEEFF"/>
          </w:tcPr>
          <w:p>
            <w:pPr>
              <w:spacing w:after="0"/>
              <w:rPr>
                <w:sz w:val="18"/>
                <w:szCs w:val="18"/>
                <w:color w:val="auto"/>
              </w:rPr>
            </w:pPr>
          </w:p>
        </w:tc>
        <w:tc>
          <w:tcPr>
            <w:tcW w:w="1000" w:type="dxa"/>
            <w:vAlign w:val="bottom"/>
            <w:gridSpan w:val="3"/>
            <w:shd w:val="clear" w:color="auto" w:fill="CCEEFF"/>
          </w:tcPr>
          <w:p>
            <w:pPr>
              <w:jc w:val="right"/>
              <w:ind w:right="520"/>
              <w:spacing w:after="0"/>
              <w:rPr>
                <w:sz w:val="20"/>
                <w:szCs w:val="20"/>
                <w:color w:val="auto"/>
              </w:rPr>
            </w:pPr>
            <w:r>
              <w:rPr>
                <w:rFonts w:ascii="Arial" w:cs="Arial" w:eastAsia="Arial" w:hAnsi="Arial"/>
                <w:sz w:val="18"/>
                <w:szCs w:val="18"/>
                <w:b w:val="1"/>
                <w:bCs w:val="1"/>
                <w:color w:val="auto"/>
              </w:rPr>
              <w:t>—</w:t>
            </w:r>
          </w:p>
        </w:tc>
        <w:tc>
          <w:tcPr>
            <w:tcW w:w="240" w:type="dxa"/>
            <w:vAlign w:val="bottom"/>
            <w:shd w:val="clear" w:color="auto" w:fill="CCEEFF"/>
          </w:tcPr>
          <w:p>
            <w:pPr>
              <w:spacing w:after="0"/>
              <w:rPr>
                <w:sz w:val="18"/>
                <w:szCs w:val="18"/>
                <w:color w:val="auto"/>
              </w:rPr>
            </w:pPr>
          </w:p>
        </w:tc>
        <w:tc>
          <w:tcPr>
            <w:tcW w:w="300" w:type="dxa"/>
            <w:vAlign w:val="bottom"/>
            <w:gridSpan w:val="2"/>
            <w:shd w:val="clear" w:color="auto" w:fill="CCEEFF"/>
          </w:tcPr>
          <w:p>
            <w:pPr>
              <w:ind w:left="80"/>
              <w:spacing w:after="0"/>
              <w:rPr>
                <w:sz w:val="20"/>
                <w:szCs w:val="20"/>
                <w:color w:val="auto"/>
              </w:rPr>
            </w:pPr>
            <w:r>
              <w:rPr>
                <w:rFonts w:ascii="Arial" w:cs="Arial" w:eastAsia="Arial" w:hAnsi="Arial"/>
                <w:sz w:val="18"/>
                <w:szCs w:val="18"/>
                <w:b w:val="1"/>
                <w:bCs w:val="1"/>
                <w:color w:val="auto"/>
                <w:w w:val="86"/>
              </w:rPr>
              <w:t>A$</w:t>
            </w:r>
          </w:p>
        </w:tc>
        <w:tc>
          <w:tcPr>
            <w:tcW w:w="7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20" w:type="dxa"/>
            <w:vAlign w:val="bottom"/>
            <w:tcBorders>
              <w:right w:val="single" w:sz="8" w:color="auto"/>
            </w:tcBorders>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440" w:type="dxa"/>
            <w:vAlign w:val="bottom"/>
            <w:gridSpan w:val="2"/>
            <w:shd w:val="clear" w:color="auto" w:fill="000000"/>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6"/>
        </w:trPr>
        <w:tc>
          <w:tcPr>
            <w:tcW w:w="448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Movements – Consolidated</w:t>
            </w:r>
          </w:p>
        </w:tc>
        <w:tc>
          <w:tcPr>
            <w:tcW w:w="100" w:type="dxa"/>
            <w:vAlign w:val="bottom"/>
          </w:tcPr>
          <w:p>
            <w:pPr>
              <w:spacing w:after="0"/>
              <w:rPr>
                <w:sz w:val="24"/>
                <w:szCs w:val="24"/>
                <w:color w:val="auto"/>
              </w:rPr>
            </w:pPr>
          </w:p>
        </w:tc>
        <w:tc>
          <w:tcPr>
            <w:tcW w:w="1240" w:type="dxa"/>
            <w:vAlign w:val="bottom"/>
            <w:gridSpan w:val="3"/>
            <w:vMerge w:val="restart"/>
          </w:tcPr>
          <w:p>
            <w:pPr>
              <w:jc w:val="right"/>
              <w:ind w:right="500"/>
              <w:spacing w:after="0"/>
              <w:rPr>
                <w:sz w:val="20"/>
                <w:szCs w:val="20"/>
                <w:color w:val="auto"/>
              </w:rPr>
            </w:pPr>
            <w:r>
              <w:rPr>
                <w:rFonts w:ascii="Arial" w:cs="Arial" w:eastAsia="Arial" w:hAnsi="Arial"/>
                <w:sz w:val="14"/>
                <w:szCs w:val="14"/>
                <w:b w:val="1"/>
                <w:bCs w:val="1"/>
                <w:color w:val="auto"/>
              </w:rPr>
              <w:t>Provisions</w:t>
            </w:r>
          </w:p>
        </w:tc>
        <w:tc>
          <w:tcPr>
            <w:tcW w:w="140" w:type="dxa"/>
            <w:vAlign w:val="bottom"/>
          </w:tcPr>
          <w:p>
            <w:pPr>
              <w:spacing w:after="0"/>
              <w:rPr>
                <w:sz w:val="24"/>
                <w:szCs w:val="24"/>
                <w:color w:val="auto"/>
              </w:rPr>
            </w:pPr>
          </w:p>
        </w:tc>
        <w:tc>
          <w:tcPr>
            <w:tcW w:w="720" w:type="dxa"/>
            <w:vAlign w:val="bottom"/>
          </w:tcPr>
          <w:p>
            <w:pPr>
              <w:jc w:val="center"/>
              <w:spacing w:after="0"/>
              <w:rPr>
                <w:sz w:val="20"/>
                <w:szCs w:val="20"/>
                <w:color w:val="auto"/>
              </w:rPr>
            </w:pPr>
            <w:r>
              <w:rPr>
                <w:rFonts w:ascii="Arial" w:cs="Arial" w:eastAsia="Arial" w:hAnsi="Arial"/>
                <w:sz w:val="14"/>
                <w:szCs w:val="14"/>
                <w:b w:val="1"/>
                <w:bCs w:val="1"/>
                <w:color w:val="auto"/>
                <w:w w:val="91"/>
              </w:rPr>
              <w:t>Plant and</w:t>
            </w:r>
          </w:p>
        </w:tc>
        <w:tc>
          <w:tcPr>
            <w:tcW w:w="1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60" w:type="dxa"/>
            <w:vAlign w:val="bottom"/>
            <w:gridSpan w:val="4"/>
          </w:tcPr>
          <w:p>
            <w:pPr>
              <w:ind w:left="160"/>
              <w:spacing w:after="0"/>
              <w:rPr>
                <w:sz w:val="20"/>
                <w:szCs w:val="20"/>
                <w:color w:val="auto"/>
              </w:rPr>
            </w:pPr>
            <w:r>
              <w:rPr>
                <w:rFonts w:ascii="Arial" w:cs="Arial" w:eastAsia="Arial" w:hAnsi="Arial"/>
                <w:sz w:val="14"/>
                <w:szCs w:val="14"/>
                <w:b w:val="1"/>
                <w:bCs w:val="1"/>
                <w:color w:val="auto"/>
              </w:rPr>
              <w:t>Intangible</w:t>
            </w:r>
          </w:p>
        </w:tc>
        <w:tc>
          <w:tcPr>
            <w:tcW w:w="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0" w:type="dxa"/>
            <w:vAlign w:val="bottom"/>
            <w:gridSpan w:val="3"/>
            <w:vMerge w:val="restart"/>
          </w:tcPr>
          <w:p>
            <w:pPr>
              <w:ind w:left="160"/>
              <w:spacing w:after="0"/>
              <w:rPr>
                <w:sz w:val="20"/>
                <w:szCs w:val="20"/>
                <w:color w:val="auto"/>
              </w:rPr>
            </w:pPr>
            <w:r>
              <w:rPr>
                <w:rFonts w:ascii="Arial" w:cs="Arial" w:eastAsia="Arial" w:hAnsi="Arial"/>
                <w:sz w:val="14"/>
                <w:szCs w:val="14"/>
                <w:b w:val="1"/>
                <w:bCs w:val="1"/>
                <w:color w:val="auto"/>
              </w:rPr>
              <w:t>Other</w:t>
            </w:r>
          </w:p>
        </w:tc>
        <w:tc>
          <w:tcPr>
            <w:tcW w:w="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80" w:type="dxa"/>
            <w:vAlign w:val="bottom"/>
            <w:gridSpan w:val="2"/>
            <w:vMerge w:val="restart"/>
          </w:tcPr>
          <w:p>
            <w:pPr>
              <w:jc w:val="center"/>
              <w:ind w:right="420"/>
              <w:spacing w:after="0"/>
              <w:rPr>
                <w:sz w:val="20"/>
                <w:szCs w:val="20"/>
                <w:color w:val="auto"/>
              </w:rPr>
            </w:pPr>
            <w:r>
              <w:rPr>
                <w:rFonts w:ascii="Arial" w:cs="Arial" w:eastAsia="Arial" w:hAnsi="Arial"/>
                <w:sz w:val="14"/>
                <w:szCs w:val="14"/>
                <w:b w:val="1"/>
                <w:bCs w:val="1"/>
                <w:color w:val="auto"/>
                <w:w w:val="95"/>
              </w:rPr>
              <w:t>Total</w:t>
            </w:r>
          </w:p>
        </w:tc>
        <w:tc>
          <w:tcPr>
            <w:tcW w:w="0" w:type="dxa"/>
            <w:vAlign w:val="bottom"/>
          </w:tcPr>
          <w:p>
            <w:pPr>
              <w:spacing w:after="0"/>
              <w:rPr>
                <w:sz w:val="1"/>
                <w:szCs w:val="1"/>
                <w:color w:val="auto"/>
              </w:rPr>
            </w:pPr>
          </w:p>
        </w:tc>
      </w:tr>
      <w:tr>
        <w:trPr>
          <w:trHeight w:val="171"/>
        </w:trPr>
        <w:tc>
          <w:tcPr>
            <w:tcW w:w="4480" w:type="dxa"/>
            <w:vAlign w:val="bottom"/>
            <w:gridSpan w:val="3"/>
            <w:vMerge w:val="continue"/>
          </w:tcPr>
          <w:p>
            <w:pPr>
              <w:spacing w:after="0"/>
              <w:rPr>
                <w:sz w:val="14"/>
                <w:szCs w:val="14"/>
                <w:color w:val="auto"/>
              </w:rPr>
            </w:pPr>
          </w:p>
        </w:tc>
        <w:tc>
          <w:tcPr>
            <w:tcW w:w="100" w:type="dxa"/>
            <w:vAlign w:val="bottom"/>
          </w:tcPr>
          <w:p>
            <w:pPr>
              <w:spacing w:after="0"/>
              <w:rPr>
                <w:sz w:val="14"/>
                <w:szCs w:val="14"/>
                <w:color w:val="auto"/>
              </w:rPr>
            </w:pPr>
          </w:p>
        </w:tc>
        <w:tc>
          <w:tcPr>
            <w:tcW w:w="1240" w:type="dxa"/>
            <w:vAlign w:val="bottom"/>
            <w:gridSpan w:val="3"/>
            <w:vMerge w:val="continue"/>
          </w:tcPr>
          <w:p>
            <w:pPr>
              <w:spacing w:after="0"/>
              <w:rPr>
                <w:sz w:val="14"/>
                <w:szCs w:val="14"/>
                <w:color w:val="auto"/>
              </w:rPr>
            </w:pPr>
          </w:p>
        </w:tc>
        <w:tc>
          <w:tcPr>
            <w:tcW w:w="140" w:type="dxa"/>
            <w:vAlign w:val="bottom"/>
          </w:tcPr>
          <w:p>
            <w:pPr>
              <w:spacing w:after="0"/>
              <w:rPr>
                <w:sz w:val="14"/>
                <w:szCs w:val="14"/>
                <w:color w:val="auto"/>
              </w:rPr>
            </w:pPr>
          </w:p>
        </w:tc>
        <w:tc>
          <w:tcPr>
            <w:tcW w:w="90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3"/>
              </w:rPr>
              <w:t>equipment</w:t>
            </w:r>
          </w:p>
        </w:tc>
        <w:tc>
          <w:tcPr>
            <w:tcW w:w="3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40" w:type="dxa"/>
            <w:vAlign w:val="bottom"/>
            <w:gridSpan w:val="3"/>
          </w:tcPr>
          <w:p>
            <w:pPr>
              <w:jc w:val="right"/>
              <w:ind w:right="400"/>
              <w:spacing w:after="0"/>
              <w:rPr>
                <w:sz w:val="20"/>
                <w:szCs w:val="20"/>
                <w:color w:val="auto"/>
              </w:rPr>
            </w:pPr>
            <w:r>
              <w:rPr>
                <w:rFonts w:ascii="Arial" w:cs="Arial" w:eastAsia="Arial" w:hAnsi="Arial"/>
                <w:sz w:val="14"/>
                <w:szCs w:val="14"/>
                <w:b w:val="1"/>
                <w:bCs w:val="1"/>
                <w:color w:val="auto"/>
                <w:w w:val="96"/>
              </w:rPr>
              <w:t>assets</w:t>
            </w:r>
          </w:p>
        </w:tc>
        <w:tc>
          <w:tcPr>
            <w:tcW w:w="1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0" w:type="dxa"/>
            <w:vAlign w:val="bottom"/>
            <w:gridSpan w:val="3"/>
            <w:vMerge w:val="continue"/>
          </w:tcPr>
          <w:p>
            <w:pPr>
              <w:spacing w:after="0"/>
              <w:rPr>
                <w:sz w:val="14"/>
                <w:szCs w:val="14"/>
                <w:color w:val="auto"/>
              </w:rPr>
            </w:pPr>
          </w:p>
        </w:tc>
        <w:tc>
          <w:tcPr>
            <w:tcW w:w="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8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460" w:type="dxa"/>
            <w:vAlign w:val="bottom"/>
            <w:tcBorders>
              <w:top w:val="single" w:sz="8" w:color="CCEEFF"/>
            </w:tcBorders>
            <w:gridSpan w:val="2"/>
            <w:shd w:val="clear" w:color="auto" w:fill="CCEEFF"/>
          </w:tcPr>
          <w:p>
            <w:pPr>
              <w:spacing w:after="0"/>
              <w:rPr>
                <w:sz w:val="20"/>
                <w:szCs w:val="20"/>
                <w:color w:val="auto"/>
              </w:rPr>
            </w:pPr>
            <w:r>
              <w:rPr>
                <w:rFonts w:ascii="Arial" w:cs="Arial" w:eastAsia="Arial" w:hAnsi="Arial"/>
                <w:sz w:val="18"/>
                <w:szCs w:val="18"/>
                <w:b w:val="1"/>
                <w:bCs w:val="1"/>
                <w:color w:val="auto"/>
              </w:rPr>
              <w:t>At June 30, 2015</w:t>
            </w:r>
          </w:p>
        </w:tc>
        <w:tc>
          <w:tcPr>
            <w:tcW w:w="10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b w:val="1"/>
                <w:bCs w:val="1"/>
                <w:color w:val="auto"/>
                <w:w w:val="95"/>
              </w:rPr>
              <w:t>A$</w:t>
            </w:r>
          </w:p>
        </w:tc>
        <w:tc>
          <w:tcPr>
            <w:tcW w:w="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56,525</w:t>
            </w:r>
          </w:p>
        </w:tc>
        <w:tc>
          <w:tcPr>
            <w:tcW w:w="4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720" w:type="dxa"/>
            <w:vAlign w:val="bottom"/>
            <w:tcBorders>
              <w:top w:val="single" w:sz="8" w:color="auto"/>
              <w:right w:val="single" w:sz="8" w:color="CCEEFF"/>
            </w:tcBorders>
            <w:shd w:val="clear" w:color="auto" w:fill="CCEEFF"/>
          </w:tcPr>
          <w:p>
            <w:pPr>
              <w:jc w:val="center"/>
              <w:spacing w:after="0"/>
              <w:rPr>
                <w:sz w:val="20"/>
                <w:szCs w:val="20"/>
                <w:color w:val="auto"/>
              </w:rPr>
            </w:pPr>
            <w:r>
              <w:rPr>
                <w:rFonts w:ascii="Arial" w:cs="Arial" w:eastAsia="Arial" w:hAnsi="Arial"/>
                <w:sz w:val="18"/>
                <w:szCs w:val="18"/>
                <w:b w:val="1"/>
                <w:bCs w:val="1"/>
                <w:color w:val="auto"/>
                <w:w w:val="92"/>
              </w:rPr>
              <w:t>A$15,713</w:t>
            </w:r>
          </w:p>
        </w:tc>
        <w:tc>
          <w:tcPr>
            <w:tcW w:w="18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b w:val="1"/>
                <w:bCs w:val="1"/>
                <w:color w:val="auto"/>
                <w:w w:val="86"/>
              </w:rPr>
              <w:t>A$</w:t>
            </w:r>
          </w:p>
        </w:tc>
        <w:tc>
          <w:tcPr>
            <w:tcW w:w="74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963,007</w:t>
            </w: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700" w:type="dxa"/>
            <w:vAlign w:val="bottom"/>
            <w:tcBorders>
              <w:top w:val="single" w:sz="8" w:color="auto"/>
            </w:tcBorders>
            <w:gridSpan w:val="2"/>
            <w:shd w:val="clear" w:color="auto" w:fill="CCEEFF"/>
          </w:tcPr>
          <w:p>
            <w:pPr>
              <w:spacing w:after="0"/>
              <w:rPr>
                <w:sz w:val="20"/>
                <w:szCs w:val="20"/>
                <w:color w:val="auto"/>
              </w:rPr>
            </w:pPr>
            <w:r>
              <w:rPr>
                <w:rFonts w:ascii="Arial" w:cs="Arial" w:eastAsia="Arial" w:hAnsi="Arial"/>
                <w:sz w:val="18"/>
                <w:szCs w:val="18"/>
                <w:b w:val="1"/>
                <w:bCs w:val="1"/>
                <w:color w:val="auto"/>
                <w:w w:val="84"/>
              </w:rPr>
              <w:t>A$(1,164)</w:t>
            </w:r>
          </w:p>
        </w:tc>
        <w:tc>
          <w:tcPr>
            <w:tcW w:w="30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960" w:type="dxa"/>
            <w:vAlign w:val="bottom"/>
            <w:tcBorders>
              <w:top w:val="single" w:sz="8" w:color="auto"/>
            </w:tcBorders>
            <w:gridSpan w:val="3"/>
            <w:shd w:val="clear" w:color="auto" w:fill="CCEEFF"/>
          </w:tcPr>
          <w:p>
            <w:pPr>
              <w:jc w:val="center"/>
              <w:spacing w:after="0"/>
              <w:rPr>
                <w:sz w:val="20"/>
                <w:szCs w:val="20"/>
                <w:color w:val="auto"/>
              </w:rPr>
            </w:pPr>
            <w:r>
              <w:rPr>
                <w:rFonts w:ascii="Arial" w:cs="Arial" w:eastAsia="Arial" w:hAnsi="Arial"/>
                <w:sz w:val="18"/>
                <w:szCs w:val="18"/>
                <w:b w:val="1"/>
                <w:bCs w:val="1"/>
                <w:color w:val="auto"/>
                <w:w w:val="93"/>
              </w:rPr>
              <w:t>A$1,034,081</w:t>
            </w:r>
          </w:p>
        </w:tc>
        <w:tc>
          <w:tcPr>
            <w:tcW w:w="12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4460" w:type="dxa"/>
            <w:vAlign w:val="bottom"/>
            <w:gridSpan w:val="2"/>
          </w:tcPr>
          <w:p>
            <w:pPr>
              <w:spacing w:after="0" w:line="201" w:lineRule="exact"/>
              <w:rPr>
                <w:sz w:val="20"/>
                <w:szCs w:val="20"/>
                <w:color w:val="auto"/>
              </w:rPr>
            </w:pPr>
            <w:r>
              <w:rPr>
                <w:rFonts w:ascii="Arial" w:cs="Arial" w:eastAsia="Arial" w:hAnsi="Arial"/>
                <w:sz w:val="18"/>
                <w:szCs w:val="18"/>
                <w:color w:val="auto"/>
              </w:rPr>
              <w:t>(Charged) / credited to the consolidated statement of</w:t>
            </w: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320" w:type="dxa"/>
            <w:vAlign w:val="bottom"/>
          </w:tcPr>
          <w:p>
            <w:pPr>
              <w:ind w:left="20"/>
              <w:spacing w:after="0"/>
              <w:rPr>
                <w:sz w:val="20"/>
                <w:szCs w:val="20"/>
                <w:color w:val="auto"/>
              </w:rPr>
            </w:pPr>
            <w:r>
              <w:rPr>
                <w:rFonts w:ascii="Arial" w:cs="Arial" w:eastAsia="Arial" w:hAnsi="Arial"/>
                <w:sz w:val="18"/>
                <w:szCs w:val="18"/>
                <w:color w:val="auto"/>
              </w:rPr>
              <w:t>profit or loss and other comprehensive income</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25,459</w:t>
            </w:r>
          </w:p>
        </w:tc>
        <w:tc>
          <w:tcPr>
            <w:tcW w:w="4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00" w:type="dxa"/>
            <w:vAlign w:val="bottom"/>
            <w:gridSpan w:val="2"/>
          </w:tcPr>
          <w:p>
            <w:pPr>
              <w:jc w:val="right"/>
              <w:ind w:right="120"/>
              <w:spacing w:after="0"/>
              <w:rPr>
                <w:sz w:val="20"/>
                <w:szCs w:val="20"/>
                <w:color w:val="auto"/>
              </w:rPr>
            </w:pPr>
            <w:r>
              <w:rPr>
                <w:rFonts w:ascii="Arial" w:cs="Arial" w:eastAsia="Arial" w:hAnsi="Arial"/>
                <w:sz w:val="18"/>
                <w:szCs w:val="18"/>
                <w:color w:val="auto"/>
              </w:rPr>
              <w:t>(1,808)</w:t>
            </w:r>
          </w:p>
        </w:tc>
        <w:tc>
          <w:tcPr>
            <w:tcW w:w="3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40" w:type="dxa"/>
            <w:vAlign w:val="bottom"/>
            <w:gridSpan w:val="3"/>
          </w:tcPr>
          <w:p>
            <w:pPr>
              <w:jc w:val="right"/>
              <w:ind w:right="40"/>
              <w:spacing w:after="0"/>
              <w:rPr>
                <w:sz w:val="20"/>
                <w:szCs w:val="20"/>
                <w:color w:val="auto"/>
              </w:rPr>
            </w:pPr>
            <w:r>
              <w:rPr>
                <w:rFonts w:ascii="Arial" w:cs="Arial" w:eastAsia="Arial" w:hAnsi="Arial"/>
                <w:sz w:val="18"/>
                <w:szCs w:val="18"/>
                <w:color w:val="auto"/>
              </w:rPr>
              <w:t>(351,664)</w:t>
            </w:r>
          </w:p>
        </w:tc>
        <w:tc>
          <w:tcPr>
            <w:tcW w:w="1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80" w:type="dxa"/>
            <w:vAlign w:val="bottom"/>
            <w:gridSpan w:val="3"/>
          </w:tcPr>
          <w:p>
            <w:pPr>
              <w:jc w:val="right"/>
              <w:spacing w:after="0"/>
              <w:rPr>
                <w:sz w:val="20"/>
                <w:szCs w:val="20"/>
                <w:color w:val="auto"/>
              </w:rPr>
            </w:pPr>
            <w:r>
              <w:rPr>
                <w:rFonts w:ascii="Arial" w:cs="Arial" w:eastAsia="Arial" w:hAnsi="Arial"/>
                <w:sz w:val="18"/>
                <w:szCs w:val="18"/>
                <w:color w:val="auto"/>
              </w:rPr>
              <w:t>1,164</w:t>
            </w:r>
          </w:p>
        </w:tc>
        <w:tc>
          <w:tcPr>
            <w:tcW w:w="3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80" w:type="dxa"/>
            <w:vAlign w:val="bottom"/>
            <w:gridSpan w:val="2"/>
          </w:tcPr>
          <w:p>
            <w:pPr>
              <w:jc w:val="right"/>
              <w:ind w:right="60"/>
              <w:spacing w:after="0"/>
              <w:rPr>
                <w:sz w:val="20"/>
                <w:szCs w:val="20"/>
                <w:color w:val="auto"/>
              </w:rPr>
            </w:pPr>
            <w:r>
              <w:rPr>
                <w:rFonts w:ascii="Arial" w:cs="Arial" w:eastAsia="Arial" w:hAnsi="Arial"/>
                <w:sz w:val="18"/>
                <w:szCs w:val="18"/>
                <w:color w:val="auto"/>
                <w:w w:val="90"/>
              </w:rPr>
              <w:t>(326,849)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6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At June 30, 2016</w:t>
            </w:r>
          </w:p>
        </w:tc>
        <w:tc>
          <w:tcPr>
            <w:tcW w:w="100" w:type="dxa"/>
            <w:vAlign w:val="bottom"/>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81,984</w:t>
            </w:r>
          </w:p>
        </w:tc>
        <w:tc>
          <w:tcPr>
            <w:tcW w:w="4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20" w:type="dxa"/>
            <w:vAlign w:val="bottom"/>
            <w:tcBorders>
              <w:top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13,905</w:t>
            </w:r>
          </w:p>
        </w:tc>
        <w:tc>
          <w:tcPr>
            <w:tcW w:w="1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74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611,343</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tcBorders>
              <w:top w:val="single" w:sz="8" w:color="auto"/>
            </w:tcBorders>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w:t>
            </w: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8"/>
              </w:rPr>
              <w:t>707,232</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4460" w:type="dxa"/>
            <w:vAlign w:val="bottom"/>
            <w:gridSpan w:val="2"/>
          </w:tcPr>
          <w:p>
            <w:pPr>
              <w:spacing w:after="0" w:line="201" w:lineRule="exact"/>
              <w:rPr>
                <w:sz w:val="20"/>
                <w:szCs w:val="20"/>
                <w:color w:val="auto"/>
              </w:rPr>
            </w:pPr>
            <w:r>
              <w:rPr>
                <w:rFonts w:ascii="Arial" w:cs="Arial" w:eastAsia="Arial" w:hAnsi="Arial"/>
                <w:sz w:val="18"/>
                <w:szCs w:val="18"/>
                <w:color w:val="auto"/>
              </w:rPr>
              <w:t>(Charged) / credited to the consolidated statement of</w:t>
            </w: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320" w:type="dxa"/>
            <w:vAlign w:val="bottom"/>
          </w:tcPr>
          <w:p>
            <w:pPr>
              <w:ind w:left="20"/>
              <w:spacing w:after="0"/>
              <w:rPr>
                <w:sz w:val="20"/>
                <w:szCs w:val="20"/>
                <w:color w:val="auto"/>
              </w:rPr>
            </w:pPr>
            <w:r>
              <w:rPr>
                <w:rFonts w:ascii="Arial" w:cs="Arial" w:eastAsia="Arial" w:hAnsi="Arial"/>
                <w:sz w:val="18"/>
                <w:szCs w:val="18"/>
                <w:color w:val="auto"/>
              </w:rPr>
              <w:t>profit or loss and other comprehensive income</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00" w:type="dxa"/>
            <w:vAlign w:val="bottom"/>
            <w:gridSpan w:val="2"/>
          </w:tcPr>
          <w:p>
            <w:pPr>
              <w:jc w:val="right"/>
              <w:ind w:right="360"/>
              <w:spacing w:after="0"/>
              <w:rPr>
                <w:sz w:val="20"/>
                <w:szCs w:val="20"/>
                <w:color w:val="auto"/>
              </w:rPr>
            </w:pPr>
            <w:r>
              <w:rPr>
                <w:rFonts w:ascii="Arial" w:cs="Arial" w:eastAsia="Arial" w:hAnsi="Arial"/>
                <w:sz w:val="18"/>
                <w:szCs w:val="18"/>
                <w:color w:val="auto"/>
                <w:w w:val="92"/>
              </w:rPr>
              <w:t>(33,561)</w:t>
            </w:r>
          </w:p>
        </w:tc>
        <w:tc>
          <w:tcPr>
            <w:tcW w:w="1040" w:type="dxa"/>
            <w:vAlign w:val="bottom"/>
            <w:gridSpan w:val="3"/>
          </w:tcPr>
          <w:p>
            <w:pPr>
              <w:jc w:val="right"/>
              <w:ind w:right="120"/>
              <w:spacing w:after="0"/>
              <w:rPr>
                <w:sz w:val="20"/>
                <w:szCs w:val="20"/>
                <w:color w:val="auto"/>
              </w:rPr>
            </w:pPr>
            <w:r>
              <w:rPr>
                <w:rFonts w:ascii="Arial" w:cs="Arial" w:eastAsia="Arial" w:hAnsi="Arial"/>
                <w:sz w:val="18"/>
                <w:szCs w:val="18"/>
                <w:color w:val="auto"/>
              </w:rPr>
              <w:t>(960)</w:t>
            </w:r>
          </w:p>
        </w:tc>
        <w:tc>
          <w:tcPr>
            <w:tcW w:w="3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40" w:type="dxa"/>
            <w:vAlign w:val="bottom"/>
            <w:gridSpan w:val="2"/>
          </w:tcPr>
          <w:p>
            <w:pPr>
              <w:jc w:val="right"/>
              <w:spacing w:after="0"/>
              <w:rPr>
                <w:sz w:val="20"/>
                <w:szCs w:val="20"/>
                <w:color w:val="auto"/>
              </w:rPr>
            </w:pPr>
            <w:r>
              <w:rPr>
                <w:rFonts w:ascii="Arial" w:cs="Arial" w:eastAsia="Arial" w:hAnsi="Arial"/>
                <w:sz w:val="18"/>
                <w:szCs w:val="18"/>
                <w:color w:val="auto"/>
              </w:rPr>
              <w:t>124,057</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80" w:type="dxa"/>
            <w:vAlign w:val="bottom"/>
            <w:gridSpan w:val="4"/>
          </w:tcPr>
          <w:p>
            <w:pPr>
              <w:jc w:val="right"/>
              <w:ind w:right="240"/>
              <w:spacing w:after="0"/>
              <w:rPr>
                <w:sz w:val="20"/>
                <w:szCs w:val="20"/>
                <w:color w:val="auto"/>
              </w:rPr>
            </w:pPr>
            <w:r>
              <w:rPr>
                <w:rFonts w:ascii="Arial" w:cs="Arial" w:eastAsia="Arial" w:hAnsi="Arial"/>
                <w:sz w:val="18"/>
                <w:szCs w:val="18"/>
                <w:color w:val="auto"/>
              </w:rPr>
              <w:t>(766)</w:t>
            </w:r>
          </w:p>
        </w:tc>
        <w:tc>
          <w:tcPr>
            <w:tcW w:w="2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88,770</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140" w:type="dxa"/>
            <w:vAlign w:val="bottom"/>
          </w:tcPr>
          <w:p>
            <w:pPr>
              <w:spacing w:after="0"/>
              <w:rPr>
                <w:sz w:val="2"/>
                <w:szCs w:val="2"/>
                <w:color w:val="auto"/>
              </w:rPr>
            </w:pPr>
          </w:p>
        </w:tc>
        <w:tc>
          <w:tcPr>
            <w:tcW w:w="4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20" w:type="dxa"/>
            <w:vAlign w:val="bottom"/>
            <w:tcBorders>
              <w:right w:val="single" w:sz="8" w:color="auto"/>
            </w:tcBorders>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36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 w:type="dxa"/>
            <w:vAlign w:val="bottom"/>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46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At June 30, 2017</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48,423</w:t>
            </w:r>
          </w:p>
        </w:tc>
        <w:tc>
          <w:tcPr>
            <w:tcW w:w="4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12,945</w:t>
            </w:r>
          </w:p>
        </w:tc>
        <w:tc>
          <w:tcPr>
            <w:tcW w:w="1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735,400</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b w:val="1"/>
                <w:bCs w:val="1"/>
                <w:color w:val="auto"/>
              </w:rPr>
              <w:t>(766)</w:t>
            </w: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98"/>
              </w:rPr>
              <w:t>796,002</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4480" w:type="dxa"/>
            <w:vAlign w:val="bottom"/>
            <w:gridSpan w:val="3"/>
          </w:tcPr>
          <w:p>
            <w:pPr>
              <w:spacing w:after="0"/>
              <w:rPr>
                <w:sz w:val="20"/>
                <w:szCs w:val="20"/>
                <w:color w:val="auto"/>
              </w:rPr>
            </w:pPr>
            <w:r>
              <w:rPr>
                <w:rFonts w:ascii="Arial" w:cs="Arial" w:eastAsia="Arial" w:hAnsi="Arial"/>
                <w:sz w:val="18"/>
                <w:szCs w:val="18"/>
                <w:color w:val="auto"/>
              </w:rPr>
              <w:t>(Charged) / credited to the consolidated statement of</w:t>
            </w:r>
          </w:p>
        </w:tc>
        <w:tc>
          <w:tcPr>
            <w:tcW w:w="10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600" w:type="dxa"/>
            <w:vAlign w:val="bottom"/>
            <w:tcBorders>
              <w:top w:val="single" w:sz="8" w:color="auto"/>
            </w:tcBorders>
          </w:tcPr>
          <w:p>
            <w:pPr>
              <w:spacing w:after="0"/>
              <w:rPr>
                <w:sz w:val="18"/>
                <w:szCs w:val="18"/>
                <w:color w:val="auto"/>
              </w:rPr>
            </w:pPr>
          </w:p>
        </w:tc>
        <w:tc>
          <w:tcPr>
            <w:tcW w:w="4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tcBorders>
              <w:top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5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60" w:type="dxa"/>
            <w:vAlign w:val="bottom"/>
            <w:tcBorders>
              <w:top w:val="single" w:sz="8" w:color="auto"/>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66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320" w:type="dxa"/>
            <w:vAlign w:val="bottom"/>
          </w:tcPr>
          <w:p>
            <w:pPr>
              <w:ind w:left="20"/>
              <w:spacing w:after="0"/>
              <w:rPr>
                <w:sz w:val="20"/>
                <w:szCs w:val="20"/>
                <w:color w:val="auto"/>
              </w:rPr>
            </w:pPr>
            <w:r>
              <w:rPr>
                <w:rFonts w:ascii="Arial" w:cs="Arial" w:eastAsia="Arial" w:hAnsi="Arial"/>
                <w:sz w:val="18"/>
                <w:szCs w:val="18"/>
                <w:color w:val="auto"/>
              </w:rPr>
              <w:t>profit or loss and other comprehensive income</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73,730</w:t>
            </w:r>
          </w:p>
        </w:tc>
        <w:tc>
          <w:tcPr>
            <w:tcW w:w="400" w:type="dxa"/>
            <w:vAlign w:val="bottom"/>
          </w:tcPr>
          <w:p>
            <w:pPr>
              <w:spacing w:after="0"/>
              <w:rPr>
                <w:sz w:val="20"/>
                <w:szCs w:val="20"/>
                <w:color w:val="auto"/>
              </w:rPr>
            </w:pPr>
          </w:p>
        </w:tc>
        <w:tc>
          <w:tcPr>
            <w:tcW w:w="1040" w:type="dxa"/>
            <w:vAlign w:val="bottom"/>
            <w:gridSpan w:val="3"/>
          </w:tcPr>
          <w:p>
            <w:pPr>
              <w:jc w:val="right"/>
              <w:ind w:right="120"/>
              <w:spacing w:after="0"/>
              <w:rPr>
                <w:sz w:val="20"/>
                <w:szCs w:val="20"/>
                <w:color w:val="auto"/>
              </w:rPr>
            </w:pPr>
            <w:r>
              <w:rPr>
                <w:rFonts w:ascii="Arial" w:cs="Arial" w:eastAsia="Arial" w:hAnsi="Arial"/>
                <w:sz w:val="18"/>
                <w:szCs w:val="18"/>
                <w:color w:val="auto"/>
              </w:rPr>
              <w:t>(2,790)</w:t>
            </w:r>
          </w:p>
        </w:tc>
        <w:tc>
          <w:tcPr>
            <w:tcW w:w="3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40" w:type="dxa"/>
            <w:vAlign w:val="bottom"/>
            <w:gridSpan w:val="3"/>
          </w:tcPr>
          <w:p>
            <w:pPr>
              <w:jc w:val="right"/>
              <w:ind w:right="40"/>
              <w:spacing w:after="0"/>
              <w:rPr>
                <w:sz w:val="20"/>
                <w:szCs w:val="20"/>
                <w:color w:val="auto"/>
              </w:rPr>
            </w:pPr>
            <w:r>
              <w:rPr>
                <w:rFonts w:ascii="Arial" w:cs="Arial" w:eastAsia="Arial" w:hAnsi="Arial"/>
                <w:sz w:val="18"/>
                <w:szCs w:val="18"/>
                <w:color w:val="auto"/>
              </w:rPr>
              <w:t>(219,044)</w:t>
            </w:r>
          </w:p>
        </w:tc>
        <w:tc>
          <w:tcPr>
            <w:tcW w:w="1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80" w:type="dxa"/>
            <w:vAlign w:val="bottom"/>
            <w:gridSpan w:val="3"/>
          </w:tcPr>
          <w:p>
            <w:pPr>
              <w:jc w:val="right"/>
              <w:spacing w:after="0"/>
              <w:rPr>
                <w:sz w:val="20"/>
                <w:szCs w:val="20"/>
                <w:color w:val="auto"/>
              </w:rPr>
            </w:pPr>
            <w:r>
              <w:rPr>
                <w:rFonts w:ascii="Arial" w:cs="Arial" w:eastAsia="Arial" w:hAnsi="Arial"/>
                <w:sz w:val="18"/>
                <w:szCs w:val="18"/>
                <w:color w:val="auto"/>
              </w:rPr>
              <w:t>3,144</w:t>
            </w:r>
          </w:p>
        </w:tc>
        <w:tc>
          <w:tcPr>
            <w:tcW w:w="3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80" w:type="dxa"/>
            <w:vAlign w:val="bottom"/>
            <w:gridSpan w:val="2"/>
          </w:tcPr>
          <w:p>
            <w:pPr>
              <w:jc w:val="right"/>
              <w:ind w:right="60"/>
              <w:spacing w:after="0"/>
              <w:rPr>
                <w:sz w:val="20"/>
                <w:szCs w:val="20"/>
                <w:color w:val="auto"/>
              </w:rPr>
            </w:pPr>
            <w:r>
              <w:rPr>
                <w:rFonts w:ascii="Arial" w:cs="Arial" w:eastAsia="Arial" w:hAnsi="Arial"/>
                <w:sz w:val="18"/>
                <w:szCs w:val="18"/>
                <w:color w:val="auto"/>
                <w:w w:val="90"/>
              </w:rPr>
              <w:t>(144,960)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(Charged) / credited directly to equity</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509,260</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0" w:type="dxa"/>
            <w:vAlign w:val="bottom"/>
            <w:gridSpan w:val="3"/>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509,260</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4480" w:type="dxa"/>
            <w:vAlign w:val="bottom"/>
            <w:gridSpan w:val="3"/>
          </w:tcPr>
          <w:p>
            <w:pPr>
              <w:spacing w:after="0"/>
              <w:rPr>
                <w:sz w:val="20"/>
                <w:szCs w:val="20"/>
                <w:color w:val="auto"/>
              </w:rPr>
            </w:pPr>
            <w:r>
              <w:rPr>
                <w:rFonts w:ascii="Arial" w:cs="Arial" w:eastAsia="Arial" w:hAnsi="Arial"/>
                <w:sz w:val="18"/>
                <w:szCs w:val="18"/>
                <w:b w:val="1"/>
                <w:bCs w:val="1"/>
                <w:color w:val="auto"/>
              </w:rPr>
              <w:t>At June 30, 2018</w:t>
            </w:r>
          </w:p>
        </w:tc>
        <w:tc>
          <w:tcPr>
            <w:tcW w:w="100" w:type="dxa"/>
            <w:vAlign w:val="bottom"/>
          </w:tcPr>
          <w:p>
            <w:pPr>
              <w:spacing w:after="0"/>
              <w:rPr>
                <w:sz w:val="19"/>
                <w:szCs w:val="19"/>
                <w:color w:val="auto"/>
              </w:rPr>
            </w:pPr>
          </w:p>
        </w:tc>
        <w:tc>
          <w:tcPr>
            <w:tcW w:w="24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b w:val="1"/>
                <w:bCs w:val="1"/>
                <w:u w:val="single" w:color="auto"/>
                <w:color w:val="auto"/>
                <w:w w:val="95"/>
              </w:rPr>
              <w:t>A$</w:t>
            </w: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86"/>
              </w:rPr>
              <w:t>122,153</w:t>
            </w:r>
          </w:p>
        </w:tc>
        <w:tc>
          <w:tcPr>
            <w:tcW w:w="4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2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8"/>
                <w:szCs w:val="18"/>
                <w:b w:val="1"/>
                <w:bCs w:val="1"/>
                <w:u w:val="single" w:color="auto"/>
                <w:color w:val="auto"/>
                <w:w w:val="92"/>
              </w:rPr>
              <w:t>A$</w:t>
            </w:r>
            <w:r>
              <w:rPr>
                <w:rFonts w:ascii="Arial" w:cs="Arial" w:eastAsia="Arial" w:hAnsi="Arial"/>
                <w:sz w:val="18"/>
                <w:szCs w:val="18"/>
                <w:b w:val="1"/>
                <w:bCs w:val="1"/>
                <w:color w:val="auto"/>
                <w:w w:val="92"/>
              </w:rPr>
              <w:t>10,155</w:t>
            </w:r>
          </w:p>
        </w:tc>
        <w:tc>
          <w:tcPr>
            <w:tcW w:w="1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22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b w:val="1"/>
                <w:bCs w:val="1"/>
                <w:u w:val="single" w:color="auto"/>
                <w:color w:val="auto"/>
                <w:w w:val="86"/>
              </w:rPr>
              <w:t>A$</w:t>
            </w:r>
          </w:p>
        </w:tc>
        <w:tc>
          <w:tcPr>
            <w:tcW w:w="74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w w:val="89"/>
              </w:rPr>
              <w:t>1,025,616</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00" w:type="dxa"/>
            <w:vAlign w:val="bottom"/>
            <w:tcBorders>
              <w:top w:val="single" w:sz="8" w:color="auto"/>
              <w:bottom w:val="single" w:sz="8" w:color="auto"/>
            </w:tcBorders>
            <w:gridSpan w:val="2"/>
          </w:tcPr>
          <w:p>
            <w:pPr>
              <w:spacing w:after="0"/>
              <w:rPr>
                <w:sz w:val="20"/>
                <w:szCs w:val="20"/>
                <w:color w:val="auto"/>
              </w:rPr>
            </w:pPr>
            <w:r>
              <w:rPr>
                <w:rFonts w:ascii="Arial" w:cs="Arial" w:eastAsia="Arial" w:hAnsi="Arial"/>
                <w:sz w:val="18"/>
                <w:szCs w:val="18"/>
                <w:b w:val="1"/>
                <w:bCs w:val="1"/>
                <w:u w:val="single" w:color="auto"/>
                <w:color w:val="auto"/>
                <w:w w:val="93"/>
              </w:rPr>
              <w:t>A</w:t>
            </w:r>
            <w:r>
              <w:rPr>
                <w:rFonts w:ascii="Arial" w:cs="Arial" w:eastAsia="Arial" w:hAnsi="Arial"/>
                <w:sz w:val="18"/>
                <w:szCs w:val="18"/>
                <w:b w:val="1"/>
                <w:bCs w:val="1"/>
                <w:color w:val="auto"/>
                <w:w w:val="93"/>
              </w:rPr>
              <w:t>$ 2,378</w:t>
            </w:r>
          </w:p>
        </w:tc>
        <w:tc>
          <w:tcPr>
            <w:tcW w:w="3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60" w:type="dxa"/>
            <w:vAlign w:val="bottom"/>
            <w:tcBorders>
              <w:top w:val="single" w:sz="8" w:color="auto"/>
              <w:bottom w:val="single" w:sz="8" w:color="auto"/>
            </w:tcBorders>
            <w:gridSpan w:val="3"/>
          </w:tcPr>
          <w:p>
            <w:pPr>
              <w:jc w:val="center"/>
              <w:spacing w:after="0"/>
              <w:rPr>
                <w:sz w:val="20"/>
                <w:szCs w:val="20"/>
                <w:color w:val="auto"/>
              </w:rPr>
            </w:pPr>
            <w:r>
              <w:rPr>
                <w:rFonts w:ascii="Arial" w:cs="Arial" w:eastAsia="Arial" w:hAnsi="Arial"/>
                <w:sz w:val="18"/>
                <w:szCs w:val="18"/>
                <w:b w:val="1"/>
                <w:bCs w:val="1"/>
                <w:u w:val="single" w:color="auto"/>
                <w:color w:val="auto"/>
                <w:w w:val="93"/>
              </w:rPr>
              <w:t>A$</w:t>
            </w:r>
            <w:r>
              <w:rPr>
                <w:rFonts w:ascii="Arial" w:cs="Arial" w:eastAsia="Arial" w:hAnsi="Arial"/>
                <w:sz w:val="18"/>
                <w:szCs w:val="18"/>
                <w:b w:val="1"/>
                <w:bCs w:val="1"/>
                <w:color w:val="auto"/>
                <w:w w:val="93"/>
              </w:rPr>
              <w:t>1,160,302</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72"/>
        </w:trPr>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0" w:type="dxa"/>
            <w:vAlign w:val="bottom"/>
            <w:gridSpan w:val="2"/>
          </w:tcPr>
          <w:p>
            <w:pPr>
              <w:jc w:val="right"/>
              <w:ind w:right="140"/>
              <w:spacing w:after="0"/>
              <w:rPr>
                <w:sz w:val="20"/>
                <w:szCs w:val="20"/>
                <w:color w:val="auto"/>
              </w:rPr>
            </w:pPr>
            <w:r>
              <w:rPr>
                <w:rFonts w:ascii="Arial" w:cs="Arial" w:eastAsia="Arial" w:hAnsi="Arial"/>
                <w:sz w:val="18"/>
                <w:szCs w:val="18"/>
                <w:color w:val="auto"/>
              </w:rPr>
              <w:t>F-27</w:t>
            </w:r>
          </w:p>
        </w:tc>
        <w:tc>
          <w:tcPr>
            <w:tcW w:w="1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240" w:top="459" w:right="419" w:bottom="1440" w:gutter="0" w:footer="0" w:header="0"/>
        </w:sectPr>
      </w:pPr>
    </w:p>
    <w:bookmarkStart w:id="126" w:name="page127"/>
    <w:bookmarkEnd w:id="12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7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319"/>
        <w:spacing w:after="0"/>
        <w:rPr>
          <w:sz w:val="20"/>
          <w:szCs w:val="20"/>
          <w:color w:val="auto"/>
        </w:rPr>
      </w:pPr>
      <w:r>
        <w:rPr>
          <w:rFonts w:ascii="Arial" w:cs="Arial" w:eastAsia="Arial" w:hAnsi="Arial"/>
          <w:sz w:val="18"/>
          <w:szCs w:val="18"/>
          <w:b w:val="1"/>
          <w:bCs w:val="1"/>
          <w:color w:val="auto"/>
        </w:rPr>
        <w:t>AVITA MEDICAL LIMITED</w:t>
      </w:r>
    </w:p>
    <w:p>
      <w:pPr>
        <w:spacing w:after="0" w:line="27" w:lineRule="exact"/>
        <w:rPr>
          <w:sz w:val="20"/>
          <w:szCs w:val="20"/>
          <w:color w:val="auto"/>
        </w:rPr>
      </w:pPr>
    </w:p>
    <w:p>
      <w:pPr>
        <w:jc w:val="center"/>
        <w:ind w:right="-319"/>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9" w:lineRule="exact"/>
        <w:rPr>
          <w:sz w:val="20"/>
          <w:szCs w:val="20"/>
          <w:color w:val="auto"/>
        </w:rPr>
      </w:pPr>
    </w:p>
    <w:p>
      <w:pPr>
        <w:jc w:val="center"/>
        <w:ind w:right="-319"/>
        <w:spacing w:after="0"/>
        <w:rPr>
          <w:sz w:val="20"/>
          <w:szCs w:val="20"/>
          <w:color w:val="auto"/>
        </w:rPr>
      </w:pPr>
      <w:r>
        <w:rPr>
          <w:rFonts w:ascii="Arial" w:cs="Arial" w:eastAsia="Arial" w:hAnsi="Arial"/>
          <w:sz w:val="18"/>
          <w:szCs w:val="18"/>
          <w:b w:val="1"/>
          <w:bCs w:val="1"/>
          <w:color w:val="auto"/>
        </w:rPr>
        <w:t>(IN AUSTRALIAN DOLLARS)</w:t>
      </w:r>
    </w:p>
    <w:p>
      <w:pPr>
        <w:spacing w:after="0" w:line="234" w:lineRule="exact"/>
        <w:rPr>
          <w:sz w:val="20"/>
          <w:szCs w:val="20"/>
          <w:color w:val="auto"/>
        </w:rPr>
      </w:pPr>
    </w:p>
    <w:p>
      <w:pPr>
        <w:ind w:left="200" w:right="8040" w:firstLine="4"/>
        <w:spacing w:after="0" w:line="385" w:lineRule="auto"/>
        <w:tabs>
          <w:tab w:leader="none" w:pos="632" w:val="left"/>
        </w:tabs>
        <w:numPr>
          <w:ilvl w:val="0"/>
          <w:numId w:val="126"/>
        </w:numPr>
        <w:rPr>
          <w:rFonts w:ascii="Arial" w:cs="Arial" w:eastAsia="Arial" w:hAnsi="Arial"/>
          <w:sz w:val="18"/>
          <w:szCs w:val="18"/>
          <w:b w:val="1"/>
          <w:bCs w:val="1"/>
          <w:color w:val="auto"/>
        </w:rPr>
      </w:pPr>
      <w:r>
        <w:rPr>
          <w:rFonts w:ascii="Arial" w:cs="Arial" w:eastAsia="Arial" w:hAnsi="Arial"/>
          <w:sz w:val="18"/>
          <w:szCs w:val="18"/>
          <w:b w:val="1"/>
          <w:bCs w:val="1"/>
          <w:color w:val="auto"/>
        </w:rPr>
        <w:t>INCOME TAX (CONTINUED) Tax losses</w:t>
      </w:r>
    </w:p>
    <w:p>
      <w:pPr>
        <w:spacing w:after="0" w:line="2" w:lineRule="exact"/>
        <w:rPr>
          <w:sz w:val="20"/>
          <w:szCs w:val="20"/>
          <w:color w:val="auto"/>
        </w:rPr>
      </w:pPr>
    </w:p>
    <w:p>
      <w:pPr>
        <w:ind w:left="200"/>
        <w:spacing w:after="0" w:line="264" w:lineRule="auto"/>
        <w:rPr>
          <w:sz w:val="20"/>
          <w:szCs w:val="20"/>
          <w:color w:val="auto"/>
        </w:rPr>
      </w:pPr>
      <w:r>
        <w:rPr>
          <w:rFonts w:ascii="Arial" w:cs="Arial" w:eastAsia="Arial" w:hAnsi="Arial"/>
          <w:sz w:val="18"/>
          <w:szCs w:val="18"/>
          <w:color w:val="auto"/>
        </w:rPr>
        <w:t>The Company has income tax losses for which no deferred tax asset is recognized on the consolidated statement of financial position of A$111,722,828 (2017: A$100,140,383 and 2016: A$89,534,487) which are available indefinitely for offset against future taxable profits subject to continuing to meet relevant statutory tests. The total losses of the Company are broken down in the following table:</w:t>
      </w:r>
    </w:p>
    <w:p>
      <w:pPr>
        <w:spacing w:after="0" w:line="187" w:lineRule="exact"/>
        <w:rPr>
          <w:sz w:val="20"/>
          <w:szCs w:val="20"/>
          <w:color w:val="auto"/>
        </w:rPr>
      </w:pPr>
    </w:p>
    <w:tbl>
      <w:tblPr>
        <w:tblLayout w:type="fixed"/>
        <w:tblInd w:w="1080" w:type="dxa"/>
        <w:tblCellMar>
          <w:top w:w="0" w:type="dxa"/>
          <w:left w:w="0" w:type="dxa"/>
          <w:bottom w:w="0" w:type="dxa"/>
          <w:right w:w="0" w:type="dxa"/>
        </w:tblCellMar>
      </w:tblPr>
      <w:tr>
        <w:trPr>
          <w:trHeight w:val="161"/>
        </w:trPr>
        <w:tc>
          <w:tcPr>
            <w:tcW w:w="760" w:type="dxa"/>
            <w:vAlign w:val="bottom"/>
            <w:vMerge w:val="restart"/>
          </w:tcPr>
          <w:p>
            <w:pPr>
              <w:spacing w:after="0"/>
              <w:rPr>
                <w:sz w:val="20"/>
                <w:szCs w:val="20"/>
                <w:color w:val="auto"/>
              </w:rPr>
            </w:pPr>
            <w:r>
              <w:rPr>
                <w:rFonts w:ascii="Arial" w:cs="Arial" w:eastAsia="Arial" w:hAnsi="Arial"/>
                <w:sz w:val="14"/>
                <w:szCs w:val="14"/>
                <w:b w:val="1"/>
                <w:bCs w:val="1"/>
                <w:color w:val="auto"/>
                <w:w w:val="93"/>
              </w:rPr>
              <w:t>Jurisdiction</w:t>
            </w:r>
          </w:p>
        </w:tc>
        <w:tc>
          <w:tcPr>
            <w:tcW w:w="3860" w:type="dxa"/>
            <w:vAlign w:val="bottom"/>
            <w:vMerge w:val="restart"/>
          </w:tcPr>
          <w:p>
            <w:pPr>
              <w:spacing w:after="0"/>
              <w:rPr>
                <w:sz w:val="14"/>
                <w:szCs w:val="14"/>
                <w:color w:val="auto"/>
              </w:rPr>
            </w:pPr>
          </w:p>
        </w:tc>
        <w:tc>
          <w:tcPr>
            <w:tcW w:w="1140" w:type="dxa"/>
            <w:vAlign w:val="bottom"/>
            <w:gridSpan w:val="2"/>
            <w:vMerge w:val="restart"/>
          </w:tcPr>
          <w:p>
            <w:pPr>
              <w:jc w:val="right"/>
              <w:ind w:right="130"/>
              <w:spacing w:after="0"/>
              <w:rPr>
                <w:sz w:val="20"/>
                <w:szCs w:val="20"/>
                <w:color w:val="auto"/>
              </w:rPr>
            </w:pPr>
            <w:r>
              <w:rPr>
                <w:rFonts w:ascii="Arial" w:cs="Arial" w:eastAsia="Arial" w:hAnsi="Arial"/>
                <w:sz w:val="14"/>
                <w:szCs w:val="14"/>
                <w:b w:val="1"/>
                <w:bCs w:val="1"/>
                <w:color w:val="auto"/>
              </w:rPr>
              <w:t>Total Losses</w:t>
            </w:r>
          </w:p>
        </w:tc>
        <w:tc>
          <w:tcPr>
            <w:tcW w:w="760" w:type="dxa"/>
            <w:vAlign w:val="bottom"/>
          </w:tcPr>
          <w:p>
            <w:pPr>
              <w:spacing w:after="0"/>
              <w:rPr>
                <w:sz w:val="14"/>
                <w:szCs w:val="14"/>
                <w:color w:val="auto"/>
              </w:rPr>
            </w:pPr>
          </w:p>
        </w:tc>
        <w:tc>
          <w:tcPr>
            <w:tcW w:w="1300" w:type="dxa"/>
            <w:vAlign w:val="bottom"/>
            <w:gridSpan w:val="2"/>
          </w:tcPr>
          <w:p>
            <w:pPr>
              <w:jc w:val="right"/>
              <w:ind w:right="500"/>
              <w:spacing w:after="0"/>
              <w:rPr>
                <w:sz w:val="20"/>
                <w:szCs w:val="20"/>
                <w:color w:val="auto"/>
              </w:rPr>
            </w:pPr>
            <w:r>
              <w:rPr>
                <w:rFonts w:ascii="Arial" w:cs="Arial" w:eastAsia="Arial" w:hAnsi="Arial"/>
                <w:sz w:val="14"/>
                <w:szCs w:val="14"/>
                <w:b w:val="1"/>
                <w:bCs w:val="1"/>
                <w:color w:val="auto"/>
                <w:w w:val="90"/>
              </w:rPr>
              <w:t>Relevant Tax</w:t>
            </w:r>
          </w:p>
        </w:tc>
        <w:tc>
          <w:tcPr>
            <w:tcW w:w="340" w:type="dxa"/>
            <w:vAlign w:val="bottom"/>
          </w:tcPr>
          <w:p>
            <w:pPr>
              <w:spacing w:after="0"/>
              <w:rPr>
                <w:sz w:val="14"/>
                <w:szCs w:val="14"/>
                <w:color w:val="auto"/>
              </w:rPr>
            </w:pPr>
          </w:p>
        </w:tc>
        <w:tc>
          <w:tcPr>
            <w:tcW w:w="1100" w:type="dxa"/>
            <w:vAlign w:val="bottom"/>
            <w:vMerge w:val="restart"/>
          </w:tcPr>
          <w:p>
            <w:pPr>
              <w:jc w:val="right"/>
              <w:ind w:right="96"/>
              <w:spacing w:after="0"/>
              <w:rPr>
                <w:sz w:val="20"/>
                <w:szCs w:val="20"/>
                <w:color w:val="auto"/>
              </w:rPr>
            </w:pPr>
            <w:r>
              <w:rPr>
                <w:rFonts w:ascii="Arial" w:cs="Arial" w:eastAsia="Arial" w:hAnsi="Arial"/>
                <w:sz w:val="14"/>
                <w:szCs w:val="14"/>
                <w:b w:val="1"/>
                <w:bCs w:val="1"/>
                <w:color w:val="auto"/>
              </w:rPr>
              <w:t>Relevant Tax</w:t>
            </w:r>
          </w:p>
        </w:tc>
        <w:tc>
          <w:tcPr>
            <w:tcW w:w="0" w:type="dxa"/>
            <w:vAlign w:val="bottom"/>
          </w:tcPr>
          <w:p>
            <w:pPr>
              <w:spacing w:after="0"/>
              <w:rPr>
                <w:sz w:val="1"/>
                <w:szCs w:val="1"/>
                <w:color w:val="auto"/>
              </w:rPr>
            </w:pPr>
          </w:p>
        </w:tc>
      </w:tr>
      <w:tr>
        <w:trPr>
          <w:trHeight w:val="163"/>
        </w:trPr>
        <w:tc>
          <w:tcPr>
            <w:tcW w:w="760" w:type="dxa"/>
            <w:vAlign w:val="bottom"/>
            <w:tcBorders>
              <w:bottom w:val="single" w:sz="8" w:color="auto"/>
            </w:tcBorders>
            <w:vMerge w:val="continue"/>
          </w:tcPr>
          <w:p>
            <w:pPr>
              <w:spacing w:after="0"/>
              <w:rPr>
                <w:sz w:val="13"/>
                <w:szCs w:val="13"/>
                <w:color w:val="auto"/>
              </w:rPr>
            </w:pPr>
          </w:p>
        </w:tc>
        <w:tc>
          <w:tcPr>
            <w:tcW w:w="3860" w:type="dxa"/>
            <w:vAlign w:val="bottom"/>
            <w:vMerge w:val="continue"/>
          </w:tcPr>
          <w:p>
            <w:pPr>
              <w:spacing w:after="0"/>
              <w:rPr>
                <w:sz w:val="13"/>
                <w:szCs w:val="13"/>
                <w:color w:val="auto"/>
              </w:rPr>
            </w:pPr>
          </w:p>
        </w:tc>
        <w:tc>
          <w:tcPr>
            <w:tcW w:w="1140" w:type="dxa"/>
            <w:vAlign w:val="bottom"/>
            <w:gridSpan w:val="2"/>
            <w:vMerge w:val="continue"/>
          </w:tcPr>
          <w:p>
            <w:pPr>
              <w:spacing w:after="0"/>
              <w:rPr>
                <w:sz w:val="13"/>
                <w:szCs w:val="13"/>
                <w:color w:val="auto"/>
              </w:rPr>
            </w:pPr>
          </w:p>
        </w:tc>
        <w:tc>
          <w:tcPr>
            <w:tcW w:w="760" w:type="dxa"/>
            <w:vAlign w:val="bottom"/>
          </w:tcPr>
          <w:p>
            <w:pPr>
              <w:spacing w:after="0"/>
              <w:rPr>
                <w:sz w:val="13"/>
                <w:szCs w:val="13"/>
                <w:color w:val="auto"/>
              </w:rPr>
            </w:pPr>
          </w:p>
        </w:tc>
        <w:tc>
          <w:tcPr>
            <w:tcW w:w="1300" w:type="dxa"/>
            <w:vAlign w:val="bottom"/>
            <w:gridSpan w:val="2"/>
          </w:tcPr>
          <w:p>
            <w:pPr>
              <w:jc w:val="right"/>
              <w:ind w:right="760"/>
              <w:spacing w:after="0" w:line="158" w:lineRule="exact"/>
              <w:rPr>
                <w:sz w:val="20"/>
                <w:szCs w:val="20"/>
                <w:color w:val="auto"/>
              </w:rPr>
            </w:pPr>
            <w:r>
              <w:rPr>
                <w:rFonts w:ascii="Arial" w:cs="Arial" w:eastAsia="Arial" w:hAnsi="Arial"/>
                <w:sz w:val="14"/>
                <w:szCs w:val="14"/>
                <w:b w:val="1"/>
                <w:bCs w:val="1"/>
                <w:color w:val="auto"/>
              </w:rPr>
              <w:t>Rate</w:t>
            </w:r>
          </w:p>
        </w:tc>
        <w:tc>
          <w:tcPr>
            <w:tcW w:w="340" w:type="dxa"/>
            <w:vAlign w:val="bottom"/>
          </w:tcPr>
          <w:p>
            <w:pPr>
              <w:spacing w:after="0"/>
              <w:rPr>
                <w:sz w:val="13"/>
                <w:szCs w:val="13"/>
                <w:color w:val="auto"/>
              </w:rPr>
            </w:pPr>
          </w:p>
        </w:tc>
        <w:tc>
          <w:tcPr>
            <w:tcW w:w="110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4620" w:type="dxa"/>
            <w:vAlign w:val="bottom"/>
            <w:gridSpan w:val="2"/>
            <w:vMerge w:val="restart"/>
            <w:shd w:val="clear" w:color="auto" w:fill="CCEEFF"/>
          </w:tcPr>
          <w:p>
            <w:pPr>
              <w:spacing w:after="0"/>
              <w:rPr>
                <w:sz w:val="20"/>
                <w:szCs w:val="20"/>
                <w:color w:val="auto"/>
              </w:rPr>
            </w:pPr>
            <w:r>
              <w:rPr>
                <w:rFonts w:ascii="Arial" w:cs="Arial" w:eastAsia="Arial" w:hAnsi="Arial"/>
                <w:sz w:val="18"/>
                <w:szCs w:val="18"/>
                <w:color w:val="auto"/>
              </w:rPr>
              <w:t>Australia</w:t>
            </w:r>
          </w:p>
        </w:tc>
        <w:tc>
          <w:tcPr>
            <w:tcW w:w="220" w:type="dxa"/>
            <w:vAlign w:val="bottom"/>
            <w:shd w:val="clear" w:color="auto" w:fill="000000"/>
          </w:tcPr>
          <w:p>
            <w:pPr>
              <w:spacing w:after="0" w:line="20" w:lineRule="exact"/>
              <w:rPr>
                <w:sz w:val="1"/>
                <w:szCs w:val="1"/>
                <w:color w:val="auto"/>
              </w:rPr>
            </w:pPr>
          </w:p>
        </w:tc>
        <w:tc>
          <w:tcPr>
            <w:tcW w:w="920" w:type="dxa"/>
            <w:vAlign w:val="bottom"/>
            <w:tcBorders>
              <w:right w:val="single" w:sz="8" w:color="CCEEFF"/>
            </w:tcBorders>
            <w:shd w:val="clear" w:color="auto" w:fill="000000"/>
          </w:tcPr>
          <w:p>
            <w:pPr>
              <w:spacing w:after="0" w:line="20" w:lineRule="exact"/>
              <w:rPr>
                <w:sz w:val="1"/>
                <w:szCs w:val="1"/>
                <w:color w:val="auto"/>
              </w:rPr>
            </w:pPr>
          </w:p>
        </w:tc>
        <w:tc>
          <w:tcPr>
            <w:tcW w:w="760" w:type="dxa"/>
            <w:vAlign w:val="bottom"/>
            <w:vMerge w:val="restart"/>
            <w:shd w:val="clear" w:color="auto" w:fill="CCEEFF"/>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500" w:type="dxa"/>
            <w:vAlign w:val="bottom"/>
            <w:shd w:val="clear" w:color="auto" w:fill="CCEEFF"/>
          </w:tcPr>
          <w:p>
            <w:pPr>
              <w:spacing w:after="0" w:line="20" w:lineRule="exact"/>
              <w:rPr>
                <w:sz w:val="1"/>
                <w:szCs w:val="1"/>
                <w:color w:val="auto"/>
              </w:rPr>
            </w:pPr>
          </w:p>
        </w:tc>
        <w:tc>
          <w:tcPr>
            <w:tcW w:w="340" w:type="dxa"/>
            <w:vAlign w:val="bottom"/>
            <w:vMerge w:val="restart"/>
            <w:shd w:val="clear" w:color="auto" w:fill="CCEEFF"/>
          </w:tcPr>
          <w:p>
            <w:pPr>
              <w:spacing w:after="0" w:line="20" w:lineRule="exact"/>
              <w:rPr>
                <w:sz w:val="1"/>
                <w:szCs w:val="1"/>
                <w:color w:val="auto"/>
              </w:rPr>
            </w:pPr>
          </w:p>
        </w:tc>
        <w:tc>
          <w:tcPr>
            <w:tcW w:w="1100" w:type="dxa"/>
            <w:vAlign w:val="bottom"/>
            <w:tcBorders>
              <w:right w:val="single" w:sz="8" w:color="CCEEFF"/>
            </w:tcBorders>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4620" w:type="dxa"/>
            <w:vAlign w:val="bottom"/>
            <w:gridSpan w:val="2"/>
            <w:vMerge w:val="continue"/>
            <w:shd w:val="clear" w:color="auto" w:fill="CCEEFF"/>
          </w:tcPr>
          <w:p>
            <w:pPr>
              <w:spacing w:after="0"/>
              <w:rPr>
                <w:sz w:val="17"/>
                <w:szCs w:val="17"/>
                <w:color w:val="auto"/>
              </w:rPr>
            </w:pPr>
          </w:p>
        </w:tc>
        <w:tc>
          <w:tcPr>
            <w:tcW w:w="220" w:type="dxa"/>
            <w:vAlign w:val="bottom"/>
            <w:shd w:val="clear" w:color="auto" w:fill="CCEEFF"/>
          </w:tcPr>
          <w:p>
            <w:pPr>
              <w:spacing w:after="0" w:line="203" w:lineRule="exact"/>
              <w:rPr>
                <w:sz w:val="20"/>
                <w:szCs w:val="20"/>
                <w:color w:val="auto"/>
              </w:rPr>
            </w:pPr>
            <w:r>
              <w:rPr>
                <w:rFonts w:ascii="Arial" w:cs="Arial" w:eastAsia="Arial" w:hAnsi="Arial"/>
                <w:sz w:val="18"/>
                <w:szCs w:val="18"/>
                <w:color w:val="auto"/>
                <w:w w:val="90"/>
              </w:rPr>
              <w:t>A$</w:t>
            </w:r>
          </w:p>
        </w:tc>
        <w:tc>
          <w:tcPr>
            <w:tcW w:w="920" w:type="dxa"/>
            <w:vAlign w:val="bottom"/>
            <w:tcBorders>
              <w:right w:val="single" w:sz="8" w:color="CCEEFF"/>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97"/>
              </w:rPr>
              <w:t>42,786,807</w:t>
            </w:r>
          </w:p>
        </w:tc>
        <w:tc>
          <w:tcPr>
            <w:tcW w:w="760" w:type="dxa"/>
            <w:vAlign w:val="bottom"/>
            <w:vMerge w:val="continue"/>
            <w:shd w:val="clear" w:color="auto" w:fill="CCEEFF"/>
          </w:tcPr>
          <w:p>
            <w:pPr>
              <w:spacing w:after="0"/>
              <w:rPr>
                <w:sz w:val="17"/>
                <w:szCs w:val="17"/>
                <w:color w:val="auto"/>
              </w:rPr>
            </w:pPr>
          </w:p>
        </w:tc>
        <w:tc>
          <w:tcPr>
            <w:tcW w:w="1300" w:type="dxa"/>
            <w:vAlign w:val="bottom"/>
            <w:gridSpan w:val="2"/>
            <w:shd w:val="clear" w:color="auto" w:fill="CCEEFF"/>
          </w:tcPr>
          <w:p>
            <w:pPr>
              <w:jc w:val="right"/>
              <w:ind w:right="340"/>
              <w:spacing w:after="0" w:line="203" w:lineRule="exact"/>
              <w:rPr>
                <w:sz w:val="20"/>
                <w:szCs w:val="20"/>
                <w:color w:val="auto"/>
              </w:rPr>
            </w:pPr>
            <w:r>
              <w:rPr>
                <w:rFonts w:ascii="Arial" w:cs="Arial" w:eastAsia="Arial" w:hAnsi="Arial"/>
                <w:sz w:val="18"/>
                <w:szCs w:val="18"/>
                <w:color w:val="auto"/>
              </w:rPr>
              <w:t>27.50%</w:t>
            </w:r>
          </w:p>
        </w:tc>
        <w:tc>
          <w:tcPr>
            <w:tcW w:w="340" w:type="dxa"/>
            <w:vAlign w:val="bottom"/>
            <w:vMerge w:val="continue"/>
            <w:shd w:val="clear" w:color="auto" w:fill="CCEEFF"/>
          </w:tcPr>
          <w:p>
            <w:pPr>
              <w:spacing w:after="0"/>
              <w:rPr>
                <w:sz w:val="17"/>
                <w:szCs w:val="17"/>
                <w:color w:val="auto"/>
              </w:rPr>
            </w:pPr>
          </w:p>
        </w:tc>
        <w:tc>
          <w:tcPr>
            <w:tcW w:w="1100" w:type="dxa"/>
            <w:vAlign w:val="bottom"/>
            <w:tcBorders>
              <w:right w:val="single" w:sz="8" w:color="CCEEFF"/>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90"/>
              </w:rPr>
              <w:t>A$11,766,372</w:t>
            </w:r>
          </w:p>
        </w:tc>
        <w:tc>
          <w:tcPr>
            <w:tcW w:w="0" w:type="dxa"/>
            <w:vAlign w:val="bottom"/>
          </w:tcPr>
          <w:p>
            <w:pPr>
              <w:spacing w:after="0"/>
              <w:rPr>
                <w:sz w:val="1"/>
                <w:szCs w:val="1"/>
                <w:color w:val="auto"/>
              </w:rPr>
            </w:pPr>
          </w:p>
        </w:tc>
      </w:tr>
      <w:tr>
        <w:trPr>
          <w:trHeight w:val="216"/>
        </w:trPr>
        <w:tc>
          <w:tcPr>
            <w:tcW w:w="4620" w:type="dxa"/>
            <w:vAlign w:val="bottom"/>
            <w:gridSpan w:val="2"/>
          </w:tcPr>
          <w:p>
            <w:pPr>
              <w:spacing w:after="0"/>
              <w:rPr>
                <w:sz w:val="20"/>
                <w:szCs w:val="20"/>
                <w:color w:val="auto"/>
              </w:rPr>
            </w:pPr>
            <w:r>
              <w:rPr>
                <w:rFonts w:ascii="Arial" w:cs="Arial" w:eastAsia="Arial" w:hAnsi="Arial"/>
                <w:sz w:val="18"/>
                <w:szCs w:val="18"/>
                <w:color w:val="auto"/>
              </w:rPr>
              <w:t>United States</w:t>
            </w:r>
          </w:p>
        </w:tc>
        <w:tc>
          <w:tcPr>
            <w:tcW w:w="2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w w:val="97"/>
              </w:rPr>
              <w:t>28,875,605</w:t>
            </w:r>
          </w:p>
        </w:tc>
        <w:tc>
          <w:tcPr>
            <w:tcW w:w="2060" w:type="dxa"/>
            <w:vAlign w:val="bottom"/>
            <w:gridSpan w:val="3"/>
          </w:tcPr>
          <w:p>
            <w:pPr>
              <w:jc w:val="right"/>
              <w:ind w:right="340"/>
              <w:spacing w:after="0"/>
              <w:rPr>
                <w:sz w:val="20"/>
                <w:szCs w:val="20"/>
                <w:color w:val="auto"/>
              </w:rPr>
            </w:pPr>
            <w:r>
              <w:rPr>
                <w:rFonts w:ascii="Arial" w:cs="Arial" w:eastAsia="Arial" w:hAnsi="Arial"/>
                <w:sz w:val="18"/>
                <w:szCs w:val="18"/>
                <w:color w:val="auto"/>
              </w:rPr>
              <w:t>21.00%</w:t>
            </w:r>
          </w:p>
        </w:tc>
        <w:tc>
          <w:tcPr>
            <w:tcW w:w="1440" w:type="dxa"/>
            <w:vAlign w:val="bottom"/>
            <w:gridSpan w:val="2"/>
          </w:tcPr>
          <w:p>
            <w:pPr>
              <w:jc w:val="right"/>
              <w:spacing w:after="0"/>
              <w:rPr>
                <w:sz w:val="20"/>
                <w:szCs w:val="20"/>
                <w:color w:val="auto"/>
              </w:rPr>
            </w:pPr>
            <w:r>
              <w:rPr>
                <w:rFonts w:ascii="Arial" w:cs="Arial" w:eastAsia="Arial" w:hAnsi="Arial"/>
                <w:sz w:val="18"/>
                <w:szCs w:val="18"/>
                <w:color w:val="auto"/>
              </w:rPr>
              <w:t>6,063,877</w:t>
            </w:r>
          </w:p>
        </w:tc>
        <w:tc>
          <w:tcPr>
            <w:tcW w:w="0" w:type="dxa"/>
            <w:vAlign w:val="bottom"/>
          </w:tcPr>
          <w:p>
            <w:pPr>
              <w:spacing w:after="0"/>
              <w:rPr>
                <w:sz w:val="1"/>
                <w:szCs w:val="1"/>
                <w:color w:val="auto"/>
              </w:rPr>
            </w:pPr>
          </w:p>
        </w:tc>
      </w:tr>
      <w:tr>
        <w:trPr>
          <w:trHeight w:val="216"/>
        </w:trPr>
        <w:tc>
          <w:tcPr>
            <w:tcW w:w="46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United Kingdom</w:t>
            </w:r>
          </w:p>
        </w:tc>
        <w:tc>
          <w:tcPr>
            <w:tcW w:w="220" w:type="dxa"/>
            <w:vAlign w:val="bottom"/>
            <w:shd w:val="clear" w:color="auto" w:fill="CCEEFF"/>
          </w:tcPr>
          <w:p>
            <w:pPr>
              <w:spacing w:after="0"/>
              <w:rPr>
                <w:sz w:val="18"/>
                <w:szCs w:val="18"/>
                <w:color w:val="auto"/>
              </w:rPr>
            </w:pPr>
          </w:p>
        </w:tc>
        <w:tc>
          <w:tcPr>
            <w:tcW w:w="9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7"/>
              </w:rPr>
              <w:t>40,060,416</w:t>
            </w:r>
          </w:p>
        </w:tc>
        <w:tc>
          <w:tcPr>
            <w:tcW w:w="2060" w:type="dxa"/>
            <w:vAlign w:val="bottom"/>
            <w:gridSpan w:val="3"/>
            <w:shd w:val="clear" w:color="auto" w:fill="CCEEFF"/>
          </w:tcPr>
          <w:p>
            <w:pPr>
              <w:jc w:val="right"/>
              <w:ind w:right="340"/>
              <w:spacing w:after="0"/>
              <w:rPr>
                <w:sz w:val="20"/>
                <w:szCs w:val="20"/>
                <w:color w:val="auto"/>
              </w:rPr>
            </w:pPr>
            <w:r>
              <w:rPr>
                <w:rFonts w:ascii="Arial" w:cs="Arial" w:eastAsia="Arial" w:hAnsi="Arial"/>
                <w:sz w:val="18"/>
                <w:szCs w:val="18"/>
                <w:color w:val="auto"/>
              </w:rPr>
              <w:t>19.00%</w:t>
            </w:r>
          </w:p>
        </w:tc>
        <w:tc>
          <w:tcPr>
            <w:tcW w:w="1440" w:type="dxa"/>
            <w:vAlign w:val="bottom"/>
            <w:tcBorders>
              <w:right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7,611,479</w:t>
            </w:r>
          </w:p>
        </w:tc>
        <w:tc>
          <w:tcPr>
            <w:tcW w:w="0" w:type="dxa"/>
            <w:vAlign w:val="bottom"/>
          </w:tcPr>
          <w:p>
            <w:pPr>
              <w:spacing w:after="0"/>
              <w:rPr>
                <w:sz w:val="1"/>
                <w:szCs w:val="1"/>
                <w:color w:val="auto"/>
              </w:rPr>
            </w:pPr>
          </w:p>
        </w:tc>
      </w:tr>
      <w:tr>
        <w:trPr>
          <w:trHeight w:val="223"/>
        </w:trPr>
        <w:tc>
          <w:tcPr>
            <w:tcW w:w="4620" w:type="dxa"/>
            <w:vAlign w:val="bottom"/>
            <w:gridSpan w:val="2"/>
          </w:tcPr>
          <w:p>
            <w:pPr>
              <w:spacing w:after="0"/>
              <w:rPr>
                <w:sz w:val="20"/>
                <w:szCs w:val="20"/>
                <w:color w:val="auto"/>
              </w:rPr>
            </w:pPr>
            <w:r>
              <w:rPr>
                <w:rFonts w:ascii="Arial" w:cs="Arial" w:eastAsia="Arial" w:hAnsi="Arial"/>
                <w:sz w:val="18"/>
                <w:szCs w:val="18"/>
                <w:b w:val="1"/>
                <w:bCs w:val="1"/>
                <w:color w:val="auto"/>
              </w:rPr>
              <w:t>Total</w:t>
            </w:r>
          </w:p>
        </w:tc>
        <w:tc>
          <w:tcPr>
            <w:tcW w:w="22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b w:val="1"/>
                <w:bCs w:val="1"/>
                <w:u w:val="single" w:color="auto"/>
                <w:color w:val="auto"/>
                <w:w w:val="86"/>
              </w:rPr>
              <w:t>A$</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87"/>
              </w:rPr>
              <w:t>111,722,828</w:t>
            </w:r>
          </w:p>
        </w:tc>
        <w:tc>
          <w:tcPr>
            <w:tcW w:w="76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u w:val="single" w:color="auto"/>
                <w:color w:val="auto"/>
                <w:w w:val="90"/>
              </w:rPr>
              <w:t>A$</w:t>
            </w:r>
            <w:r>
              <w:rPr>
                <w:rFonts w:ascii="Arial" w:cs="Arial" w:eastAsia="Arial" w:hAnsi="Arial"/>
                <w:sz w:val="18"/>
                <w:szCs w:val="18"/>
                <w:b w:val="1"/>
                <w:bCs w:val="1"/>
                <w:color w:val="auto"/>
                <w:w w:val="90"/>
              </w:rPr>
              <w:t>25,441,728</w:t>
            </w: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38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9"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Unrecognized temporary differences</w:t>
      </w:r>
    </w:p>
    <w:p>
      <w:pPr>
        <w:spacing w:after="0" w:line="121" w:lineRule="exact"/>
        <w:rPr>
          <w:sz w:val="20"/>
          <w:szCs w:val="20"/>
          <w:color w:val="auto"/>
        </w:rPr>
      </w:pPr>
    </w:p>
    <w:p>
      <w:pPr>
        <w:ind w:left="200" w:right="180"/>
        <w:spacing w:after="0" w:line="264" w:lineRule="auto"/>
        <w:rPr>
          <w:sz w:val="20"/>
          <w:szCs w:val="20"/>
          <w:color w:val="auto"/>
        </w:rPr>
      </w:pPr>
      <w:r>
        <w:rPr>
          <w:rFonts w:ascii="Arial" w:cs="Arial" w:eastAsia="Arial" w:hAnsi="Arial"/>
          <w:sz w:val="18"/>
          <w:szCs w:val="18"/>
          <w:color w:val="auto"/>
        </w:rPr>
        <w:t>At June 30, 2018, there is no recognized or unrecognized deferred income tax liability (2017 and 2016: A$nil) for taxes that would be payable on the unremitted earnings of certain of the Company’s subsidiaries. The Company has no liability for additional taxation should unremitted earnings be remitted (2017 and 2016: A$nil).</w:t>
      </w:r>
    </w:p>
    <w:p>
      <w:pPr>
        <w:spacing w:after="0" w:line="28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Tax consolidation</w:t>
      </w:r>
    </w:p>
    <w:p>
      <w:pPr>
        <w:spacing w:after="0" w:line="135" w:lineRule="exact"/>
        <w:rPr>
          <w:sz w:val="20"/>
          <w:szCs w:val="20"/>
          <w:color w:val="auto"/>
        </w:rPr>
      </w:pPr>
    </w:p>
    <w:p>
      <w:pPr>
        <w:ind w:left="640" w:hanging="436"/>
        <w:spacing w:after="0"/>
        <w:tabs>
          <w:tab w:leader="none" w:pos="640" w:val="left"/>
        </w:tabs>
        <w:numPr>
          <w:ilvl w:val="0"/>
          <w:numId w:val="127"/>
        </w:numPr>
        <w:rPr>
          <w:rFonts w:ascii="Arial" w:cs="Arial" w:eastAsia="Arial" w:hAnsi="Arial"/>
          <w:sz w:val="18"/>
          <w:szCs w:val="18"/>
          <w:b w:val="1"/>
          <w:bCs w:val="1"/>
          <w:i w:val="1"/>
          <w:iCs w:val="1"/>
          <w:color w:val="auto"/>
        </w:rPr>
      </w:pPr>
      <w:r>
        <w:rPr>
          <w:rFonts w:ascii="Arial" w:cs="Arial" w:eastAsia="Arial" w:hAnsi="Arial"/>
          <w:sz w:val="18"/>
          <w:szCs w:val="18"/>
          <w:i w:val="1"/>
          <w:iCs w:val="1"/>
          <w:color w:val="auto"/>
        </w:rPr>
        <w:t>Members of the tax consolidated group and the tax sharing arrangement</w:t>
      </w:r>
    </w:p>
    <w:p>
      <w:pPr>
        <w:spacing w:after="0" w:line="117" w:lineRule="exact"/>
        <w:rPr>
          <w:sz w:val="20"/>
          <w:szCs w:val="20"/>
          <w:color w:val="auto"/>
        </w:rPr>
      </w:pPr>
    </w:p>
    <w:p>
      <w:pPr>
        <w:jc w:val="both"/>
        <w:ind w:left="200" w:right="440"/>
        <w:spacing w:after="0" w:line="264" w:lineRule="auto"/>
        <w:rPr>
          <w:sz w:val="20"/>
          <w:szCs w:val="20"/>
          <w:color w:val="auto"/>
        </w:rPr>
      </w:pPr>
      <w:r>
        <w:rPr>
          <w:rFonts w:ascii="Arial" w:cs="Arial" w:eastAsia="Arial" w:hAnsi="Arial"/>
          <w:sz w:val="18"/>
          <w:szCs w:val="18"/>
          <w:color w:val="auto"/>
        </w:rPr>
        <w:t>Avita Medical Limited and its 100% owned Australian resident subsidiaries formed a tax consolidated group with effect from July 1, 2003. Avita Medical Limited is the parent entity of the tax consolidated group. Members of the group have not entered into a tax sharing arrangement or a tax funding arrangement.</w:t>
      </w:r>
    </w:p>
    <w:p>
      <w:pPr>
        <w:spacing w:after="0" w:line="330" w:lineRule="exact"/>
        <w:rPr>
          <w:sz w:val="20"/>
          <w:szCs w:val="20"/>
          <w:color w:val="auto"/>
        </w:rPr>
      </w:pPr>
    </w:p>
    <w:p>
      <w:pPr>
        <w:ind w:left="640" w:hanging="436"/>
        <w:spacing w:after="0"/>
        <w:tabs>
          <w:tab w:leader="none" w:pos="640" w:val="left"/>
        </w:tabs>
        <w:numPr>
          <w:ilvl w:val="0"/>
          <w:numId w:val="128"/>
        </w:numPr>
        <w:rPr>
          <w:rFonts w:ascii="Arial" w:cs="Arial" w:eastAsia="Arial" w:hAnsi="Arial"/>
          <w:sz w:val="18"/>
          <w:szCs w:val="18"/>
          <w:b w:val="1"/>
          <w:bCs w:val="1"/>
          <w:i w:val="1"/>
          <w:iCs w:val="1"/>
          <w:color w:val="auto"/>
        </w:rPr>
      </w:pPr>
      <w:r>
        <w:rPr>
          <w:rFonts w:ascii="Arial" w:cs="Arial" w:eastAsia="Arial" w:hAnsi="Arial"/>
          <w:sz w:val="18"/>
          <w:szCs w:val="18"/>
          <w:i w:val="1"/>
          <w:iCs w:val="1"/>
          <w:color w:val="auto"/>
        </w:rPr>
        <w:t>Tax effect accounting by members of the tax consolidated group</w:t>
      </w:r>
    </w:p>
    <w:p>
      <w:pPr>
        <w:spacing w:after="0" w:line="117" w:lineRule="exact"/>
        <w:rPr>
          <w:sz w:val="20"/>
          <w:szCs w:val="20"/>
          <w:color w:val="auto"/>
        </w:rPr>
      </w:pPr>
    </w:p>
    <w:p>
      <w:pPr>
        <w:ind w:left="200"/>
        <w:spacing w:after="0"/>
        <w:rPr>
          <w:sz w:val="20"/>
          <w:szCs w:val="20"/>
          <w:color w:val="auto"/>
        </w:rPr>
      </w:pPr>
      <w:r>
        <w:rPr>
          <w:rFonts w:ascii="Arial" w:cs="Arial" w:eastAsia="Arial" w:hAnsi="Arial"/>
          <w:sz w:val="18"/>
          <w:szCs w:val="18"/>
          <w:color w:val="auto"/>
        </w:rPr>
        <w:t>No amounts have been recognized as tax consolidation contribution adjustments in preparing the accounts of Avita Medical Limited.</w:t>
      </w:r>
    </w:p>
    <w:p>
      <w:pPr>
        <w:spacing w:after="0" w:line="370" w:lineRule="exact"/>
        <w:rPr>
          <w:sz w:val="20"/>
          <w:szCs w:val="20"/>
          <w:color w:val="auto"/>
        </w:rPr>
      </w:pPr>
    </w:p>
    <w:p>
      <w:pPr>
        <w:ind w:left="640" w:hanging="436"/>
        <w:spacing w:after="0"/>
        <w:tabs>
          <w:tab w:leader="none" w:pos="640" w:val="left"/>
        </w:tabs>
        <w:numPr>
          <w:ilvl w:val="0"/>
          <w:numId w:val="129"/>
        </w:numPr>
        <w:rPr>
          <w:rFonts w:ascii="Arial" w:cs="Arial" w:eastAsia="Arial" w:hAnsi="Arial"/>
          <w:sz w:val="18"/>
          <w:szCs w:val="18"/>
          <w:b w:val="1"/>
          <w:bCs w:val="1"/>
          <w:color w:val="auto"/>
        </w:rPr>
      </w:pPr>
      <w:r>
        <w:rPr>
          <w:rFonts w:ascii="Arial" w:cs="Arial" w:eastAsia="Arial" w:hAnsi="Arial"/>
          <w:sz w:val="18"/>
          <w:szCs w:val="18"/>
          <w:b w:val="1"/>
          <w:bCs w:val="1"/>
          <w:color w:val="auto"/>
        </w:rPr>
        <w:t>CURRENT ASSETS – CASH AND CASH EQUIVALENTS</w:t>
      </w:r>
    </w:p>
    <w:p>
      <w:pPr>
        <w:spacing w:after="0" w:line="114" w:lineRule="exact"/>
        <w:rPr>
          <w:sz w:val="20"/>
          <w:szCs w:val="20"/>
          <w:color w:val="auto"/>
        </w:rPr>
      </w:pPr>
    </w:p>
    <w:tbl>
      <w:tblPr>
        <w:tblLayout w:type="fixed"/>
        <w:tblInd w:w="152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900" w:type="dxa"/>
            <w:vAlign w:val="bottom"/>
          </w:tcPr>
          <w:p>
            <w:pPr>
              <w:spacing w:after="0"/>
              <w:rPr>
                <w:sz w:val="14"/>
                <w:szCs w:val="14"/>
                <w:color w:val="auto"/>
              </w:rPr>
            </w:pPr>
          </w:p>
        </w:tc>
        <w:tc>
          <w:tcPr>
            <w:tcW w:w="2660" w:type="dxa"/>
            <w:vAlign w:val="bottom"/>
          </w:tcPr>
          <w:p>
            <w:pPr>
              <w:spacing w:after="0"/>
              <w:rPr>
                <w:sz w:val="14"/>
                <w:szCs w:val="14"/>
                <w:color w:val="auto"/>
              </w:rPr>
            </w:pPr>
          </w:p>
        </w:tc>
        <w:tc>
          <w:tcPr>
            <w:tcW w:w="2800" w:type="dxa"/>
            <w:vAlign w:val="bottom"/>
            <w:gridSpan w:val="4"/>
          </w:tcPr>
          <w:p>
            <w:pPr>
              <w:ind w:left="940"/>
              <w:spacing w:after="0"/>
              <w:rPr>
                <w:sz w:val="20"/>
                <w:szCs w:val="20"/>
                <w:color w:val="auto"/>
              </w:rPr>
            </w:pPr>
            <w:r>
              <w:rPr>
                <w:rFonts w:ascii="Arial" w:cs="Arial" w:eastAsia="Arial" w:hAnsi="Arial"/>
                <w:sz w:val="14"/>
                <w:szCs w:val="14"/>
                <w:b w:val="1"/>
                <w:bCs w:val="1"/>
                <w:color w:val="auto"/>
              </w:rPr>
              <w:t>As of June 30,</w:t>
            </w:r>
          </w:p>
        </w:tc>
      </w:tr>
      <w:tr>
        <w:trPr>
          <w:trHeight w:val="171"/>
        </w:trPr>
        <w:tc>
          <w:tcPr>
            <w:tcW w:w="20" w:type="dxa"/>
            <w:vAlign w:val="bottom"/>
          </w:tcPr>
          <w:p>
            <w:pPr>
              <w:spacing w:after="0"/>
              <w:rPr>
                <w:sz w:val="14"/>
                <w:szCs w:val="14"/>
                <w:color w:val="auto"/>
              </w:rPr>
            </w:pPr>
          </w:p>
        </w:tc>
        <w:tc>
          <w:tcPr>
            <w:tcW w:w="2900" w:type="dxa"/>
            <w:vAlign w:val="bottom"/>
          </w:tcPr>
          <w:p>
            <w:pPr>
              <w:spacing w:after="0"/>
              <w:rPr>
                <w:sz w:val="14"/>
                <w:szCs w:val="14"/>
                <w:color w:val="auto"/>
              </w:rPr>
            </w:pPr>
          </w:p>
        </w:tc>
        <w:tc>
          <w:tcPr>
            <w:tcW w:w="3700" w:type="dxa"/>
            <w:vAlign w:val="bottom"/>
            <w:gridSpan w:val="2"/>
          </w:tcPr>
          <w:p>
            <w:pPr>
              <w:jc w:val="center"/>
              <w:ind w:left="2556"/>
              <w:spacing w:after="0"/>
              <w:rPr>
                <w:sz w:val="20"/>
                <w:szCs w:val="20"/>
                <w:color w:val="auto"/>
              </w:rPr>
            </w:pPr>
            <w:r>
              <w:rPr>
                <w:rFonts w:ascii="Arial" w:cs="Arial" w:eastAsia="Arial" w:hAnsi="Arial"/>
                <w:sz w:val="14"/>
                <w:szCs w:val="14"/>
                <w:b w:val="1"/>
                <w:bCs w:val="1"/>
                <w:color w:val="auto"/>
                <w:w w:val="96"/>
              </w:rPr>
              <w:t>2018</w:t>
            </w:r>
          </w:p>
        </w:tc>
        <w:tc>
          <w:tcPr>
            <w:tcW w:w="1720" w:type="dxa"/>
            <w:vAlign w:val="bottom"/>
            <w:gridSpan w:val="2"/>
          </w:tcPr>
          <w:p>
            <w:pPr>
              <w:jc w:val="center"/>
              <w:ind w:left="659"/>
              <w:spacing w:after="0"/>
              <w:rPr>
                <w:sz w:val="20"/>
                <w:szCs w:val="20"/>
                <w:color w:val="auto"/>
              </w:rPr>
            </w:pPr>
            <w:r>
              <w:rPr>
                <w:rFonts w:ascii="Arial" w:cs="Arial" w:eastAsia="Arial" w:hAnsi="Arial"/>
                <w:sz w:val="14"/>
                <w:szCs w:val="14"/>
                <w:b w:val="1"/>
                <w:bCs w:val="1"/>
                <w:color w:val="auto"/>
                <w:w w:val="96"/>
              </w:rPr>
              <w:t>2017</w:t>
            </w:r>
          </w:p>
        </w:tc>
        <w:tc>
          <w:tcPr>
            <w:tcW w:w="40" w:type="dxa"/>
            <w:vAlign w:val="bottom"/>
          </w:tcPr>
          <w:p>
            <w:pPr>
              <w:spacing w:after="0"/>
              <w:rPr>
                <w:sz w:val="14"/>
                <w:szCs w:val="14"/>
                <w:color w:val="auto"/>
              </w:rPr>
            </w:pPr>
          </w:p>
        </w:tc>
      </w:tr>
      <w:tr>
        <w:trPr>
          <w:trHeight w:val="210"/>
        </w:trPr>
        <w:tc>
          <w:tcPr>
            <w:tcW w:w="20" w:type="dxa"/>
            <w:vAlign w:val="bottom"/>
          </w:tcPr>
          <w:p>
            <w:pPr>
              <w:spacing w:after="0"/>
              <w:rPr>
                <w:sz w:val="18"/>
                <w:szCs w:val="18"/>
                <w:color w:val="auto"/>
              </w:rPr>
            </w:pPr>
          </w:p>
        </w:tc>
        <w:tc>
          <w:tcPr>
            <w:tcW w:w="29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Cash at bank and in hand</w:t>
            </w:r>
          </w:p>
        </w:tc>
        <w:tc>
          <w:tcPr>
            <w:tcW w:w="2660" w:type="dxa"/>
            <w:vAlign w:val="bottom"/>
            <w:tcBorders>
              <w:top w:val="single" w:sz="8" w:color="CCEEFF"/>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b w:val="1"/>
                <w:bCs w:val="1"/>
                <w:color w:val="auto"/>
                <w:w w:val="91"/>
              </w:rPr>
              <w:t>A$14,825,532</w:t>
            </w:r>
          </w:p>
        </w:tc>
        <w:tc>
          <w:tcPr>
            <w:tcW w:w="760" w:type="dxa"/>
            <w:vAlign w:val="bottom"/>
            <w:tcBorders>
              <w:top w:val="single" w:sz="8" w:color="CCEEFF"/>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b w:val="1"/>
                <w:bCs w:val="1"/>
                <w:color w:val="auto"/>
                <w:w w:val="91"/>
              </w:rPr>
              <w:t>A$3,790,491</w:t>
            </w:r>
          </w:p>
        </w:tc>
        <w:tc>
          <w:tcPr>
            <w:tcW w:w="40" w:type="dxa"/>
            <w:vAlign w:val="bottom"/>
            <w:tcBorders>
              <w:top w:val="single" w:sz="8" w:color="CCEEFF"/>
            </w:tcBorders>
            <w:shd w:val="clear" w:color="auto" w:fill="CCEEFF"/>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2900" w:type="dxa"/>
            <w:vAlign w:val="bottom"/>
          </w:tcPr>
          <w:p>
            <w:pPr>
              <w:spacing w:after="0"/>
              <w:rPr>
                <w:sz w:val="20"/>
                <w:szCs w:val="20"/>
                <w:color w:val="auto"/>
              </w:rPr>
            </w:pPr>
            <w:r>
              <w:rPr>
                <w:rFonts w:ascii="Arial" w:cs="Arial" w:eastAsia="Arial" w:hAnsi="Arial"/>
                <w:sz w:val="18"/>
                <w:szCs w:val="18"/>
                <w:color w:val="auto"/>
              </w:rPr>
              <w:t>Short term deposits</w:t>
            </w:r>
          </w:p>
        </w:tc>
        <w:tc>
          <w:tcPr>
            <w:tcW w:w="2660" w:type="dxa"/>
            <w:vAlign w:val="bottom"/>
          </w:tcPr>
          <w:p>
            <w:pPr>
              <w:spacing w:after="0"/>
              <w:rPr>
                <w:sz w:val="19"/>
                <w:szCs w:val="19"/>
                <w:color w:val="auto"/>
              </w:rPr>
            </w:pPr>
          </w:p>
        </w:tc>
        <w:tc>
          <w:tcPr>
            <w:tcW w:w="1040" w:type="dxa"/>
            <w:vAlign w:val="bottom"/>
            <w:tcBorders>
              <w:bottom w:val="single" w:sz="8" w:color="auto"/>
            </w:tcBorders>
          </w:tcPr>
          <w:p>
            <w:pPr>
              <w:ind w:left="760"/>
              <w:spacing w:after="0"/>
              <w:rPr>
                <w:sz w:val="20"/>
                <w:szCs w:val="20"/>
                <w:color w:val="auto"/>
              </w:rPr>
            </w:pPr>
            <w:r>
              <w:rPr>
                <w:rFonts w:ascii="Arial" w:cs="Arial" w:eastAsia="Arial" w:hAnsi="Arial"/>
                <w:sz w:val="18"/>
                <w:szCs w:val="18"/>
                <w:b w:val="1"/>
                <w:bCs w:val="1"/>
                <w:color w:val="auto"/>
              </w:rPr>
              <w:t>—</w:t>
            </w:r>
          </w:p>
        </w:tc>
        <w:tc>
          <w:tcPr>
            <w:tcW w:w="760" w:type="dxa"/>
            <w:vAlign w:val="bottom"/>
          </w:tcPr>
          <w:p>
            <w:pPr>
              <w:spacing w:after="0"/>
              <w:rPr>
                <w:sz w:val="19"/>
                <w:szCs w:val="19"/>
                <w:color w:val="auto"/>
              </w:rPr>
            </w:pPr>
          </w:p>
        </w:tc>
        <w:tc>
          <w:tcPr>
            <w:tcW w:w="960" w:type="dxa"/>
            <w:vAlign w:val="bottom"/>
            <w:tcBorders>
              <w:bottom w:val="single" w:sz="8" w:color="auto"/>
            </w:tcBorders>
          </w:tcPr>
          <w:p>
            <w:pPr>
              <w:ind w:left="680"/>
              <w:spacing w:after="0"/>
              <w:rPr>
                <w:sz w:val="20"/>
                <w:szCs w:val="20"/>
                <w:color w:val="auto"/>
              </w:rPr>
            </w:pPr>
            <w:r>
              <w:rPr>
                <w:rFonts w:ascii="Arial" w:cs="Arial" w:eastAsia="Arial" w:hAnsi="Arial"/>
                <w:sz w:val="18"/>
                <w:szCs w:val="18"/>
                <w:b w:val="1"/>
                <w:bCs w:val="1"/>
                <w:color w:val="auto"/>
              </w:rPr>
              <w:t>—</w:t>
            </w:r>
          </w:p>
        </w:tc>
        <w:tc>
          <w:tcPr>
            <w:tcW w:w="4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2900" w:type="dxa"/>
            <w:vAlign w:val="bottom"/>
            <w:shd w:val="clear" w:color="auto" w:fill="CCEEFF"/>
          </w:tcPr>
          <w:p>
            <w:pPr>
              <w:spacing w:after="0"/>
              <w:rPr>
                <w:sz w:val="18"/>
                <w:szCs w:val="18"/>
                <w:color w:val="auto"/>
              </w:rPr>
            </w:pPr>
          </w:p>
        </w:tc>
        <w:tc>
          <w:tcPr>
            <w:tcW w:w="3700" w:type="dxa"/>
            <w:vAlign w:val="bottom"/>
            <w:gridSpan w:val="2"/>
            <w:shd w:val="clear" w:color="auto" w:fill="CCEEFF"/>
          </w:tcPr>
          <w:p>
            <w:pPr>
              <w:jc w:val="center"/>
              <w:ind w:left="2576"/>
              <w:spacing w:after="0"/>
              <w:rPr>
                <w:sz w:val="20"/>
                <w:szCs w:val="20"/>
                <w:color w:val="auto"/>
              </w:rPr>
            </w:pPr>
            <w:r>
              <w:rPr>
                <w:rFonts w:ascii="Arial" w:cs="Arial" w:eastAsia="Arial" w:hAnsi="Arial"/>
                <w:sz w:val="18"/>
                <w:szCs w:val="18"/>
                <w:b w:val="1"/>
                <w:bCs w:val="1"/>
                <w:u w:val="single" w:color="auto"/>
                <w:color w:val="auto"/>
                <w:w w:val="91"/>
              </w:rPr>
              <w:t>A$</w:t>
            </w:r>
            <w:r>
              <w:rPr>
                <w:rFonts w:ascii="Arial" w:cs="Arial" w:eastAsia="Arial" w:hAnsi="Arial"/>
                <w:sz w:val="18"/>
                <w:szCs w:val="18"/>
                <w:b w:val="1"/>
                <w:bCs w:val="1"/>
                <w:color w:val="auto"/>
                <w:w w:val="91"/>
              </w:rPr>
              <w:t>14,825,532</w:t>
            </w:r>
          </w:p>
        </w:tc>
        <w:tc>
          <w:tcPr>
            <w:tcW w:w="1760" w:type="dxa"/>
            <w:vAlign w:val="bottom"/>
            <w:gridSpan w:val="3"/>
            <w:shd w:val="clear" w:color="auto" w:fill="CCEEFF"/>
          </w:tcPr>
          <w:p>
            <w:pPr>
              <w:jc w:val="center"/>
              <w:ind w:left="599"/>
              <w:spacing w:after="0"/>
              <w:rPr>
                <w:sz w:val="20"/>
                <w:szCs w:val="20"/>
                <w:color w:val="auto"/>
              </w:rPr>
            </w:pPr>
            <w:r>
              <w:rPr>
                <w:rFonts w:ascii="Arial" w:cs="Arial" w:eastAsia="Arial" w:hAnsi="Arial"/>
                <w:sz w:val="18"/>
                <w:szCs w:val="18"/>
                <w:b w:val="1"/>
                <w:bCs w:val="1"/>
                <w:u w:val="single" w:color="auto"/>
                <w:color w:val="auto"/>
                <w:w w:val="93"/>
              </w:rPr>
              <w:t>A$</w:t>
            </w:r>
            <w:r>
              <w:rPr>
                <w:rFonts w:ascii="Arial" w:cs="Arial" w:eastAsia="Arial" w:hAnsi="Arial"/>
                <w:sz w:val="18"/>
                <w:szCs w:val="18"/>
                <w:b w:val="1"/>
                <w:bCs w:val="1"/>
                <w:color w:val="auto"/>
                <w:w w:val="93"/>
              </w:rPr>
              <w:t>3,790,491</w:t>
            </w:r>
          </w:p>
        </w:tc>
      </w:tr>
      <w:tr>
        <w:trPr>
          <w:trHeight w:val="20"/>
        </w:trPr>
        <w:tc>
          <w:tcPr>
            <w:tcW w:w="20" w:type="dxa"/>
            <w:vAlign w:val="bottom"/>
          </w:tcPr>
          <w:p>
            <w:pPr>
              <w:spacing w:after="0" w:line="20" w:lineRule="exact"/>
              <w:rPr>
                <w:sz w:val="1"/>
                <w:szCs w:val="1"/>
                <w:color w:val="auto"/>
              </w:rPr>
            </w:pPr>
          </w:p>
        </w:tc>
        <w:tc>
          <w:tcPr>
            <w:tcW w:w="2900" w:type="dxa"/>
            <w:vAlign w:val="bottom"/>
          </w:tcPr>
          <w:p>
            <w:pPr>
              <w:spacing w:after="0" w:line="20" w:lineRule="exact"/>
              <w:rPr>
                <w:sz w:val="1"/>
                <w:szCs w:val="1"/>
                <w:color w:val="auto"/>
              </w:rPr>
            </w:pPr>
          </w:p>
        </w:tc>
        <w:tc>
          <w:tcPr>
            <w:tcW w:w="2660" w:type="dxa"/>
            <w:vAlign w:val="bottom"/>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359"/>
        </w:trPr>
        <w:tc>
          <w:tcPr>
            <w:tcW w:w="20" w:type="dxa"/>
            <w:vAlign w:val="bottom"/>
          </w:tcPr>
          <w:p>
            <w:pPr>
              <w:spacing w:after="0"/>
              <w:rPr>
                <w:sz w:val="24"/>
                <w:szCs w:val="24"/>
                <w:color w:val="auto"/>
              </w:rPr>
            </w:pPr>
          </w:p>
        </w:tc>
        <w:tc>
          <w:tcPr>
            <w:tcW w:w="2900" w:type="dxa"/>
            <w:vAlign w:val="bottom"/>
          </w:tcPr>
          <w:p>
            <w:pPr>
              <w:spacing w:after="0"/>
              <w:rPr>
                <w:sz w:val="24"/>
                <w:szCs w:val="24"/>
                <w:color w:val="auto"/>
              </w:rPr>
            </w:pPr>
          </w:p>
        </w:tc>
        <w:tc>
          <w:tcPr>
            <w:tcW w:w="3700" w:type="dxa"/>
            <w:vAlign w:val="bottom"/>
            <w:gridSpan w:val="2"/>
          </w:tcPr>
          <w:p>
            <w:pPr>
              <w:ind w:left="1100"/>
              <w:spacing w:after="0"/>
              <w:rPr>
                <w:sz w:val="20"/>
                <w:szCs w:val="20"/>
                <w:color w:val="auto"/>
              </w:rPr>
            </w:pPr>
            <w:r>
              <w:rPr>
                <w:rFonts w:ascii="Arial" w:cs="Arial" w:eastAsia="Arial" w:hAnsi="Arial"/>
                <w:sz w:val="18"/>
                <w:szCs w:val="18"/>
                <w:color w:val="auto"/>
              </w:rPr>
              <w:t>F-28</w:t>
            </w:r>
          </w:p>
        </w:tc>
        <w:tc>
          <w:tcPr>
            <w:tcW w:w="7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40" w:type="dxa"/>
            <w:vAlign w:val="bottom"/>
          </w:tcPr>
          <w:p>
            <w:pPr>
              <w:spacing w:after="0"/>
              <w:rPr>
                <w:sz w:val="24"/>
                <w:szCs w:val="24"/>
                <w:color w:val="auto"/>
              </w:rPr>
            </w:pPr>
          </w:p>
        </w:tc>
      </w:tr>
    </w:tbl>
    <w:p>
      <w:pPr>
        <w:sectPr>
          <w:pgSz w:w="11900" w:h="16838" w:orient="portrait"/>
          <w:cols w:equalWidth="0" w:num="1">
            <w:col w:w="11120"/>
          </w:cols>
          <w:pgMar w:left="240" w:top="459" w:right="539" w:bottom="1440" w:gutter="0" w:footer="0" w:header="0"/>
        </w:sectPr>
      </w:pPr>
    </w:p>
    <w:bookmarkStart w:id="127" w:name="page128"/>
    <w:bookmarkEnd w:id="12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7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AVITA MEDICAL LIMITED</w:t>
      </w:r>
    </w:p>
    <w:p>
      <w:pPr>
        <w:spacing w:after="0" w:line="27"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9"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(IN AUSTRALIAN DOLLARS)</w:t>
      </w:r>
    </w:p>
    <w:p>
      <w:pPr>
        <w:spacing w:after="0" w:line="234" w:lineRule="exact"/>
        <w:rPr>
          <w:sz w:val="20"/>
          <w:szCs w:val="20"/>
          <w:color w:val="auto"/>
        </w:rPr>
      </w:pPr>
    </w:p>
    <w:p>
      <w:pPr>
        <w:ind w:left="640" w:hanging="436"/>
        <w:spacing w:after="0"/>
        <w:tabs>
          <w:tab w:leader="none" w:pos="640" w:val="left"/>
        </w:tabs>
        <w:numPr>
          <w:ilvl w:val="0"/>
          <w:numId w:val="130"/>
        </w:numPr>
        <w:rPr>
          <w:rFonts w:ascii="Arial" w:cs="Arial" w:eastAsia="Arial" w:hAnsi="Arial"/>
          <w:sz w:val="18"/>
          <w:szCs w:val="18"/>
          <w:b w:val="1"/>
          <w:bCs w:val="1"/>
          <w:color w:val="auto"/>
        </w:rPr>
      </w:pPr>
      <w:r>
        <w:rPr>
          <w:rFonts w:ascii="Arial" w:cs="Arial" w:eastAsia="Arial" w:hAnsi="Arial"/>
          <w:sz w:val="18"/>
          <w:szCs w:val="18"/>
          <w:b w:val="1"/>
          <w:bCs w:val="1"/>
          <w:color w:val="auto"/>
        </w:rPr>
        <w:t>CURRENT ASSETS – TRADE AND OTHER RECEIVABLES</w:t>
      </w:r>
    </w:p>
    <w:p>
      <w:pPr>
        <w:spacing w:after="0" w:line="114" w:lineRule="exact"/>
        <w:rPr>
          <w:sz w:val="20"/>
          <w:szCs w:val="20"/>
          <w:color w:val="auto"/>
        </w:rPr>
      </w:pPr>
    </w:p>
    <w:tbl>
      <w:tblPr>
        <w:tblLayout w:type="fixed"/>
        <w:tblInd w:w="1080" w:type="dxa"/>
        <w:tblCellMar>
          <w:top w:w="0" w:type="dxa"/>
          <w:left w:w="0" w:type="dxa"/>
          <w:bottom w:w="0" w:type="dxa"/>
          <w:right w:w="0" w:type="dxa"/>
        </w:tblCellMar>
      </w:tblPr>
      <w:tr>
        <w:trPr>
          <w:trHeight w:val="161"/>
        </w:trPr>
        <w:tc>
          <w:tcPr>
            <w:tcW w:w="64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760" w:type="dxa"/>
            <w:vAlign w:val="bottom"/>
            <w:gridSpan w:val="4"/>
          </w:tcPr>
          <w:p>
            <w:pPr>
              <w:ind w:left="700"/>
              <w:spacing w:after="0"/>
              <w:rPr>
                <w:sz w:val="20"/>
                <w:szCs w:val="20"/>
                <w:color w:val="auto"/>
              </w:rPr>
            </w:pPr>
            <w:r>
              <w:rPr>
                <w:rFonts w:ascii="Arial" w:cs="Arial" w:eastAsia="Arial" w:hAnsi="Arial"/>
                <w:sz w:val="14"/>
                <w:szCs w:val="14"/>
                <w:b w:val="1"/>
                <w:bCs w:val="1"/>
                <w:color w:val="auto"/>
              </w:rPr>
              <w:t>As of June 30,</w:t>
            </w:r>
          </w:p>
        </w:tc>
        <w:tc>
          <w:tcPr>
            <w:tcW w:w="740" w:type="dxa"/>
            <w:vAlign w:val="bottom"/>
            <w:vMerge w:val="restart"/>
          </w:tcPr>
          <w:p>
            <w:pPr>
              <w:jc w:val="right"/>
              <w:ind w:right="253"/>
              <w:spacing w:after="0"/>
              <w:rPr>
                <w:sz w:val="20"/>
                <w:szCs w:val="20"/>
                <w:color w:val="auto"/>
              </w:rPr>
            </w:pPr>
            <w:r>
              <w:rPr>
                <w:rFonts w:ascii="Arial" w:cs="Arial" w:eastAsia="Arial" w:hAnsi="Arial"/>
                <w:sz w:val="14"/>
                <w:szCs w:val="14"/>
                <w:b w:val="1"/>
                <w:bCs w:val="1"/>
                <w:color w:val="auto"/>
              </w:rPr>
              <w:t>2017</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6440" w:type="dxa"/>
            <w:vAlign w:val="bottom"/>
            <w:tcBorders>
              <w:bottom w:val="single" w:sz="8" w:color="CCEEFF"/>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right"/>
              <w:ind w:right="254"/>
              <w:spacing w:after="0"/>
              <w:rPr>
                <w:sz w:val="20"/>
                <w:szCs w:val="20"/>
                <w:color w:val="auto"/>
              </w:rPr>
            </w:pPr>
            <w:r>
              <w:rPr>
                <w:rFonts w:ascii="Arial" w:cs="Arial" w:eastAsia="Arial" w:hAnsi="Arial"/>
                <w:sz w:val="14"/>
                <w:szCs w:val="14"/>
                <w:b w:val="1"/>
                <w:bCs w:val="1"/>
                <w:color w:val="auto"/>
              </w:rPr>
              <w:t>2018</w:t>
            </w:r>
          </w:p>
        </w:tc>
        <w:tc>
          <w:tcPr>
            <w:tcW w:w="420" w:type="dxa"/>
            <w:vAlign w:val="bottom"/>
            <w:tcBorders>
              <w:bottom w:val="single" w:sz="8" w:color="CCEEFF"/>
            </w:tcBorders>
          </w:tcPr>
          <w:p>
            <w:pPr>
              <w:spacing w:after="0"/>
              <w:rPr>
                <w:sz w:val="14"/>
                <w:szCs w:val="14"/>
                <w:color w:val="auto"/>
              </w:rPr>
            </w:pPr>
          </w:p>
        </w:tc>
        <w:tc>
          <w:tcPr>
            <w:tcW w:w="380" w:type="dxa"/>
            <w:vAlign w:val="bottom"/>
            <w:tcBorders>
              <w:bottom w:val="single" w:sz="8" w:color="CCEEFF"/>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vMerge w:val="continue"/>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6440" w:type="dxa"/>
            <w:vAlign w:val="bottom"/>
            <w:shd w:val="clear" w:color="auto" w:fill="CCEEFF"/>
          </w:tcPr>
          <w:p>
            <w:pPr>
              <w:spacing w:after="0"/>
              <w:rPr>
                <w:sz w:val="20"/>
                <w:szCs w:val="20"/>
                <w:color w:val="auto"/>
              </w:rPr>
            </w:pPr>
            <w:r>
              <w:rPr>
                <w:rFonts w:ascii="Arial" w:cs="Arial" w:eastAsia="Arial" w:hAnsi="Arial"/>
                <w:sz w:val="18"/>
                <w:szCs w:val="18"/>
                <w:color w:val="auto"/>
              </w:rPr>
              <w:t>Trade receivables</w:t>
            </w:r>
          </w:p>
        </w:tc>
        <w:tc>
          <w:tcPr>
            <w:tcW w:w="220" w:type="dxa"/>
            <w:vAlign w:val="bottom"/>
            <w:shd w:val="clear" w:color="auto" w:fill="CCEEFF"/>
          </w:tcPr>
          <w:p>
            <w:pPr>
              <w:spacing w:after="0"/>
              <w:rPr>
                <w:sz w:val="20"/>
                <w:szCs w:val="20"/>
                <w:color w:val="auto"/>
              </w:rPr>
            </w:pPr>
            <w:r>
              <w:rPr>
                <w:rFonts w:ascii="Arial" w:cs="Arial" w:eastAsia="Arial" w:hAnsi="Arial"/>
                <w:sz w:val="18"/>
                <w:szCs w:val="18"/>
                <w:color w:val="auto"/>
                <w:w w:val="90"/>
              </w:rPr>
              <w:t>A$</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263,421</w:t>
            </w:r>
          </w:p>
        </w:tc>
        <w:tc>
          <w:tcPr>
            <w:tcW w:w="4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20"/>
                <w:szCs w:val="20"/>
                <w:color w:val="auto"/>
              </w:rPr>
            </w:pPr>
            <w:r>
              <w:rPr>
                <w:rFonts w:ascii="Arial" w:cs="Arial" w:eastAsia="Arial" w:hAnsi="Arial"/>
                <w:sz w:val="18"/>
                <w:szCs w:val="18"/>
                <w:color w:val="auto"/>
                <w:w w:val="90"/>
              </w:rPr>
              <w:t>A$</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259,012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6440" w:type="dxa"/>
            <w:vAlign w:val="bottom"/>
          </w:tcPr>
          <w:p>
            <w:pPr>
              <w:spacing w:after="0"/>
              <w:rPr>
                <w:sz w:val="20"/>
                <w:szCs w:val="20"/>
                <w:color w:val="auto"/>
              </w:rPr>
            </w:pPr>
            <w:r>
              <w:rPr>
                <w:rFonts w:ascii="Arial" w:cs="Arial" w:eastAsia="Arial" w:hAnsi="Arial"/>
                <w:sz w:val="18"/>
                <w:szCs w:val="18"/>
                <w:color w:val="auto"/>
              </w:rPr>
              <w:t>Allowance for doubtful debts</w:t>
            </w:r>
          </w:p>
        </w:tc>
        <w:tc>
          <w:tcPr>
            <w:tcW w:w="220" w:type="dxa"/>
            <w:vAlign w:val="bottom"/>
          </w:tcPr>
          <w:p>
            <w:pPr>
              <w:spacing w:after="0"/>
              <w:rPr>
                <w:sz w:val="19"/>
                <w:szCs w:val="19"/>
                <w:color w:val="auto"/>
              </w:rPr>
            </w:pPr>
          </w:p>
        </w:tc>
        <w:tc>
          <w:tcPr>
            <w:tcW w:w="1160" w:type="dxa"/>
            <w:vAlign w:val="bottom"/>
            <w:gridSpan w:val="2"/>
          </w:tcPr>
          <w:p>
            <w:pPr>
              <w:jc w:val="right"/>
              <w:ind w:right="360"/>
              <w:spacing w:after="0"/>
              <w:rPr>
                <w:sz w:val="20"/>
                <w:szCs w:val="20"/>
                <w:color w:val="auto"/>
              </w:rPr>
            </w:pPr>
            <w:r>
              <w:rPr>
                <w:rFonts w:ascii="Arial" w:cs="Arial" w:eastAsia="Arial" w:hAnsi="Arial"/>
                <w:sz w:val="18"/>
                <w:szCs w:val="18"/>
                <w:color w:val="auto"/>
              </w:rPr>
              <w:t>(23,452)</w:t>
            </w:r>
          </w:p>
        </w:tc>
        <w:tc>
          <w:tcPr>
            <w:tcW w:w="3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40" w:type="dxa"/>
            <w:vAlign w:val="bottom"/>
            <w:gridSpan w:val="2"/>
          </w:tcPr>
          <w:p>
            <w:pPr>
              <w:jc w:val="right"/>
              <w:ind w:right="40"/>
              <w:spacing w:after="0"/>
              <w:rPr>
                <w:sz w:val="20"/>
                <w:szCs w:val="20"/>
                <w:color w:val="auto"/>
              </w:rPr>
            </w:pPr>
            <w:r>
              <w:rPr>
                <w:rFonts w:ascii="Arial" w:cs="Arial" w:eastAsia="Arial" w:hAnsi="Arial"/>
                <w:sz w:val="18"/>
                <w:szCs w:val="18"/>
                <w:color w:val="auto"/>
              </w:rPr>
              <w:t>(88,859)</w:t>
            </w:r>
          </w:p>
        </w:tc>
        <w:tc>
          <w:tcPr>
            <w:tcW w:w="0" w:type="dxa"/>
            <w:vAlign w:val="bottom"/>
          </w:tcPr>
          <w:p>
            <w:pPr>
              <w:spacing w:after="0"/>
              <w:rPr>
                <w:sz w:val="1"/>
                <w:szCs w:val="1"/>
                <w:color w:val="auto"/>
              </w:rPr>
            </w:pPr>
          </w:p>
        </w:tc>
      </w:tr>
      <w:tr>
        <w:trPr>
          <w:trHeight w:val="216"/>
        </w:trPr>
        <w:tc>
          <w:tcPr>
            <w:tcW w:w="6440" w:type="dxa"/>
            <w:vAlign w:val="bottom"/>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239,969</w:t>
            </w:r>
          </w:p>
        </w:tc>
        <w:tc>
          <w:tcPr>
            <w:tcW w:w="4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170,153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440" w:type="dxa"/>
            <w:vAlign w:val="bottom"/>
          </w:tcPr>
          <w:p>
            <w:pPr>
              <w:spacing w:after="0"/>
              <w:rPr>
                <w:sz w:val="20"/>
                <w:szCs w:val="20"/>
                <w:color w:val="auto"/>
              </w:rPr>
            </w:pPr>
            <w:r>
              <w:rPr>
                <w:rFonts w:ascii="Arial" w:cs="Arial" w:eastAsia="Arial" w:hAnsi="Arial"/>
                <w:sz w:val="18"/>
                <w:szCs w:val="18"/>
                <w:color w:val="auto"/>
              </w:rPr>
              <w:t>R&amp;D Tax claim</w:t>
            </w:r>
          </w:p>
        </w:tc>
        <w:tc>
          <w:tcPr>
            <w:tcW w:w="2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w w:val="89"/>
              </w:rPr>
              <w:t>2,434,430</w:t>
            </w:r>
          </w:p>
        </w:tc>
        <w:tc>
          <w:tcPr>
            <w:tcW w:w="4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w w:val="89"/>
              </w:rPr>
              <w:t>1,048,634</w:t>
            </w:r>
          </w:p>
        </w:tc>
        <w:tc>
          <w:tcPr>
            <w:tcW w:w="0" w:type="dxa"/>
            <w:vAlign w:val="bottom"/>
          </w:tcPr>
          <w:p>
            <w:pPr>
              <w:spacing w:after="0"/>
              <w:rPr>
                <w:sz w:val="1"/>
                <w:szCs w:val="1"/>
                <w:color w:val="auto"/>
              </w:rPr>
            </w:pPr>
          </w:p>
        </w:tc>
      </w:tr>
      <w:tr>
        <w:trPr>
          <w:trHeight w:val="216"/>
        </w:trPr>
        <w:tc>
          <w:tcPr>
            <w:tcW w:w="6440" w:type="dxa"/>
            <w:vAlign w:val="bottom"/>
            <w:shd w:val="clear" w:color="auto" w:fill="CCEEFF"/>
          </w:tcPr>
          <w:p>
            <w:pPr>
              <w:spacing w:after="0"/>
              <w:rPr>
                <w:sz w:val="20"/>
                <w:szCs w:val="20"/>
                <w:color w:val="auto"/>
              </w:rPr>
            </w:pPr>
            <w:r>
              <w:rPr>
                <w:rFonts w:ascii="Arial" w:cs="Arial" w:eastAsia="Arial" w:hAnsi="Arial"/>
                <w:sz w:val="18"/>
                <w:szCs w:val="18"/>
                <w:color w:val="auto"/>
              </w:rPr>
              <w:t>BARDA and other receivables</w:t>
            </w:r>
          </w:p>
        </w:tc>
        <w:tc>
          <w:tcPr>
            <w:tcW w:w="2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2,762,958</w:t>
            </w:r>
          </w:p>
        </w:tc>
        <w:tc>
          <w:tcPr>
            <w:tcW w:w="4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851,747</w:t>
            </w:r>
          </w:p>
        </w:tc>
        <w:tc>
          <w:tcPr>
            <w:tcW w:w="0" w:type="dxa"/>
            <w:vAlign w:val="bottom"/>
          </w:tcPr>
          <w:p>
            <w:pPr>
              <w:spacing w:after="0"/>
              <w:rPr>
                <w:sz w:val="1"/>
                <w:szCs w:val="1"/>
                <w:color w:val="auto"/>
              </w:rPr>
            </w:pPr>
          </w:p>
        </w:tc>
      </w:tr>
      <w:tr>
        <w:trPr>
          <w:trHeight w:val="223"/>
        </w:trPr>
        <w:tc>
          <w:tcPr>
            <w:tcW w:w="6440" w:type="dxa"/>
            <w:vAlign w:val="bottom"/>
          </w:tcPr>
          <w:p>
            <w:pPr>
              <w:spacing w:after="0"/>
              <w:rPr>
                <w:sz w:val="20"/>
                <w:szCs w:val="20"/>
                <w:color w:val="auto"/>
              </w:rPr>
            </w:pPr>
            <w:r>
              <w:rPr>
                <w:rFonts w:ascii="Arial" w:cs="Arial" w:eastAsia="Arial" w:hAnsi="Arial"/>
                <w:sz w:val="18"/>
                <w:szCs w:val="18"/>
                <w:b w:val="1"/>
                <w:bCs w:val="1"/>
                <w:color w:val="auto"/>
              </w:rPr>
              <w:t>Carrying amount of trade and other receivables</w:t>
            </w:r>
          </w:p>
        </w:tc>
        <w:tc>
          <w:tcPr>
            <w:tcW w:w="22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b w:val="1"/>
                <w:bCs w:val="1"/>
                <w:u w:val="single" w:color="auto"/>
                <w:color w:val="auto"/>
                <w:w w:val="86"/>
              </w:rPr>
              <w:t>A$</w:t>
            </w: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89"/>
              </w:rPr>
              <w:t>5,437,357</w:t>
            </w:r>
          </w:p>
        </w:tc>
        <w:tc>
          <w:tcPr>
            <w:tcW w:w="4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22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b w:val="1"/>
                <w:bCs w:val="1"/>
                <w:u w:val="single" w:color="auto"/>
                <w:color w:val="auto"/>
                <w:w w:val="86"/>
              </w:rPr>
              <w:t>A$</w:t>
            </w: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89"/>
              </w:rPr>
              <w:t>2,070,534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4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60" w:lineRule="exact"/>
        <w:rPr>
          <w:sz w:val="20"/>
          <w:szCs w:val="20"/>
          <w:color w:val="auto"/>
        </w:rPr>
      </w:pPr>
    </w:p>
    <w:p>
      <w:pPr>
        <w:ind w:left="640" w:hanging="436"/>
        <w:spacing w:after="0"/>
        <w:tabs>
          <w:tab w:leader="none" w:pos="640" w:val="left"/>
        </w:tabs>
        <w:numPr>
          <w:ilvl w:val="0"/>
          <w:numId w:val="131"/>
        </w:numPr>
        <w:rPr>
          <w:rFonts w:ascii="Arial" w:cs="Arial" w:eastAsia="Arial" w:hAnsi="Arial"/>
          <w:sz w:val="18"/>
          <w:szCs w:val="18"/>
          <w:b w:val="1"/>
          <w:bCs w:val="1"/>
          <w:color w:val="auto"/>
        </w:rPr>
      </w:pPr>
      <w:r>
        <w:rPr>
          <w:rFonts w:ascii="Arial" w:cs="Arial" w:eastAsia="Arial" w:hAnsi="Arial"/>
          <w:sz w:val="18"/>
          <w:szCs w:val="18"/>
          <w:b w:val="1"/>
          <w:bCs w:val="1"/>
          <w:color w:val="auto"/>
        </w:rPr>
        <w:t>Allowance for impairment loss</w:t>
      </w:r>
    </w:p>
    <w:p>
      <w:pPr>
        <w:spacing w:after="0" w:line="121" w:lineRule="exact"/>
        <w:rPr>
          <w:sz w:val="20"/>
          <w:szCs w:val="20"/>
          <w:color w:val="auto"/>
        </w:rPr>
      </w:pPr>
    </w:p>
    <w:p>
      <w:pPr>
        <w:ind w:left="200" w:right="260"/>
        <w:spacing w:after="0" w:line="302" w:lineRule="auto"/>
        <w:rPr>
          <w:sz w:val="20"/>
          <w:szCs w:val="20"/>
          <w:color w:val="auto"/>
        </w:rPr>
      </w:pPr>
      <w:r>
        <w:rPr>
          <w:rFonts w:ascii="Arial" w:cs="Arial" w:eastAsia="Arial" w:hAnsi="Arial"/>
          <w:sz w:val="16"/>
          <w:szCs w:val="16"/>
          <w:color w:val="auto"/>
        </w:rPr>
        <w:t>Trade receivables are non-interest bearing and are generally on 30 to 90-day terms. An allowance for impairment loss is made when there is objective evidence that the Company will not be able to collect the debts. Bad debts are written off when identified. Financial difficulties of the debtor, default payments or debts more than 90 days overdue are considered objective evidence of impairment. The amount of the impairment loss is the receivable carrying amount compared to the present value of estimated future cash flows, discounted at the original effective interest rate.</w:t>
      </w:r>
    </w:p>
    <w:p>
      <w:pPr>
        <w:spacing w:after="0" w:line="154" w:lineRule="exact"/>
        <w:rPr>
          <w:sz w:val="20"/>
          <w:szCs w:val="20"/>
          <w:color w:val="auto"/>
        </w:rPr>
      </w:pPr>
    </w:p>
    <w:p>
      <w:pPr>
        <w:ind w:left="200"/>
        <w:spacing w:after="0"/>
        <w:rPr>
          <w:sz w:val="20"/>
          <w:szCs w:val="20"/>
          <w:color w:val="auto"/>
        </w:rPr>
      </w:pPr>
      <w:r>
        <w:rPr>
          <w:rFonts w:ascii="Arial" w:cs="Arial" w:eastAsia="Arial" w:hAnsi="Arial"/>
          <w:sz w:val="17"/>
          <w:szCs w:val="17"/>
          <w:color w:val="auto"/>
        </w:rPr>
        <w:t>A gain of A$nil (2017: A$nil) has been recognized by the Company in the current year on recovery of these previously impaired receivables.</w:t>
      </w:r>
    </w:p>
    <w:p>
      <w:pPr>
        <w:spacing w:after="0" w:line="237" w:lineRule="exact"/>
        <w:rPr>
          <w:sz w:val="20"/>
          <w:szCs w:val="20"/>
          <w:color w:val="auto"/>
        </w:rPr>
      </w:pPr>
    </w:p>
    <w:p>
      <w:pPr>
        <w:ind w:left="200"/>
        <w:spacing w:after="0"/>
        <w:rPr>
          <w:sz w:val="20"/>
          <w:szCs w:val="20"/>
          <w:color w:val="auto"/>
        </w:rPr>
      </w:pPr>
      <w:r>
        <w:rPr>
          <w:rFonts w:ascii="Arial" w:cs="Arial" w:eastAsia="Arial" w:hAnsi="Arial"/>
          <w:sz w:val="18"/>
          <w:szCs w:val="18"/>
          <w:color w:val="auto"/>
        </w:rPr>
        <w:t>Movements in the allowance for impairment loss were as follows:</w:t>
      </w:r>
    </w:p>
    <w:p>
      <w:pPr>
        <w:spacing w:after="0" w:line="231" w:lineRule="exact"/>
        <w:rPr>
          <w:sz w:val="20"/>
          <w:szCs w:val="20"/>
          <w:color w:val="auto"/>
        </w:rPr>
      </w:pPr>
    </w:p>
    <w:tbl>
      <w:tblPr>
        <w:tblLayout w:type="fixed"/>
        <w:tblInd w:w="20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478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980" w:type="dxa"/>
            <w:vAlign w:val="bottom"/>
            <w:gridSpan w:val="2"/>
            <w:vMerge w:val="restart"/>
          </w:tcPr>
          <w:p>
            <w:pPr>
              <w:jc w:val="right"/>
              <w:ind w:right="110"/>
              <w:spacing w:after="0"/>
              <w:rPr>
                <w:sz w:val="20"/>
                <w:szCs w:val="20"/>
                <w:color w:val="auto"/>
              </w:rPr>
            </w:pPr>
            <w:r>
              <w:rPr>
                <w:rFonts w:ascii="Arial" w:cs="Arial" w:eastAsia="Arial" w:hAnsi="Arial"/>
                <w:sz w:val="14"/>
                <w:szCs w:val="14"/>
                <w:b w:val="1"/>
                <w:bCs w:val="1"/>
                <w:color w:val="auto"/>
              </w:rPr>
              <w:t>2018</w:t>
            </w:r>
          </w:p>
        </w:tc>
        <w:tc>
          <w:tcPr>
            <w:tcW w:w="1360" w:type="dxa"/>
            <w:vAlign w:val="bottom"/>
            <w:gridSpan w:val="4"/>
          </w:tcPr>
          <w:p>
            <w:pPr>
              <w:jc w:val="right"/>
              <w:ind w:right="370"/>
              <w:spacing w:after="0"/>
              <w:rPr>
                <w:sz w:val="20"/>
                <w:szCs w:val="20"/>
                <w:color w:val="auto"/>
              </w:rPr>
            </w:pPr>
            <w:r>
              <w:rPr>
                <w:rFonts w:ascii="Arial" w:cs="Arial" w:eastAsia="Arial" w:hAnsi="Arial"/>
                <w:sz w:val="14"/>
                <w:szCs w:val="14"/>
                <w:b w:val="1"/>
                <w:bCs w:val="1"/>
                <w:color w:val="auto"/>
                <w:w w:val="92"/>
              </w:rPr>
              <w:t>As of June 30,</w:t>
            </w:r>
          </w:p>
        </w:tc>
        <w:tc>
          <w:tcPr>
            <w:tcW w:w="3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47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980" w:type="dxa"/>
            <w:vAlign w:val="bottom"/>
            <w:gridSpan w:val="2"/>
            <w:vMerge w:val="continue"/>
          </w:tcPr>
          <w:p>
            <w:pPr>
              <w:spacing w:after="0"/>
              <w:rPr>
                <w:sz w:val="14"/>
                <w:szCs w:val="14"/>
                <w:color w:val="auto"/>
              </w:rPr>
            </w:pPr>
          </w:p>
        </w:tc>
        <w:tc>
          <w:tcPr>
            <w:tcW w:w="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020" w:type="dxa"/>
            <w:vAlign w:val="bottom"/>
            <w:gridSpan w:val="3"/>
          </w:tcPr>
          <w:p>
            <w:pPr>
              <w:ind w:left="460"/>
              <w:spacing w:after="0"/>
              <w:rPr>
                <w:sz w:val="20"/>
                <w:szCs w:val="20"/>
                <w:color w:val="auto"/>
              </w:rPr>
            </w:pPr>
            <w:r>
              <w:rPr>
                <w:rFonts w:ascii="Arial" w:cs="Arial" w:eastAsia="Arial" w:hAnsi="Arial"/>
                <w:sz w:val="14"/>
                <w:szCs w:val="14"/>
                <w:b w:val="1"/>
                <w:bCs w:val="1"/>
                <w:color w:val="auto"/>
              </w:rPr>
              <w:t>2017</w:t>
            </w:r>
          </w:p>
        </w:tc>
        <w:tc>
          <w:tcPr>
            <w:tcW w:w="6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47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At July 1</w:t>
            </w:r>
          </w:p>
        </w:tc>
        <w:tc>
          <w:tcPr>
            <w:tcW w:w="88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800" w:type="dxa"/>
            <w:vAlign w:val="bottom"/>
            <w:tcBorders>
              <w:top w:val="single" w:sz="8" w:color="auto"/>
            </w:tcBorders>
            <w:gridSpan w:val="2"/>
            <w:shd w:val="clear" w:color="auto" w:fill="CCEEFF"/>
          </w:tcPr>
          <w:p>
            <w:pPr>
              <w:spacing w:after="0"/>
              <w:rPr>
                <w:sz w:val="20"/>
                <w:szCs w:val="20"/>
                <w:color w:val="auto"/>
              </w:rPr>
            </w:pPr>
            <w:r>
              <w:rPr>
                <w:rFonts w:ascii="Arial" w:cs="Arial" w:eastAsia="Arial" w:hAnsi="Arial"/>
                <w:sz w:val="18"/>
                <w:szCs w:val="18"/>
                <w:color w:val="auto"/>
                <w:w w:val="94"/>
              </w:rPr>
              <w:t>A$ 88,859</w:t>
            </w:r>
          </w:p>
        </w:tc>
        <w:tc>
          <w:tcPr>
            <w:tcW w:w="64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4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A$</w:t>
            </w:r>
          </w:p>
        </w:tc>
        <w:tc>
          <w:tcPr>
            <w:tcW w:w="360" w:type="dxa"/>
            <w:vAlign w:val="bottom"/>
            <w:tcBorders>
              <w:top w:val="single" w:sz="8" w:color="auto"/>
              <w:right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w:t>
            </w:r>
          </w:p>
        </w:tc>
        <w:tc>
          <w:tcPr>
            <w:tcW w:w="6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4780" w:type="dxa"/>
            <w:vAlign w:val="bottom"/>
          </w:tcPr>
          <w:p>
            <w:pPr>
              <w:spacing w:after="0"/>
              <w:rPr>
                <w:sz w:val="20"/>
                <w:szCs w:val="20"/>
                <w:color w:val="auto"/>
              </w:rPr>
            </w:pPr>
            <w:r>
              <w:rPr>
                <w:rFonts w:ascii="Arial" w:cs="Arial" w:eastAsia="Arial" w:hAnsi="Arial"/>
                <w:sz w:val="18"/>
                <w:szCs w:val="18"/>
                <w:color w:val="auto"/>
              </w:rPr>
              <w:t>Received during the year</w:t>
            </w:r>
          </w:p>
        </w:tc>
        <w:tc>
          <w:tcPr>
            <w:tcW w:w="8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360" w:type="dxa"/>
            <w:vAlign w:val="bottom"/>
          </w:tcPr>
          <w:p>
            <w:pPr>
              <w:ind w:left="40"/>
              <w:spacing w:after="0"/>
              <w:rPr>
                <w:sz w:val="20"/>
                <w:szCs w:val="20"/>
                <w:color w:val="auto"/>
              </w:rPr>
            </w:pPr>
            <w:r>
              <w:rPr>
                <w:rFonts w:ascii="Arial" w:cs="Arial" w:eastAsia="Arial" w:hAnsi="Arial"/>
                <w:sz w:val="18"/>
                <w:szCs w:val="18"/>
                <w:color w:val="auto"/>
              </w:rPr>
              <w:t>—</w:t>
            </w:r>
          </w:p>
        </w:tc>
        <w:tc>
          <w:tcPr>
            <w:tcW w:w="6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4780" w:type="dxa"/>
            <w:vAlign w:val="bottom"/>
            <w:shd w:val="clear" w:color="auto" w:fill="CCEEFF"/>
          </w:tcPr>
          <w:p>
            <w:pPr>
              <w:spacing w:after="0"/>
              <w:rPr>
                <w:sz w:val="20"/>
                <w:szCs w:val="20"/>
                <w:color w:val="auto"/>
              </w:rPr>
            </w:pPr>
            <w:r>
              <w:rPr>
                <w:rFonts w:ascii="Arial" w:cs="Arial" w:eastAsia="Arial" w:hAnsi="Arial"/>
                <w:sz w:val="18"/>
                <w:szCs w:val="18"/>
                <w:color w:val="auto"/>
              </w:rPr>
              <w:t>Write off during the year</w:t>
            </w:r>
          </w:p>
        </w:tc>
        <w:tc>
          <w:tcPr>
            <w:tcW w:w="880" w:type="dxa"/>
            <w:vAlign w:val="bottom"/>
            <w:shd w:val="clear" w:color="auto" w:fill="CCEEFF"/>
          </w:tcPr>
          <w:p>
            <w:pPr>
              <w:spacing w:after="0"/>
              <w:rPr>
                <w:sz w:val="18"/>
                <w:szCs w:val="18"/>
                <w:color w:val="auto"/>
              </w:rPr>
            </w:pPr>
          </w:p>
        </w:tc>
        <w:tc>
          <w:tcPr>
            <w:tcW w:w="1680" w:type="dxa"/>
            <w:vAlign w:val="bottom"/>
            <w:gridSpan w:val="4"/>
            <w:shd w:val="clear" w:color="auto" w:fill="CCEEFF"/>
          </w:tcPr>
          <w:p>
            <w:pPr>
              <w:jc w:val="right"/>
              <w:ind w:right="508"/>
              <w:spacing w:after="0"/>
              <w:rPr>
                <w:sz w:val="20"/>
                <w:szCs w:val="20"/>
                <w:color w:val="auto"/>
              </w:rPr>
            </w:pPr>
            <w:r>
              <w:rPr>
                <w:rFonts w:ascii="Arial" w:cs="Arial" w:eastAsia="Arial" w:hAnsi="Arial"/>
                <w:sz w:val="18"/>
                <w:szCs w:val="18"/>
                <w:color w:val="auto"/>
              </w:rPr>
              <w:t>(88,859)</w:t>
            </w:r>
          </w:p>
        </w:tc>
        <w:tc>
          <w:tcPr>
            <w:tcW w:w="2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360" w:type="dxa"/>
            <w:vAlign w:val="bottom"/>
            <w:tcBorders>
              <w:right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w:t>
            </w:r>
          </w:p>
        </w:tc>
        <w:tc>
          <w:tcPr>
            <w:tcW w:w="6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4780" w:type="dxa"/>
            <w:vAlign w:val="bottom"/>
          </w:tcPr>
          <w:p>
            <w:pPr>
              <w:spacing w:after="0"/>
              <w:rPr>
                <w:sz w:val="20"/>
                <w:szCs w:val="20"/>
                <w:color w:val="auto"/>
              </w:rPr>
            </w:pPr>
            <w:r>
              <w:rPr>
                <w:rFonts w:ascii="Arial" w:cs="Arial" w:eastAsia="Arial" w:hAnsi="Arial"/>
                <w:sz w:val="18"/>
                <w:szCs w:val="18"/>
                <w:color w:val="auto"/>
              </w:rPr>
              <w:t>Charge for the year</w:t>
            </w:r>
          </w:p>
        </w:tc>
        <w:tc>
          <w:tcPr>
            <w:tcW w:w="8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23,452</w:t>
            </w:r>
          </w:p>
        </w:tc>
        <w:tc>
          <w:tcPr>
            <w:tcW w:w="6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80" w:type="dxa"/>
            <w:vAlign w:val="bottom"/>
            <w:tcBorders>
              <w:bottom w:val="single" w:sz="8" w:color="auto"/>
            </w:tcBorders>
            <w:gridSpan w:val="2"/>
          </w:tcPr>
          <w:p>
            <w:pPr>
              <w:ind w:left="240"/>
              <w:spacing w:after="0"/>
              <w:rPr>
                <w:sz w:val="20"/>
                <w:szCs w:val="20"/>
                <w:color w:val="auto"/>
              </w:rPr>
            </w:pPr>
            <w:r>
              <w:rPr>
                <w:rFonts w:ascii="Arial" w:cs="Arial" w:eastAsia="Arial" w:hAnsi="Arial"/>
                <w:sz w:val="18"/>
                <w:szCs w:val="18"/>
                <w:color w:val="auto"/>
                <w:w w:val="90"/>
              </w:rPr>
              <w:t>88,859</w:t>
            </w:r>
          </w:p>
        </w:tc>
        <w:tc>
          <w:tcPr>
            <w:tcW w:w="6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47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At June 30</w:t>
            </w:r>
          </w:p>
        </w:tc>
        <w:tc>
          <w:tcPr>
            <w:tcW w:w="880" w:type="dxa"/>
            <w:vAlign w:val="bottom"/>
            <w:shd w:val="clear" w:color="auto" w:fill="CCEEFF"/>
          </w:tcPr>
          <w:p>
            <w:pPr>
              <w:spacing w:after="0"/>
              <w:rPr>
                <w:sz w:val="18"/>
                <w:szCs w:val="18"/>
                <w:color w:val="auto"/>
              </w:rPr>
            </w:pPr>
          </w:p>
        </w:tc>
        <w:tc>
          <w:tcPr>
            <w:tcW w:w="1680" w:type="dxa"/>
            <w:vAlign w:val="bottom"/>
            <w:gridSpan w:val="4"/>
            <w:shd w:val="clear" w:color="auto" w:fill="CCEEFF"/>
          </w:tcPr>
          <w:p>
            <w:pPr>
              <w:ind w:left="240"/>
              <w:spacing w:after="0"/>
              <w:rPr>
                <w:sz w:val="20"/>
                <w:szCs w:val="20"/>
                <w:color w:val="auto"/>
              </w:rPr>
            </w:pPr>
            <w:r>
              <w:rPr>
                <w:rFonts w:ascii="Arial" w:cs="Arial" w:eastAsia="Arial" w:hAnsi="Arial"/>
                <w:sz w:val="18"/>
                <w:szCs w:val="18"/>
                <w:b w:val="1"/>
                <w:bCs w:val="1"/>
                <w:u w:val="single" w:color="auto"/>
                <w:color w:val="auto"/>
              </w:rPr>
              <w:t>A</w:t>
            </w:r>
            <w:r>
              <w:rPr>
                <w:rFonts w:ascii="Arial" w:cs="Arial" w:eastAsia="Arial" w:hAnsi="Arial"/>
                <w:sz w:val="18"/>
                <w:szCs w:val="18"/>
                <w:b w:val="1"/>
                <w:bCs w:val="1"/>
                <w:color w:val="auto"/>
              </w:rPr>
              <w:t>$ 23,452</w:t>
            </w:r>
          </w:p>
        </w:tc>
        <w:tc>
          <w:tcPr>
            <w:tcW w:w="1020" w:type="dxa"/>
            <w:vAlign w:val="bottom"/>
            <w:tcBorders>
              <w:right w:val="single" w:sz="8" w:color="CCEEFF"/>
            </w:tcBorders>
            <w:gridSpan w:val="3"/>
            <w:shd w:val="clear" w:color="auto" w:fill="CCEEFF"/>
          </w:tcPr>
          <w:p>
            <w:pPr>
              <w:ind w:left="240"/>
              <w:spacing w:after="0"/>
              <w:rPr>
                <w:sz w:val="20"/>
                <w:szCs w:val="20"/>
                <w:color w:val="auto"/>
              </w:rPr>
            </w:pPr>
            <w:r>
              <w:rPr>
                <w:rFonts w:ascii="Arial" w:cs="Arial" w:eastAsia="Arial" w:hAnsi="Arial"/>
                <w:sz w:val="18"/>
                <w:szCs w:val="18"/>
                <w:b w:val="1"/>
                <w:bCs w:val="1"/>
                <w:u w:val="single" w:color="auto"/>
                <w:color w:val="auto"/>
                <w:w w:val="94"/>
              </w:rPr>
              <w:t>A$</w:t>
            </w:r>
            <w:r>
              <w:rPr>
                <w:rFonts w:ascii="Arial" w:cs="Arial" w:eastAsia="Arial" w:hAnsi="Arial"/>
                <w:sz w:val="18"/>
                <w:szCs w:val="18"/>
                <w:b w:val="1"/>
                <w:bCs w:val="1"/>
                <w:color w:val="auto"/>
                <w:w w:val="94"/>
              </w:rPr>
              <w:t>88,859</w:t>
            </w:r>
          </w:p>
        </w:tc>
        <w:tc>
          <w:tcPr>
            <w:tcW w:w="6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120" w:type="dxa"/>
            <w:vAlign w:val="bottom"/>
            <w:gridSpan w:val="4"/>
            <w:vMerge w:val="restart"/>
          </w:tcPr>
          <w:p>
            <w:pPr>
              <w:spacing w:after="0"/>
              <w:rPr>
                <w:sz w:val="20"/>
                <w:szCs w:val="20"/>
                <w:color w:val="auto"/>
              </w:rPr>
            </w:pPr>
            <w:r>
              <w:rPr>
                <w:rFonts w:ascii="Arial" w:cs="Arial" w:eastAsia="Arial" w:hAnsi="Arial"/>
                <w:sz w:val="18"/>
                <w:szCs w:val="18"/>
                <w:color w:val="auto"/>
              </w:rPr>
              <w:t>At June 30, the aging analysis of trade receivables is as follows:</w:t>
            </w:r>
          </w:p>
        </w:tc>
        <w:tc>
          <w:tcPr>
            <w:tcW w:w="8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6120" w:type="dxa"/>
            <w:vAlign w:val="bottom"/>
            <w:gridSpan w:val="4"/>
            <w:vMerge w:val="continue"/>
          </w:tcPr>
          <w:p>
            <w:pPr>
              <w:spacing w:after="0"/>
              <w:rPr>
                <w:sz w:val="24"/>
                <w:szCs w:val="24"/>
                <w:color w:val="auto"/>
              </w:rPr>
            </w:pPr>
          </w:p>
        </w:tc>
        <w:tc>
          <w:tcPr>
            <w:tcW w:w="8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9"/>
        </w:trPr>
        <w:tc>
          <w:tcPr>
            <w:tcW w:w="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47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980" w:type="dxa"/>
            <w:vAlign w:val="bottom"/>
            <w:gridSpan w:val="2"/>
            <w:vMerge w:val="restart"/>
          </w:tcPr>
          <w:p>
            <w:pPr>
              <w:ind w:left="240"/>
              <w:spacing w:after="0"/>
              <w:rPr>
                <w:sz w:val="20"/>
                <w:szCs w:val="20"/>
                <w:color w:val="auto"/>
              </w:rPr>
            </w:pPr>
            <w:r>
              <w:rPr>
                <w:rFonts w:ascii="Arial" w:cs="Arial" w:eastAsia="Arial" w:hAnsi="Arial"/>
                <w:sz w:val="14"/>
                <w:szCs w:val="14"/>
                <w:b w:val="1"/>
                <w:bCs w:val="1"/>
                <w:color w:val="auto"/>
              </w:rPr>
              <w:t>0-30</w:t>
            </w:r>
          </w:p>
        </w:tc>
        <w:tc>
          <w:tcPr>
            <w:tcW w:w="700" w:type="dxa"/>
            <w:vAlign w:val="bottom"/>
            <w:gridSpan w:val="2"/>
            <w:vMerge w:val="restart"/>
          </w:tcPr>
          <w:p>
            <w:pPr>
              <w:jc w:val="right"/>
              <w:ind w:right="228"/>
              <w:spacing w:after="0"/>
              <w:rPr>
                <w:sz w:val="20"/>
                <w:szCs w:val="20"/>
                <w:color w:val="auto"/>
              </w:rPr>
            </w:pPr>
            <w:r>
              <w:rPr>
                <w:rFonts w:ascii="Arial" w:cs="Arial" w:eastAsia="Arial" w:hAnsi="Arial"/>
                <w:sz w:val="14"/>
                <w:szCs w:val="14"/>
                <w:b w:val="1"/>
                <w:bCs w:val="1"/>
                <w:color w:val="auto"/>
              </w:rPr>
              <w:t>31-60</w:t>
            </w:r>
          </w:p>
        </w:tc>
        <w:tc>
          <w:tcPr>
            <w:tcW w:w="660" w:type="dxa"/>
            <w:vAlign w:val="bottom"/>
            <w:gridSpan w:val="2"/>
            <w:vMerge w:val="restart"/>
          </w:tcPr>
          <w:p>
            <w:pPr>
              <w:jc w:val="right"/>
              <w:ind w:right="70"/>
              <w:spacing w:after="0"/>
              <w:rPr>
                <w:sz w:val="20"/>
                <w:szCs w:val="20"/>
                <w:color w:val="auto"/>
              </w:rPr>
            </w:pPr>
            <w:r>
              <w:rPr>
                <w:rFonts w:ascii="Arial" w:cs="Arial" w:eastAsia="Arial" w:hAnsi="Arial"/>
                <w:sz w:val="14"/>
                <w:szCs w:val="14"/>
                <w:b w:val="1"/>
                <w:bCs w:val="1"/>
                <w:color w:val="auto"/>
              </w:rPr>
              <w:t>61-90</w:t>
            </w:r>
          </w:p>
        </w:tc>
        <w:tc>
          <w:tcPr>
            <w:tcW w:w="960" w:type="dxa"/>
            <w:vAlign w:val="bottom"/>
            <w:gridSpan w:val="2"/>
          </w:tcPr>
          <w:p>
            <w:pPr>
              <w:jc w:val="center"/>
              <w:spacing w:after="0"/>
              <w:rPr>
                <w:sz w:val="20"/>
                <w:szCs w:val="20"/>
                <w:color w:val="auto"/>
              </w:rPr>
            </w:pPr>
            <w:r>
              <w:rPr>
                <w:rFonts w:ascii="Arial" w:cs="Arial" w:eastAsia="Arial" w:hAnsi="Arial"/>
                <w:sz w:val="14"/>
                <w:szCs w:val="14"/>
                <w:b w:val="1"/>
                <w:bCs w:val="1"/>
                <w:color w:val="auto"/>
              </w:rPr>
              <w:t>+91</w:t>
            </w:r>
          </w:p>
        </w:tc>
        <w:tc>
          <w:tcPr>
            <w:tcW w:w="740" w:type="dxa"/>
            <w:vAlign w:val="bottom"/>
          </w:tcPr>
          <w:p>
            <w:pPr>
              <w:jc w:val="center"/>
              <w:ind w:right="21"/>
              <w:spacing w:after="0"/>
              <w:rPr>
                <w:sz w:val="20"/>
                <w:szCs w:val="20"/>
                <w:color w:val="auto"/>
              </w:rPr>
            </w:pPr>
            <w:r>
              <w:rPr>
                <w:rFonts w:ascii="Arial" w:cs="Arial" w:eastAsia="Arial" w:hAnsi="Arial"/>
                <w:sz w:val="14"/>
                <w:szCs w:val="14"/>
                <w:b w:val="1"/>
                <w:bCs w:val="1"/>
                <w:color w:val="auto"/>
              </w:rPr>
              <w:t>+91</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47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980" w:type="dxa"/>
            <w:vAlign w:val="bottom"/>
            <w:gridSpan w:val="2"/>
            <w:vMerge w:val="continue"/>
          </w:tcPr>
          <w:p>
            <w:pPr>
              <w:spacing w:after="0"/>
              <w:rPr>
                <w:sz w:val="12"/>
                <w:szCs w:val="12"/>
                <w:color w:val="auto"/>
              </w:rPr>
            </w:pPr>
          </w:p>
        </w:tc>
        <w:tc>
          <w:tcPr>
            <w:tcW w:w="700" w:type="dxa"/>
            <w:vAlign w:val="bottom"/>
            <w:gridSpan w:val="2"/>
            <w:vMerge w:val="continue"/>
          </w:tcPr>
          <w:p>
            <w:pPr>
              <w:spacing w:after="0"/>
              <w:rPr>
                <w:sz w:val="12"/>
                <w:szCs w:val="12"/>
                <w:color w:val="auto"/>
              </w:rPr>
            </w:pPr>
          </w:p>
        </w:tc>
        <w:tc>
          <w:tcPr>
            <w:tcW w:w="660" w:type="dxa"/>
            <w:vAlign w:val="bottom"/>
            <w:gridSpan w:val="2"/>
            <w:vMerge w:val="continue"/>
          </w:tcPr>
          <w:p>
            <w:pPr>
              <w:spacing w:after="0"/>
              <w:rPr>
                <w:sz w:val="12"/>
                <w:szCs w:val="12"/>
                <w:color w:val="auto"/>
              </w:rPr>
            </w:pPr>
          </w:p>
        </w:tc>
        <w:tc>
          <w:tcPr>
            <w:tcW w:w="360" w:type="dxa"/>
            <w:vAlign w:val="bottom"/>
          </w:tcPr>
          <w:p>
            <w:pPr>
              <w:spacing w:after="0"/>
              <w:rPr>
                <w:sz w:val="12"/>
                <w:szCs w:val="12"/>
                <w:color w:val="auto"/>
              </w:rPr>
            </w:pPr>
          </w:p>
        </w:tc>
        <w:tc>
          <w:tcPr>
            <w:tcW w:w="600" w:type="dxa"/>
            <w:vAlign w:val="bottom"/>
          </w:tcPr>
          <w:p>
            <w:pPr>
              <w:jc w:val="center"/>
              <w:ind w:right="288"/>
              <w:spacing w:after="0" w:line="149" w:lineRule="exact"/>
              <w:rPr>
                <w:sz w:val="20"/>
                <w:szCs w:val="20"/>
                <w:color w:val="auto"/>
              </w:rPr>
            </w:pPr>
            <w:r>
              <w:rPr>
                <w:rFonts w:ascii="Arial" w:cs="Arial" w:eastAsia="Arial" w:hAnsi="Arial"/>
                <w:sz w:val="14"/>
                <w:szCs w:val="14"/>
                <w:b w:val="1"/>
                <w:bCs w:val="1"/>
                <w:color w:val="auto"/>
                <w:w w:val="75"/>
              </w:rPr>
              <w:t>days</w:t>
            </w:r>
          </w:p>
        </w:tc>
        <w:tc>
          <w:tcPr>
            <w:tcW w:w="740" w:type="dxa"/>
            <w:vAlign w:val="bottom"/>
          </w:tcPr>
          <w:p>
            <w:pPr>
              <w:jc w:val="center"/>
              <w:ind w:right="21"/>
              <w:spacing w:after="0" w:line="149" w:lineRule="exact"/>
              <w:rPr>
                <w:sz w:val="20"/>
                <w:szCs w:val="20"/>
                <w:color w:val="auto"/>
              </w:rPr>
            </w:pPr>
            <w:r>
              <w:rPr>
                <w:rFonts w:ascii="Arial" w:cs="Arial" w:eastAsia="Arial" w:hAnsi="Arial"/>
                <w:sz w:val="14"/>
                <w:szCs w:val="14"/>
                <w:b w:val="1"/>
                <w:bCs w:val="1"/>
                <w:color w:val="auto"/>
                <w:w w:val="87"/>
              </w:rPr>
              <w:t>days</w:t>
            </w: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4780" w:type="dxa"/>
            <w:vAlign w:val="bottom"/>
          </w:tcPr>
          <w:p>
            <w:pPr>
              <w:spacing w:after="0"/>
              <w:rPr>
                <w:sz w:val="16"/>
                <w:szCs w:val="16"/>
                <w:color w:val="auto"/>
              </w:rPr>
            </w:pPr>
          </w:p>
        </w:tc>
        <w:tc>
          <w:tcPr>
            <w:tcW w:w="880" w:type="dxa"/>
            <w:vAlign w:val="bottom"/>
          </w:tcPr>
          <w:p>
            <w:pPr>
              <w:jc w:val="right"/>
              <w:ind w:right="256"/>
              <w:spacing w:after="0"/>
              <w:rPr>
                <w:sz w:val="20"/>
                <w:szCs w:val="20"/>
                <w:color w:val="auto"/>
              </w:rPr>
            </w:pPr>
            <w:r>
              <w:rPr>
                <w:rFonts w:ascii="Arial" w:cs="Arial" w:eastAsia="Arial" w:hAnsi="Arial"/>
                <w:sz w:val="14"/>
                <w:szCs w:val="14"/>
                <w:b w:val="1"/>
                <w:bCs w:val="1"/>
                <w:color w:val="auto"/>
              </w:rPr>
              <w:t>Total</w:t>
            </w:r>
          </w:p>
        </w:tc>
        <w:tc>
          <w:tcPr>
            <w:tcW w:w="980" w:type="dxa"/>
            <w:vAlign w:val="bottom"/>
            <w:gridSpan w:val="2"/>
          </w:tcPr>
          <w:p>
            <w:pPr>
              <w:ind w:left="240"/>
              <w:spacing w:after="0"/>
              <w:rPr>
                <w:sz w:val="20"/>
                <w:szCs w:val="20"/>
                <w:color w:val="auto"/>
              </w:rPr>
            </w:pPr>
            <w:r>
              <w:rPr>
                <w:rFonts w:ascii="Arial" w:cs="Arial" w:eastAsia="Arial" w:hAnsi="Arial"/>
                <w:sz w:val="14"/>
                <w:szCs w:val="14"/>
                <w:b w:val="1"/>
                <w:bCs w:val="1"/>
                <w:color w:val="auto"/>
              </w:rPr>
              <w:t>days</w:t>
            </w:r>
          </w:p>
        </w:tc>
        <w:tc>
          <w:tcPr>
            <w:tcW w:w="60" w:type="dxa"/>
            <w:vAlign w:val="bottom"/>
          </w:tcPr>
          <w:p>
            <w:pPr>
              <w:spacing w:after="0"/>
              <w:rPr>
                <w:sz w:val="16"/>
                <w:szCs w:val="16"/>
                <w:color w:val="auto"/>
              </w:rPr>
            </w:pPr>
          </w:p>
        </w:tc>
        <w:tc>
          <w:tcPr>
            <w:tcW w:w="640" w:type="dxa"/>
            <w:vAlign w:val="bottom"/>
          </w:tcPr>
          <w:p>
            <w:pPr>
              <w:jc w:val="right"/>
              <w:ind w:right="248"/>
              <w:spacing w:after="0"/>
              <w:rPr>
                <w:sz w:val="20"/>
                <w:szCs w:val="20"/>
                <w:color w:val="auto"/>
              </w:rPr>
            </w:pPr>
            <w:r>
              <w:rPr>
                <w:rFonts w:ascii="Arial" w:cs="Arial" w:eastAsia="Arial" w:hAnsi="Arial"/>
                <w:sz w:val="14"/>
                <w:szCs w:val="14"/>
                <w:b w:val="1"/>
                <w:bCs w:val="1"/>
                <w:color w:val="auto"/>
                <w:w w:val="93"/>
              </w:rPr>
              <w:t>days</w:t>
            </w:r>
          </w:p>
        </w:tc>
        <w:tc>
          <w:tcPr>
            <w:tcW w:w="660" w:type="dxa"/>
            <w:vAlign w:val="bottom"/>
            <w:gridSpan w:val="2"/>
          </w:tcPr>
          <w:p>
            <w:pPr>
              <w:jc w:val="right"/>
              <w:ind w:right="110"/>
              <w:spacing w:after="0"/>
              <w:rPr>
                <w:sz w:val="20"/>
                <w:szCs w:val="20"/>
                <w:color w:val="auto"/>
              </w:rPr>
            </w:pPr>
            <w:r>
              <w:rPr>
                <w:rFonts w:ascii="Arial" w:cs="Arial" w:eastAsia="Arial" w:hAnsi="Arial"/>
                <w:sz w:val="14"/>
                <w:szCs w:val="14"/>
                <w:b w:val="1"/>
                <w:bCs w:val="1"/>
                <w:color w:val="auto"/>
              </w:rPr>
              <w:t>days</w:t>
            </w:r>
          </w:p>
        </w:tc>
        <w:tc>
          <w:tcPr>
            <w:tcW w:w="960" w:type="dxa"/>
            <w:vAlign w:val="bottom"/>
            <w:gridSpan w:val="2"/>
          </w:tcPr>
          <w:p>
            <w:pPr>
              <w:jc w:val="center"/>
              <w:spacing w:after="0"/>
              <w:rPr>
                <w:sz w:val="20"/>
                <w:szCs w:val="20"/>
                <w:color w:val="auto"/>
              </w:rPr>
            </w:pPr>
            <w:r>
              <w:rPr>
                <w:rFonts w:ascii="Arial" w:cs="Arial" w:eastAsia="Arial" w:hAnsi="Arial"/>
                <w:sz w:val="14"/>
                <w:szCs w:val="14"/>
                <w:b w:val="1"/>
                <w:bCs w:val="1"/>
                <w:color w:val="auto"/>
              </w:rPr>
              <w:t>PDNI*</w:t>
            </w:r>
          </w:p>
        </w:tc>
        <w:tc>
          <w:tcPr>
            <w:tcW w:w="740" w:type="dxa"/>
            <w:vAlign w:val="bottom"/>
          </w:tcPr>
          <w:p>
            <w:pPr>
              <w:jc w:val="center"/>
              <w:ind w:right="21"/>
              <w:spacing w:after="0"/>
              <w:rPr>
                <w:sz w:val="20"/>
                <w:szCs w:val="20"/>
                <w:color w:val="auto"/>
              </w:rPr>
            </w:pPr>
            <w:r>
              <w:rPr>
                <w:rFonts w:ascii="Arial" w:cs="Arial" w:eastAsia="Arial" w:hAnsi="Arial"/>
                <w:sz w:val="14"/>
                <w:szCs w:val="14"/>
                <w:b w:val="1"/>
                <w:bCs w:val="1"/>
                <w:color w:val="auto"/>
              </w:rPr>
              <w:t>CI**</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0" w:type="dxa"/>
            <w:vAlign w:val="bottom"/>
            <w:shd w:val="clear" w:color="auto" w:fill="CCEEFF"/>
          </w:tcPr>
          <w:p>
            <w:pPr>
              <w:spacing w:after="0"/>
              <w:rPr>
                <w:sz w:val="20"/>
                <w:szCs w:val="20"/>
                <w:color w:val="auto"/>
              </w:rPr>
            </w:pPr>
            <w:r>
              <w:rPr>
                <w:rFonts w:ascii="Arial" w:cs="Arial" w:eastAsia="Arial" w:hAnsi="Arial"/>
                <w:sz w:val="18"/>
                <w:szCs w:val="18"/>
                <w:color w:val="auto"/>
                <w:w w:val="89"/>
              </w:rPr>
              <w:t>2018</w:t>
            </w:r>
          </w:p>
        </w:tc>
        <w:tc>
          <w:tcPr>
            <w:tcW w:w="940" w:type="dxa"/>
            <w:vAlign w:val="bottom"/>
            <w:shd w:val="clear" w:color="auto" w:fill="CCEEFF"/>
          </w:tcPr>
          <w:p>
            <w:pPr>
              <w:spacing w:after="0"/>
              <w:rPr>
                <w:sz w:val="18"/>
                <w:szCs w:val="18"/>
                <w:color w:val="auto"/>
              </w:rPr>
            </w:pPr>
          </w:p>
        </w:tc>
        <w:tc>
          <w:tcPr>
            <w:tcW w:w="4780" w:type="dxa"/>
            <w:vAlign w:val="bottom"/>
            <w:shd w:val="clear" w:color="auto" w:fill="CCEEFF"/>
          </w:tcPr>
          <w:p>
            <w:pPr>
              <w:ind w:left="3680"/>
              <w:spacing w:after="0"/>
              <w:rPr>
                <w:sz w:val="20"/>
                <w:szCs w:val="20"/>
                <w:color w:val="auto"/>
              </w:rPr>
            </w:pPr>
            <w:r>
              <w:rPr>
                <w:rFonts w:ascii="Arial" w:cs="Arial" w:eastAsia="Arial" w:hAnsi="Arial"/>
                <w:sz w:val="18"/>
                <w:szCs w:val="18"/>
                <w:color w:val="auto"/>
              </w:rPr>
              <w:t>Consolidated</w:t>
            </w:r>
          </w:p>
        </w:tc>
        <w:tc>
          <w:tcPr>
            <w:tcW w:w="880" w:type="dxa"/>
            <w:vAlign w:val="bottom"/>
            <w:shd w:val="clear" w:color="auto" w:fill="CCEEFF"/>
          </w:tcPr>
          <w:p>
            <w:pPr>
              <w:jc w:val="right"/>
              <w:ind w:right="56"/>
              <w:spacing w:after="0"/>
              <w:rPr>
                <w:sz w:val="20"/>
                <w:szCs w:val="20"/>
                <w:color w:val="auto"/>
              </w:rPr>
            </w:pPr>
            <w:r>
              <w:rPr>
                <w:rFonts w:ascii="Arial" w:cs="Arial" w:eastAsia="Arial" w:hAnsi="Arial"/>
                <w:sz w:val="18"/>
                <w:szCs w:val="18"/>
                <w:color w:val="auto"/>
              </w:rPr>
              <w:t>263,421</w:t>
            </w:r>
          </w:p>
        </w:tc>
        <w:tc>
          <w:tcPr>
            <w:tcW w:w="980" w:type="dxa"/>
            <w:vAlign w:val="bottom"/>
            <w:gridSpan w:val="2"/>
            <w:shd w:val="clear" w:color="auto" w:fill="CCEEFF"/>
          </w:tcPr>
          <w:p>
            <w:pPr>
              <w:jc w:val="right"/>
              <w:ind w:right="150"/>
              <w:spacing w:after="0"/>
              <w:rPr>
                <w:sz w:val="20"/>
                <w:szCs w:val="20"/>
                <w:color w:val="auto"/>
              </w:rPr>
            </w:pPr>
            <w:r>
              <w:rPr>
                <w:rFonts w:ascii="Arial" w:cs="Arial" w:eastAsia="Arial" w:hAnsi="Arial"/>
                <w:sz w:val="18"/>
                <w:szCs w:val="18"/>
                <w:color w:val="auto"/>
              </w:rPr>
              <w:t>129,979</w:t>
            </w:r>
          </w:p>
        </w:tc>
        <w:tc>
          <w:tcPr>
            <w:tcW w:w="700" w:type="dxa"/>
            <w:vAlign w:val="bottom"/>
            <w:gridSpan w:val="2"/>
            <w:shd w:val="clear" w:color="auto" w:fill="CCEEFF"/>
          </w:tcPr>
          <w:p>
            <w:pPr>
              <w:jc w:val="right"/>
              <w:ind w:right="88"/>
              <w:spacing w:after="0"/>
              <w:rPr>
                <w:sz w:val="20"/>
                <w:szCs w:val="20"/>
                <w:color w:val="auto"/>
              </w:rPr>
            </w:pPr>
            <w:r>
              <w:rPr>
                <w:rFonts w:ascii="Arial" w:cs="Arial" w:eastAsia="Arial" w:hAnsi="Arial"/>
                <w:sz w:val="18"/>
                <w:szCs w:val="18"/>
                <w:color w:val="auto"/>
                <w:w w:val="94"/>
              </w:rPr>
              <w:t>82,406</w:t>
            </w:r>
          </w:p>
        </w:tc>
        <w:tc>
          <w:tcPr>
            <w:tcW w:w="6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6,173</w:t>
            </w:r>
          </w:p>
        </w:tc>
        <w:tc>
          <w:tcPr>
            <w:tcW w:w="960" w:type="dxa"/>
            <w:vAlign w:val="bottom"/>
            <w:gridSpan w:val="2"/>
            <w:shd w:val="clear" w:color="auto" w:fill="CCEEFF"/>
          </w:tcPr>
          <w:p>
            <w:pPr>
              <w:jc w:val="right"/>
              <w:ind w:right="108"/>
              <w:spacing w:after="0"/>
              <w:rPr>
                <w:sz w:val="20"/>
                <w:szCs w:val="20"/>
                <w:color w:val="auto"/>
              </w:rPr>
            </w:pPr>
            <w:r>
              <w:rPr>
                <w:rFonts w:ascii="Arial" w:cs="Arial" w:eastAsia="Arial" w:hAnsi="Arial"/>
                <w:sz w:val="18"/>
                <w:szCs w:val="18"/>
                <w:color w:val="auto"/>
              </w:rPr>
              <w:t>42,792</w:t>
            </w:r>
          </w:p>
        </w:tc>
        <w:tc>
          <w:tcPr>
            <w:tcW w:w="740" w:type="dxa"/>
            <w:vAlign w:val="bottom"/>
            <w:shd w:val="clear" w:color="auto" w:fill="CCEEFF"/>
          </w:tcPr>
          <w:p>
            <w:pPr>
              <w:jc w:val="right"/>
              <w:ind w:right="1"/>
              <w:spacing w:after="0"/>
              <w:rPr>
                <w:sz w:val="20"/>
                <w:szCs w:val="20"/>
                <w:color w:val="auto"/>
              </w:rPr>
            </w:pPr>
            <w:r>
              <w:rPr>
                <w:rFonts w:ascii="Arial" w:cs="Arial" w:eastAsia="Arial" w:hAnsi="Arial"/>
                <w:sz w:val="18"/>
                <w:szCs w:val="18"/>
                <w:color w:val="auto"/>
              </w:rPr>
              <w:t>2,071</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80" w:type="dxa"/>
            <w:vAlign w:val="bottom"/>
          </w:tcPr>
          <w:p>
            <w:pPr>
              <w:spacing w:after="0"/>
              <w:rPr>
                <w:sz w:val="20"/>
                <w:szCs w:val="20"/>
                <w:color w:val="auto"/>
              </w:rPr>
            </w:pPr>
            <w:r>
              <w:rPr>
                <w:rFonts w:ascii="Arial" w:cs="Arial" w:eastAsia="Arial" w:hAnsi="Arial"/>
                <w:sz w:val="18"/>
                <w:szCs w:val="18"/>
                <w:color w:val="auto"/>
                <w:w w:val="89"/>
              </w:rPr>
              <w:t>2017</w:t>
            </w:r>
          </w:p>
        </w:tc>
        <w:tc>
          <w:tcPr>
            <w:tcW w:w="940" w:type="dxa"/>
            <w:vAlign w:val="bottom"/>
          </w:tcPr>
          <w:p>
            <w:pPr>
              <w:spacing w:after="0"/>
              <w:rPr>
                <w:sz w:val="20"/>
                <w:szCs w:val="20"/>
                <w:color w:val="auto"/>
              </w:rPr>
            </w:pPr>
          </w:p>
        </w:tc>
        <w:tc>
          <w:tcPr>
            <w:tcW w:w="4780" w:type="dxa"/>
            <w:vAlign w:val="bottom"/>
          </w:tcPr>
          <w:p>
            <w:pPr>
              <w:ind w:left="3680"/>
              <w:spacing w:after="0"/>
              <w:rPr>
                <w:sz w:val="20"/>
                <w:szCs w:val="20"/>
                <w:color w:val="auto"/>
              </w:rPr>
            </w:pPr>
            <w:r>
              <w:rPr>
                <w:rFonts w:ascii="Arial" w:cs="Arial" w:eastAsia="Arial" w:hAnsi="Arial"/>
                <w:sz w:val="18"/>
                <w:szCs w:val="18"/>
                <w:color w:val="auto"/>
              </w:rPr>
              <w:t>Consolidated</w:t>
            </w:r>
          </w:p>
        </w:tc>
        <w:tc>
          <w:tcPr>
            <w:tcW w:w="880" w:type="dxa"/>
            <w:vAlign w:val="bottom"/>
          </w:tcPr>
          <w:p>
            <w:pPr>
              <w:jc w:val="right"/>
              <w:ind w:right="56"/>
              <w:spacing w:after="0"/>
              <w:rPr>
                <w:sz w:val="20"/>
                <w:szCs w:val="20"/>
                <w:color w:val="auto"/>
              </w:rPr>
            </w:pPr>
            <w:r>
              <w:rPr>
                <w:rFonts w:ascii="Arial" w:cs="Arial" w:eastAsia="Arial" w:hAnsi="Arial"/>
                <w:sz w:val="18"/>
                <w:szCs w:val="18"/>
                <w:color w:val="auto"/>
              </w:rPr>
              <w:t>259,012</w:t>
            </w:r>
          </w:p>
        </w:tc>
        <w:tc>
          <w:tcPr>
            <w:tcW w:w="980" w:type="dxa"/>
            <w:vAlign w:val="bottom"/>
            <w:gridSpan w:val="2"/>
          </w:tcPr>
          <w:p>
            <w:pPr>
              <w:jc w:val="right"/>
              <w:ind w:right="150"/>
              <w:spacing w:after="0"/>
              <w:rPr>
                <w:sz w:val="20"/>
                <w:szCs w:val="20"/>
                <w:color w:val="auto"/>
              </w:rPr>
            </w:pPr>
            <w:r>
              <w:rPr>
                <w:rFonts w:ascii="Arial" w:cs="Arial" w:eastAsia="Arial" w:hAnsi="Arial"/>
                <w:sz w:val="18"/>
                <w:szCs w:val="18"/>
                <w:color w:val="auto"/>
              </w:rPr>
              <w:t>95,180</w:t>
            </w:r>
          </w:p>
        </w:tc>
        <w:tc>
          <w:tcPr>
            <w:tcW w:w="700" w:type="dxa"/>
            <w:vAlign w:val="bottom"/>
            <w:gridSpan w:val="2"/>
          </w:tcPr>
          <w:p>
            <w:pPr>
              <w:jc w:val="right"/>
              <w:ind w:right="88"/>
              <w:spacing w:after="0"/>
              <w:rPr>
                <w:sz w:val="20"/>
                <w:szCs w:val="20"/>
                <w:color w:val="auto"/>
              </w:rPr>
            </w:pPr>
            <w:r>
              <w:rPr>
                <w:rFonts w:ascii="Arial" w:cs="Arial" w:eastAsia="Arial" w:hAnsi="Arial"/>
                <w:sz w:val="18"/>
                <w:szCs w:val="18"/>
                <w:color w:val="auto"/>
                <w:w w:val="94"/>
              </w:rPr>
              <w:t>32,866</w:t>
            </w:r>
          </w:p>
        </w:tc>
        <w:tc>
          <w:tcPr>
            <w:tcW w:w="660" w:type="dxa"/>
            <w:vAlign w:val="bottom"/>
            <w:gridSpan w:val="2"/>
          </w:tcPr>
          <w:p>
            <w:pPr>
              <w:jc w:val="right"/>
              <w:spacing w:after="0"/>
              <w:rPr>
                <w:sz w:val="20"/>
                <w:szCs w:val="20"/>
                <w:color w:val="auto"/>
              </w:rPr>
            </w:pPr>
            <w:r>
              <w:rPr>
                <w:rFonts w:ascii="Arial" w:cs="Arial" w:eastAsia="Arial" w:hAnsi="Arial"/>
                <w:sz w:val="18"/>
                <w:szCs w:val="18"/>
                <w:color w:val="auto"/>
              </w:rPr>
              <w:t>40,374</w:t>
            </w:r>
          </w:p>
        </w:tc>
        <w:tc>
          <w:tcPr>
            <w:tcW w:w="960" w:type="dxa"/>
            <w:vAlign w:val="bottom"/>
            <w:gridSpan w:val="2"/>
          </w:tcPr>
          <w:p>
            <w:pPr>
              <w:jc w:val="right"/>
              <w:ind w:right="108"/>
              <w:spacing w:after="0"/>
              <w:rPr>
                <w:sz w:val="20"/>
                <w:szCs w:val="20"/>
                <w:color w:val="auto"/>
              </w:rPr>
            </w:pPr>
            <w:r>
              <w:rPr>
                <w:rFonts w:ascii="Arial" w:cs="Arial" w:eastAsia="Arial" w:hAnsi="Arial"/>
                <w:sz w:val="18"/>
                <w:szCs w:val="18"/>
                <w:color w:val="auto"/>
              </w:rPr>
              <w:t>1,733</w:t>
            </w:r>
          </w:p>
        </w:tc>
        <w:tc>
          <w:tcPr>
            <w:tcW w:w="740" w:type="dxa"/>
            <w:vAlign w:val="bottom"/>
          </w:tcPr>
          <w:p>
            <w:pPr>
              <w:jc w:val="right"/>
              <w:ind w:right="1"/>
              <w:spacing w:after="0"/>
              <w:rPr>
                <w:sz w:val="20"/>
                <w:szCs w:val="20"/>
                <w:color w:val="auto"/>
              </w:rPr>
            </w:pPr>
            <w:r>
              <w:rPr>
                <w:rFonts w:ascii="Arial" w:cs="Arial" w:eastAsia="Arial" w:hAnsi="Arial"/>
                <w:sz w:val="18"/>
                <w:szCs w:val="18"/>
                <w:color w:val="auto"/>
              </w:rPr>
              <w:t>88,859</w:t>
            </w:r>
          </w:p>
        </w:tc>
        <w:tc>
          <w:tcPr>
            <w:tcW w:w="0" w:type="dxa"/>
            <w:vAlign w:val="bottom"/>
          </w:tcPr>
          <w:p>
            <w:pPr>
              <w:spacing w:after="0"/>
              <w:rPr>
                <w:sz w:val="1"/>
                <w:szCs w:val="1"/>
                <w:color w:val="auto"/>
              </w:rPr>
            </w:pPr>
          </w:p>
        </w:tc>
      </w:tr>
      <w:tr>
        <w:trPr>
          <w:trHeight w:val="431"/>
        </w:trPr>
        <w:tc>
          <w:tcPr>
            <w:tcW w:w="400" w:type="dxa"/>
            <w:vAlign w:val="bottom"/>
            <w:gridSpan w:val="2"/>
          </w:tcPr>
          <w:p>
            <w:pPr>
              <w:spacing w:after="0"/>
              <w:rPr>
                <w:sz w:val="20"/>
                <w:szCs w:val="20"/>
                <w:color w:val="auto"/>
              </w:rPr>
            </w:pPr>
            <w:r>
              <w:rPr>
                <w:rFonts w:ascii="Arial" w:cs="Arial" w:eastAsia="Arial" w:hAnsi="Arial"/>
                <w:sz w:val="18"/>
                <w:szCs w:val="18"/>
                <w:color w:val="auto"/>
              </w:rPr>
              <w:t>*</w:t>
            </w:r>
          </w:p>
        </w:tc>
        <w:tc>
          <w:tcPr>
            <w:tcW w:w="5720" w:type="dxa"/>
            <w:vAlign w:val="bottom"/>
            <w:gridSpan w:val="2"/>
          </w:tcPr>
          <w:p>
            <w:pPr>
              <w:ind w:left="40"/>
              <w:spacing w:after="0"/>
              <w:rPr>
                <w:sz w:val="20"/>
                <w:szCs w:val="20"/>
                <w:color w:val="auto"/>
              </w:rPr>
            </w:pPr>
            <w:r>
              <w:rPr>
                <w:rFonts w:ascii="Arial" w:cs="Arial" w:eastAsia="Arial" w:hAnsi="Arial"/>
                <w:sz w:val="18"/>
                <w:szCs w:val="18"/>
                <w:color w:val="auto"/>
              </w:rPr>
              <w:t>Past due not impaired (“PDNI”)</w:t>
            </w:r>
          </w:p>
        </w:tc>
        <w:tc>
          <w:tcPr>
            <w:tcW w:w="8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400" w:type="dxa"/>
            <w:vAlign w:val="bottom"/>
            <w:gridSpan w:val="2"/>
          </w:tcPr>
          <w:p>
            <w:pPr>
              <w:spacing w:after="0"/>
              <w:rPr>
                <w:sz w:val="20"/>
                <w:szCs w:val="20"/>
                <w:color w:val="auto"/>
              </w:rPr>
            </w:pPr>
            <w:r>
              <w:rPr>
                <w:rFonts w:ascii="Arial" w:cs="Arial" w:eastAsia="Arial" w:hAnsi="Arial"/>
                <w:sz w:val="18"/>
                <w:szCs w:val="18"/>
                <w:color w:val="auto"/>
              </w:rPr>
              <w:t>**</w:t>
            </w:r>
          </w:p>
        </w:tc>
        <w:tc>
          <w:tcPr>
            <w:tcW w:w="5720" w:type="dxa"/>
            <w:vAlign w:val="bottom"/>
            <w:gridSpan w:val="2"/>
          </w:tcPr>
          <w:p>
            <w:pPr>
              <w:ind w:left="40"/>
              <w:spacing w:after="0"/>
              <w:rPr>
                <w:sz w:val="20"/>
                <w:szCs w:val="20"/>
                <w:color w:val="auto"/>
              </w:rPr>
            </w:pPr>
            <w:r>
              <w:rPr>
                <w:rFonts w:ascii="Arial" w:cs="Arial" w:eastAsia="Arial" w:hAnsi="Arial"/>
                <w:sz w:val="18"/>
                <w:szCs w:val="18"/>
                <w:color w:val="auto"/>
              </w:rPr>
              <w:t>Considered impaired (“CI”)</w:t>
            </w:r>
          </w:p>
        </w:tc>
        <w:tc>
          <w:tcPr>
            <w:tcW w:w="8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ind w:left="200" w:right="40"/>
        <w:spacing w:after="0" w:line="264" w:lineRule="auto"/>
        <w:rPr>
          <w:sz w:val="20"/>
          <w:szCs w:val="20"/>
          <w:color w:val="auto"/>
        </w:rPr>
      </w:pPr>
      <w:r>
        <w:rPr>
          <w:rFonts w:ascii="Arial" w:cs="Arial" w:eastAsia="Arial" w:hAnsi="Arial"/>
          <w:sz w:val="18"/>
          <w:szCs w:val="18"/>
          <w:color w:val="auto"/>
        </w:rPr>
        <w:t>The Company’s trade receivables past due but not considered impaired amounted to A$23,452 at June 30, 2018 (2017: A$nil). Payment terms on these amounts have not been re-negotiated however each operating unit has been in direct contact with the relevant debtor and is satisfied that payment will be received in full.</w:t>
      </w:r>
    </w:p>
    <w:p>
      <w:pPr>
        <w:spacing w:after="0" w:line="114"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F-29</w:t>
      </w:r>
    </w:p>
    <w:p>
      <w:pPr>
        <w:sectPr>
          <w:pgSz w:w="11900" w:h="16838" w:orient="portrait"/>
          <w:cols w:equalWidth="0" w:num="1">
            <w:col w:w="11240"/>
          </w:cols>
          <w:pgMar w:left="240" w:top="459" w:right="419" w:bottom="1440" w:gutter="0" w:footer="0" w:header="0"/>
        </w:sectPr>
      </w:pPr>
    </w:p>
    <w:bookmarkStart w:id="128" w:name="page129"/>
    <w:bookmarkEnd w:id="12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7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279"/>
        <w:spacing w:after="0"/>
        <w:rPr>
          <w:sz w:val="20"/>
          <w:szCs w:val="20"/>
          <w:color w:val="auto"/>
        </w:rPr>
      </w:pPr>
      <w:r>
        <w:rPr>
          <w:rFonts w:ascii="Arial" w:cs="Arial" w:eastAsia="Arial" w:hAnsi="Arial"/>
          <w:sz w:val="18"/>
          <w:szCs w:val="18"/>
          <w:b w:val="1"/>
          <w:bCs w:val="1"/>
          <w:color w:val="auto"/>
        </w:rPr>
        <w:t>AVITA MEDICAL LIMITED</w:t>
      </w:r>
    </w:p>
    <w:p>
      <w:pPr>
        <w:spacing w:after="0" w:line="27" w:lineRule="exact"/>
        <w:rPr>
          <w:sz w:val="20"/>
          <w:szCs w:val="20"/>
          <w:color w:val="auto"/>
        </w:rPr>
      </w:pPr>
    </w:p>
    <w:p>
      <w:pPr>
        <w:jc w:val="center"/>
        <w:ind w:right="-279"/>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9" w:lineRule="exact"/>
        <w:rPr>
          <w:sz w:val="20"/>
          <w:szCs w:val="20"/>
          <w:color w:val="auto"/>
        </w:rPr>
      </w:pPr>
    </w:p>
    <w:p>
      <w:pPr>
        <w:jc w:val="center"/>
        <w:ind w:right="-279"/>
        <w:spacing w:after="0"/>
        <w:rPr>
          <w:sz w:val="20"/>
          <w:szCs w:val="20"/>
          <w:color w:val="auto"/>
        </w:rPr>
      </w:pPr>
      <w:r>
        <w:rPr>
          <w:rFonts w:ascii="Arial" w:cs="Arial" w:eastAsia="Arial" w:hAnsi="Arial"/>
          <w:sz w:val="18"/>
          <w:szCs w:val="18"/>
          <w:b w:val="1"/>
          <w:bCs w:val="1"/>
          <w:color w:val="auto"/>
        </w:rPr>
        <w:t>(IN AUSTRALIAN DOLLARS)</w:t>
      </w:r>
    </w:p>
    <w:p>
      <w:pPr>
        <w:spacing w:after="0" w:line="234" w:lineRule="exact"/>
        <w:rPr>
          <w:sz w:val="20"/>
          <w:szCs w:val="20"/>
          <w:color w:val="auto"/>
        </w:rPr>
      </w:pPr>
    </w:p>
    <w:p>
      <w:pPr>
        <w:ind w:left="640" w:hanging="436"/>
        <w:spacing w:after="0"/>
        <w:tabs>
          <w:tab w:leader="none" w:pos="640" w:val="left"/>
        </w:tabs>
        <w:numPr>
          <w:ilvl w:val="0"/>
          <w:numId w:val="132"/>
        </w:numPr>
        <w:rPr>
          <w:rFonts w:ascii="Arial" w:cs="Arial" w:eastAsia="Arial" w:hAnsi="Arial"/>
          <w:sz w:val="18"/>
          <w:szCs w:val="18"/>
          <w:b w:val="1"/>
          <w:bCs w:val="1"/>
          <w:color w:val="auto"/>
        </w:rPr>
      </w:pPr>
      <w:r>
        <w:rPr>
          <w:rFonts w:ascii="Arial" w:cs="Arial" w:eastAsia="Arial" w:hAnsi="Arial"/>
          <w:sz w:val="18"/>
          <w:szCs w:val="18"/>
          <w:b w:val="1"/>
          <w:bCs w:val="1"/>
          <w:color w:val="auto"/>
        </w:rPr>
        <w:t>CURRENT ASSETS – TRADE AND OTHER RECEIVABLES (CONTINUED)</w:t>
      </w:r>
    </w:p>
    <w:p>
      <w:pPr>
        <w:spacing w:after="0" w:line="131" w:lineRule="exact"/>
        <w:rPr>
          <w:sz w:val="20"/>
          <w:szCs w:val="20"/>
          <w:color w:val="auto"/>
        </w:rPr>
      </w:pPr>
    </w:p>
    <w:p>
      <w:pPr>
        <w:ind w:left="640" w:hanging="436"/>
        <w:spacing w:after="0"/>
        <w:tabs>
          <w:tab w:leader="none" w:pos="640" w:val="left"/>
        </w:tabs>
        <w:numPr>
          <w:ilvl w:val="0"/>
          <w:numId w:val="133"/>
        </w:numPr>
        <w:rPr>
          <w:rFonts w:ascii="Arial" w:cs="Arial" w:eastAsia="Arial" w:hAnsi="Arial"/>
          <w:sz w:val="18"/>
          <w:szCs w:val="18"/>
          <w:b w:val="1"/>
          <w:bCs w:val="1"/>
          <w:color w:val="auto"/>
        </w:rPr>
      </w:pPr>
      <w:r>
        <w:rPr>
          <w:rFonts w:ascii="Arial" w:cs="Arial" w:eastAsia="Arial" w:hAnsi="Arial"/>
          <w:sz w:val="18"/>
          <w:szCs w:val="18"/>
          <w:b w:val="1"/>
          <w:bCs w:val="1"/>
          <w:color w:val="auto"/>
        </w:rPr>
        <w:t>Allowance for impairment loss (continued)</w:t>
      </w:r>
    </w:p>
    <w:p>
      <w:pPr>
        <w:spacing w:after="0" w:line="135" w:lineRule="exact"/>
        <w:rPr>
          <w:sz w:val="20"/>
          <w:szCs w:val="20"/>
          <w:color w:val="auto"/>
        </w:rPr>
      </w:pPr>
    </w:p>
    <w:p>
      <w:pPr>
        <w:ind w:left="200"/>
        <w:spacing w:after="0" w:line="277" w:lineRule="auto"/>
        <w:rPr>
          <w:sz w:val="20"/>
          <w:szCs w:val="20"/>
          <w:color w:val="auto"/>
        </w:rPr>
      </w:pPr>
      <w:r>
        <w:rPr>
          <w:rFonts w:ascii="Arial" w:cs="Arial" w:eastAsia="Arial" w:hAnsi="Arial"/>
          <w:sz w:val="18"/>
          <w:szCs w:val="18"/>
          <w:color w:val="auto"/>
        </w:rPr>
        <w:t>Other balances within trade and other receivables which have similar terms as trade receivables do not contain impaired assets and are not past due. It is expected that these other balances will be received when due.</w:t>
      </w:r>
    </w:p>
    <w:p>
      <w:pPr>
        <w:spacing w:after="0" w:line="315" w:lineRule="exact"/>
        <w:rPr>
          <w:sz w:val="20"/>
          <w:szCs w:val="20"/>
          <w:color w:val="auto"/>
        </w:rPr>
      </w:pPr>
    </w:p>
    <w:p>
      <w:pPr>
        <w:ind w:left="640" w:hanging="436"/>
        <w:spacing w:after="0"/>
        <w:tabs>
          <w:tab w:leader="none" w:pos="640" w:val="left"/>
        </w:tabs>
        <w:numPr>
          <w:ilvl w:val="0"/>
          <w:numId w:val="134"/>
        </w:numPr>
        <w:rPr>
          <w:rFonts w:ascii="Arial" w:cs="Arial" w:eastAsia="Arial" w:hAnsi="Arial"/>
          <w:sz w:val="18"/>
          <w:szCs w:val="18"/>
          <w:b w:val="1"/>
          <w:bCs w:val="1"/>
          <w:color w:val="auto"/>
        </w:rPr>
      </w:pPr>
      <w:r>
        <w:rPr>
          <w:rFonts w:ascii="Arial" w:cs="Arial" w:eastAsia="Arial" w:hAnsi="Arial"/>
          <w:sz w:val="18"/>
          <w:szCs w:val="18"/>
          <w:b w:val="1"/>
          <w:bCs w:val="1"/>
          <w:color w:val="auto"/>
        </w:rPr>
        <w:t>Fair value and credit risk</w:t>
      </w:r>
    </w:p>
    <w:p>
      <w:pPr>
        <w:spacing w:after="0" w:line="121" w:lineRule="exact"/>
        <w:rPr>
          <w:sz w:val="20"/>
          <w:szCs w:val="20"/>
          <w:color w:val="auto"/>
        </w:rPr>
      </w:pPr>
    </w:p>
    <w:p>
      <w:pPr>
        <w:ind w:left="200" w:right="80"/>
        <w:spacing w:after="0" w:line="264" w:lineRule="auto"/>
        <w:rPr>
          <w:sz w:val="20"/>
          <w:szCs w:val="20"/>
          <w:color w:val="auto"/>
        </w:rPr>
      </w:pPr>
      <w:r>
        <w:rPr>
          <w:rFonts w:ascii="Arial" w:cs="Arial" w:eastAsia="Arial" w:hAnsi="Arial"/>
          <w:sz w:val="18"/>
          <w:szCs w:val="18"/>
          <w:color w:val="auto"/>
        </w:rPr>
        <w:t>Due to the short-term nature of these receivables, their carrying value is assumed to approximate their fair value. The maximum exposure to credit risk is the fair value of receivables. Collateral is not held as security, nor is it the Company’s policy to transfer (on-sell) receivables to special purpose entities.</w:t>
      </w:r>
    </w:p>
    <w:p>
      <w:pPr>
        <w:spacing w:after="0" w:line="326" w:lineRule="exact"/>
        <w:rPr>
          <w:sz w:val="20"/>
          <w:szCs w:val="20"/>
          <w:color w:val="auto"/>
        </w:rPr>
      </w:pPr>
    </w:p>
    <w:p>
      <w:pPr>
        <w:ind w:left="640" w:hanging="436"/>
        <w:spacing w:after="0"/>
        <w:tabs>
          <w:tab w:leader="none" w:pos="640" w:val="left"/>
        </w:tabs>
        <w:numPr>
          <w:ilvl w:val="0"/>
          <w:numId w:val="135"/>
        </w:numPr>
        <w:rPr>
          <w:rFonts w:ascii="Arial" w:cs="Arial" w:eastAsia="Arial" w:hAnsi="Arial"/>
          <w:sz w:val="18"/>
          <w:szCs w:val="18"/>
          <w:b w:val="1"/>
          <w:bCs w:val="1"/>
          <w:color w:val="auto"/>
        </w:rPr>
      </w:pPr>
      <w:r>
        <w:rPr>
          <w:rFonts w:ascii="Arial" w:cs="Arial" w:eastAsia="Arial" w:hAnsi="Arial"/>
          <w:sz w:val="18"/>
          <w:szCs w:val="18"/>
          <w:b w:val="1"/>
          <w:bCs w:val="1"/>
          <w:color w:val="auto"/>
        </w:rPr>
        <w:t>Foreign exchange and interest rate risk</w:t>
      </w:r>
    </w:p>
    <w:p>
      <w:pPr>
        <w:spacing w:after="0" w:line="121" w:lineRule="exact"/>
        <w:rPr>
          <w:sz w:val="20"/>
          <w:szCs w:val="20"/>
          <w:color w:val="auto"/>
        </w:rPr>
      </w:pPr>
    </w:p>
    <w:p>
      <w:pPr>
        <w:ind w:left="200"/>
        <w:spacing w:after="0"/>
        <w:rPr>
          <w:sz w:val="20"/>
          <w:szCs w:val="20"/>
          <w:color w:val="auto"/>
        </w:rPr>
      </w:pPr>
      <w:r>
        <w:rPr>
          <w:rFonts w:ascii="Arial" w:cs="Arial" w:eastAsia="Arial" w:hAnsi="Arial"/>
          <w:sz w:val="18"/>
          <w:szCs w:val="18"/>
          <w:color w:val="auto"/>
        </w:rPr>
        <w:t>Detail regarding foreign exchange and interest rate risk exposure is disclosed in Note 20.</w:t>
      </w:r>
    </w:p>
    <w:p>
      <w:pPr>
        <w:spacing w:after="0" w:line="370" w:lineRule="exact"/>
        <w:rPr>
          <w:sz w:val="20"/>
          <w:szCs w:val="20"/>
          <w:color w:val="auto"/>
        </w:rPr>
      </w:pPr>
    </w:p>
    <w:p>
      <w:pPr>
        <w:ind w:left="200"/>
        <w:spacing w:after="0"/>
        <w:tabs>
          <w:tab w:leader="none" w:pos="620" w:val="left"/>
        </w:tabs>
        <w:rPr>
          <w:sz w:val="20"/>
          <w:szCs w:val="20"/>
          <w:color w:val="auto"/>
        </w:rPr>
      </w:pPr>
      <w:r>
        <w:rPr>
          <w:rFonts w:ascii="Arial" w:cs="Arial" w:eastAsia="Arial" w:hAnsi="Arial"/>
          <w:sz w:val="18"/>
          <w:szCs w:val="18"/>
          <w:b w:val="1"/>
          <w:bCs w:val="1"/>
          <w:color w:val="auto"/>
        </w:rPr>
        <w:t>9.</w:t>
      </w:r>
      <w:r>
        <w:rPr>
          <w:sz w:val="20"/>
          <w:szCs w:val="20"/>
          <w:color w:val="auto"/>
        </w:rPr>
        <w:tab/>
      </w:r>
      <w:r>
        <w:rPr>
          <w:rFonts w:ascii="Arial" w:cs="Arial" w:eastAsia="Arial" w:hAnsi="Arial"/>
          <w:sz w:val="18"/>
          <w:szCs w:val="18"/>
          <w:b w:val="1"/>
          <w:bCs w:val="1"/>
          <w:color w:val="auto"/>
        </w:rPr>
        <w:t>CURRENT ASSETS – INVENTORIES</w:t>
      </w:r>
    </w:p>
    <w:p>
      <w:pPr>
        <w:spacing w:after="0" w:line="114" w:lineRule="exact"/>
        <w:rPr>
          <w:sz w:val="20"/>
          <w:szCs w:val="20"/>
          <w:color w:val="auto"/>
        </w:rPr>
      </w:pPr>
    </w:p>
    <w:tbl>
      <w:tblPr>
        <w:tblLayout w:type="fixed"/>
        <w:tblInd w:w="152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16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780" w:type="dxa"/>
            <w:vAlign w:val="bottom"/>
            <w:gridSpan w:val="3"/>
          </w:tcPr>
          <w:p>
            <w:pPr>
              <w:jc w:val="right"/>
              <w:ind w:right="130"/>
              <w:spacing w:after="0"/>
              <w:rPr>
                <w:sz w:val="20"/>
                <w:szCs w:val="20"/>
                <w:color w:val="auto"/>
              </w:rPr>
            </w:pPr>
            <w:r>
              <w:rPr>
                <w:rFonts w:ascii="Arial" w:cs="Arial" w:eastAsia="Arial" w:hAnsi="Arial"/>
                <w:sz w:val="14"/>
                <w:szCs w:val="14"/>
                <w:b w:val="1"/>
                <w:bCs w:val="1"/>
                <w:color w:val="auto"/>
              </w:rPr>
              <w:t>As of June 30,</w:t>
            </w:r>
          </w:p>
        </w:tc>
        <w:tc>
          <w:tcPr>
            <w:tcW w:w="740" w:type="dxa"/>
            <w:vAlign w:val="bottom"/>
            <w:vMerge w:val="restart"/>
          </w:tcPr>
          <w:p>
            <w:pPr>
              <w:jc w:val="right"/>
              <w:ind w:right="254"/>
              <w:spacing w:after="0"/>
              <w:rPr>
                <w:sz w:val="20"/>
                <w:szCs w:val="20"/>
                <w:color w:val="auto"/>
              </w:rPr>
            </w:pPr>
            <w:r>
              <w:rPr>
                <w:rFonts w:ascii="Arial" w:cs="Arial" w:eastAsia="Arial" w:hAnsi="Arial"/>
                <w:sz w:val="14"/>
                <w:szCs w:val="14"/>
                <w:b w:val="1"/>
                <w:bCs w:val="1"/>
                <w:color w:val="auto"/>
              </w:rPr>
              <w:t>2017</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4160" w:type="dxa"/>
            <w:vAlign w:val="bottom"/>
            <w:tcBorders>
              <w:bottom w:val="single" w:sz="8" w:color="CCEEFF"/>
            </w:tcBorders>
          </w:tcPr>
          <w:p>
            <w:pPr>
              <w:spacing w:after="0"/>
              <w:rPr>
                <w:sz w:val="14"/>
                <w:szCs w:val="14"/>
                <w:color w:val="auto"/>
              </w:rPr>
            </w:pPr>
          </w:p>
        </w:tc>
        <w:tc>
          <w:tcPr>
            <w:tcW w:w="1420" w:type="dxa"/>
            <w:vAlign w:val="bottom"/>
            <w:tcBorders>
              <w:bottom w:val="single" w:sz="8" w:color="CCEEFF"/>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right"/>
              <w:ind w:right="277"/>
              <w:spacing w:after="0"/>
              <w:rPr>
                <w:sz w:val="20"/>
                <w:szCs w:val="20"/>
                <w:color w:val="auto"/>
              </w:rPr>
            </w:pPr>
            <w:r>
              <w:rPr>
                <w:rFonts w:ascii="Arial" w:cs="Arial" w:eastAsia="Arial" w:hAnsi="Arial"/>
                <w:sz w:val="14"/>
                <w:szCs w:val="14"/>
                <w:b w:val="1"/>
                <w:bCs w:val="1"/>
                <w:color w:val="auto"/>
              </w:rPr>
              <w:t>2018</w:t>
            </w:r>
          </w:p>
        </w:tc>
        <w:tc>
          <w:tcPr>
            <w:tcW w:w="820" w:type="dxa"/>
            <w:vAlign w:val="bottom"/>
            <w:tcBorders>
              <w:bottom w:val="single" w:sz="8" w:color="CCEEFF"/>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vMerge w:val="continue"/>
          </w:tcPr>
          <w:p>
            <w:pPr>
              <w:spacing w:after="0"/>
              <w:rPr>
                <w:sz w:val="14"/>
                <w:szCs w:val="14"/>
                <w:color w:val="auto"/>
              </w:rPr>
            </w:pPr>
          </w:p>
        </w:tc>
        <w:tc>
          <w:tcPr>
            <w:tcW w:w="4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160" w:type="dxa"/>
            <w:vAlign w:val="bottom"/>
            <w:shd w:val="clear" w:color="auto" w:fill="CCEEFF"/>
          </w:tcPr>
          <w:p>
            <w:pPr>
              <w:spacing w:after="0"/>
              <w:rPr>
                <w:sz w:val="20"/>
                <w:szCs w:val="20"/>
                <w:color w:val="auto"/>
              </w:rPr>
            </w:pPr>
            <w:r>
              <w:rPr>
                <w:rFonts w:ascii="Arial" w:cs="Arial" w:eastAsia="Arial" w:hAnsi="Arial"/>
                <w:sz w:val="18"/>
                <w:szCs w:val="18"/>
                <w:color w:val="auto"/>
              </w:rPr>
              <w:t>Raw materials and components at cost</w:t>
            </w:r>
          </w:p>
        </w:tc>
        <w:tc>
          <w:tcPr>
            <w:tcW w:w="1420" w:type="dxa"/>
            <w:vAlign w:val="bottom"/>
            <w:shd w:val="clear" w:color="auto" w:fill="CCEEFF"/>
          </w:tcPr>
          <w:p>
            <w:pPr>
              <w:spacing w:after="0"/>
              <w:rPr>
                <w:sz w:val="18"/>
                <w:szCs w:val="18"/>
                <w:color w:val="auto"/>
              </w:rPr>
            </w:pPr>
          </w:p>
        </w:tc>
        <w:tc>
          <w:tcPr>
            <w:tcW w:w="2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1"/>
              </w:rPr>
              <w:t>A$</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778,947</w:t>
            </w:r>
          </w:p>
        </w:tc>
        <w:tc>
          <w:tcPr>
            <w:tcW w:w="820" w:type="dxa"/>
            <w:vAlign w:val="bottom"/>
            <w:shd w:val="clear" w:color="auto" w:fill="CCEEFF"/>
          </w:tcPr>
          <w:p>
            <w:pPr>
              <w:spacing w:after="0"/>
              <w:rPr>
                <w:sz w:val="18"/>
                <w:szCs w:val="18"/>
                <w:color w:val="auto"/>
              </w:rPr>
            </w:pPr>
          </w:p>
        </w:tc>
        <w:tc>
          <w:tcPr>
            <w:tcW w:w="2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1"/>
              </w:rPr>
              <w:t>A$</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804,052</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160" w:type="dxa"/>
            <w:vAlign w:val="bottom"/>
          </w:tcPr>
          <w:p>
            <w:pPr>
              <w:spacing w:after="0"/>
              <w:rPr>
                <w:sz w:val="20"/>
                <w:szCs w:val="20"/>
                <w:color w:val="auto"/>
              </w:rPr>
            </w:pPr>
            <w:r>
              <w:rPr>
                <w:rFonts w:ascii="Arial" w:cs="Arial" w:eastAsia="Arial" w:hAnsi="Arial"/>
                <w:sz w:val="18"/>
                <w:szCs w:val="18"/>
                <w:color w:val="auto"/>
              </w:rPr>
              <w:t>Finished goods at cost</w:t>
            </w:r>
          </w:p>
        </w:tc>
        <w:tc>
          <w:tcPr>
            <w:tcW w:w="142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376,879</w:t>
            </w:r>
          </w:p>
        </w:tc>
        <w:tc>
          <w:tcPr>
            <w:tcW w:w="82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233,438</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 inventories at cost</w:t>
            </w:r>
          </w:p>
        </w:tc>
        <w:tc>
          <w:tcPr>
            <w:tcW w:w="164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u w:val="single" w:color="auto"/>
                <w:color w:val="auto"/>
              </w:rPr>
              <w:t>A$</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87"/>
              </w:rPr>
              <w:t>1,155,826</w:t>
            </w:r>
          </w:p>
        </w:tc>
        <w:tc>
          <w:tcPr>
            <w:tcW w:w="104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u w:val="single" w:color="auto"/>
                <w:color w:val="auto"/>
              </w:rPr>
              <w:t>A$</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87"/>
              </w:rPr>
              <w:t>1,037,490</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16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ind w:left="200" w:right="100"/>
        <w:spacing w:after="0" w:line="264" w:lineRule="auto"/>
        <w:rPr>
          <w:sz w:val="20"/>
          <w:szCs w:val="20"/>
          <w:color w:val="auto"/>
        </w:rPr>
      </w:pPr>
      <w:r>
        <w:rPr>
          <w:rFonts w:ascii="Arial" w:cs="Arial" w:eastAsia="Arial" w:hAnsi="Arial"/>
          <w:sz w:val="18"/>
          <w:szCs w:val="18"/>
          <w:color w:val="auto"/>
        </w:rPr>
        <w:t>A provision of A$42,412 (2017: A$1,660 and 2016: A$1,766) has been allocated against raw materials to reduce the carrying amount of certain inventory items to nil net realizable value. The change in provision of inventory has been included in the cost of sales line item as a cost of inventories in the consolidated statement of profit or loss and other comprehensive income.</w:t>
      </w:r>
    </w:p>
    <w:p>
      <w:pPr>
        <w:spacing w:after="0" w:line="28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Inventory expense</w:t>
      </w:r>
    </w:p>
    <w:p>
      <w:pPr>
        <w:spacing w:after="0" w:line="121" w:lineRule="exact"/>
        <w:rPr>
          <w:sz w:val="20"/>
          <w:szCs w:val="20"/>
          <w:color w:val="auto"/>
        </w:rPr>
      </w:pPr>
    </w:p>
    <w:p>
      <w:pPr>
        <w:ind w:left="200"/>
        <w:spacing w:after="0"/>
        <w:rPr>
          <w:sz w:val="20"/>
          <w:szCs w:val="20"/>
          <w:color w:val="auto"/>
        </w:rPr>
      </w:pPr>
      <w:r>
        <w:rPr>
          <w:rFonts w:ascii="Arial" w:cs="Arial" w:eastAsia="Arial" w:hAnsi="Arial"/>
          <w:sz w:val="17"/>
          <w:szCs w:val="17"/>
          <w:color w:val="auto"/>
        </w:rPr>
        <w:t>Inventories recognized as an expense as a result of expiration for the year ended June 30, 2018 totaled A$38,107 (2017: A$408,052 and 2016:</w:t>
      </w:r>
    </w:p>
    <w:p>
      <w:pPr>
        <w:spacing w:after="0" w:line="35" w:lineRule="exact"/>
        <w:rPr>
          <w:sz w:val="20"/>
          <w:szCs w:val="20"/>
          <w:color w:val="auto"/>
        </w:rPr>
      </w:pPr>
    </w:p>
    <w:p>
      <w:pPr>
        <w:ind w:left="200"/>
        <w:spacing w:after="0"/>
        <w:rPr>
          <w:sz w:val="20"/>
          <w:szCs w:val="20"/>
          <w:color w:val="auto"/>
        </w:rPr>
      </w:pPr>
      <w:r>
        <w:rPr>
          <w:rFonts w:ascii="Arial" w:cs="Arial" w:eastAsia="Arial" w:hAnsi="Arial"/>
          <w:sz w:val="18"/>
          <w:szCs w:val="18"/>
          <w:color w:val="auto"/>
        </w:rPr>
        <w:t>A$182,150).</w:t>
      </w:r>
    </w:p>
    <w:p>
      <w:pPr>
        <w:spacing w:after="0" w:line="143" w:lineRule="exact"/>
        <w:rPr>
          <w:sz w:val="20"/>
          <w:szCs w:val="20"/>
          <w:color w:val="auto"/>
        </w:rPr>
      </w:pPr>
    </w:p>
    <w:p>
      <w:pPr>
        <w:jc w:val="center"/>
        <w:ind w:right="-279"/>
        <w:spacing w:after="0"/>
        <w:rPr>
          <w:sz w:val="20"/>
          <w:szCs w:val="20"/>
          <w:color w:val="auto"/>
        </w:rPr>
      </w:pPr>
      <w:r>
        <w:rPr>
          <w:rFonts w:ascii="Arial" w:cs="Arial" w:eastAsia="Arial" w:hAnsi="Arial"/>
          <w:sz w:val="18"/>
          <w:szCs w:val="18"/>
          <w:color w:val="auto"/>
        </w:rPr>
        <w:t>F-30</w:t>
      </w:r>
    </w:p>
    <w:p>
      <w:pPr>
        <w:sectPr>
          <w:pgSz w:w="11900" w:h="16838" w:orient="portrait"/>
          <w:cols w:equalWidth="0" w:num="1">
            <w:col w:w="11140"/>
          </w:cols>
          <w:pgMar w:left="240" w:top="459" w:right="519" w:bottom="1440" w:gutter="0" w:footer="0" w:header="0"/>
        </w:sectPr>
      </w:pPr>
    </w:p>
    <w:bookmarkStart w:id="129" w:name="page130"/>
    <w:bookmarkEnd w:id="12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7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079"/>
        <w:spacing w:after="0"/>
        <w:rPr>
          <w:sz w:val="20"/>
          <w:szCs w:val="20"/>
          <w:color w:val="auto"/>
        </w:rPr>
      </w:pPr>
      <w:r>
        <w:rPr>
          <w:rFonts w:ascii="Arial" w:cs="Arial" w:eastAsia="Arial" w:hAnsi="Arial"/>
          <w:sz w:val="18"/>
          <w:szCs w:val="18"/>
          <w:b w:val="1"/>
          <w:bCs w:val="1"/>
          <w:color w:val="auto"/>
        </w:rPr>
        <w:t>AVITA MEDICAL LIMITED</w:t>
      </w:r>
    </w:p>
    <w:p>
      <w:pPr>
        <w:spacing w:after="0" w:line="27" w:lineRule="exact"/>
        <w:rPr>
          <w:sz w:val="20"/>
          <w:szCs w:val="20"/>
          <w:color w:val="auto"/>
        </w:rPr>
      </w:pPr>
    </w:p>
    <w:p>
      <w:pPr>
        <w:jc w:val="center"/>
        <w:ind w:right="-1079"/>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9" w:lineRule="exact"/>
        <w:rPr>
          <w:sz w:val="20"/>
          <w:szCs w:val="20"/>
          <w:color w:val="auto"/>
        </w:rPr>
      </w:pPr>
    </w:p>
    <w:p>
      <w:pPr>
        <w:jc w:val="center"/>
        <w:ind w:right="-1079"/>
        <w:spacing w:after="0"/>
        <w:rPr>
          <w:sz w:val="20"/>
          <w:szCs w:val="20"/>
          <w:color w:val="auto"/>
        </w:rPr>
      </w:pPr>
      <w:r>
        <w:rPr>
          <w:rFonts w:ascii="Arial" w:cs="Arial" w:eastAsia="Arial" w:hAnsi="Arial"/>
          <w:sz w:val="18"/>
          <w:szCs w:val="18"/>
          <w:b w:val="1"/>
          <w:bCs w:val="1"/>
          <w:color w:val="auto"/>
        </w:rPr>
        <w:t>(IN AUSTRALIAN DOLLARS)</w:t>
      </w:r>
    </w:p>
    <w:p>
      <w:pPr>
        <w:spacing w:after="0" w:line="234" w:lineRule="exact"/>
        <w:rPr>
          <w:sz w:val="20"/>
          <w:szCs w:val="20"/>
          <w:color w:val="auto"/>
        </w:rPr>
      </w:pPr>
    </w:p>
    <w:p>
      <w:pPr>
        <w:ind w:left="200" w:right="4460" w:firstLine="4"/>
        <w:spacing w:after="0" w:line="488" w:lineRule="auto"/>
        <w:tabs>
          <w:tab w:leader="none" w:pos="632" w:val="left"/>
        </w:tabs>
        <w:numPr>
          <w:ilvl w:val="0"/>
          <w:numId w:val="136"/>
        </w:numPr>
        <w:rPr>
          <w:rFonts w:ascii="Arial" w:cs="Arial" w:eastAsia="Arial" w:hAnsi="Arial"/>
          <w:sz w:val="16"/>
          <w:szCs w:val="16"/>
          <w:b w:val="1"/>
          <w:bCs w:val="1"/>
          <w:color w:val="auto"/>
        </w:rPr>
      </w:pPr>
      <w:r>
        <w:rPr>
          <w:rFonts w:ascii="Arial" w:cs="Arial" w:eastAsia="Arial" w:hAnsi="Arial"/>
          <w:sz w:val="16"/>
          <w:szCs w:val="16"/>
          <w:b w:val="1"/>
          <w:bCs w:val="1"/>
          <w:color w:val="auto"/>
        </w:rPr>
        <w:t>NON-CURRENT ASSETS – PLANT AND EQUIPMENT Reconciliation of carrying amounts at the beginning and end of the period</w:t>
      </w:r>
    </w:p>
    <w:p>
      <w:pPr>
        <w:spacing w:after="0" w:line="22" w:lineRule="exact"/>
        <w:rPr>
          <w:sz w:val="20"/>
          <w:szCs w:val="20"/>
          <w:color w:val="auto"/>
        </w:rPr>
      </w:pPr>
    </w:p>
    <w:tbl>
      <w:tblPr>
        <w:tblLayout w:type="fixed"/>
        <w:tblInd w:w="152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660" w:type="dxa"/>
            <w:vAlign w:val="bottom"/>
          </w:tcPr>
          <w:p>
            <w:pPr>
              <w:spacing w:after="0"/>
              <w:rPr>
                <w:sz w:val="14"/>
                <w:szCs w:val="14"/>
                <w:color w:val="auto"/>
              </w:rPr>
            </w:pPr>
          </w:p>
        </w:tc>
        <w:tc>
          <w:tcPr>
            <w:tcW w:w="1640" w:type="dxa"/>
            <w:vAlign w:val="bottom"/>
          </w:tcPr>
          <w:p>
            <w:pPr>
              <w:spacing w:after="0"/>
              <w:rPr>
                <w:sz w:val="14"/>
                <w:szCs w:val="14"/>
                <w:color w:val="auto"/>
              </w:rPr>
            </w:pPr>
          </w:p>
        </w:tc>
        <w:tc>
          <w:tcPr>
            <w:tcW w:w="1060" w:type="dxa"/>
            <w:vAlign w:val="bottom"/>
            <w:gridSpan w:val="3"/>
          </w:tcPr>
          <w:p>
            <w:pPr>
              <w:jc w:val="center"/>
              <w:ind w:right="100"/>
              <w:spacing w:after="0"/>
              <w:rPr>
                <w:sz w:val="20"/>
                <w:szCs w:val="20"/>
                <w:color w:val="auto"/>
              </w:rPr>
            </w:pPr>
            <w:r>
              <w:rPr>
                <w:rFonts w:ascii="Arial" w:cs="Arial" w:eastAsia="Arial" w:hAnsi="Arial"/>
                <w:sz w:val="14"/>
                <w:szCs w:val="14"/>
                <w:i w:val="1"/>
                <w:iCs w:val="1"/>
                <w:color w:val="auto"/>
                <w:w w:val="94"/>
              </w:rPr>
              <w:t>Plant and</w:t>
            </w: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5660" w:type="dxa"/>
            <w:vAlign w:val="bottom"/>
          </w:tcPr>
          <w:p>
            <w:pPr>
              <w:spacing w:after="0"/>
              <w:rPr>
                <w:sz w:val="14"/>
                <w:szCs w:val="14"/>
                <w:color w:val="auto"/>
              </w:rPr>
            </w:pPr>
          </w:p>
        </w:tc>
        <w:tc>
          <w:tcPr>
            <w:tcW w:w="1640" w:type="dxa"/>
            <w:vAlign w:val="bottom"/>
          </w:tcPr>
          <w:p>
            <w:pPr>
              <w:spacing w:after="0"/>
              <w:rPr>
                <w:sz w:val="14"/>
                <w:szCs w:val="14"/>
                <w:color w:val="auto"/>
              </w:rPr>
            </w:pPr>
          </w:p>
        </w:tc>
        <w:tc>
          <w:tcPr>
            <w:tcW w:w="1060" w:type="dxa"/>
            <w:vAlign w:val="bottom"/>
            <w:gridSpan w:val="3"/>
          </w:tcPr>
          <w:p>
            <w:pPr>
              <w:jc w:val="center"/>
              <w:ind w:right="120"/>
              <w:spacing w:after="0"/>
              <w:rPr>
                <w:sz w:val="20"/>
                <w:szCs w:val="20"/>
                <w:color w:val="auto"/>
              </w:rPr>
            </w:pPr>
            <w:r>
              <w:rPr>
                <w:rFonts w:ascii="Arial" w:cs="Arial" w:eastAsia="Arial" w:hAnsi="Arial"/>
                <w:sz w:val="14"/>
                <w:szCs w:val="14"/>
                <w:i w:val="1"/>
                <w:iCs w:val="1"/>
                <w:color w:val="auto"/>
                <w:w w:val="92"/>
              </w:rPr>
              <w:t>Equipment</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566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Year ended June 30, 2018</w:t>
            </w:r>
          </w:p>
        </w:tc>
        <w:tc>
          <w:tcPr>
            <w:tcW w:w="1640" w:type="dxa"/>
            <w:vAlign w:val="bottom"/>
            <w:tcBorders>
              <w:top w:val="single" w:sz="8" w:color="CCEEFF"/>
            </w:tcBorders>
            <w:shd w:val="clear" w:color="auto" w:fill="CCEEFF"/>
          </w:tcPr>
          <w:p>
            <w:pPr>
              <w:spacing w:after="0"/>
              <w:rPr>
                <w:sz w:val="17"/>
                <w:szCs w:val="17"/>
                <w:color w:val="auto"/>
              </w:rPr>
            </w:pPr>
          </w:p>
        </w:tc>
        <w:tc>
          <w:tcPr>
            <w:tcW w:w="260" w:type="dxa"/>
            <w:vAlign w:val="bottom"/>
            <w:tcBorders>
              <w:top w:val="single" w:sz="8" w:color="auto"/>
            </w:tcBorders>
            <w:shd w:val="clear" w:color="auto" w:fill="CCEEFF"/>
          </w:tcPr>
          <w:p>
            <w:pPr>
              <w:spacing w:after="0"/>
              <w:rPr>
                <w:sz w:val="17"/>
                <w:szCs w:val="17"/>
                <w:color w:val="auto"/>
              </w:rPr>
            </w:pPr>
          </w:p>
        </w:tc>
        <w:tc>
          <w:tcPr>
            <w:tcW w:w="70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60" w:type="dxa"/>
            <w:vAlign w:val="bottom"/>
          </w:tcPr>
          <w:p>
            <w:pPr>
              <w:spacing w:after="0"/>
              <w:rPr>
                <w:sz w:val="20"/>
                <w:szCs w:val="20"/>
                <w:color w:val="auto"/>
              </w:rPr>
            </w:pPr>
            <w:r>
              <w:rPr>
                <w:rFonts w:ascii="Arial" w:cs="Arial" w:eastAsia="Arial" w:hAnsi="Arial"/>
                <w:sz w:val="18"/>
                <w:szCs w:val="18"/>
                <w:color w:val="auto"/>
              </w:rPr>
              <w:t>At July 1, 2017, net of accumulated depreciation</w:t>
            </w:r>
          </w:p>
        </w:tc>
        <w:tc>
          <w:tcPr>
            <w:tcW w:w="1900" w:type="dxa"/>
            <w:vAlign w:val="bottom"/>
            <w:gridSpan w:val="2"/>
          </w:tcPr>
          <w:p>
            <w:pPr>
              <w:ind w:left="1640"/>
              <w:spacing w:after="0"/>
              <w:rPr>
                <w:sz w:val="20"/>
                <w:szCs w:val="20"/>
                <w:color w:val="auto"/>
              </w:rPr>
            </w:pPr>
            <w:r>
              <w:rPr>
                <w:rFonts w:ascii="Arial" w:cs="Arial" w:eastAsia="Arial" w:hAnsi="Arial"/>
                <w:sz w:val="18"/>
                <w:szCs w:val="18"/>
                <w:color w:val="auto"/>
              </w:rPr>
              <w:t>A$</w:t>
            </w:r>
          </w:p>
        </w:tc>
        <w:tc>
          <w:tcPr>
            <w:tcW w:w="700" w:type="dxa"/>
            <w:vAlign w:val="bottom"/>
          </w:tcPr>
          <w:p>
            <w:pPr>
              <w:jc w:val="right"/>
              <w:spacing w:after="0"/>
              <w:rPr>
                <w:sz w:val="20"/>
                <w:szCs w:val="20"/>
                <w:color w:val="auto"/>
              </w:rPr>
            </w:pPr>
            <w:r>
              <w:rPr>
                <w:rFonts w:ascii="Arial" w:cs="Arial" w:eastAsia="Arial" w:hAnsi="Arial"/>
                <w:sz w:val="18"/>
                <w:szCs w:val="18"/>
                <w:color w:val="auto"/>
              </w:rPr>
              <w:t>387,380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60" w:type="dxa"/>
            <w:vAlign w:val="bottom"/>
            <w:shd w:val="clear" w:color="auto" w:fill="CCEEFF"/>
          </w:tcPr>
          <w:p>
            <w:pPr>
              <w:spacing w:after="0"/>
              <w:rPr>
                <w:sz w:val="20"/>
                <w:szCs w:val="20"/>
                <w:color w:val="auto"/>
              </w:rPr>
            </w:pPr>
            <w:r>
              <w:rPr>
                <w:rFonts w:ascii="Arial" w:cs="Arial" w:eastAsia="Arial" w:hAnsi="Arial"/>
                <w:sz w:val="18"/>
                <w:szCs w:val="18"/>
                <w:color w:val="auto"/>
              </w:rPr>
              <w:t>Additions</w:t>
            </w:r>
          </w:p>
        </w:tc>
        <w:tc>
          <w:tcPr>
            <w:tcW w:w="16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498,749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60" w:type="dxa"/>
            <w:vAlign w:val="bottom"/>
          </w:tcPr>
          <w:p>
            <w:pPr>
              <w:spacing w:after="0"/>
              <w:rPr>
                <w:sz w:val="20"/>
                <w:szCs w:val="20"/>
                <w:color w:val="auto"/>
              </w:rPr>
            </w:pPr>
            <w:r>
              <w:rPr>
                <w:rFonts w:ascii="Arial" w:cs="Arial" w:eastAsia="Arial" w:hAnsi="Arial"/>
                <w:sz w:val="18"/>
                <w:szCs w:val="18"/>
                <w:color w:val="auto"/>
              </w:rPr>
              <w:t>Depreciation charge for the year</w:t>
            </w:r>
          </w:p>
        </w:tc>
        <w:tc>
          <w:tcPr>
            <w:tcW w:w="16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00" w:type="dxa"/>
            <w:vAlign w:val="bottom"/>
            <w:gridSpan w:val="2"/>
          </w:tcPr>
          <w:p>
            <w:pPr>
              <w:jc w:val="right"/>
              <w:ind w:right="40"/>
              <w:spacing w:after="0"/>
              <w:rPr>
                <w:sz w:val="20"/>
                <w:szCs w:val="20"/>
                <w:color w:val="auto"/>
              </w:rPr>
            </w:pPr>
            <w:r>
              <w:rPr>
                <w:rFonts w:ascii="Arial" w:cs="Arial" w:eastAsia="Arial" w:hAnsi="Arial"/>
                <w:sz w:val="18"/>
                <w:szCs w:val="18"/>
                <w:color w:val="auto"/>
                <w:w w:val="95"/>
              </w:rPr>
              <w:t>(143,546)</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660" w:type="dxa"/>
            <w:vAlign w:val="bottom"/>
          </w:tcPr>
          <w:p>
            <w:pPr>
              <w:spacing w:after="0"/>
              <w:rPr>
                <w:sz w:val="2"/>
                <w:szCs w:val="2"/>
                <w:color w:val="auto"/>
              </w:rPr>
            </w:pPr>
          </w:p>
        </w:tc>
        <w:tc>
          <w:tcPr>
            <w:tcW w:w="1640" w:type="dxa"/>
            <w:vAlign w:val="bottom"/>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6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As of June 30, 2018, net of accumulated depreciation</w:t>
            </w:r>
          </w:p>
        </w:tc>
        <w:tc>
          <w:tcPr>
            <w:tcW w:w="1900" w:type="dxa"/>
            <w:vAlign w:val="bottom"/>
            <w:gridSpan w:val="2"/>
            <w:shd w:val="clear" w:color="auto" w:fill="CCEEFF"/>
          </w:tcPr>
          <w:p>
            <w:pPr>
              <w:ind w:left="1640"/>
              <w:spacing w:after="0"/>
              <w:rPr>
                <w:sz w:val="20"/>
                <w:szCs w:val="20"/>
                <w:color w:val="auto"/>
              </w:rPr>
            </w:pPr>
            <w:r>
              <w:rPr>
                <w:rFonts w:ascii="Arial" w:cs="Arial" w:eastAsia="Arial" w:hAnsi="Arial"/>
                <w:sz w:val="18"/>
                <w:szCs w:val="18"/>
                <w:b w:val="1"/>
                <w:bCs w:val="1"/>
                <w:u w:val="single" w:color="auto"/>
                <w:color w:val="auto"/>
              </w:rPr>
              <w:t>A</w:t>
            </w:r>
            <w:r>
              <w:rPr>
                <w:rFonts w:ascii="Arial" w:cs="Arial" w:eastAsia="Arial" w:hAnsi="Arial"/>
                <w:sz w:val="18"/>
                <w:szCs w:val="18"/>
                <w:b w:val="1"/>
                <w:bCs w:val="1"/>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742,583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68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As of June 30, 2018</w:t>
            </w:r>
          </w:p>
        </w:tc>
        <w:tc>
          <w:tcPr>
            <w:tcW w:w="164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680" w:type="dxa"/>
            <w:vAlign w:val="bottom"/>
            <w:gridSpan w:val="2"/>
            <w:vMerge w:val="continue"/>
          </w:tcPr>
          <w:p>
            <w:pPr>
              <w:spacing w:after="0"/>
              <w:rPr>
                <w:sz w:val="18"/>
                <w:szCs w:val="18"/>
                <w:color w:val="auto"/>
              </w:rPr>
            </w:pPr>
          </w:p>
        </w:tc>
        <w:tc>
          <w:tcPr>
            <w:tcW w:w="16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60" w:type="dxa"/>
            <w:vAlign w:val="bottom"/>
            <w:shd w:val="clear" w:color="auto" w:fill="CCEEFF"/>
          </w:tcPr>
          <w:p>
            <w:pPr>
              <w:spacing w:after="0"/>
              <w:rPr>
                <w:sz w:val="20"/>
                <w:szCs w:val="20"/>
                <w:color w:val="auto"/>
              </w:rPr>
            </w:pPr>
            <w:r>
              <w:rPr>
                <w:rFonts w:ascii="Arial" w:cs="Arial" w:eastAsia="Arial" w:hAnsi="Arial"/>
                <w:sz w:val="18"/>
                <w:szCs w:val="18"/>
                <w:color w:val="auto"/>
              </w:rPr>
              <w:t>Cost</w:t>
            </w:r>
          </w:p>
        </w:tc>
        <w:tc>
          <w:tcPr>
            <w:tcW w:w="2700" w:type="dxa"/>
            <w:vAlign w:val="bottom"/>
            <w:gridSpan w:val="4"/>
            <w:shd w:val="clear" w:color="auto" w:fill="CCEEFF"/>
          </w:tcPr>
          <w:p>
            <w:pPr>
              <w:ind w:left="1640"/>
              <w:spacing w:after="0"/>
              <w:rPr>
                <w:sz w:val="20"/>
                <w:szCs w:val="20"/>
                <w:color w:val="auto"/>
              </w:rPr>
            </w:pPr>
            <w:r>
              <w:rPr>
                <w:rFonts w:ascii="Arial" w:cs="Arial" w:eastAsia="Arial" w:hAnsi="Arial"/>
                <w:sz w:val="18"/>
                <w:szCs w:val="18"/>
                <w:color w:val="auto"/>
              </w:rPr>
              <w:t>A$1,448,142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60" w:type="dxa"/>
            <w:vAlign w:val="bottom"/>
          </w:tcPr>
          <w:p>
            <w:pPr>
              <w:spacing w:after="0"/>
              <w:rPr>
                <w:sz w:val="20"/>
                <w:szCs w:val="20"/>
                <w:color w:val="auto"/>
              </w:rPr>
            </w:pPr>
            <w:r>
              <w:rPr>
                <w:rFonts w:ascii="Arial" w:cs="Arial" w:eastAsia="Arial" w:hAnsi="Arial"/>
                <w:sz w:val="18"/>
                <w:szCs w:val="18"/>
                <w:color w:val="auto"/>
              </w:rPr>
              <w:t>Accumulated depreciation</w:t>
            </w:r>
          </w:p>
        </w:tc>
        <w:tc>
          <w:tcPr>
            <w:tcW w:w="16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00" w:type="dxa"/>
            <w:vAlign w:val="bottom"/>
            <w:gridSpan w:val="2"/>
          </w:tcPr>
          <w:p>
            <w:pPr>
              <w:jc w:val="right"/>
              <w:ind w:right="40"/>
              <w:spacing w:after="0"/>
              <w:rPr>
                <w:sz w:val="20"/>
                <w:szCs w:val="20"/>
                <w:color w:val="auto"/>
              </w:rPr>
            </w:pPr>
            <w:r>
              <w:rPr>
                <w:rFonts w:ascii="Arial" w:cs="Arial" w:eastAsia="Arial" w:hAnsi="Arial"/>
                <w:sz w:val="18"/>
                <w:szCs w:val="18"/>
                <w:color w:val="auto"/>
                <w:w w:val="95"/>
              </w:rPr>
              <w:t>(705,559)</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660" w:type="dxa"/>
            <w:vAlign w:val="bottom"/>
          </w:tcPr>
          <w:p>
            <w:pPr>
              <w:spacing w:after="0"/>
              <w:rPr>
                <w:sz w:val="2"/>
                <w:szCs w:val="2"/>
                <w:color w:val="auto"/>
              </w:rPr>
            </w:pPr>
          </w:p>
        </w:tc>
        <w:tc>
          <w:tcPr>
            <w:tcW w:w="1640" w:type="dxa"/>
            <w:vAlign w:val="bottom"/>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6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Net carrying amount</w:t>
            </w:r>
          </w:p>
        </w:tc>
        <w:tc>
          <w:tcPr>
            <w:tcW w:w="1900" w:type="dxa"/>
            <w:vAlign w:val="bottom"/>
            <w:gridSpan w:val="2"/>
            <w:shd w:val="clear" w:color="auto" w:fill="CCEEFF"/>
          </w:tcPr>
          <w:p>
            <w:pPr>
              <w:ind w:left="1640"/>
              <w:spacing w:after="0"/>
              <w:rPr>
                <w:sz w:val="20"/>
                <w:szCs w:val="20"/>
                <w:color w:val="auto"/>
              </w:rPr>
            </w:pPr>
            <w:r>
              <w:rPr>
                <w:rFonts w:ascii="Arial" w:cs="Arial" w:eastAsia="Arial" w:hAnsi="Arial"/>
                <w:sz w:val="18"/>
                <w:szCs w:val="18"/>
                <w:b w:val="1"/>
                <w:bCs w:val="1"/>
                <w:u w:val="single" w:color="auto"/>
                <w:color w:val="auto"/>
              </w:rPr>
              <w:t>A</w:t>
            </w:r>
            <w:r>
              <w:rPr>
                <w:rFonts w:ascii="Arial" w:cs="Arial" w:eastAsia="Arial" w:hAnsi="Arial"/>
                <w:sz w:val="18"/>
                <w:szCs w:val="18"/>
                <w:b w:val="1"/>
                <w:bCs w:val="1"/>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742,583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66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960" w:type="dxa"/>
            <w:vAlign w:val="bottom"/>
            <w:tcBorders>
              <w:top w:val="single" w:sz="8" w:color="auto"/>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67"/>
        </w:trPr>
        <w:tc>
          <w:tcPr>
            <w:tcW w:w="20" w:type="dxa"/>
            <w:vAlign w:val="bottom"/>
          </w:tcPr>
          <w:p>
            <w:pPr>
              <w:spacing w:after="0"/>
              <w:rPr>
                <w:sz w:val="24"/>
                <w:szCs w:val="24"/>
                <w:color w:val="auto"/>
              </w:rPr>
            </w:pPr>
          </w:p>
        </w:tc>
        <w:tc>
          <w:tcPr>
            <w:tcW w:w="566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1060" w:type="dxa"/>
            <w:vAlign w:val="bottom"/>
            <w:gridSpan w:val="3"/>
          </w:tcPr>
          <w:p>
            <w:pPr>
              <w:jc w:val="center"/>
              <w:ind w:right="100"/>
              <w:spacing w:after="0"/>
              <w:rPr>
                <w:sz w:val="20"/>
                <w:szCs w:val="20"/>
                <w:color w:val="auto"/>
              </w:rPr>
            </w:pPr>
            <w:r>
              <w:rPr>
                <w:rFonts w:ascii="Arial" w:cs="Arial" w:eastAsia="Arial" w:hAnsi="Arial"/>
                <w:sz w:val="14"/>
                <w:szCs w:val="14"/>
                <w:i w:val="1"/>
                <w:iCs w:val="1"/>
                <w:color w:val="auto"/>
                <w:w w:val="94"/>
              </w:rPr>
              <w:t>Plant and</w:t>
            </w: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5660" w:type="dxa"/>
            <w:vAlign w:val="bottom"/>
          </w:tcPr>
          <w:p>
            <w:pPr>
              <w:spacing w:after="0"/>
              <w:rPr>
                <w:sz w:val="14"/>
                <w:szCs w:val="14"/>
                <w:color w:val="auto"/>
              </w:rPr>
            </w:pPr>
          </w:p>
        </w:tc>
        <w:tc>
          <w:tcPr>
            <w:tcW w:w="1640" w:type="dxa"/>
            <w:vAlign w:val="bottom"/>
          </w:tcPr>
          <w:p>
            <w:pPr>
              <w:spacing w:after="0"/>
              <w:rPr>
                <w:sz w:val="14"/>
                <w:szCs w:val="14"/>
                <w:color w:val="auto"/>
              </w:rPr>
            </w:pPr>
          </w:p>
        </w:tc>
        <w:tc>
          <w:tcPr>
            <w:tcW w:w="1060" w:type="dxa"/>
            <w:vAlign w:val="bottom"/>
            <w:gridSpan w:val="3"/>
          </w:tcPr>
          <w:p>
            <w:pPr>
              <w:jc w:val="center"/>
              <w:ind w:right="120"/>
              <w:spacing w:after="0"/>
              <w:rPr>
                <w:sz w:val="20"/>
                <w:szCs w:val="20"/>
                <w:color w:val="auto"/>
              </w:rPr>
            </w:pPr>
            <w:r>
              <w:rPr>
                <w:rFonts w:ascii="Arial" w:cs="Arial" w:eastAsia="Arial" w:hAnsi="Arial"/>
                <w:sz w:val="14"/>
                <w:szCs w:val="14"/>
                <w:i w:val="1"/>
                <w:iCs w:val="1"/>
                <w:color w:val="auto"/>
                <w:w w:val="92"/>
              </w:rPr>
              <w:t>Equipment</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566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Year ended June 30, 2017</w:t>
            </w:r>
          </w:p>
        </w:tc>
        <w:tc>
          <w:tcPr>
            <w:tcW w:w="1640" w:type="dxa"/>
            <w:vAlign w:val="bottom"/>
            <w:tcBorders>
              <w:top w:val="single" w:sz="8" w:color="CCEEFF"/>
            </w:tcBorders>
            <w:shd w:val="clear" w:color="auto" w:fill="CCEEFF"/>
          </w:tcPr>
          <w:p>
            <w:pPr>
              <w:spacing w:after="0"/>
              <w:rPr>
                <w:sz w:val="17"/>
                <w:szCs w:val="17"/>
                <w:color w:val="auto"/>
              </w:rPr>
            </w:pPr>
          </w:p>
        </w:tc>
        <w:tc>
          <w:tcPr>
            <w:tcW w:w="260" w:type="dxa"/>
            <w:vAlign w:val="bottom"/>
            <w:tcBorders>
              <w:top w:val="single" w:sz="8" w:color="auto"/>
            </w:tcBorders>
            <w:shd w:val="clear" w:color="auto" w:fill="CCEEFF"/>
          </w:tcPr>
          <w:p>
            <w:pPr>
              <w:spacing w:after="0"/>
              <w:rPr>
                <w:sz w:val="17"/>
                <w:szCs w:val="17"/>
                <w:color w:val="auto"/>
              </w:rPr>
            </w:pPr>
          </w:p>
        </w:tc>
        <w:tc>
          <w:tcPr>
            <w:tcW w:w="70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60" w:type="dxa"/>
            <w:vAlign w:val="bottom"/>
          </w:tcPr>
          <w:p>
            <w:pPr>
              <w:spacing w:after="0"/>
              <w:rPr>
                <w:sz w:val="20"/>
                <w:szCs w:val="20"/>
                <w:color w:val="auto"/>
              </w:rPr>
            </w:pPr>
            <w:r>
              <w:rPr>
                <w:rFonts w:ascii="Arial" w:cs="Arial" w:eastAsia="Arial" w:hAnsi="Arial"/>
                <w:sz w:val="18"/>
                <w:szCs w:val="18"/>
                <w:color w:val="auto"/>
              </w:rPr>
              <w:t>At July 1, 2016, net of accumulated depreciation</w:t>
            </w:r>
          </w:p>
        </w:tc>
        <w:tc>
          <w:tcPr>
            <w:tcW w:w="1900" w:type="dxa"/>
            <w:vAlign w:val="bottom"/>
            <w:gridSpan w:val="2"/>
          </w:tcPr>
          <w:p>
            <w:pPr>
              <w:ind w:left="1640"/>
              <w:spacing w:after="0"/>
              <w:rPr>
                <w:sz w:val="20"/>
                <w:szCs w:val="20"/>
                <w:color w:val="auto"/>
              </w:rPr>
            </w:pPr>
            <w:r>
              <w:rPr>
                <w:rFonts w:ascii="Arial" w:cs="Arial" w:eastAsia="Arial" w:hAnsi="Arial"/>
                <w:sz w:val="18"/>
                <w:szCs w:val="18"/>
                <w:color w:val="auto"/>
              </w:rPr>
              <w:t>A$</w:t>
            </w:r>
          </w:p>
        </w:tc>
        <w:tc>
          <w:tcPr>
            <w:tcW w:w="700" w:type="dxa"/>
            <w:vAlign w:val="bottom"/>
          </w:tcPr>
          <w:p>
            <w:pPr>
              <w:jc w:val="right"/>
              <w:spacing w:after="0"/>
              <w:rPr>
                <w:sz w:val="20"/>
                <w:szCs w:val="20"/>
                <w:color w:val="auto"/>
              </w:rPr>
            </w:pPr>
            <w:r>
              <w:rPr>
                <w:rFonts w:ascii="Arial" w:cs="Arial" w:eastAsia="Arial" w:hAnsi="Arial"/>
                <w:sz w:val="18"/>
                <w:szCs w:val="18"/>
                <w:color w:val="auto"/>
              </w:rPr>
              <w:t>94,491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60" w:type="dxa"/>
            <w:vAlign w:val="bottom"/>
            <w:shd w:val="clear" w:color="auto" w:fill="CCEEFF"/>
          </w:tcPr>
          <w:p>
            <w:pPr>
              <w:spacing w:after="0"/>
              <w:rPr>
                <w:sz w:val="20"/>
                <w:szCs w:val="20"/>
                <w:color w:val="auto"/>
              </w:rPr>
            </w:pPr>
            <w:r>
              <w:rPr>
                <w:rFonts w:ascii="Arial" w:cs="Arial" w:eastAsia="Arial" w:hAnsi="Arial"/>
                <w:sz w:val="18"/>
                <w:szCs w:val="18"/>
                <w:color w:val="auto"/>
              </w:rPr>
              <w:t>Additions</w:t>
            </w:r>
          </w:p>
        </w:tc>
        <w:tc>
          <w:tcPr>
            <w:tcW w:w="16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432,592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60" w:type="dxa"/>
            <w:vAlign w:val="bottom"/>
          </w:tcPr>
          <w:p>
            <w:pPr>
              <w:spacing w:after="0"/>
              <w:rPr>
                <w:sz w:val="20"/>
                <w:szCs w:val="20"/>
                <w:color w:val="auto"/>
              </w:rPr>
            </w:pPr>
            <w:r>
              <w:rPr>
                <w:rFonts w:ascii="Arial" w:cs="Arial" w:eastAsia="Arial" w:hAnsi="Arial"/>
                <w:sz w:val="18"/>
                <w:szCs w:val="18"/>
                <w:color w:val="auto"/>
              </w:rPr>
              <w:t>Depreciation charge for the year</w:t>
            </w:r>
          </w:p>
        </w:tc>
        <w:tc>
          <w:tcPr>
            <w:tcW w:w="16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00" w:type="dxa"/>
            <w:vAlign w:val="bottom"/>
            <w:gridSpan w:val="2"/>
          </w:tcPr>
          <w:p>
            <w:pPr>
              <w:jc w:val="right"/>
              <w:ind w:right="40"/>
              <w:spacing w:after="0"/>
              <w:rPr>
                <w:sz w:val="20"/>
                <w:szCs w:val="20"/>
                <w:color w:val="auto"/>
              </w:rPr>
            </w:pPr>
            <w:r>
              <w:rPr>
                <w:rFonts w:ascii="Arial" w:cs="Arial" w:eastAsia="Arial" w:hAnsi="Arial"/>
                <w:sz w:val="18"/>
                <w:szCs w:val="18"/>
                <w:color w:val="auto"/>
                <w:w w:val="95"/>
              </w:rPr>
              <w:t>(139,703)</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660" w:type="dxa"/>
            <w:vAlign w:val="bottom"/>
          </w:tcPr>
          <w:p>
            <w:pPr>
              <w:spacing w:after="0"/>
              <w:rPr>
                <w:sz w:val="2"/>
                <w:szCs w:val="2"/>
                <w:color w:val="auto"/>
              </w:rPr>
            </w:pPr>
          </w:p>
        </w:tc>
        <w:tc>
          <w:tcPr>
            <w:tcW w:w="1640" w:type="dxa"/>
            <w:vAlign w:val="bottom"/>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6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As of June 30, 2017, net of accumulated depreciation</w:t>
            </w:r>
          </w:p>
        </w:tc>
        <w:tc>
          <w:tcPr>
            <w:tcW w:w="1900" w:type="dxa"/>
            <w:vAlign w:val="bottom"/>
            <w:gridSpan w:val="2"/>
            <w:shd w:val="clear" w:color="auto" w:fill="CCEEFF"/>
          </w:tcPr>
          <w:p>
            <w:pPr>
              <w:ind w:left="1640"/>
              <w:spacing w:after="0"/>
              <w:rPr>
                <w:sz w:val="20"/>
                <w:szCs w:val="20"/>
                <w:color w:val="auto"/>
              </w:rPr>
            </w:pPr>
            <w:r>
              <w:rPr>
                <w:rFonts w:ascii="Arial" w:cs="Arial" w:eastAsia="Arial" w:hAnsi="Arial"/>
                <w:sz w:val="18"/>
                <w:szCs w:val="18"/>
                <w:b w:val="1"/>
                <w:bCs w:val="1"/>
                <w:u w:val="single" w:color="auto"/>
                <w:color w:val="auto"/>
              </w:rPr>
              <w:t>A</w:t>
            </w:r>
            <w:r>
              <w:rPr>
                <w:rFonts w:ascii="Arial" w:cs="Arial" w:eastAsia="Arial" w:hAnsi="Arial"/>
                <w:sz w:val="18"/>
                <w:szCs w:val="18"/>
                <w:b w:val="1"/>
                <w:bCs w:val="1"/>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387,380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68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As of June 30, 2017</w:t>
            </w:r>
          </w:p>
        </w:tc>
        <w:tc>
          <w:tcPr>
            <w:tcW w:w="164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680" w:type="dxa"/>
            <w:vAlign w:val="bottom"/>
            <w:gridSpan w:val="2"/>
            <w:vMerge w:val="continue"/>
          </w:tcPr>
          <w:p>
            <w:pPr>
              <w:spacing w:after="0"/>
              <w:rPr>
                <w:sz w:val="18"/>
                <w:szCs w:val="18"/>
                <w:color w:val="auto"/>
              </w:rPr>
            </w:pPr>
          </w:p>
        </w:tc>
        <w:tc>
          <w:tcPr>
            <w:tcW w:w="16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60" w:type="dxa"/>
            <w:vAlign w:val="bottom"/>
            <w:shd w:val="clear" w:color="auto" w:fill="CCEEFF"/>
          </w:tcPr>
          <w:p>
            <w:pPr>
              <w:spacing w:after="0"/>
              <w:rPr>
                <w:sz w:val="20"/>
                <w:szCs w:val="20"/>
                <w:color w:val="auto"/>
              </w:rPr>
            </w:pPr>
            <w:r>
              <w:rPr>
                <w:rFonts w:ascii="Arial" w:cs="Arial" w:eastAsia="Arial" w:hAnsi="Arial"/>
                <w:sz w:val="18"/>
                <w:szCs w:val="18"/>
                <w:color w:val="auto"/>
              </w:rPr>
              <w:t>Cost</w:t>
            </w:r>
          </w:p>
        </w:tc>
        <w:tc>
          <w:tcPr>
            <w:tcW w:w="2700" w:type="dxa"/>
            <w:vAlign w:val="bottom"/>
            <w:gridSpan w:val="4"/>
            <w:shd w:val="clear" w:color="auto" w:fill="CCEEFF"/>
          </w:tcPr>
          <w:p>
            <w:pPr>
              <w:ind w:left="1640"/>
              <w:spacing w:after="0"/>
              <w:rPr>
                <w:sz w:val="20"/>
                <w:szCs w:val="20"/>
                <w:color w:val="auto"/>
              </w:rPr>
            </w:pPr>
            <w:r>
              <w:rPr>
                <w:rFonts w:ascii="Arial" w:cs="Arial" w:eastAsia="Arial" w:hAnsi="Arial"/>
                <w:sz w:val="18"/>
                <w:szCs w:val="18"/>
                <w:color w:val="auto"/>
              </w:rPr>
              <w:t>A$1,307,367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60" w:type="dxa"/>
            <w:vAlign w:val="bottom"/>
          </w:tcPr>
          <w:p>
            <w:pPr>
              <w:spacing w:after="0"/>
              <w:rPr>
                <w:sz w:val="20"/>
                <w:szCs w:val="20"/>
                <w:color w:val="auto"/>
              </w:rPr>
            </w:pPr>
            <w:r>
              <w:rPr>
                <w:rFonts w:ascii="Arial" w:cs="Arial" w:eastAsia="Arial" w:hAnsi="Arial"/>
                <w:sz w:val="18"/>
                <w:szCs w:val="18"/>
                <w:color w:val="auto"/>
              </w:rPr>
              <w:t>Accumulated depreciation</w:t>
            </w:r>
          </w:p>
        </w:tc>
        <w:tc>
          <w:tcPr>
            <w:tcW w:w="16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00" w:type="dxa"/>
            <w:vAlign w:val="bottom"/>
            <w:gridSpan w:val="2"/>
          </w:tcPr>
          <w:p>
            <w:pPr>
              <w:jc w:val="right"/>
              <w:ind w:right="40"/>
              <w:spacing w:after="0"/>
              <w:rPr>
                <w:sz w:val="20"/>
                <w:szCs w:val="20"/>
                <w:color w:val="auto"/>
              </w:rPr>
            </w:pPr>
            <w:r>
              <w:rPr>
                <w:rFonts w:ascii="Arial" w:cs="Arial" w:eastAsia="Arial" w:hAnsi="Arial"/>
                <w:sz w:val="18"/>
                <w:szCs w:val="18"/>
                <w:color w:val="auto"/>
                <w:w w:val="95"/>
              </w:rPr>
              <w:t>(919,987)</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660" w:type="dxa"/>
            <w:vAlign w:val="bottom"/>
          </w:tcPr>
          <w:p>
            <w:pPr>
              <w:spacing w:after="0"/>
              <w:rPr>
                <w:sz w:val="2"/>
                <w:szCs w:val="2"/>
                <w:color w:val="auto"/>
              </w:rPr>
            </w:pPr>
          </w:p>
        </w:tc>
        <w:tc>
          <w:tcPr>
            <w:tcW w:w="1640" w:type="dxa"/>
            <w:vAlign w:val="bottom"/>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6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Net carrying amount</w:t>
            </w:r>
          </w:p>
        </w:tc>
        <w:tc>
          <w:tcPr>
            <w:tcW w:w="1900" w:type="dxa"/>
            <w:vAlign w:val="bottom"/>
            <w:gridSpan w:val="2"/>
            <w:shd w:val="clear" w:color="auto" w:fill="CCEEFF"/>
          </w:tcPr>
          <w:p>
            <w:pPr>
              <w:ind w:left="1640"/>
              <w:spacing w:after="0"/>
              <w:rPr>
                <w:sz w:val="20"/>
                <w:szCs w:val="20"/>
                <w:color w:val="auto"/>
              </w:rPr>
            </w:pPr>
            <w:r>
              <w:rPr>
                <w:rFonts w:ascii="Arial" w:cs="Arial" w:eastAsia="Arial" w:hAnsi="Arial"/>
                <w:sz w:val="18"/>
                <w:szCs w:val="18"/>
                <w:b w:val="1"/>
                <w:bCs w:val="1"/>
                <w:u w:val="single" w:color="auto"/>
                <w:color w:val="auto"/>
              </w:rPr>
              <w:t>A</w:t>
            </w:r>
            <w:r>
              <w:rPr>
                <w:rFonts w:ascii="Arial" w:cs="Arial" w:eastAsia="Arial" w:hAnsi="Arial"/>
                <w:sz w:val="18"/>
                <w:szCs w:val="18"/>
                <w:b w:val="1"/>
                <w:bCs w:val="1"/>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387,380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66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60" w:lineRule="exact"/>
        <w:rPr>
          <w:sz w:val="20"/>
          <w:szCs w:val="20"/>
          <w:color w:val="auto"/>
        </w:rPr>
      </w:pPr>
    </w:p>
    <w:p>
      <w:pPr>
        <w:ind w:left="640" w:hanging="436"/>
        <w:spacing w:after="0"/>
        <w:tabs>
          <w:tab w:leader="none" w:pos="640" w:val="left"/>
        </w:tabs>
        <w:numPr>
          <w:ilvl w:val="0"/>
          <w:numId w:val="137"/>
        </w:numPr>
        <w:rPr>
          <w:rFonts w:ascii="Arial" w:cs="Arial" w:eastAsia="Arial" w:hAnsi="Arial"/>
          <w:sz w:val="18"/>
          <w:szCs w:val="18"/>
          <w:b w:val="1"/>
          <w:bCs w:val="1"/>
          <w:color w:val="auto"/>
        </w:rPr>
      </w:pPr>
      <w:r>
        <w:rPr>
          <w:rFonts w:ascii="Arial" w:cs="Arial" w:eastAsia="Arial" w:hAnsi="Arial"/>
          <w:sz w:val="18"/>
          <w:szCs w:val="18"/>
          <w:b w:val="1"/>
          <w:bCs w:val="1"/>
          <w:color w:val="auto"/>
        </w:rPr>
        <w:t>CURRENT LIABILITIES – TRADE AND OTHER PAYABLES</w:t>
      </w:r>
    </w:p>
    <w:p>
      <w:pPr>
        <w:spacing w:after="0" w:line="114" w:lineRule="exact"/>
        <w:rPr>
          <w:sz w:val="20"/>
          <w:szCs w:val="20"/>
          <w:color w:val="auto"/>
        </w:rPr>
      </w:pPr>
    </w:p>
    <w:tbl>
      <w:tblPr>
        <w:tblLayout w:type="fixed"/>
        <w:tblInd w:w="108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4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780" w:type="dxa"/>
            <w:vAlign w:val="bottom"/>
            <w:gridSpan w:val="3"/>
          </w:tcPr>
          <w:p>
            <w:pPr>
              <w:ind w:left="700"/>
              <w:spacing w:after="0"/>
              <w:rPr>
                <w:sz w:val="20"/>
                <w:szCs w:val="20"/>
                <w:color w:val="auto"/>
              </w:rPr>
            </w:pPr>
            <w:r>
              <w:rPr>
                <w:rFonts w:ascii="Arial" w:cs="Arial" w:eastAsia="Arial" w:hAnsi="Arial"/>
                <w:sz w:val="14"/>
                <w:szCs w:val="14"/>
                <w:b w:val="1"/>
                <w:bCs w:val="1"/>
                <w:color w:val="auto"/>
              </w:rPr>
              <w:t>As of June 30,</w:t>
            </w:r>
          </w:p>
        </w:tc>
        <w:tc>
          <w:tcPr>
            <w:tcW w:w="720" w:type="dxa"/>
            <w:vAlign w:val="bottom"/>
            <w:vMerge w:val="restart"/>
          </w:tcPr>
          <w:p>
            <w:pPr>
              <w:jc w:val="right"/>
              <w:ind w:right="234"/>
              <w:spacing w:after="0"/>
              <w:rPr>
                <w:sz w:val="20"/>
                <w:szCs w:val="20"/>
                <w:color w:val="auto"/>
              </w:rPr>
            </w:pPr>
            <w:r>
              <w:rPr>
                <w:rFonts w:ascii="Arial" w:cs="Arial" w:eastAsia="Arial" w:hAnsi="Arial"/>
                <w:sz w:val="14"/>
                <w:szCs w:val="14"/>
                <w:b w:val="1"/>
                <w:bCs w:val="1"/>
                <w:color w:val="auto"/>
              </w:rPr>
              <w:t>2017</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6440" w:type="dxa"/>
            <w:vAlign w:val="bottom"/>
            <w:tcBorders>
              <w:bottom w:val="single" w:sz="8" w:color="CCEEFF"/>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right"/>
              <w:ind w:right="257"/>
              <w:spacing w:after="0"/>
              <w:rPr>
                <w:sz w:val="20"/>
                <w:szCs w:val="20"/>
                <w:color w:val="auto"/>
              </w:rPr>
            </w:pPr>
            <w:r>
              <w:rPr>
                <w:rFonts w:ascii="Arial" w:cs="Arial" w:eastAsia="Arial" w:hAnsi="Arial"/>
                <w:sz w:val="14"/>
                <w:szCs w:val="14"/>
                <w:b w:val="1"/>
                <w:bCs w:val="1"/>
                <w:color w:val="auto"/>
              </w:rPr>
              <w:t>2018</w:t>
            </w:r>
          </w:p>
        </w:tc>
        <w:tc>
          <w:tcPr>
            <w:tcW w:w="820" w:type="dxa"/>
            <w:vAlign w:val="bottom"/>
            <w:tcBorders>
              <w:bottom w:val="single" w:sz="8" w:color="CCEEFF"/>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vMerge w:val="continue"/>
          </w:tcPr>
          <w:p>
            <w:pPr>
              <w:spacing w:after="0"/>
              <w:rPr>
                <w:sz w:val="14"/>
                <w:szCs w:val="14"/>
                <w:color w:val="auto"/>
              </w:rPr>
            </w:pPr>
          </w:p>
        </w:tc>
        <w:tc>
          <w:tcPr>
            <w:tcW w:w="6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440" w:type="dxa"/>
            <w:vAlign w:val="bottom"/>
            <w:shd w:val="clear" w:color="auto" w:fill="CCEEFF"/>
          </w:tcPr>
          <w:p>
            <w:pPr>
              <w:spacing w:after="0"/>
              <w:rPr>
                <w:sz w:val="20"/>
                <w:szCs w:val="20"/>
                <w:color w:val="auto"/>
              </w:rPr>
            </w:pPr>
            <w:r>
              <w:rPr>
                <w:rFonts w:ascii="Arial" w:cs="Arial" w:eastAsia="Arial" w:hAnsi="Arial"/>
                <w:sz w:val="18"/>
                <w:szCs w:val="18"/>
                <w:color w:val="auto"/>
              </w:rPr>
              <w:t>Trade payables</w:t>
            </w:r>
          </w:p>
        </w:tc>
        <w:tc>
          <w:tcPr>
            <w:tcW w:w="240" w:type="dxa"/>
            <w:vAlign w:val="bottom"/>
            <w:shd w:val="clear" w:color="auto" w:fill="CCEEFF"/>
          </w:tcPr>
          <w:p>
            <w:pPr>
              <w:spacing w:after="0"/>
              <w:rPr>
                <w:sz w:val="20"/>
                <w:szCs w:val="20"/>
                <w:color w:val="auto"/>
              </w:rPr>
            </w:pPr>
            <w:r>
              <w:rPr>
                <w:rFonts w:ascii="Arial" w:cs="Arial" w:eastAsia="Arial" w:hAnsi="Arial"/>
                <w:sz w:val="18"/>
                <w:szCs w:val="18"/>
                <w:color w:val="auto"/>
                <w:w w:val="99"/>
              </w:rPr>
              <w:t>A$</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271,913</w:t>
            </w:r>
          </w:p>
        </w:tc>
        <w:tc>
          <w:tcPr>
            <w:tcW w:w="8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20"/>
                <w:szCs w:val="20"/>
                <w:color w:val="auto"/>
              </w:rPr>
            </w:pPr>
            <w:r>
              <w:rPr>
                <w:rFonts w:ascii="Arial" w:cs="Arial" w:eastAsia="Arial" w:hAnsi="Arial"/>
                <w:sz w:val="18"/>
                <w:szCs w:val="18"/>
                <w:color w:val="auto"/>
                <w:w w:val="99"/>
              </w:rPr>
              <w:t>A$</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990,040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40" w:type="dxa"/>
            <w:vAlign w:val="bottom"/>
          </w:tcPr>
          <w:p>
            <w:pPr>
              <w:spacing w:after="0"/>
              <w:rPr>
                <w:sz w:val="20"/>
                <w:szCs w:val="20"/>
                <w:color w:val="auto"/>
              </w:rPr>
            </w:pPr>
            <w:r>
              <w:rPr>
                <w:rFonts w:ascii="Arial" w:cs="Arial" w:eastAsia="Arial" w:hAnsi="Arial"/>
                <w:sz w:val="18"/>
                <w:szCs w:val="18"/>
                <w:color w:val="auto"/>
              </w:rPr>
              <w:t>Accruals and other payables</w:t>
            </w:r>
          </w:p>
        </w:tc>
        <w:tc>
          <w:tcPr>
            <w:tcW w:w="24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w w:val="87"/>
              </w:rPr>
              <w:t>3,215,669</w:t>
            </w:r>
          </w:p>
        </w:tc>
        <w:tc>
          <w:tcPr>
            <w:tcW w:w="8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80" w:type="dxa"/>
            <w:vAlign w:val="bottom"/>
            <w:gridSpan w:val="2"/>
          </w:tcPr>
          <w:p>
            <w:pPr>
              <w:jc w:val="right"/>
              <w:ind w:right="60"/>
              <w:spacing w:after="0"/>
              <w:rPr>
                <w:sz w:val="20"/>
                <w:szCs w:val="20"/>
                <w:color w:val="auto"/>
              </w:rPr>
            </w:pPr>
            <w:r>
              <w:rPr>
                <w:rFonts w:ascii="Arial" w:cs="Arial" w:eastAsia="Arial" w:hAnsi="Arial"/>
                <w:sz w:val="18"/>
                <w:szCs w:val="18"/>
                <w:color w:val="auto"/>
                <w:w w:val="87"/>
              </w:rPr>
              <w:t>1,373,694</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644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82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64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Carrying amount of trade and other payables</w:t>
            </w:r>
          </w:p>
        </w:tc>
        <w:tc>
          <w:tcPr>
            <w:tcW w:w="240" w:type="dxa"/>
            <w:vAlign w:val="bottom"/>
            <w:shd w:val="clear" w:color="auto" w:fill="CCEEFF"/>
          </w:tcPr>
          <w:p>
            <w:pPr>
              <w:spacing w:after="0"/>
              <w:rPr>
                <w:sz w:val="20"/>
                <w:szCs w:val="20"/>
                <w:color w:val="auto"/>
              </w:rPr>
            </w:pPr>
            <w:r>
              <w:rPr>
                <w:rFonts w:ascii="Arial" w:cs="Arial" w:eastAsia="Arial" w:hAnsi="Arial"/>
                <w:sz w:val="18"/>
                <w:szCs w:val="18"/>
                <w:b w:val="1"/>
                <w:bCs w:val="1"/>
                <w:u w:val="single" w:color="auto"/>
                <w:color w:val="auto"/>
                <w:w w:val="95"/>
              </w:rPr>
              <w:t>A$</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87"/>
              </w:rPr>
              <w:t>3,487,582</w:t>
            </w:r>
          </w:p>
        </w:tc>
        <w:tc>
          <w:tcPr>
            <w:tcW w:w="8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20"/>
                <w:szCs w:val="20"/>
                <w:color w:val="auto"/>
              </w:rPr>
            </w:pPr>
            <w:r>
              <w:rPr>
                <w:rFonts w:ascii="Arial" w:cs="Arial" w:eastAsia="Arial" w:hAnsi="Arial"/>
                <w:sz w:val="18"/>
                <w:szCs w:val="18"/>
                <w:b w:val="1"/>
                <w:bCs w:val="1"/>
                <w:u w:val="single" w:color="auto"/>
                <w:color w:val="auto"/>
                <w:w w:val="95"/>
              </w:rPr>
              <w:t>A$</w:t>
            </w:r>
          </w:p>
        </w:tc>
        <w:tc>
          <w:tcPr>
            <w:tcW w:w="7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b w:val="1"/>
                <w:bCs w:val="1"/>
                <w:color w:val="auto"/>
                <w:w w:val="87"/>
              </w:rPr>
              <w:t>2,363,734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44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60" w:lineRule="exact"/>
        <w:rPr>
          <w:sz w:val="20"/>
          <w:szCs w:val="20"/>
          <w:color w:val="auto"/>
        </w:rPr>
      </w:pPr>
    </w:p>
    <w:p>
      <w:pPr>
        <w:ind w:left="640" w:hanging="436"/>
        <w:spacing w:after="0"/>
        <w:tabs>
          <w:tab w:leader="none" w:pos="640" w:val="left"/>
        </w:tabs>
        <w:numPr>
          <w:ilvl w:val="0"/>
          <w:numId w:val="138"/>
        </w:numPr>
        <w:rPr>
          <w:rFonts w:ascii="Arial" w:cs="Arial" w:eastAsia="Arial" w:hAnsi="Arial"/>
          <w:sz w:val="18"/>
          <w:szCs w:val="18"/>
          <w:b w:val="1"/>
          <w:bCs w:val="1"/>
          <w:color w:val="auto"/>
        </w:rPr>
      </w:pPr>
      <w:r>
        <w:rPr>
          <w:rFonts w:ascii="Arial" w:cs="Arial" w:eastAsia="Arial" w:hAnsi="Arial"/>
          <w:sz w:val="18"/>
          <w:szCs w:val="18"/>
          <w:b w:val="1"/>
          <w:bCs w:val="1"/>
          <w:color w:val="auto"/>
        </w:rPr>
        <w:t>Fair value</w:t>
      </w:r>
    </w:p>
    <w:p>
      <w:pPr>
        <w:spacing w:after="0" w:line="121" w:lineRule="exact"/>
        <w:rPr>
          <w:sz w:val="20"/>
          <w:szCs w:val="20"/>
          <w:color w:val="auto"/>
        </w:rPr>
      </w:pPr>
    </w:p>
    <w:p>
      <w:pPr>
        <w:ind w:left="200"/>
        <w:spacing w:after="0"/>
        <w:rPr>
          <w:sz w:val="20"/>
          <w:szCs w:val="20"/>
          <w:color w:val="auto"/>
        </w:rPr>
      </w:pPr>
      <w:r>
        <w:rPr>
          <w:rFonts w:ascii="Arial" w:cs="Arial" w:eastAsia="Arial" w:hAnsi="Arial"/>
          <w:sz w:val="18"/>
          <w:szCs w:val="18"/>
          <w:color w:val="auto"/>
        </w:rPr>
        <w:t>Due to the short-term nature of these payables, their carrying value is assumed to approximate their fair value.</w:t>
      </w:r>
    </w:p>
    <w:p>
      <w:pPr>
        <w:spacing w:after="0" w:line="370" w:lineRule="exact"/>
        <w:rPr>
          <w:sz w:val="20"/>
          <w:szCs w:val="20"/>
          <w:color w:val="auto"/>
        </w:rPr>
      </w:pPr>
    </w:p>
    <w:p>
      <w:pPr>
        <w:ind w:left="640" w:hanging="436"/>
        <w:spacing w:after="0"/>
        <w:tabs>
          <w:tab w:leader="none" w:pos="640" w:val="left"/>
        </w:tabs>
        <w:numPr>
          <w:ilvl w:val="0"/>
          <w:numId w:val="139"/>
        </w:numPr>
        <w:rPr>
          <w:rFonts w:ascii="Arial" w:cs="Arial" w:eastAsia="Arial" w:hAnsi="Arial"/>
          <w:sz w:val="18"/>
          <w:szCs w:val="18"/>
          <w:b w:val="1"/>
          <w:bCs w:val="1"/>
          <w:color w:val="auto"/>
        </w:rPr>
      </w:pPr>
      <w:r>
        <w:rPr>
          <w:rFonts w:ascii="Arial" w:cs="Arial" w:eastAsia="Arial" w:hAnsi="Arial"/>
          <w:sz w:val="18"/>
          <w:szCs w:val="18"/>
          <w:b w:val="1"/>
          <w:bCs w:val="1"/>
          <w:color w:val="auto"/>
        </w:rPr>
        <w:t>Interest rate, foreign exchange and liquidity risk</w:t>
      </w:r>
    </w:p>
    <w:p>
      <w:pPr>
        <w:spacing w:after="0" w:line="121" w:lineRule="exact"/>
        <w:rPr>
          <w:sz w:val="20"/>
          <w:szCs w:val="20"/>
          <w:color w:val="auto"/>
        </w:rPr>
      </w:pPr>
    </w:p>
    <w:p>
      <w:pPr>
        <w:ind w:left="200"/>
        <w:spacing w:after="0"/>
        <w:rPr>
          <w:sz w:val="20"/>
          <w:szCs w:val="20"/>
          <w:color w:val="auto"/>
        </w:rPr>
      </w:pPr>
      <w:r>
        <w:rPr>
          <w:rFonts w:ascii="Arial" w:cs="Arial" w:eastAsia="Arial" w:hAnsi="Arial"/>
          <w:sz w:val="18"/>
          <w:szCs w:val="18"/>
          <w:color w:val="auto"/>
        </w:rPr>
        <w:t>Information regarding interest rate, foreign exchange and liquidity risk exposure is set out in Note 20.</w:t>
      </w:r>
    </w:p>
    <w:p>
      <w:pPr>
        <w:spacing w:after="0" w:line="158" w:lineRule="exact"/>
        <w:rPr>
          <w:sz w:val="20"/>
          <w:szCs w:val="20"/>
          <w:color w:val="auto"/>
        </w:rPr>
      </w:pPr>
    </w:p>
    <w:p>
      <w:pPr>
        <w:ind w:left="5540"/>
        <w:spacing w:after="0"/>
        <w:rPr>
          <w:sz w:val="20"/>
          <w:szCs w:val="20"/>
          <w:color w:val="auto"/>
        </w:rPr>
      </w:pPr>
      <w:r>
        <w:rPr>
          <w:rFonts w:ascii="Arial" w:cs="Arial" w:eastAsia="Arial" w:hAnsi="Arial"/>
          <w:sz w:val="18"/>
          <w:szCs w:val="18"/>
          <w:color w:val="auto"/>
        </w:rPr>
        <w:t>F-31</w:t>
      </w:r>
    </w:p>
    <w:p>
      <w:pPr>
        <w:sectPr>
          <w:pgSz w:w="11900" w:h="16838" w:orient="portrait"/>
          <w:cols w:equalWidth="0" w:num="1">
            <w:col w:w="10340"/>
          </w:cols>
          <w:pgMar w:left="240" w:top="459" w:right="1319" w:bottom="1440" w:gutter="0" w:footer="0" w:header="0"/>
        </w:sectPr>
      </w:pPr>
    </w:p>
    <w:bookmarkStart w:id="130" w:name="page131"/>
    <w:bookmarkEnd w:id="13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7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239"/>
        <w:spacing w:after="0"/>
        <w:rPr>
          <w:sz w:val="20"/>
          <w:szCs w:val="20"/>
          <w:color w:val="auto"/>
        </w:rPr>
      </w:pPr>
      <w:r>
        <w:rPr>
          <w:rFonts w:ascii="Arial" w:cs="Arial" w:eastAsia="Arial" w:hAnsi="Arial"/>
          <w:sz w:val="18"/>
          <w:szCs w:val="18"/>
          <w:b w:val="1"/>
          <w:bCs w:val="1"/>
          <w:color w:val="auto"/>
        </w:rPr>
        <w:t>AVITA MEDICAL LIMITED</w:t>
      </w:r>
    </w:p>
    <w:p>
      <w:pPr>
        <w:spacing w:after="0" w:line="27" w:lineRule="exact"/>
        <w:rPr>
          <w:sz w:val="20"/>
          <w:szCs w:val="20"/>
          <w:color w:val="auto"/>
        </w:rPr>
      </w:pPr>
    </w:p>
    <w:p>
      <w:pPr>
        <w:jc w:val="center"/>
        <w:ind w:right="-239"/>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9" w:lineRule="exact"/>
        <w:rPr>
          <w:sz w:val="20"/>
          <w:szCs w:val="20"/>
          <w:color w:val="auto"/>
        </w:rPr>
      </w:pPr>
    </w:p>
    <w:p>
      <w:pPr>
        <w:jc w:val="center"/>
        <w:ind w:right="-239"/>
        <w:spacing w:after="0"/>
        <w:rPr>
          <w:sz w:val="20"/>
          <w:szCs w:val="20"/>
          <w:color w:val="auto"/>
        </w:rPr>
      </w:pPr>
      <w:r>
        <w:rPr>
          <w:rFonts w:ascii="Arial" w:cs="Arial" w:eastAsia="Arial" w:hAnsi="Arial"/>
          <w:sz w:val="18"/>
          <w:szCs w:val="18"/>
          <w:b w:val="1"/>
          <w:bCs w:val="1"/>
          <w:color w:val="auto"/>
        </w:rPr>
        <w:t>(IN AUSTRALIAN DOLLARS)</w:t>
      </w:r>
    </w:p>
    <w:p>
      <w:pPr>
        <w:spacing w:after="0" w:line="234" w:lineRule="exact"/>
        <w:rPr>
          <w:sz w:val="20"/>
          <w:szCs w:val="20"/>
          <w:color w:val="auto"/>
        </w:rPr>
      </w:pPr>
    </w:p>
    <w:p>
      <w:pPr>
        <w:ind w:left="200"/>
        <w:spacing w:after="0"/>
        <w:tabs>
          <w:tab w:leader="none" w:pos="620" w:val="left"/>
        </w:tabs>
        <w:rPr>
          <w:sz w:val="20"/>
          <w:szCs w:val="20"/>
          <w:color w:val="auto"/>
        </w:rPr>
      </w:pPr>
      <w:r>
        <w:rPr>
          <w:rFonts w:ascii="Arial" w:cs="Arial" w:eastAsia="Arial" w:hAnsi="Arial"/>
          <w:sz w:val="18"/>
          <w:szCs w:val="18"/>
          <w:b w:val="1"/>
          <w:bCs w:val="1"/>
          <w:color w:val="auto"/>
        </w:rPr>
        <w:t>12.</w:t>
        <w:tab/>
        <w:t>CURRENT LIABILITIES – PROVISIONS</w:t>
      </w:r>
    </w:p>
    <w:p>
      <w:pPr>
        <w:spacing w:after="0" w:line="114" w:lineRule="exact"/>
        <w:rPr>
          <w:sz w:val="20"/>
          <w:szCs w:val="20"/>
          <w:color w:val="auto"/>
        </w:rPr>
      </w:pPr>
    </w:p>
    <w:tbl>
      <w:tblPr>
        <w:tblLayout w:type="fixed"/>
        <w:tblInd w:w="152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180" w:type="dxa"/>
            <w:vAlign w:val="bottom"/>
          </w:tcPr>
          <w:p>
            <w:pPr>
              <w:spacing w:after="0"/>
              <w:rPr>
                <w:sz w:val="14"/>
                <w:szCs w:val="14"/>
                <w:color w:val="auto"/>
              </w:rPr>
            </w:pPr>
          </w:p>
        </w:tc>
        <w:tc>
          <w:tcPr>
            <w:tcW w:w="1660" w:type="dxa"/>
            <w:vAlign w:val="bottom"/>
          </w:tcPr>
          <w:p>
            <w:pPr>
              <w:spacing w:after="0"/>
              <w:rPr>
                <w:sz w:val="14"/>
                <w:szCs w:val="14"/>
                <w:color w:val="auto"/>
              </w:rPr>
            </w:pPr>
          </w:p>
        </w:tc>
        <w:tc>
          <w:tcPr>
            <w:tcW w:w="2520" w:type="dxa"/>
            <w:vAlign w:val="bottom"/>
            <w:gridSpan w:val="4"/>
          </w:tcPr>
          <w:p>
            <w:pPr>
              <w:ind w:left="800"/>
              <w:spacing w:after="0"/>
              <w:rPr>
                <w:sz w:val="20"/>
                <w:szCs w:val="20"/>
                <w:color w:val="auto"/>
              </w:rPr>
            </w:pPr>
            <w:r>
              <w:rPr>
                <w:rFonts w:ascii="Arial" w:cs="Arial" w:eastAsia="Arial" w:hAnsi="Arial"/>
                <w:sz w:val="14"/>
                <w:szCs w:val="14"/>
                <w:b w:val="1"/>
                <w:bCs w:val="1"/>
                <w:color w:val="auto"/>
              </w:rPr>
              <w:t>As of June 30,</w:t>
            </w:r>
          </w:p>
        </w:tc>
      </w:tr>
      <w:tr>
        <w:trPr>
          <w:trHeight w:val="171"/>
        </w:trPr>
        <w:tc>
          <w:tcPr>
            <w:tcW w:w="20" w:type="dxa"/>
            <w:vAlign w:val="bottom"/>
          </w:tcPr>
          <w:p>
            <w:pPr>
              <w:spacing w:after="0"/>
              <w:rPr>
                <w:sz w:val="14"/>
                <w:szCs w:val="14"/>
                <w:color w:val="auto"/>
              </w:rPr>
            </w:pPr>
          </w:p>
        </w:tc>
        <w:tc>
          <w:tcPr>
            <w:tcW w:w="4180" w:type="dxa"/>
            <w:vAlign w:val="bottom"/>
          </w:tcPr>
          <w:p>
            <w:pPr>
              <w:spacing w:after="0"/>
              <w:rPr>
                <w:sz w:val="14"/>
                <w:szCs w:val="14"/>
                <w:color w:val="auto"/>
              </w:rPr>
            </w:pPr>
          </w:p>
        </w:tc>
        <w:tc>
          <w:tcPr>
            <w:tcW w:w="2480" w:type="dxa"/>
            <w:vAlign w:val="bottom"/>
            <w:gridSpan w:val="2"/>
          </w:tcPr>
          <w:p>
            <w:pPr>
              <w:jc w:val="right"/>
              <w:ind w:right="176"/>
              <w:spacing w:after="0"/>
              <w:rPr>
                <w:sz w:val="20"/>
                <w:szCs w:val="20"/>
                <w:color w:val="auto"/>
              </w:rPr>
            </w:pPr>
            <w:r>
              <w:rPr>
                <w:rFonts w:ascii="Arial" w:cs="Arial" w:eastAsia="Arial" w:hAnsi="Arial"/>
                <w:sz w:val="14"/>
                <w:szCs w:val="14"/>
                <w:b w:val="1"/>
                <w:bCs w:val="1"/>
                <w:color w:val="auto"/>
              </w:rPr>
              <w:t>2018</w:t>
            </w:r>
          </w:p>
        </w:tc>
        <w:tc>
          <w:tcPr>
            <w:tcW w:w="1660" w:type="dxa"/>
            <w:vAlign w:val="bottom"/>
            <w:gridSpan w:val="2"/>
          </w:tcPr>
          <w:p>
            <w:pPr>
              <w:jc w:val="right"/>
              <w:ind w:right="190"/>
              <w:spacing w:after="0"/>
              <w:rPr>
                <w:sz w:val="20"/>
                <w:szCs w:val="20"/>
                <w:color w:val="auto"/>
              </w:rPr>
            </w:pPr>
            <w:r>
              <w:rPr>
                <w:rFonts w:ascii="Arial" w:cs="Arial" w:eastAsia="Arial" w:hAnsi="Arial"/>
                <w:sz w:val="14"/>
                <w:szCs w:val="14"/>
                <w:b w:val="1"/>
                <w:bCs w:val="1"/>
                <w:color w:val="auto"/>
              </w:rPr>
              <w:t>2017</w:t>
            </w:r>
          </w:p>
        </w:tc>
        <w:tc>
          <w:tcPr>
            <w:tcW w:w="40" w:type="dxa"/>
            <w:vAlign w:val="bottom"/>
          </w:tcPr>
          <w:p>
            <w:pPr>
              <w:spacing w:after="0"/>
              <w:rPr>
                <w:sz w:val="14"/>
                <w:szCs w:val="14"/>
                <w:color w:val="auto"/>
              </w:rPr>
            </w:pPr>
          </w:p>
        </w:tc>
      </w:tr>
      <w:tr>
        <w:trPr>
          <w:trHeight w:val="210"/>
        </w:trPr>
        <w:tc>
          <w:tcPr>
            <w:tcW w:w="20" w:type="dxa"/>
            <w:vAlign w:val="bottom"/>
          </w:tcPr>
          <w:p>
            <w:pPr>
              <w:spacing w:after="0"/>
              <w:rPr>
                <w:sz w:val="18"/>
                <w:szCs w:val="18"/>
                <w:color w:val="auto"/>
              </w:rPr>
            </w:pPr>
          </w:p>
        </w:tc>
        <w:tc>
          <w:tcPr>
            <w:tcW w:w="41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Provision for annual leave (i)</w:t>
            </w:r>
          </w:p>
        </w:tc>
        <w:tc>
          <w:tcPr>
            <w:tcW w:w="1660" w:type="dxa"/>
            <w:vAlign w:val="bottom"/>
            <w:tcBorders>
              <w:top w:val="single" w:sz="8" w:color="CCEEFF"/>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1"/>
              </w:rPr>
              <w:t>A$376,535</w:t>
            </w:r>
          </w:p>
        </w:tc>
        <w:tc>
          <w:tcPr>
            <w:tcW w:w="820" w:type="dxa"/>
            <w:vAlign w:val="bottom"/>
            <w:tcBorders>
              <w:top w:val="single" w:sz="8" w:color="CCEEFF"/>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1"/>
              </w:rPr>
              <w:t>A$136,822</w:t>
            </w:r>
          </w:p>
        </w:tc>
        <w:tc>
          <w:tcPr>
            <w:tcW w:w="40" w:type="dxa"/>
            <w:vAlign w:val="bottom"/>
            <w:tcBorders>
              <w:top w:val="single" w:sz="8" w:color="CCEEFF"/>
            </w:tcBorders>
            <w:shd w:val="clear" w:color="auto" w:fill="CCEEFF"/>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4180" w:type="dxa"/>
            <w:vAlign w:val="bottom"/>
          </w:tcPr>
          <w:p>
            <w:pPr>
              <w:spacing w:after="0"/>
              <w:rPr>
                <w:sz w:val="20"/>
                <w:szCs w:val="20"/>
                <w:color w:val="auto"/>
              </w:rPr>
            </w:pPr>
            <w:r>
              <w:rPr>
                <w:rFonts w:ascii="Arial" w:cs="Arial" w:eastAsia="Arial" w:hAnsi="Arial"/>
                <w:sz w:val="18"/>
                <w:szCs w:val="18"/>
                <w:color w:val="auto"/>
              </w:rPr>
              <w:t>Provision for long service leave (ii)</w:t>
            </w:r>
          </w:p>
        </w:tc>
        <w:tc>
          <w:tcPr>
            <w:tcW w:w="1660" w:type="dxa"/>
            <w:vAlign w:val="bottom"/>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19,000</w:t>
            </w:r>
          </w:p>
        </w:tc>
        <w:tc>
          <w:tcPr>
            <w:tcW w:w="820" w:type="dxa"/>
            <w:vAlign w:val="bottom"/>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45,533</w:t>
            </w:r>
          </w:p>
        </w:tc>
        <w:tc>
          <w:tcPr>
            <w:tcW w:w="4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4180" w:type="dxa"/>
            <w:vAlign w:val="bottom"/>
            <w:shd w:val="clear" w:color="auto" w:fill="CCEEFF"/>
          </w:tcPr>
          <w:p>
            <w:pPr>
              <w:spacing w:after="0"/>
              <w:rPr>
                <w:sz w:val="18"/>
                <w:szCs w:val="18"/>
                <w:color w:val="auto"/>
              </w:rPr>
            </w:pPr>
          </w:p>
        </w:tc>
        <w:tc>
          <w:tcPr>
            <w:tcW w:w="248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u w:val="single" w:color="auto"/>
                <w:color w:val="auto"/>
              </w:rPr>
              <w:t>A$</w:t>
            </w:r>
            <w:r>
              <w:rPr>
                <w:rFonts w:ascii="Arial" w:cs="Arial" w:eastAsia="Arial" w:hAnsi="Arial"/>
                <w:sz w:val="18"/>
                <w:szCs w:val="18"/>
                <w:b w:val="1"/>
                <w:bCs w:val="1"/>
                <w:color w:val="auto"/>
              </w:rPr>
              <w:t>395,535</w:t>
            </w:r>
          </w:p>
        </w:tc>
        <w:tc>
          <w:tcPr>
            <w:tcW w:w="170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b w:val="1"/>
                <w:bCs w:val="1"/>
                <w:u w:val="single" w:color="auto"/>
                <w:color w:val="auto"/>
              </w:rPr>
              <w:t>A$</w:t>
            </w:r>
            <w:r>
              <w:rPr>
                <w:rFonts w:ascii="Arial" w:cs="Arial" w:eastAsia="Arial" w:hAnsi="Arial"/>
                <w:sz w:val="18"/>
                <w:szCs w:val="18"/>
                <w:b w:val="1"/>
                <w:bCs w:val="1"/>
                <w:color w:val="auto"/>
              </w:rPr>
              <w:t>182,355</w:t>
            </w:r>
          </w:p>
        </w:tc>
      </w:tr>
      <w:tr>
        <w:trPr>
          <w:trHeight w:val="20"/>
        </w:trPr>
        <w:tc>
          <w:tcPr>
            <w:tcW w:w="20" w:type="dxa"/>
            <w:vAlign w:val="bottom"/>
          </w:tcPr>
          <w:p>
            <w:pPr>
              <w:spacing w:after="0" w:line="20" w:lineRule="exact"/>
              <w:rPr>
                <w:sz w:val="1"/>
                <w:szCs w:val="1"/>
                <w:color w:val="auto"/>
              </w:rPr>
            </w:pPr>
          </w:p>
        </w:tc>
        <w:tc>
          <w:tcPr>
            <w:tcW w:w="418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103"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Employee benefits</w:t>
      </w:r>
    </w:p>
    <w:p>
      <w:pPr>
        <w:spacing w:after="0" w:line="135" w:lineRule="exact"/>
        <w:rPr>
          <w:sz w:val="20"/>
          <w:szCs w:val="20"/>
          <w:color w:val="auto"/>
        </w:rPr>
      </w:pPr>
    </w:p>
    <w:p>
      <w:pPr>
        <w:ind w:left="1180" w:hanging="544"/>
        <w:spacing w:after="0"/>
        <w:tabs>
          <w:tab w:leader="none" w:pos="1180" w:val="left"/>
        </w:tabs>
        <w:numPr>
          <w:ilvl w:val="1"/>
          <w:numId w:val="140"/>
        </w:numPr>
        <w:rPr>
          <w:rFonts w:ascii="Arial" w:cs="Arial" w:eastAsia="Arial" w:hAnsi="Arial"/>
          <w:sz w:val="18"/>
          <w:szCs w:val="18"/>
          <w:color w:val="auto"/>
        </w:rPr>
      </w:pPr>
      <w:r>
        <w:rPr>
          <w:rFonts w:ascii="Arial" w:cs="Arial" w:eastAsia="Arial" w:hAnsi="Arial"/>
          <w:sz w:val="18"/>
          <w:szCs w:val="18"/>
          <w:color w:val="auto"/>
        </w:rPr>
        <w:t>A provision is recognized for annual leave due to employees at the end of the year.</w:t>
      </w:r>
    </w:p>
    <w:p>
      <w:pPr>
        <w:spacing w:after="0" w:line="130" w:lineRule="exact"/>
        <w:rPr>
          <w:rFonts w:ascii="Arial" w:cs="Arial" w:eastAsia="Arial" w:hAnsi="Arial"/>
          <w:sz w:val="18"/>
          <w:szCs w:val="18"/>
          <w:color w:val="auto"/>
        </w:rPr>
      </w:pPr>
    </w:p>
    <w:p>
      <w:pPr>
        <w:ind w:left="1180" w:hanging="544"/>
        <w:spacing w:after="0"/>
        <w:tabs>
          <w:tab w:leader="none" w:pos="1180" w:val="left"/>
        </w:tabs>
        <w:numPr>
          <w:ilvl w:val="1"/>
          <w:numId w:val="140"/>
        </w:numPr>
        <w:rPr>
          <w:rFonts w:ascii="Arial" w:cs="Arial" w:eastAsia="Arial" w:hAnsi="Arial"/>
          <w:sz w:val="18"/>
          <w:szCs w:val="18"/>
          <w:color w:val="auto"/>
        </w:rPr>
      </w:pPr>
      <w:r>
        <w:rPr>
          <w:rFonts w:ascii="Arial" w:cs="Arial" w:eastAsia="Arial" w:hAnsi="Arial"/>
          <w:sz w:val="18"/>
          <w:szCs w:val="18"/>
          <w:color w:val="auto"/>
        </w:rPr>
        <w:t>A provision is recognized for long service leave due to employees at the end of the year.</w:t>
      </w:r>
    </w:p>
    <w:p>
      <w:pPr>
        <w:spacing w:after="0" w:line="369" w:lineRule="exact"/>
        <w:rPr>
          <w:rFonts w:ascii="Arial" w:cs="Arial" w:eastAsia="Arial" w:hAnsi="Arial"/>
          <w:sz w:val="18"/>
          <w:szCs w:val="18"/>
          <w:color w:val="auto"/>
        </w:rPr>
      </w:pPr>
    </w:p>
    <w:p>
      <w:pPr>
        <w:ind w:left="640" w:hanging="436"/>
        <w:spacing w:after="0"/>
        <w:tabs>
          <w:tab w:leader="none" w:pos="640" w:val="left"/>
        </w:tabs>
        <w:numPr>
          <w:ilvl w:val="0"/>
          <w:numId w:val="141"/>
        </w:numPr>
        <w:rPr>
          <w:rFonts w:ascii="Arial" w:cs="Arial" w:eastAsia="Arial" w:hAnsi="Arial"/>
          <w:sz w:val="18"/>
          <w:szCs w:val="18"/>
          <w:b w:val="1"/>
          <w:bCs w:val="1"/>
          <w:color w:val="auto"/>
        </w:rPr>
      </w:pPr>
      <w:r>
        <w:rPr>
          <w:rFonts w:ascii="Arial" w:cs="Arial" w:eastAsia="Arial" w:hAnsi="Arial"/>
          <w:sz w:val="18"/>
          <w:szCs w:val="18"/>
          <w:b w:val="1"/>
          <w:bCs w:val="1"/>
          <w:color w:val="auto"/>
        </w:rPr>
        <w:t>CONTRIBUTED EQUITY</w:t>
      </w:r>
    </w:p>
    <w:p>
      <w:pPr>
        <w:spacing w:after="0" w:line="114" w:lineRule="exact"/>
        <w:rPr>
          <w:sz w:val="20"/>
          <w:szCs w:val="20"/>
          <w:color w:val="auto"/>
        </w:rPr>
      </w:pPr>
    </w:p>
    <w:tbl>
      <w:tblPr>
        <w:tblLayout w:type="fixed"/>
        <w:tblInd w:w="200" w:type="dxa"/>
        <w:tblCellMar>
          <w:top w:w="0" w:type="dxa"/>
          <w:left w:w="0" w:type="dxa"/>
          <w:bottom w:w="0" w:type="dxa"/>
          <w:right w:w="0" w:type="dxa"/>
        </w:tblCellMar>
      </w:tblPr>
      <w:tr>
        <w:trPr>
          <w:trHeight w:val="161"/>
        </w:trPr>
        <w:tc>
          <w:tcPr>
            <w:tcW w:w="1340" w:type="dxa"/>
            <w:vAlign w:val="bottom"/>
          </w:tcPr>
          <w:p>
            <w:pPr>
              <w:spacing w:after="0"/>
              <w:rPr>
                <w:sz w:val="14"/>
                <w:szCs w:val="14"/>
                <w:color w:val="auto"/>
              </w:rPr>
            </w:pPr>
          </w:p>
        </w:tc>
        <w:tc>
          <w:tcPr>
            <w:tcW w:w="54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780" w:type="dxa"/>
            <w:vAlign w:val="bottom"/>
            <w:gridSpan w:val="6"/>
          </w:tcPr>
          <w:p>
            <w:pPr>
              <w:ind w:left="920"/>
              <w:spacing w:after="0"/>
              <w:rPr>
                <w:sz w:val="20"/>
                <w:szCs w:val="20"/>
                <w:color w:val="auto"/>
              </w:rPr>
            </w:pPr>
            <w:r>
              <w:rPr>
                <w:rFonts w:ascii="Arial" w:cs="Arial" w:eastAsia="Arial" w:hAnsi="Arial"/>
                <w:sz w:val="14"/>
                <w:szCs w:val="14"/>
                <w:b w:val="1"/>
                <w:bCs w:val="1"/>
                <w:color w:val="auto"/>
              </w:rPr>
              <w:t>As of June 30,</w:t>
            </w:r>
          </w:p>
        </w:tc>
        <w:tc>
          <w:tcPr>
            <w:tcW w:w="0" w:type="dxa"/>
            <w:vAlign w:val="bottom"/>
          </w:tcPr>
          <w:p>
            <w:pPr>
              <w:spacing w:after="0"/>
              <w:rPr>
                <w:sz w:val="1"/>
                <w:szCs w:val="1"/>
                <w:color w:val="auto"/>
              </w:rPr>
            </w:pPr>
          </w:p>
        </w:tc>
      </w:tr>
      <w:tr>
        <w:trPr>
          <w:trHeight w:val="171"/>
        </w:trPr>
        <w:tc>
          <w:tcPr>
            <w:tcW w:w="1340" w:type="dxa"/>
            <w:vAlign w:val="bottom"/>
          </w:tcPr>
          <w:p>
            <w:pPr>
              <w:spacing w:after="0"/>
              <w:rPr>
                <w:sz w:val="14"/>
                <w:szCs w:val="14"/>
                <w:color w:val="auto"/>
              </w:rPr>
            </w:pPr>
          </w:p>
        </w:tc>
        <w:tc>
          <w:tcPr>
            <w:tcW w:w="54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40" w:type="dxa"/>
            <w:vAlign w:val="bottom"/>
          </w:tcPr>
          <w:p>
            <w:pPr>
              <w:jc w:val="right"/>
              <w:ind w:right="314"/>
              <w:spacing w:after="0"/>
              <w:rPr>
                <w:sz w:val="20"/>
                <w:szCs w:val="20"/>
                <w:color w:val="auto"/>
              </w:rPr>
            </w:pPr>
            <w:r>
              <w:rPr>
                <w:rFonts w:ascii="Arial" w:cs="Arial" w:eastAsia="Arial" w:hAnsi="Arial"/>
                <w:sz w:val="14"/>
                <w:szCs w:val="14"/>
                <w:b w:val="1"/>
                <w:bCs w:val="1"/>
                <w:color w:val="auto"/>
              </w:rPr>
              <w:t>2018</w:t>
            </w:r>
          </w:p>
        </w:tc>
        <w:tc>
          <w:tcPr>
            <w:tcW w:w="60" w:type="dxa"/>
            <w:vAlign w:val="bottom"/>
          </w:tcPr>
          <w:p>
            <w:pPr>
              <w:spacing w:after="0"/>
              <w:rPr>
                <w:sz w:val="14"/>
                <w:szCs w:val="14"/>
                <w:color w:val="auto"/>
              </w:rPr>
            </w:pPr>
          </w:p>
        </w:tc>
        <w:tc>
          <w:tcPr>
            <w:tcW w:w="1460" w:type="dxa"/>
            <w:vAlign w:val="bottom"/>
            <w:gridSpan w:val="2"/>
          </w:tcPr>
          <w:p>
            <w:pPr>
              <w:jc w:val="right"/>
              <w:ind w:right="334"/>
              <w:spacing w:after="0"/>
              <w:rPr>
                <w:sz w:val="20"/>
                <w:szCs w:val="20"/>
                <w:color w:val="auto"/>
              </w:rPr>
            </w:pPr>
            <w:r>
              <w:rPr>
                <w:rFonts w:ascii="Arial" w:cs="Arial" w:eastAsia="Arial" w:hAnsi="Arial"/>
                <w:sz w:val="14"/>
                <w:szCs w:val="14"/>
                <w:b w:val="1"/>
                <w:bCs w:val="1"/>
                <w:color w:val="auto"/>
              </w:rPr>
              <w:t>2017</w:t>
            </w: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1340" w:type="dxa"/>
            <w:vAlign w:val="bottom"/>
          </w:tcPr>
          <w:p>
            <w:pPr>
              <w:spacing w:after="0"/>
              <w:rPr>
                <w:sz w:val="17"/>
                <w:szCs w:val="17"/>
                <w:color w:val="auto"/>
              </w:rPr>
            </w:pPr>
          </w:p>
        </w:tc>
        <w:tc>
          <w:tcPr>
            <w:tcW w:w="5580" w:type="dxa"/>
            <w:vAlign w:val="bottom"/>
            <w:tcBorders>
              <w:top w:val="single" w:sz="8" w:color="CCEEFF"/>
            </w:tcBorders>
            <w:gridSpan w:val="2"/>
            <w:shd w:val="clear" w:color="auto" w:fill="CCEEFF"/>
          </w:tcPr>
          <w:p>
            <w:pPr>
              <w:spacing w:after="0" w:line="196" w:lineRule="exact"/>
              <w:rPr>
                <w:sz w:val="20"/>
                <w:szCs w:val="20"/>
                <w:color w:val="auto"/>
              </w:rPr>
            </w:pPr>
            <w:r>
              <w:rPr>
                <w:rFonts w:ascii="Arial" w:cs="Arial" w:eastAsia="Arial" w:hAnsi="Arial"/>
                <w:sz w:val="18"/>
                <w:szCs w:val="18"/>
                <w:i w:val="1"/>
                <w:iCs w:val="1"/>
                <w:color w:val="auto"/>
              </w:rPr>
              <w:t>Ordinary shares</w:t>
            </w:r>
          </w:p>
        </w:tc>
        <w:tc>
          <w:tcPr>
            <w:tcW w:w="1140" w:type="dxa"/>
            <w:vAlign w:val="bottom"/>
            <w:tcBorders>
              <w:top w:val="single" w:sz="8" w:color="auto"/>
            </w:tcBorders>
            <w:shd w:val="clear" w:color="auto" w:fill="CCEEFF"/>
          </w:tcPr>
          <w:p>
            <w:pPr>
              <w:spacing w:after="0"/>
              <w:rPr>
                <w:sz w:val="17"/>
                <w:szCs w:val="17"/>
                <w:color w:val="auto"/>
              </w:rPr>
            </w:pPr>
          </w:p>
        </w:tc>
        <w:tc>
          <w:tcPr>
            <w:tcW w:w="60" w:type="dxa"/>
            <w:vAlign w:val="bottom"/>
            <w:tcBorders>
              <w:top w:val="single" w:sz="8" w:color="auto"/>
            </w:tcBorders>
            <w:shd w:val="clear" w:color="auto" w:fill="CCEEFF"/>
          </w:tcPr>
          <w:p>
            <w:pPr>
              <w:spacing w:after="0"/>
              <w:rPr>
                <w:sz w:val="17"/>
                <w:szCs w:val="17"/>
                <w:color w:val="auto"/>
              </w:rPr>
            </w:pPr>
          </w:p>
        </w:tc>
        <w:tc>
          <w:tcPr>
            <w:tcW w:w="300" w:type="dxa"/>
            <w:vAlign w:val="bottom"/>
            <w:tcBorders>
              <w:top w:val="single" w:sz="8" w:color="CCEEFF"/>
            </w:tcBorders>
            <w:shd w:val="clear" w:color="auto" w:fill="CCEEFF"/>
          </w:tcPr>
          <w:p>
            <w:pPr>
              <w:spacing w:after="0"/>
              <w:rPr>
                <w:sz w:val="17"/>
                <w:szCs w:val="17"/>
                <w:color w:val="auto"/>
              </w:rPr>
            </w:pPr>
          </w:p>
        </w:tc>
        <w:tc>
          <w:tcPr>
            <w:tcW w:w="1160" w:type="dxa"/>
            <w:vAlign w:val="bottom"/>
            <w:tcBorders>
              <w:top w:val="single" w:sz="8" w:color="auto"/>
            </w:tcBorders>
            <w:shd w:val="clear" w:color="auto" w:fill="CCEEFF"/>
          </w:tcPr>
          <w:p>
            <w:pPr>
              <w:spacing w:after="0"/>
              <w:rPr>
                <w:sz w:val="17"/>
                <w:szCs w:val="17"/>
                <w:color w:val="auto"/>
              </w:rPr>
            </w:pPr>
          </w:p>
        </w:tc>
        <w:tc>
          <w:tcPr>
            <w:tcW w:w="4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340" w:type="dxa"/>
            <w:vAlign w:val="bottom"/>
          </w:tcPr>
          <w:p>
            <w:pPr>
              <w:spacing w:after="0"/>
              <w:rPr>
                <w:sz w:val="18"/>
                <w:szCs w:val="18"/>
                <w:color w:val="auto"/>
              </w:rPr>
            </w:pPr>
          </w:p>
        </w:tc>
        <w:tc>
          <w:tcPr>
            <w:tcW w:w="5580" w:type="dxa"/>
            <w:vAlign w:val="bottom"/>
            <w:gridSpan w:val="2"/>
          </w:tcPr>
          <w:p>
            <w:pPr>
              <w:spacing w:after="0"/>
              <w:rPr>
                <w:sz w:val="20"/>
                <w:szCs w:val="20"/>
                <w:color w:val="auto"/>
              </w:rPr>
            </w:pPr>
            <w:r>
              <w:rPr>
                <w:rFonts w:ascii="Arial" w:cs="Arial" w:eastAsia="Arial" w:hAnsi="Arial"/>
                <w:sz w:val="18"/>
                <w:szCs w:val="18"/>
                <w:color w:val="auto"/>
              </w:rPr>
              <w:t>Authorized, issued and fully paid</w:t>
            </w:r>
          </w:p>
        </w:tc>
        <w:tc>
          <w:tcPr>
            <w:tcW w:w="1200" w:type="dxa"/>
            <w:vAlign w:val="bottom"/>
            <w:gridSpan w:val="2"/>
          </w:tcPr>
          <w:p>
            <w:pPr>
              <w:jc w:val="right"/>
              <w:ind w:right="20"/>
              <w:spacing w:after="0"/>
              <w:rPr>
                <w:sz w:val="20"/>
                <w:szCs w:val="20"/>
                <w:color w:val="auto"/>
              </w:rPr>
            </w:pPr>
            <w:r>
              <w:rPr>
                <w:rFonts w:ascii="Arial" w:cs="Arial" w:eastAsia="Arial" w:hAnsi="Arial"/>
                <w:sz w:val="18"/>
                <w:szCs w:val="18"/>
                <w:color w:val="auto"/>
              </w:rPr>
              <w:t>162,801,028</w:t>
            </w:r>
          </w:p>
        </w:tc>
        <w:tc>
          <w:tcPr>
            <w:tcW w:w="1500" w:type="dxa"/>
            <w:vAlign w:val="bottom"/>
            <w:gridSpan w:val="3"/>
          </w:tcPr>
          <w:p>
            <w:pPr>
              <w:jc w:val="right"/>
              <w:spacing w:after="0"/>
              <w:rPr>
                <w:sz w:val="20"/>
                <w:szCs w:val="20"/>
                <w:color w:val="auto"/>
              </w:rPr>
            </w:pPr>
            <w:r>
              <w:rPr>
                <w:rFonts w:ascii="Arial" w:cs="Arial" w:eastAsia="Arial" w:hAnsi="Arial"/>
                <w:sz w:val="18"/>
                <w:szCs w:val="18"/>
                <w:color w:val="auto"/>
              </w:rPr>
              <w:t>134,806,022</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920" w:type="dxa"/>
            <w:vAlign w:val="bottom"/>
            <w:gridSpan w:val="3"/>
            <w:vMerge w:val="restart"/>
          </w:tcPr>
          <w:p>
            <w:pPr>
              <w:spacing w:after="0"/>
              <w:rPr>
                <w:sz w:val="20"/>
                <w:szCs w:val="20"/>
                <w:color w:val="auto"/>
              </w:rPr>
            </w:pPr>
            <w:r>
              <w:rPr>
                <w:rFonts w:ascii="Arial" w:cs="Arial" w:eastAsia="Arial" w:hAnsi="Arial"/>
                <w:sz w:val="18"/>
                <w:szCs w:val="18"/>
                <w:color w:val="auto"/>
              </w:rPr>
              <w:t>Fully paid ordinary shares carry one vote per share and carry the right to dividends.</w:t>
            </w:r>
          </w:p>
        </w:tc>
        <w:tc>
          <w:tcPr>
            <w:tcW w:w="11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6920" w:type="dxa"/>
            <w:vAlign w:val="bottom"/>
            <w:gridSpan w:val="3"/>
            <w:vMerge w:val="continue"/>
          </w:tcPr>
          <w:p>
            <w:pPr>
              <w:spacing w:after="0"/>
              <w:rPr>
                <w:sz w:val="24"/>
                <w:szCs w:val="24"/>
                <w:color w:val="auto"/>
              </w:rPr>
            </w:pPr>
          </w:p>
        </w:tc>
        <w:tc>
          <w:tcPr>
            <w:tcW w:w="1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2"/>
        </w:trPr>
        <w:tc>
          <w:tcPr>
            <w:tcW w:w="6920" w:type="dxa"/>
            <w:vAlign w:val="bottom"/>
            <w:gridSpan w:val="3"/>
          </w:tcPr>
          <w:p>
            <w:pPr>
              <w:ind w:left="1320"/>
              <w:spacing w:after="0"/>
              <w:rPr>
                <w:sz w:val="20"/>
                <w:szCs w:val="20"/>
                <w:color w:val="auto"/>
              </w:rPr>
            </w:pPr>
            <w:r>
              <w:rPr>
                <w:rFonts w:ascii="Arial" w:cs="Arial" w:eastAsia="Arial" w:hAnsi="Arial"/>
                <w:sz w:val="14"/>
                <w:szCs w:val="14"/>
                <w:i w:val="1"/>
                <w:iCs w:val="1"/>
                <w:color w:val="auto"/>
              </w:rPr>
              <w:t>Movement in ordinary shares on issue</w:t>
            </w:r>
          </w:p>
        </w:tc>
        <w:tc>
          <w:tcPr>
            <w:tcW w:w="1200" w:type="dxa"/>
            <w:vAlign w:val="bottom"/>
            <w:gridSpan w:val="2"/>
          </w:tcPr>
          <w:p>
            <w:pPr>
              <w:jc w:val="right"/>
              <w:ind w:right="460"/>
              <w:spacing w:after="0"/>
              <w:rPr>
                <w:sz w:val="20"/>
                <w:szCs w:val="20"/>
                <w:color w:val="auto"/>
              </w:rPr>
            </w:pPr>
            <w:r>
              <w:rPr>
                <w:rFonts w:ascii="Arial" w:cs="Arial" w:eastAsia="Arial" w:hAnsi="Arial"/>
                <w:sz w:val="14"/>
                <w:szCs w:val="14"/>
                <w:b w:val="1"/>
                <w:bCs w:val="1"/>
                <w:color w:val="auto"/>
              </w:rPr>
              <w:t>Number</w:t>
            </w:r>
          </w:p>
        </w:tc>
        <w:tc>
          <w:tcPr>
            <w:tcW w:w="300" w:type="dxa"/>
            <w:vAlign w:val="bottom"/>
          </w:tcPr>
          <w:p>
            <w:pPr>
              <w:spacing w:after="0"/>
              <w:rPr>
                <w:sz w:val="24"/>
                <w:szCs w:val="24"/>
                <w:color w:val="auto"/>
              </w:rPr>
            </w:pPr>
          </w:p>
        </w:tc>
        <w:tc>
          <w:tcPr>
            <w:tcW w:w="1280" w:type="dxa"/>
            <w:vAlign w:val="bottom"/>
            <w:gridSpan w:val="3"/>
          </w:tcPr>
          <w:p>
            <w:pPr>
              <w:ind w:left="480"/>
              <w:spacing w:after="0"/>
              <w:rPr>
                <w:sz w:val="20"/>
                <w:szCs w:val="20"/>
                <w:color w:val="auto"/>
              </w:rPr>
            </w:pPr>
            <w:r>
              <w:rPr>
                <w:rFonts w:ascii="Arial" w:cs="Arial" w:eastAsia="Arial" w:hAnsi="Arial"/>
                <w:sz w:val="14"/>
                <w:szCs w:val="14"/>
                <w:b w:val="1"/>
                <w:bCs w:val="1"/>
                <w:color w:val="auto"/>
              </w:rPr>
              <w:t>A$</w:t>
            </w:r>
          </w:p>
        </w:tc>
        <w:tc>
          <w:tcPr>
            <w:tcW w:w="0" w:type="dxa"/>
            <w:vAlign w:val="bottom"/>
          </w:tcPr>
          <w:p>
            <w:pPr>
              <w:spacing w:after="0"/>
              <w:rPr>
                <w:sz w:val="1"/>
                <w:szCs w:val="1"/>
                <w:color w:val="auto"/>
              </w:rPr>
            </w:pPr>
          </w:p>
        </w:tc>
      </w:tr>
      <w:tr>
        <w:trPr>
          <w:trHeight w:val="210"/>
        </w:trPr>
        <w:tc>
          <w:tcPr>
            <w:tcW w:w="1340" w:type="dxa"/>
            <w:vAlign w:val="bottom"/>
          </w:tcPr>
          <w:p>
            <w:pPr>
              <w:spacing w:after="0"/>
              <w:rPr>
                <w:sz w:val="18"/>
                <w:szCs w:val="18"/>
                <w:color w:val="auto"/>
              </w:rPr>
            </w:pPr>
          </w:p>
        </w:tc>
        <w:tc>
          <w:tcPr>
            <w:tcW w:w="54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At July 1, 2016</w:t>
            </w:r>
          </w:p>
        </w:tc>
        <w:tc>
          <w:tcPr>
            <w:tcW w:w="160" w:type="dxa"/>
            <w:vAlign w:val="bottom"/>
            <w:tcBorders>
              <w:top w:val="single" w:sz="8" w:color="auto"/>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532,751,995</w:t>
            </w:r>
          </w:p>
        </w:tc>
        <w:tc>
          <w:tcPr>
            <w:tcW w:w="6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CCEEFF"/>
            </w:tcBorders>
            <w:shd w:val="clear" w:color="auto" w:fill="CCEEFF"/>
          </w:tcPr>
          <w:p>
            <w:pPr>
              <w:spacing w:after="0"/>
              <w:rPr>
                <w:sz w:val="18"/>
                <w:szCs w:val="18"/>
                <w:color w:val="auto"/>
              </w:rPr>
            </w:pPr>
          </w:p>
        </w:tc>
        <w:tc>
          <w:tcPr>
            <w:tcW w:w="1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126,264,372</w:t>
            </w:r>
          </w:p>
        </w:tc>
        <w:tc>
          <w:tcPr>
            <w:tcW w:w="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40" w:type="dxa"/>
            <w:vAlign w:val="bottom"/>
          </w:tcPr>
          <w:p>
            <w:pPr>
              <w:spacing w:after="0"/>
              <w:rPr>
                <w:sz w:val="18"/>
                <w:szCs w:val="18"/>
                <w:color w:val="auto"/>
              </w:rPr>
            </w:pPr>
          </w:p>
        </w:tc>
        <w:tc>
          <w:tcPr>
            <w:tcW w:w="5580" w:type="dxa"/>
            <w:vAlign w:val="bottom"/>
            <w:gridSpan w:val="2"/>
          </w:tcPr>
          <w:p>
            <w:pPr>
              <w:spacing w:after="0"/>
              <w:rPr>
                <w:sz w:val="20"/>
                <w:szCs w:val="20"/>
                <w:color w:val="auto"/>
              </w:rPr>
            </w:pPr>
            <w:r>
              <w:rPr>
                <w:rFonts w:ascii="Arial" w:cs="Arial" w:eastAsia="Arial" w:hAnsi="Arial"/>
                <w:sz w:val="18"/>
                <w:szCs w:val="18"/>
                <w:color w:val="auto"/>
              </w:rPr>
              <w:t>New shares</w:t>
            </w:r>
          </w:p>
        </w:tc>
        <w:tc>
          <w:tcPr>
            <w:tcW w:w="1140" w:type="dxa"/>
            <w:vAlign w:val="bottom"/>
          </w:tcPr>
          <w:p>
            <w:pPr>
              <w:jc w:val="right"/>
              <w:spacing w:after="0"/>
              <w:rPr>
                <w:sz w:val="20"/>
                <w:szCs w:val="20"/>
                <w:color w:val="auto"/>
              </w:rPr>
            </w:pPr>
            <w:r>
              <w:rPr>
                <w:rFonts w:ascii="Arial" w:cs="Arial" w:eastAsia="Arial" w:hAnsi="Arial"/>
                <w:sz w:val="18"/>
                <w:szCs w:val="18"/>
                <w:color w:val="auto"/>
              </w:rPr>
              <w:t>139,467,859</w:t>
            </w:r>
          </w:p>
        </w:tc>
        <w:tc>
          <w:tcPr>
            <w:tcW w:w="60" w:type="dxa"/>
            <w:vAlign w:val="bottom"/>
          </w:tcPr>
          <w:p>
            <w:pPr>
              <w:spacing w:after="0"/>
              <w:rPr>
                <w:sz w:val="18"/>
                <w:szCs w:val="18"/>
                <w:color w:val="auto"/>
              </w:rPr>
            </w:pPr>
          </w:p>
        </w:tc>
        <w:tc>
          <w:tcPr>
            <w:tcW w:w="1460" w:type="dxa"/>
            <w:vAlign w:val="bottom"/>
            <w:gridSpan w:val="2"/>
          </w:tcPr>
          <w:p>
            <w:pPr>
              <w:jc w:val="right"/>
              <w:spacing w:after="0"/>
              <w:rPr>
                <w:sz w:val="20"/>
                <w:szCs w:val="20"/>
                <w:color w:val="auto"/>
              </w:rPr>
            </w:pPr>
            <w:r>
              <w:rPr>
                <w:rFonts w:ascii="Arial" w:cs="Arial" w:eastAsia="Arial" w:hAnsi="Arial"/>
                <w:sz w:val="18"/>
                <w:szCs w:val="18"/>
                <w:color w:val="auto"/>
              </w:rPr>
              <w:t>9,048,102</w:t>
            </w: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40" w:type="dxa"/>
            <w:vAlign w:val="bottom"/>
          </w:tcPr>
          <w:p>
            <w:pPr>
              <w:spacing w:after="0"/>
              <w:rPr>
                <w:sz w:val="18"/>
                <w:szCs w:val="18"/>
                <w:color w:val="auto"/>
              </w:rPr>
            </w:pPr>
          </w:p>
        </w:tc>
        <w:tc>
          <w:tcPr>
            <w:tcW w:w="55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Capital issue costs</w:t>
            </w:r>
          </w:p>
        </w:tc>
        <w:tc>
          <w:tcPr>
            <w:tcW w:w="12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5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(506,452)</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6760" w:type="dxa"/>
            <w:vAlign w:val="bottom"/>
            <w:gridSpan w:val="2"/>
          </w:tcPr>
          <w:p>
            <w:pPr>
              <w:ind w:left="1320"/>
              <w:spacing w:after="0"/>
              <w:rPr>
                <w:sz w:val="20"/>
                <w:szCs w:val="20"/>
                <w:color w:val="auto"/>
              </w:rPr>
            </w:pPr>
            <w:r>
              <w:rPr>
                <w:rFonts w:ascii="Arial" w:cs="Arial" w:eastAsia="Arial" w:hAnsi="Arial"/>
                <w:sz w:val="18"/>
                <w:szCs w:val="18"/>
                <w:color w:val="auto"/>
              </w:rPr>
              <w:t>At July 1, 2017</w:t>
            </w:r>
          </w:p>
        </w:tc>
        <w:tc>
          <w:tcPr>
            <w:tcW w:w="160" w:type="dxa"/>
            <w:vAlign w:val="bottom"/>
            <w:tcBorders>
              <w:top w:val="single" w:sz="8" w:color="auto"/>
            </w:tcBorders>
          </w:tcPr>
          <w:p>
            <w:pPr>
              <w:spacing w:after="0"/>
              <w:rPr>
                <w:sz w:val="19"/>
                <w:szCs w:val="19"/>
                <w:color w:val="auto"/>
              </w:rPr>
            </w:pP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673,219,854</w:t>
            </w:r>
          </w:p>
        </w:tc>
        <w:tc>
          <w:tcPr>
            <w:tcW w:w="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134,806,022</w:t>
            </w: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1340" w:type="dxa"/>
            <w:vAlign w:val="bottom"/>
          </w:tcPr>
          <w:p>
            <w:pPr>
              <w:spacing w:after="0"/>
              <w:rPr>
                <w:sz w:val="18"/>
                <w:szCs w:val="18"/>
                <w:color w:val="auto"/>
              </w:rPr>
            </w:pPr>
          </w:p>
        </w:tc>
        <w:tc>
          <w:tcPr>
            <w:tcW w:w="55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New shares</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633,658,471</w:t>
            </w:r>
          </w:p>
        </w:tc>
        <w:tc>
          <w:tcPr>
            <w:tcW w:w="6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29,846,859</w:t>
            </w: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40" w:type="dxa"/>
            <w:vAlign w:val="bottom"/>
          </w:tcPr>
          <w:p>
            <w:pPr>
              <w:spacing w:after="0"/>
              <w:rPr>
                <w:sz w:val="18"/>
                <w:szCs w:val="18"/>
                <w:color w:val="auto"/>
              </w:rPr>
            </w:pPr>
          </w:p>
        </w:tc>
        <w:tc>
          <w:tcPr>
            <w:tcW w:w="5580" w:type="dxa"/>
            <w:vAlign w:val="bottom"/>
            <w:gridSpan w:val="2"/>
          </w:tcPr>
          <w:p>
            <w:pPr>
              <w:spacing w:after="0"/>
              <w:rPr>
                <w:sz w:val="20"/>
                <w:szCs w:val="20"/>
                <w:color w:val="auto"/>
              </w:rPr>
            </w:pPr>
            <w:r>
              <w:rPr>
                <w:rFonts w:ascii="Arial" w:cs="Arial" w:eastAsia="Arial" w:hAnsi="Arial"/>
                <w:sz w:val="18"/>
                <w:szCs w:val="18"/>
                <w:color w:val="auto"/>
              </w:rPr>
              <w:t>Cancelled shares</w:t>
            </w:r>
          </w:p>
        </w:tc>
        <w:tc>
          <w:tcPr>
            <w:tcW w:w="1200" w:type="dxa"/>
            <w:vAlign w:val="bottom"/>
            <w:gridSpan w:val="2"/>
          </w:tcPr>
          <w:p>
            <w:pPr>
              <w:jc w:val="right"/>
              <w:spacing w:after="0"/>
              <w:rPr>
                <w:sz w:val="20"/>
                <w:szCs w:val="20"/>
                <w:color w:val="auto"/>
              </w:rPr>
            </w:pPr>
            <w:r>
              <w:rPr>
                <w:rFonts w:ascii="Arial" w:cs="Arial" w:eastAsia="Arial" w:hAnsi="Arial"/>
                <w:sz w:val="18"/>
                <w:szCs w:val="18"/>
                <w:color w:val="auto"/>
              </w:rPr>
              <w:t>(29,500,000)</w:t>
            </w:r>
          </w:p>
        </w:tc>
        <w:tc>
          <w:tcPr>
            <w:tcW w:w="300" w:type="dxa"/>
            <w:vAlign w:val="bottom"/>
          </w:tcPr>
          <w:p>
            <w:pPr>
              <w:spacing w:after="0"/>
              <w:rPr>
                <w:sz w:val="18"/>
                <w:szCs w:val="18"/>
                <w:color w:val="auto"/>
              </w:rPr>
            </w:pPr>
          </w:p>
        </w:tc>
        <w:tc>
          <w:tcPr>
            <w:tcW w:w="1280" w:type="dxa"/>
            <w:vAlign w:val="bottom"/>
            <w:gridSpan w:val="3"/>
          </w:tcPr>
          <w:p>
            <w:pPr>
              <w:ind w:left="8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1340" w:type="dxa"/>
            <w:vAlign w:val="bottom"/>
          </w:tcPr>
          <w:p>
            <w:pPr>
              <w:spacing w:after="0"/>
              <w:rPr>
                <w:sz w:val="18"/>
                <w:szCs w:val="18"/>
                <w:color w:val="auto"/>
              </w:rPr>
            </w:pPr>
          </w:p>
        </w:tc>
        <w:tc>
          <w:tcPr>
            <w:tcW w:w="55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Capital issue costs</w:t>
            </w:r>
          </w:p>
        </w:tc>
        <w:tc>
          <w:tcPr>
            <w:tcW w:w="12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5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(1,851,853)</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6760" w:type="dxa"/>
            <w:vAlign w:val="bottom"/>
            <w:gridSpan w:val="2"/>
          </w:tcPr>
          <w:p>
            <w:pPr>
              <w:ind w:left="1320"/>
              <w:spacing w:after="0"/>
              <w:rPr>
                <w:sz w:val="20"/>
                <w:szCs w:val="20"/>
                <w:color w:val="auto"/>
              </w:rPr>
            </w:pPr>
            <w:r>
              <w:rPr>
                <w:rFonts w:ascii="Arial" w:cs="Arial" w:eastAsia="Arial" w:hAnsi="Arial"/>
                <w:sz w:val="18"/>
                <w:szCs w:val="18"/>
                <w:b w:val="1"/>
                <w:bCs w:val="1"/>
                <w:color w:val="auto"/>
              </w:rPr>
              <w:t>At June 30, 2018</w:t>
            </w:r>
          </w:p>
        </w:tc>
        <w:tc>
          <w:tcPr>
            <w:tcW w:w="160" w:type="dxa"/>
            <w:vAlign w:val="bottom"/>
            <w:tcBorders>
              <w:top w:val="single" w:sz="8" w:color="auto"/>
              <w:bottom w:val="single" w:sz="8" w:color="auto"/>
            </w:tcBorders>
          </w:tcPr>
          <w:p>
            <w:pPr>
              <w:spacing w:after="0"/>
              <w:rPr>
                <w:sz w:val="19"/>
                <w:szCs w:val="19"/>
                <w:color w:val="auto"/>
              </w:rPr>
            </w:pP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7"/>
              </w:rPr>
              <w:t>1,277,378,325</w:t>
            </w:r>
          </w:p>
        </w:tc>
        <w:tc>
          <w:tcPr>
            <w:tcW w:w="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162,801,028</w:t>
            </w: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340" w:type="dxa"/>
            <w:vAlign w:val="bottom"/>
          </w:tcPr>
          <w:p>
            <w:pPr>
              <w:spacing w:after="0" w:line="20" w:lineRule="exact"/>
              <w:rPr>
                <w:sz w:val="1"/>
                <w:szCs w:val="1"/>
                <w:color w:val="auto"/>
              </w:rPr>
            </w:pPr>
          </w:p>
        </w:tc>
        <w:tc>
          <w:tcPr>
            <w:tcW w:w="54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9"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Capital management</w:t>
      </w:r>
    </w:p>
    <w:p>
      <w:pPr>
        <w:spacing w:after="0" w:line="121" w:lineRule="exact"/>
        <w:rPr>
          <w:sz w:val="20"/>
          <w:szCs w:val="20"/>
          <w:color w:val="auto"/>
        </w:rPr>
      </w:pPr>
    </w:p>
    <w:p>
      <w:pPr>
        <w:ind w:left="200"/>
        <w:spacing w:after="0" w:line="259" w:lineRule="auto"/>
        <w:rPr>
          <w:sz w:val="20"/>
          <w:szCs w:val="20"/>
          <w:color w:val="auto"/>
        </w:rPr>
      </w:pPr>
      <w:r>
        <w:rPr>
          <w:rFonts w:ascii="Arial" w:cs="Arial" w:eastAsia="Arial" w:hAnsi="Arial"/>
          <w:sz w:val="18"/>
          <w:szCs w:val="18"/>
          <w:color w:val="auto"/>
        </w:rPr>
        <w:t>When managing capital, management’s objective is to ensure the entity continues as a going concern as well as to maintain optimal returns to shareholders and benefits for other stakeholders. Management also aims to maintain a capital structure that ensures the lowest cost of capital available to the entity. The Company regularly reviews the capital structure and seeks to take advantage of available opportunities to improve outcomes for the Company and its shareholders.</w:t>
      </w:r>
    </w:p>
    <w:p>
      <w:pPr>
        <w:spacing w:after="0" w:line="187" w:lineRule="exact"/>
        <w:rPr>
          <w:sz w:val="20"/>
          <w:szCs w:val="20"/>
          <w:color w:val="auto"/>
        </w:rPr>
      </w:pPr>
    </w:p>
    <w:p>
      <w:pPr>
        <w:jc w:val="both"/>
        <w:ind w:left="200" w:right="80"/>
        <w:spacing w:after="0" w:line="264" w:lineRule="auto"/>
        <w:rPr>
          <w:sz w:val="20"/>
          <w:szCs w:val="20"/>
          <w:color w:val="auto"/>
        </w:rPr>
      </w:pPr>
      <w:r>
        <w:rPr>
          <w:rFonts w:ascii="Arial" w:cs="Arial" w:eastAsia="Arial" w:hAnsi="Arial"/>
          <w:sz w:val="18"/>
          <w:szCs w:val="18"/>
          <w:color w:val="auto"/>
        </w:rPr>
        <w:t>For the year ended 30 June 2018, there were no dividends paid and management has no plans to commence the payment of dividends. Management has no current plans to issue further shares on the market but will continue to assess market conditions and the company’s cash flow requirements to ensure the company is appropriately funded.</w:t>
      </w:r>
    </w:p>
    <w:p>
      <w:pPr>
        <w:spacing w:after="0" w:line="181" w:lineRule="exact"/>
        <w:rPr>
          <w:sz w:val="20"/>
          <w:szCs w:val="20"/>
          <w:color w:val="auto"/>
        </w:rPr>
      </w:pPr>
    </w:p>
    <w:p>
      <w:pPr>
        <w:ind w:left="200" w:right="340"/>
        <w:spacing w:after="0" w:line="277" w:lineRule="auto"/>
        <w:rPr>
          <w:sz w:val="20"/>
          <w:szCs w:val="20"/>
          <w:color w:val="auto"/>
        </w:rPr>
      </w:pPr>
      <w:r>
        <w:rPr>
          <w:rFonts w:ascii="Arial" w:cs="Arial" w:eastAsia="Arial" w:hAnsi="Arial"/>
          <w:sz w:val="18"/>
          <w:szCs w:val="18"/>
          <w:color w:val="auto"/>
        </w:rPr>
        <w:t>The Company monitors capital on the basis of the gearing ratio, however there is no significant external borrowing at the reporting date. Neither the Company nor any of the subsidiaries are subject to externally imposed capital requirement.</w:t>
      </w:r>
    </w:p>
    <w:p>
      <w:pPr>
        <w:spacing w:after="0" w:line="103"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F-32</w:t>
      </w:r>
    </w:p>
    <w:p>
      <w:pPr>
        <w:sectPr>
          <w:pgSz w:w="11900" w:h="16838" w:orient="portrait"/>
          <w:cols w:equalWidth="0" w:num="1">
            <w:col w:w="11200"/>
          </w:cols>
          <w:pgMar w:left="240" w:top="459" w:right="459" w:bottom="1440" w:gutter="0" w:footer="0" w:header="0"/>
        </w:sectPr>
      </w:pPr>
    </w:p>
    <w:bookmarkStart w:id="131" w:name="page132"/>
    <w:bookmarkEnd w:id="13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8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839"/>
        <w:spacing w:after="0"/>
        <w:rPr>
          <w:sz w:val="20"/>
          <w:szCs w:val="20"/>
          <w:color w:val="auto"/>
        </w:rPr>
      </w:pPr>
      <w:r>
        <w:rPr>
          <w:rFonts w:ascii="Arial" w:cs="Arial" w:eastAsia="Arial" w:hAnsi="Arial"/>
          <w:sz w:val="18"/>
          <w:szCs w:val="18"/>
          <w:b w:val="1"/>
          <w:bCs w:val="1"/>
          <w:color w:val="auto"/>
        </w:rPr>
        <w:t>AVITA MEDICAL LIMITED</w:t>
      </w:r>
    </w:p>
    <w:p>
      <w:pPr>
        <w:spacing w:after="0" w:line="27" w:lineRule="exact"/>
        <w:rPr>
          <w:sz w:val="20"/>
          <w:szCs w:val="20"/>
          <w:color w:val="auto"/>
        </w:rPr>
      </w:pPr>
    </w:p>
    <w:p>
      <w:pPr>
        <w:jc w:val="center"/>
        <w:ind w:right="-839"/>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9" w:lineRule="exact"/>
        <w:rPr>
          <w:sz w:val="20"/>
          <w:szCs w:val="20"/>
          <w:color w:val="auto"/>
        </w:rPr>
      </w:pPr>
    </w:p>
    <w:p>
      <w:pPr>
        <w:jc w:val="center"/>
        <w:ind w:right="-839"/>
        <w:spacing w:after="0"/>
        <w:rPr>
          <w:sz w:val="20"/>
          <w:szCs w:val="20"/>
          <w:color w:val="auto"/>
        </w:rPr>
      </w:pPr>
      <w:r>
        <w:rPr>
          <w:rFonts w:ascii="Arial" w:cs="Arial" w:eastAsia="Arial" w:hAnsi="Arial"/>
          <w:sz w:val="18"/>
          <w:szCs w:val="18"/>
          <w:b w:val="1"/>
          <w:bCs w:val="1"/>
          <w:color w:val="auto"/>
        </w:rPr>
        <w:t>(IN AUSTRALIAN DOLLARS)</w:t>
      </w:r>
    </w:p>
    <w:p>
      <w:pPr>
        <w:spacing w:after="0" w:line="234" w:lineRule="exact"/>
        <w:rPr>
          <w:sz w:val="20"/>
          <w:szCs w:val="20"/>
          <w:color w:val="auto"/>
        </w:rPr>
      </w:pPr>
    </w:p>
    <w:p>
      <w:pPr>
        <w:ind w:left="640" w:hanging="436"/>
        <w:spacing w:after="0"/>
        <w:tabs>
          <w:tab w:leader="none" w:pos="640" w:val="left"/>
        </w:tabs>
        <w:numPr>
          <w:ilvl w:val="0"/>
          <w:numId w:val="142"/>
        </w:numPr>
        <w:rPr>
          <w:rFonts w:ascii="Arial" w:cs="Arial" w:eastAsia="Arial" w:hAnsi="Arial"/>
          <w:sz w:val="18"/>
          <w:szCs w:val="18"/>
          <w:b w:val="1"/>
          <w:bCs w:val="1"/>
          <w:color w:val="auto"/>
        </w:rPr>
      </w:pPr>
      <w:r>
        <w:rPr>
          <w:rFonts w:ascii="Arial" w:cs="Arial" w:eastAsia="Arial" w:hAnsi="Arial"/>
          <w:sz w:val="18"/>
          <w:szCs w:val="18"/>
          <w:b w:val="1"/>
          <w:bCs w:val="1"/>
          <w:color w:val="auto"/>
        </w:rPr>
        <w:t>ACCUMULATED LOSSES AND RESERVES</w:t>
      </w:r>
    </w:p>
    <w:p>
      <w:pPr>
        <w:spacing w:after="0" w:line="131" w:lineRule="exact"/>
        <w:rPr>
          <w:sz w:val="20"/>
          <w:szCs w:val="20"/>
          <w:color w:val="auto"/>
        </w:rPr>
      </w:pPr>
    </w:p>
    <w:p>
      <w:pPr>
        <w:ind w:left="640" w:hanging="436"/>
        <w:spacing w:after="0"/>
        <w:tabs>
          <w:tab w:leader="none" w:pos="640" w:val="left"/>
        </w:tabs>
        <w:numPr>
          <w:ilvl w:val="0"/>
          <w:numId w:val="143"/>
        </w:numPr>
        <w:rPr>
          <w:rFonts w:ascii="Arial" w:cs="Arial" w:eastAsia="Arial" w:hAnsi="Arial"/>
          <w:sz w:val="18"/>
          <w:szCs w:val="18"/>
          <w:b w:val="1"/>
          <w:bCs w:val="1"/>
          <w:color w:val="auto"/>
        </w:rPr>
      </w:pPr>
      <w:r>
        <w:rPr>
          <w:rFonts w:ascii="Arial" w:cs="Arial" w:eastAsia="Arial" w:hAnsi="Arial"/>
          <w:sz w:val="18"/>
          <w:szCs w:val="18"/>
          <w:b w:val="1"/>
          <w:bCs w:val="1"/>
          <w:color w:val="auto"/>
        </w:rPr>
        <w:t>Movements in accumulated losses were as follows:</w:t>
      </w:r>
    </w:p>
    <w:p>
      <w:pPr>
        <w:spacing w:after="0" w:line="235" w:lineRule="exact"/>
        <w:rPr>
          <w:sz w:val="20"/>
          <w:szCs w:val="20"/>
          <w:color w:val="auto"/>
        </w:rPr>
      </w:pPr>
    </w:p>
    <w:tbl>
      <w:tblPr>
        <w:tblLayout w:type="fixed"/>
        <w:tblInd w:w="108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940" w:type="dxa"/>
            <w:vAlign w:val="bottom"/>
          </w:tcPr>
          <w:p>
            <w:pPr>
              <w:spacing w:after="0"/>
              <w:rPr>
                <w:sz w:val="14"/>
                <w:szCs w:val="14"/>
                <w:color w:val="auto"/>
              </w:rPr>
            </w:pPr>
          </w:p>
        </w:tc>
        <w:tc>
          <w:tcPr>
            <w:tcW w:w="3300" w:type="dxa"/>
            <w:vAlign w:val="bottom"/>
            <w:gridSpan w:val="4"/>
          </w:tcPr>
          <w:p>
            <w:pPr>
              <w:ind w:left="1160"/>
              <w:spacing w:after="0"/>
              <w:rPr>
                <w:sz w:val="20"/>
                <w:szCs w:val="20"/>
                <w:color w:val="auto"/>
              </w:rPr>
            </w:pPr>
            <w:r>
              <w:rPr>
                <w:rFonts w:ascii="Arial" w:cs="Arial" w:eastAsia="Arial" w:hAnsi="Arial"/>
                <w:sz w:val="14"/>
                <w:szCs w:val="14"/>
                <w:b w:val="1"/>
                <w:bCs w:val="1"/>
                <w:color w:val="auto"/>
              </w:rPr>
              <w:t>As of June 30,</w:t>
            </w:r>
          </w:p>
        </w:tc>
      </w:tr>
      <w:tr>
        <w:trPr>
          <w:trHeight w:val="171"/>
        </w:trPr>
        <w:tc>
          <w:tcPr>
            <w:tcW w:w="20" w:type="dxa"/>
            <w:vAlign w:val="bottom"/>
          </w:tcPr>
          <w:p>
            <w:pPr>
              <w:spacing w:after="0"/>
              <w:rPr>
                <w:sz w:val="14"/>
                <w:szCs w:val="14"/>
                <w:color w:val="auto"/>
              </w:rPr>
            </w:pPr>
          </w:p>
        </w:tc>
        <w:tc>
          <w:tcPr>
            <w:tcW w:w="5940" w:type="dxa"/>
            <w:vAlign w:val="bottom"/>
            <w:tcBorders>
              <w:bottom w:val="single" w:sz="8" w:color="CCEEFF"/>
            </w:tcBorders>
          </w:tcPr>
          <w:p>
            <w:pPr>
              <w:spacing w:after="0"/>
              <w:rPr>
                <w:sz w:val="14"/>
                <w:szCs w:val="14"/>
                <w:color w:val="auto"/>
              </w:rPr>
            </w:pPr>
          </w:p>
        </w:tc>
        <w:tc>
          <w:tcPr>
            <w:tcW w:w="1200" w:type="dxa"/>
            <w:vAlign w:val="bottom"/>
            <w:tcBorders>
              <w:bottom w:val="single" w:sz="8" w:color="auto"/>
            </w:tcBorders>
          </w:tcPr>
          <w:p>
            <w:pPr>
              <w:jc w:val="right"/>
              <w:ind w:right="375"/>
              <w:spacing w:after="0"/>
              <w:rPr>
                <w:sz w:val="20"/>
                <w:szCs w:val="20"/>
                <w:color w:val="auto"/>
              </w:rPr>
            </w:pPr>
            <w:r>
              <w:rPr>
                <w:rFonts w:ascii="Arial" w:cs="Arial" w:eastAsia="Arial" w:hAnsi="Arial"/>
                <w:sz w:val="14"/>
                <w:szCs w:val="14"/>
                <w:b w:val="1"/>
                <w:bCs w:val="1"/>
                <w:color w:val="auto"/>
              </w:rPr>
              <w:t>2018</w:t>
            </w:r>
          </w:p>
        </w:tc>
        <w:tc>
          <w:tcPr>
            <w:tcW w:w="780" w:type="dxa"/>
            <w:vAlign w:val="bottom"/>
            <w:tcBorders>
              <w:bottom w:val="single" w:sz="8" w:color="CCEEFF"/>
            </w:tcBorders>
          </w:tcPr>
          <w:p>
            <w:pPr>
              <w:spacing w:after="0"/>
              <w:rPr>
                <w:sz w:val="14"/>
                <w:szCs w:val="14"/>
                <w:color w:val="auto"/>
              </w:rPr>
            </w:pPr>
          </w:p>
        </w:tc>
        <w:tc>
          <w:tcPr>
            <w:tcW w:w="1220" w:type="dxa"/>
            <w:vAlign w:val="bottom"/>
            <w:tcBorders>
              <w:bottom w:val="single" w:sz="8" w:color="auto"/>
            </w:tcBorders>
          </w:tcPr>
          <w:p>
            <w:pPr>
              <w:jc w:val="right"/>
              <w:ind w:right="373"/>
              <w:spacing w:after="0"/>
              <w:rPr>
                <w:sz w:val="20"/>
                <w:szCs w:val="20"/>
                <w:color w:val="auto"/>
              </w:rPr>
            </w:pPr>
            <w:r>
              <w:rPr>
                <w:rFonts w:ascii="Arial" w:cs="Arial" w:eastAsia="Arial" w:hAnsi="Arial"/>
                <w:sz w:val="14"/>
                <w:szCs w:val="14"/>
                <w:b w:val="1"/>
                <w:bCs w:val="1"/>
                <w:color w:val="auto"/>
              </w:rPr>
              <w:t>2017</w:t>
            </w:r>
          </w:p>
        </w:tc>
        <w:tc>
          <w:tcPr>
            <w:tcW w:w="100" w:type="dxa"/>
            <w:vAlign w:val="bottom"/>
            <w:tcBorders>
              <w:bottom w:val="single" w:sz="8" w:color="CCEEFF"/>
            </w:tcBorders>
          </w:tcPr>
          <w:p>
            <w:pPr>
              <w:spacing w:after="0"/>
              <w:rPr>
                <w:sz w:val="14"/>
                <w:szCs w:val="14"/>
                <w:color w:val="auto"/>
              </w:rPr>
            </w:pPr>
          </w:p>
        </w:tc>
      </w:tr>
      <w:tr>
        <w:trPr>
          <w:trHeight w:val="210"/>
        </w:trPr>
        <w:tc>
          <w:tcPr>
            <w:tcW w:w="20" w:type="dxa"/>
            <w:vAlign w:val="bottom"/>
          </w:tcPr>
          <w:p>
            <w:pPr>
              <w:spacing w:after="0"/>
              <w:rPr>
                <w:sz w:val="18"/>
                <w:szCs w:val="18"/>
                <w:color w:val="auto"/>
              </w:rPr>
            </w:pPr>
          </w:p>
        </w:tc>
        <w:tc>
          <w:tcPr>
            <w:tcW w:w="5940" w:type="dxa"/>
            <w:vAlign w:val="bottom"/>
            <w:shd w:val="clear" w:color="auto" w:fill="CCEEFF"/>
          </w:tcPr>
          <w:p>
            <w:pPr>
              <w:spacing w:after="0"/>
              <w:rPr>
                <w:sz w:val="20"/>
                <w:szCs w:val="20"/>
                <w:color w:val="auto"/>
              </w:rPr>
            </w:pPr>
            <w:r>
              <w:rPr>
                <w:rFonts w:ascii="Arial" w:cs="Arial" w:eastAsia="Arial" w:hAnsi="Arial"/>
                <w:sz w:val="18"/>
                <w:szCs w:val="18"/>
                <w:color w:val="auto"/>
              </w:rPr>
              <w:t>Balance July 1</w:t>
            </w:r>
          </w:p>
        </w:tc>
        <w:tc>
          <w:tcPr>
            <w:tcW w:w="1200" w:type="dxa"/>
            <w:vAlign w:val="bottom"/>
            <w:shd w:val="clear" w:color="auto" w:fill="CCEEFF"/>
          </w:tcPr>
          <w:p>
            <w:pPr>
              <w:spacing w:after="0"/>
              <w:rPr>
                <w:sz w:val="20"/>
                <w:szCs w:val="20"/>
                <w:color w:val="auto"/>
              </w:rPr>
            </w:pPr>
            <w:r>
              <w:rPr>
                <w:rFonts w:ascii="Arial" w:cs="Arial" w:eastAsia="Arial" w:hAnsi="Arial"/>
                <w:sz w:val="18"/>
                <w:szCs w:val="18"/>
                <w:color w:val="auto"/>
                <w:w w:val="84"/>
              </w:rPr>
              <w:t>A$ (132,218,352)</w:t>
            </w:r>
          </w:p>
        </w:tc>
        <w:tc>
          <w:tcPr>
            <w:tcW w:w="78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20"/>
                <w:szCs w:val="20"/>
                <w:color w:val="auto"/>
              </w:rPr>
            </w:pPr>
            <w:r>
              <w:rPr>
                <w:rFonts w:ascii="Arial" w:cs="Arial" w:eastAsia="Arial" w:hAnsi="Arial"/>
                <w:sz w:val="18"/>
                <w:szCs w:val="18"/>
                <w:color w:val="auto"/>
                <w:w w:val="86"/>
              </w:rPr>
              <w:t>A$ (121,108,408)</w:t>
            </w: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940" w:type="dxa"/>
            <w:vAlign w:val="bottom"/>
          </w:tcPr>
          <w:p>
            <w:pPr>
              <w:spacing w:after="0"/>
              <w:rPr>
                <w:sz w:val="20"/>
                <w:szCs w:val="20"/>
                <w:color w:val="auto"/>
              </w:rPr>
            </w:pPr>
            <w:r>
              <w:rPr>
                <w:rFonts w:ascii="Arial" w:cs="Arial" w:eastAsia="Arial" w:hAnsi="Arial"/>
                <w:sz w:val="18"/>
                <w:szCs w:val="18"/>
                <w:color w:val="auto"/>
              </w:rPr>
              <w:t>Net loss attributable to owners of Avita Medical Limited</w:t>
            </w:r>
          </w:p>
        </w:tc>
        <w:tc>
          <w:tcPr>
            <w:tcW w:w="1980" w:type="dxa"/>
            <w:vAlign w:val="bottom"/>
            <w:gridSpan w:val="2"/>
          </w:tcPr>
          <w:p>
            <w:pPr>
              <w:jc w:val="right"/>
              <w:ind w:right="720"/>
              <w:spacing w:after="0"/>
              <w:rPr>
                <w:sz w:val="20"/>
                <w:szCs w:val="20"/>
                <w:color w:val="auto"/>
              </w:rPr>
            </w:pPr>
            <w:r>
              <w:rPr>
                <w:rFonts w:ascii="Arial" w:cs="Arial" w:eastAsia="Arial" w:hAnsi="Arial"/>
                <w:sz w:val="18"/>
                <w:szCs w:val="18"/>
                <w:color w:val="auto"/>
              </w:rPr>
              <w:t>(16,519,155)</w:t>
            </w:r>
          </w:p>
        </w:tc>
        <w:tc>
          <w:tcPr>
            <w:tcW w:w="1320" w:type="dxa"/>
            <w:vAlign w:val="bottom"/>
            <w:gridSpan w:val="2"/>
          </w:tcPr>
          <w:p>
            <w:pPr>
              <w:jc w:val="right"/>
              <w:ind w:right="40"/>
              <w:spacing w:after="0"/>
              <w:rPr>
                <w:sz w:val="20"/>
                <w:szCs w:val="20"/>
                <w:color w:val="auto"/>
              </w:rPr>
            </w:pPr>
            <w:r>
              <w:rPr>
                <w:rFonts w:ascii="Arial" w:cs="Arial" w:eastAsia="Arial" w:hAnsi="Arial"/>
                <w:sz w:val="18"/>
                <w:szCs w:val="18"/>
                <w:color w:val="auto"/>
              </w:rPr>
              <w:t>(11,511,024)</w:t>
            </w:r>
          </w:p>
        </w:tc>
      </w:tr>
      <w:tr>
        <w:trPr>
          <w:trHeight w:val="216"/>
        </w:trPr>
        <w:tc>
          <w:tcPr>
            <w:tcW w:w="20" w:type="dxa"/>
            <w:vAlign w:val="bottom"/>
          </w:tcPr>
          <w:p>
            <w:pPr>
              <w:spacing w:after="0"/>
              <w:rPr>
                <w:sz w:val="18"/>
                <w:szCs w:val="18"/>
                <w:color w:val="auto"/>
              </w:rPr>
            </w:pPr>
          </w:p>
        </w:tc>
        <w:tc>
          <w:tcPr>
            <w:tcW w:w="5940" w:type="dxa"/>
            <w:vAlign w:val="bottom"/>
            <w:shd w:val="clear" w:color="auto" w:fill="CCEEFF"/>
          </w:tcPr>
          <w:p>
            <w:pPr>
              <w:spacing w:after="0"/>
              <w:rPr>
                <w:sz w:val="20"/>
                <w:szCs w:val="20"/>
                <w:color w:val="auto"/>
              </w:rPr>
            </w:pPr>
            <w:r>
              <w:rPr>
                <w:rFonts w:ascii="Arial" w:cs="Arial" w:eastAsia="Arial" w:hAnsi="Arial"/>
                <w:sz w:val="18"/>
                <w:szCs w:val="18"/>
                <w:color w:val="auto"/>
              </w:rPr>
              <w:t>Transfer from expired / lapsed options</w:t>
            </w:r>
          </w:p>
        </w:tc>
        <w:tc>
          <w:tcPr>
            <w:tcW w:w="1980" w:type="dxa"/>
            <w:vAlign w:val="bottom"/>
            <w:gridSpan w:val="2"/>
            <w:shd w:val="clear" w:color="auto" w:fill="CCEEFF"/>
          </w:tcPr>
          <w:p>
            <w:pPr>
              <w:jc w:val="right"/>
              <w:ind w:right="780"/>
              <w:spacing w:after="0"/>
              <w:rPr>
                <w:sz w:val="20"/>
                <w:szCs w:val="20"/>
                <w:color w:val="auto"/>
              </w:rPr>
            </w:pPr>
            <w:r>
              <w:rPr>
                <w:rFonts w:ascii="Arial" w:cs="Arial" w:eastAsia="Arial" w:hAnsi="Arial"/>
                <w:sz w:val="18"/>
                <w:szCs w:val="18"/>
                <w:color w:val="auto"/>
              </w:rPr>
              <w:t>141,188</w:t>
            </w:r>
          </w:p>
        </w:tc>
        <w:tc>
          <w:tcPr>
            <w:tcW w:w="13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401,080</w:t>
            </w:r>
          </w:p>
        </w:tc>
      </w:tr>
      <w:tr>
        <w:trPr>
          <w:trHeight w:val="223"/>
        </w:trPr>
        <w:tc>
          <w:tcPr>
            <w:tcW w:w="20" w:type="dxa"/>
            <w:vAlign w:val="bottom"/>
          </w:tcPr>
          <w:p>
            <w:pPr>
              <w:spacing w:after="0"/>
              <w:rPr>
                <w:sz w:val="19"/>
                <w:szCs w:val="19"/>
                <w:color w:val="auto"/>
              </w:rPr>
            </w:pPr>
          </w:p>
        </w:tc>
        <w:tc>
          <w:tcPr>
            <w:tcW w:w="5940" w:type="dxa"/>
            <w:vAlign w:val="bottom"/>
          </w:tcPr>
          <w:p>
            <w:pPr>
              <w:spacing w:after="0"/>
              <w:rPr>
                <w:sz w:val="20"/>
                <w:szCs w:val="20"/>
                <w:color w:val="auto"/>
              </w:rPr>
            </w:pPr>
            <w:r>
              <w:rPr>
                <w:rFonts w:ascii="Arial" w:cs="Arial" w:eastAsia="Arial" w:hAnsi="Arial"/>
                <w:sz w:val="18"/>
                <w:szCs w:val="18"/>
                <w:color w:val="auto"/>
              </w:rPr>
              <w:t>Cancelled options</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3,440</w:t>
            </w:r>
          </w:p>
        </w:tc>
        <w:tc>
          <w:tcPr>
            <w:tcW w:w="780" w:type="dxa"/>
            <w:vAlign w:val="bottom"/>
          </w:tcPr>
          <w:p>
            <w:pPr>
              <w:spacing w:after="0"/>
              <w:rPr>
                <w:sz w:val="19"/>
                <w:szCs w:val="19"/>
                <w:color w:val="auto"/>
              </w:rPr>
            </w:pPr>
          </w:p>
        </w:tc>
        <w:tc>
          <w:tcPr>
            <w:tcW w:w="1220" w:type="dxa"/>
            <w:vAlign w:val="bottom"/>
            <w:tcBorders>
              <w:bottom w:val="single" w:sz="8" w:color="auto"/>
            </w:tcBorders>
          </w:tcPr>
          <w:p>
            <w:pPr>
              <w:ind w:left="9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59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Balance June 30</w:t>
            </w:r>
          </w:p>
        </w:tc>
        <w:tc>
          <w:tcPr>
            <w:tcW w:w="1980" w:type="dxa"/>
            <w:vAlign w:val="bottom"/>
            <w:gridSpan w:val="2"/>
            <w:shd w:val="clear" w:color="auto" w:fill="CCEEFF"/>
          </w:tcPr>
          <w:p>
            <w:pPr>
              <w:spacing w:after="0"/>
              <w:rPr>
                <w:sz w:val="20"/>
                <w:szCs w:val="20"/>
                <w:color w:val="auto"/>
              </w:rPr>
            </w:pPr>
            <w:r>
              <w:rPr>
                <w:rFonts w:ascii="Arial" w:cs="Arial" w:eastAsia="Arial" w:hAnsi="Arial"/>
                <w:sz w:val="18"/>
                <w:szCs w:val="18"/>
                <w:b w:val="1"/>
                <w:bCs w:val="1"/>
                <w:u w:val="single" w:color="auto"/>
                <w:color w:val="auto"/>
              </w:rPr>
              <w:t>A$</w:t>
            </w:r>
            <w:r>
              <w:rPr>
                <w:rFonts w:ascii="Arial" w:cs="Arial" w:eastAsia="Arial" w:hAnsi="Arial"/>
                <w:sz w:val="18"/>
                <w:szCs w:val="18"/>
                <w:b w:val="1"/>
                <w:bCs w:val="1"/>
                <w:color w:val="auto"/>
              </w:rPr>
              <w:t xml:space="preserve"> (148,592,879)</w:t>
            </w:r>
          </w:p>
        </w:tc>
        <w:tc>
          <w:tcPr>
            <w:tcW w:w="1320" w:type="dxa"/>
            <w:vAlign w:val="bottom"/>
            <w:gridSpan w:val="2"/>
            <w:shd w:val="clear" w:color="auto" w:fill="CCEEFF"/>
          </w:tcPr>
          <w:p>
            <w:pPr>
              <w:spacing w:after="0"/>
              <w:rPr>
                <w:sz w:val="20"/>
                <w:szCs w:val="20"/>
                <w:color w:val="auto"/>
              </w:rPr>
            </w:pPr>
            <w:r>
              <w:rPr>
                <w:rFonts w:ascii="Arial" w:cs="Arial" w:eastAsia="Arial" w:hAnsi="Arial"/>
                <w:sz w:val="18"/>
                <w:szCs w:val="18"/>
                <w:b w:val="1"/>
                <w:bCs w:val="1"/>
                <w:u w:val="single" w:color="auto"/>
                <w:color w:val="auto"/>
                <w:w w:val="92"/>
              </w:rPr>
              <w:t>A$</w:t>
            </w:r>
            <w:r>
              <w:rPr>
                <w:rFonts w:ascii="Arial" w:cs="Arial" w:eastAsia="Arial" w:hAnsi="Arial"/>
                <w:sz w:val="18"/>
                <w:szCs w:val="18"/>
                <w:b w:val="1"/>
                <w:bCs w:val="1"/>
                <w:color w:val="auto"/>
                <w:w w:val="92"/>
              </w:rPr>
              <w:t xml:space="preserve"> (132,218,352)</w:t>
            </w:r>
          </w:p>
        </w:tc>
      </w:tr>
      <w:tr>
        <w:trPr>
          <w:trHeight w:val="20"/>
        </w:trPr>
        <w:tc>
          <w:tcPr>
            <w:tcW w:w="20" w:type="dxa"/>
            <w:vAlign w:val="bottom"/>
          </w:tcPr>
          <w:p>
            <w:pPr>
              <w:spacing w:after="0" w:line="20" w:lineRule="exact"/>
              <w:rPr>
                <w:sz w:val="1"/>
                <w:szCs w:val="1"/>
                <w:color w:val="auto"/>
              </w:rPr>
            </w:pPr>
          </w:p>
        </w:tc>
        <w:tc>
          <w:tcPr>
            <w:tcW w:w="5940" w:type="dxa"/>
            <w:vAlign w:val="bottom"/>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360" w:lineRule="exact"/>
        <w:rPr>
          <w:sz w:val="20"/>
          <w:szCs w:val="20"/>
          <w:color w:val="auto"/>
        </w:rPr>
      </w:pPr>
    </w:p>
    <w:p>
      <w:pPr>
        <w:ind w:left="200"/>
        <w:spacing w:after="0"/>
        <w:tabs>
          <w:tab w:leader="none" w:pos="620" w:val="left"/>
        </w:tabs>
        <w:rPr>
          <w:sz w:val="20"/>
          <w:szCs w:val="20"/>
          <w:color w:val="auto"/>
        </w:rPr>
      </w:pPr>
      <w:r>
        <w:rPr>
          <w:rFonts w:ascii="Arial" w:cs="Arial" w:eastAsia="Arial" w:hAnsi="Arial"/>
          <w:sz w:val="18"/>
          <w:szCs w:val="18"/>
          <w:b w:val="1"/>
          <w:bCs w:val="1"/>
          <w:color w:val="auto"/>
        </w:rPr>
        <w:t>(b)</w:t>
        <w:tab/>
        <w:t>Nature and purpose of reserves</w:t>
      </w:r>
    </w:p>
    <w:p>
      <w:pPr>
        <w:spacing w:after="0" w:line="121" w:lineRule="exact"/>
        <w:rPr>
          <w:sz w:val="20"/>
          <w:szCs w:val="20"/>
          <w:color w:val="auto"/>
        </w:rPr>
      </w:pPr>
    </w:p>
    <w:p>
      <w:pPr>
        <w:ind w:left="200"/>
        <w:spacing w:after="0"/>
        <w:rPr>
          <w:sz w:val="20"/>
          <w:szCs w:val="20"/>
          <w:color w:val="auto"/>
        </w:rPr>
      </w:pPr>
      <w:r>
        <w:rPr>
          <w:rFonts w:ascii="Arial" w:cs="Arial" w:eastAsia="Arial" w:hAnsi="Arial"/>
          <w:sz w:val="18"/>
          <w:szCs w:val="18"/>
          <w:i w:val="1"/>
          <w:iCs w:val="1"/>
          <w:color w:val="auto"/>
        </w:rPr>
        <w:t>Employee equity benefits reserve</w:t>
      </w:r>
    </w:p>
    <w:p>
      <w:pPr>
        <w:spacing w:after="0" w:line="117" w:lineRule="exact"/>
        <w:rPr>
          <w:sz w:val="20"/>
          <w:szCs w:val="20"/>
          <w:color w:val="auto"/>
        </w:rPr>
      </w:pPr>
    </w:p>
    <w:p>
      <w:pPr>
        <w:ind w:left="200" w:right="140"/>
        <w:spacing w:after="0" w:line="277" w:lineRule="auto"/>
        <w:rPr>
          <w:sz w:val="20"/>
          <w:szCs w:val="20"/>
          <w:color w:val="auto"/>
        </w:rPr>
      </w:pPr>
      <w:r>
        <w:rPr>
          <w:rFonts w:ascii="Arial" w:cs="Arial" w:eastAsia="Arial" w:hAnsi="Arial"/>
          <w:sz w:val="18"/>
          <w:szCs w:val="18"/>
          <w:color w:val="auto"/>
        </w:rPr>
        <w:t>The employee equity benefits reserve is used to record the value of share-based payments provided to employees, including Key Management Personnel, as part of their remuneration. Refer to note 17 for further details of these plans.</w:t>
      </w:r>
    </w:p>
    <w:p>
      <w:pPr>
        <w:spacing w:after="0" w:line="279" w:lineRule="exact"/>
        <w:rPr>
          <w:sz w:val="20"/>
          <w:szCs w:val="20"/>
          <w:color w:val="auto"/>
        </w:rPr>
      </w:pPr>
    </w:p>
    <w:p>
      <w:pPr>
        <w:ind w:left="200"/>
        <w:spacing w:after="0"/>
        <w:rPr>
          <w:sz w:val="20"/>
          <w:szCs w:val="20"/>
          <w:color w:val="auto"/>
        </w:rPr>
      </w:pPr>
      <w:r>
        <w:rPr>
          <w:rFonts w:ascii="Arial" w:cs="Arial" w:eastAsia="Arial" w:hAnsi="Arial"/>
          <w:sz w:val="18"/>
          <w:szCs w:val="18"/>
          <w:i w:val="1"/>
          <w:iCs w:val="1"/>
          <w:color w:val="auto"/>
        </w:rPr>
        <w:t>Foreign currency translation reserve</w:t>
      </w:r>
    </w:p>
    <w:p>
      <w:pPr>
        <w:spacing w:after="0" w:line="117" w:lineRule="exact"/>
        <w:rPr>
          <w:sz w:val="20"/>
          <w:szCs w:val="20"/>
          <w:color w:val="auto"/>
        </w:rPr>
      </w:pPr>
    </w:p>
    <w:p>
      <w:pPr>
        <w:ind w:left="200"/>
        <w:spacing w:after="0" w:line="277" w:lineRule="auto"/>
        <w:rPr>
          <w:sz w:val="20"/>
          <w:szCs w:val="20"/>
          <w:color w:val="auto"/>
        </w:rPr>
      </w:pPr>
      <w:r>
        <w:rPr>
          <w:rFonts w:ascii="Arial" w:cs="Arial" w:eastAsia="Arial" w:hAnsi="Arial"/>
          <w:sz w:val="18"/>
          <w:szCs w:val="18"/>
          <w:color w:val="auto"/>
        </w:rPr>
        <w:t>The foreign currency translation reserve is used to record exchange differences arising from the translation of the financial statements of foreign subsidiaries.</w:t>
      </w:r>
    </w:p>
    <w:p>
      <w:pPr>
        <w:spacing w:after="0" w:line="279" w:lineRule="exact"/>
        <w:rPr>
          <w:sz w:val="20"/>
          <w:szCs w:val="20"/>
          <w:color w:val="auto"/>
        </w:rPr>
      </w:pPr>
    </w:p>
    <w:p>
      <w:pPr>
        <w:ind w:left="200"/>
        <w:spacing w:after="0"/>
        <w:rPr>
          <w:sz w:val="20"/>
          <w:szCs w:val="20"/>
          <w:color w:val="auto"/>
        </w:rPr>
      </w:pPr>
      <w:r>
        <w:rPr>
          <w:rFonts w:ascii="Arial" w:cs="Arial" w:eastAsia="Arial" w:hAnsi="Arial"/>
          <w:sz w:val="18"/>
          <w:szCs w:val="18"/>
          <w:i w:val="1"/>
          <w:iCs w:val="1"/>
          <w:color w:val="auto"/>
        </w:rPr>
        <w:t>Available for sales reserve</w:t>
      </w:r>
    </w:p>
    <w:p>
      <w:pPr>
        <w:spacing w:after="0" w:line="117" w:lineRule="exact"/>
        <w:rPr>
          <w:sz w:val="20"/>
          <w:szCs w:val="20"/>
          <w:color w:val="auto"/>
        </w:rPr>
      </w:pPr>
    </w:p>
    <w:p>
      <w:pPr>
        <w:ind w:left="200"/>
        <w:spacing w:after="0"/>
        <w:rPr>
          <w:sz w:val="20"/>
          <w:szCs w:val="20"/>
          <w:color w:val="auto"/>
        </w:rPr>
      </w:pPr>
      <w:r>
        <w:rPr>
          <w:rFonts w:ascii="Arial" w:cs="Arial" w:eastAsia="Arial" w:hAnsi="Arial"/>
          <w:sz w:val="18"/>
          <w:szCs w:val="18"/>
          <w:color w:val="auto"/>
        </w:rPr>
        <w:t>Available for sale reserve is used to record the gain from measuring financial assets at fair value.</w:t>
      </w:r>
    </w:p>
    <w:p>
      <w:pPr>
        <w:spacing w:after="0" w:line="158" w:lineRule="exact"/>
        <w:rPr>
          <w:sz w:val="20"/>
          <w:szCs w:val="20"/>
          <w:color w:val="auto"/>
        </w:rPr>
      </w:pPr>
    </w:p>
    <w:p>
      <w:pPr>
        <w:ind w:left="5540"/>
        <w:spacing w:after="0"/>
        <w:rPr>
          <w:sz w:val="20"/>
          <w:szCs w:val="20"/>
          <w:color w:val="auto"/>
        </w:rPr>
      </w:pPr>
      <w:r>
        <w:rPr>
          <w:rFonts w:ascii="Arial" w:cs="Arial" w:eastAsia="Arial" w:hAnsi="Arial"/>
          <w:sz w:val="18"/>
          <w:szCs w:val="18"/>
          <w:color w:val="auto"/>
        </w:rPr>
        <w:t>F-33</w:t>
      </w:r>
    </w:p>
    <w:p>
      <w:pPr>
        <w:sectPr>
          <w:pgSz w:w="11900" w:h="16838" w:orient="portrait"/>
          <w:cols w:equalWidth="0" w:num="1">
            <w:col w:w="10580"/>
          </w:cols>
          <w:pgMar w:left="240" w:top="459" w:right="1079" w:bottom="1440" w:gutter="0" w:footer="0" w:header="0"/>
        </w:sectPr>
      </w:pPr>
    </w:p>
    <w:bookmarkStart w:id="132" w:name="page133"/>
    <w:bookmarkEnd w:id="13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8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AVITA MEDICAL LIMITED</w:t>
      </w:r>
    </w:p>
    <w:p>
      <w:pPr>
        <w:spacing w:after="0" w:line="27"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9"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(IN AUSTRALIAN DOLLARS)</w:t>
      </w:r>
    </w:p>
    <w:p>
      <w:pPr>
        <w:spacing w:after="0" w:line="234" w:lineRule="exact"/>
        <w:rPr>
          <w:sz w:val="20"/>
          <w:szCs w:val="20"/>
          <w:color w:val="auto"/>
        </w:rPr>
      </w:pPr>
    </w:p>
    <w:p>
      <w:pPr>
        <w:ind w:left="640" w:hanging="436"/>
        <w:spacing w:after="0"/>
        <w:tabs>
          <w:tab w:leader="none" w:pos="640" w:val="left"/>
        </w:tabs>
        <w:numPr>
          <w:ilvl w:val="0"/>
          <w:numId w:val="144"/>
        </w:numPr>
        <w:rPr>
          <w:rFonts w:ascii="Arial" w:cs="Arial" w:eastAsia="Arial" w:hAnsi="Arial"/>
          <w:sz w:val="18"/>
          <w:szCs w:val="18"/>
          <w:b w:val="1"/>
          <w:bCs w:val="1"/>
          <w:color w:val="auto"/>
        </w:rPr>
      </w:pPr>
      <w:r>
        <w:rPr>
          <w:rFonts w:ascii="Arial" w:cs="Arial" w:eastAsia="Arial" w:hAnsi="Arial"/>
          <w:sz w:val="18"/>
          <w:szCs w:val="18"/>
          <w:b w:val="1"/>
          <w:bCs w:val="1"/>
          <w:color w:val="auto"/>
        </w:rPr>
        <w:t>CONSOLIDATED STATEMENT OF CASH FLOWS RECONCILIATION</w:t>
      </w:r>
    </w:p>
    <w:p>
      <w:pPr>
        <w:spacing w:after="0" w:line="114" w:lineRule="exact"/>
        <w:rPr>
          <w:sz w:val="20"/>
          <w:szCs w:val="20"/>
          <w:color w:val="auto"/>
        </w:rPr>
      </w:pPr>
    </w:p>
    <w:tbl>
      <w:tblPr>
        <w:tblLayout w:type="fixed"/>
        <w:tblInd w:w="20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820" w:type="dxa"/>
            <w:vAlign w:val="bottom"/>
          </w:tcPr>
          <w:p>
            <w:pPr>
              <w:spacing w:after="0"/>
              <w:rPr>
                <w:sz w:val="14"/>
                <w:szCs w:val="14"/>
                <w:color w:val="auto"/>
              </w:rPr>
            </w:pPr>
          </w:p>
        </w:tc>
        <w:tc>
          <w:tcPr>
            <w:tcW w:w="1760" w:type="dxa"/>
            <w:vAlign w:val="bottom"/>
            <w:gridSpan w:val="2"/>
            <w:vMerge w:val="restart"/>
          </w:tcPr>
          <w:p>
            <w:pPr>
              <w:jc w:val="right"/>
              <w:ind w:right="330"/>
              <w:spacing w:after="0"/>
              <w:rPr>
                <w:sz w:val="20"/>
                <w:szCs w:val="20"/>
                <w:color w:val="auto"/>
              </w:rPr>
            </w:pPr>
            <w:r>
              <w:rPr>
                <w:rFonts w:ascii="Arial" w:cs="Arial" w:eastAsia="Arial" w:hAnsi="Arial"/>
                <w:sz w:val="14"/>
                <w:szCs w:val="14"/>
                <w:b w:val="1"/>
                <w:bCs w:val="1"/>
                <w:color w:val="auto"/>
              </w:rPr>
              <w:t>2018</w:t>
            </w:r>
          </w:p>
        </w:tc>
        <w:tc>
          <w:tcPr>
            <w:tcW w:w="3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180" w:type="dxa"/>
            <w:vAlign w:val="bottom"/>
            <w:gridSpan w:val="2"/>
          </w:tcPr>
          <w:p>
            <w:pPr>
              <w:jc w:val="right"/>
              <w:ind w:right="660"/>
              <w:spacing w:after="0"/>
              <w:rPr>
                <w:sz w:val="20"/>
                <w:szCs w:val="20"/>
                <w:color w:val="auto"/>
              </w:rPr>
            </w:pPr>
            <w:r>
              <w:rPr>
                <w:rFonts w:ascii="Arial" w:cs="Arial" w:eastAsia="Arial" w:hAnsi="Arial"/>
                <w:sz w:val="14"/>
                <w:szCs w:val="14"/>
                <w:b w:val="1"/>
                <w:bCs w:val="1"/>
                <w:color w:val="auto"/>
                <w:w w:val="89"/>
              </w:rPr>
              <w:t>June 30,</w:t>
            </w:r>
          </w:p>
        </w:tc>
        <w:tc>
          <w:tcPr>
            <w:tcW w:w="1300" w:type="dxa"/>
            <w:vAlign w:val="bottom"/>
            <w:gridSpan w:val="2"/>
            <w:vMerge w:val="restart"/>
          </w:tcPr>
          <w:p>
            <w:pPr>
              <w:jc w:val="right"/>
              <w:ind w:right="270"/>
              <w:spacing w:after="0"/>
              <w:rPr>
                <w:sz w:val="20"/>
                <w:szCs w:val="20"/>
                <w:color w:val="auto"/>
              </w:rPr>
            </w:pPr>
            <w:r>
              <w:rPr>
                <w:rFonts w:ascii="Arial" w:cs="Arial" w:eastAsia="Arial" w:hAnsi="Arial"/>
                <w:sz w:val="14"/>
                <w:szCs w:val="14"/>
                <w:b w:val="1"/>
                <w:bCs w:val="1"/>
                <w:color w:val="auto"/>
              </w:rPr>
              <w:t>2016</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5820" w:type="dxa"/>
            <w:vAlign w:val="bottom"/>
          </w:tcPr>
          <w:p>
            <w:pPr>
              <w:spacing w:after="0"/>
              <w:rPr>
                <w:sz w:val="14"/>
                <w:szCs w:val="14"/>
                <w:color w:val="auto"/>
              </w:rPr>
            </w:pPr>
          </w:p>
        </w:tc>
        <w:tc>
          <w:tcPr>
            <w:tcW w:w="1760" w:type="dxa"/>
            <w:vAlign w:val="bottom"/>
            <w:gridSpan w:val="2"/>
            <w:vMerge w:val="continue"/>
          </w:tcPr>
          <w:p>
            <w:pPr>
              <w:spacing w:after="0"/>
              <w:rPr>
                <w:sz w:val="14"/>
                <w:szCs w:val="14"/>
                <w:color w:val="auto"/>
              </w:rPr>
            </w:pPr>
          </w:p>
        </w:tc>
        <w:tc>
          <w:tcPr>
            <w:tcW w:w="3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60" w:type="dxa"/>
            <w:vAlign w:val="bottom"/>
          </w:tcPr>
          <w:p>
            <w:pPr>
              <w:jc w:val="right"/>
              <w:ind w:right="313"/>
              <w:spacing w:after="0"/>
              <w:rPr>
                <w:sz w:val="20"/>
                <w:szCs w:val="20"/>
                <w:color w:val="auto"/>
              </w:rPr>
            </w:pPr>
            <w:r>
              <w:rPr>
                <w:rFonts w:ascii="Arial" w:cs="Arial" w:eastAsia="Arial" w:hAnsi="Arial"/>
                <w:sz w:val="14"/>
                <w:szCs w:val="14"/>
                <w:b w:val="1"/>
                <w:bCs w:val="1"/>
                <w:color w:val="auto"/>
              </w:rPr>
              <w:t>2017</w:t>
            </w:r>
          </w:p>
        </w:tc>
        <w:tc>
          <w:tcPr>
            <w:tcW w:w="320" w:type="dxa"/>
            <w:vAlign w:val="bottom"/>
          </w:tcPr>
          <w:p>
            <w:pPr>
              <w:spacing w:after="0"/>
              <w:rPr>
                <w:sz w:val="14"/>
                <w:szCs w:val="14"/>
                <w:color w:val="auto"/>
              </w:rPr>
            </w:pPr>
          </w:p>
        </w:tc>
        <w:tc>
          <w:tcPr>
            <w:tcW w:w="130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582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b w:val="1"/>
                <w:bCs w:val="1"/>
                <w:color w:val="auto"/>
                <w:w w:val="98"/>
              </w:rPr>
              <w:t>Reconciliation of net loss after tax to net cash flows from operations</w:t>
            </w:r>
          </w:p>
        </w:tc>
        <w:tc>
          <w:tcPr>
            <w:tcW w:w="660" w:type="dxa"/>
            <w:vAlign w:val="bottom"/>
            <w:tcBorders>
              <w:top w:val="single" w:sz="8" w:color="CCEEFF"/>
            </w:tcBorders>
            <w:shd w:val="clear" w:color="auto" w:fill="CCEEFF"/>
          </w:tcPr>
          <w:p>
            <w:pPr>
              <w:spacing w:after="0"/>
              <w:rPr>
                <w:sz w:val="17"/>
                <w:szCs w:val="17"/>
                <w:color w:val="auto"/>
              </w:rPr>
            </w:pPr>
          </w:p>
        </w:tc>
        <w:tc>
          <w:tcPr>
            <w:tcW w:w="1100" w:type="dxa"/>
            <w:vAlign w:val="bottom"/>
            <w:tcBorders>
              <w:top w:val="single" w:sz="8" w:color="auto"/>
            </w:tcBorders>
            <w:shd w:val="clear" w:color="auto" w:fill="CCEEFF"/>
          </w:tcPr>
          <w:p>
            <w:pPr>
              <w:spacing w:after="0"/>
              <w:rPr>
                <w:sz w:val="17"/>
                <w:szCs w:val="17"/>
                <w:color w:val="auto"/>
              </w:rPr>
            </w:pPr>
          </w:p>
        </w:tc>
        <w:tc>
          <w:tcPr>
            <w:tcW w:w="320" w:type="dxa"/>
            <w:vAlign w:val="bottom"/>
            <w:tcBorders>
              <w:top w:val="single" w:sz="8" w:color="CCEEFF"/>
            </w:tcBorders>
            <w:shd w:val="clear" w:color="auto" w:fill="CCEEFF"/>
          </w:tcPr>
          <w:p>
            <w:pPr>
              <w:spacing w:after="0"/>
              <w:rPr>
                <w:sz w:val="17"/>
                <w:szCs w:val="17"/>
                <w:color w:val="auto"/>
              </w:rPr>
            </w:pPr>
          </w:p>
        </w:tc>
        <w:tc>
          <w:tcPr>
            <w:tcW w:w="28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auto"/>
            </w:tcBorders>
            <w:shd w:val="clear" w:color="auto" w:fill="CCEEFF"/>
          </w:tcPr>
          <w:p>
            <w:pPr>
              <w:spacing w:after="0"/>
              <w:rPr>
                <w:sz w:val="17"/>
                <w:szCs w:val="17"/>
                <w:color w:val="auto"/>
              </w:rPr>
            </w:pPr>
          </w:p>
        </w:tc>
        <w:tc>
          <w:tcPr>
            <w:tcW w:w="860" w:type="dxa"/>
            <w:vAlign w:val="bottom"/>
            <w:tcBorders>
              <w:top w:val="single" w:sz="8" w:color="auto"/>
            </w:tcBorders>
            <w:shd w:val="clear" w:color="auto" w:fill="CCEEFF"/>
          </w:tcPr>
          <w:p>
            <w:pPr>
              <w:spacing w:after="0"/>
              <w:rPr>
                <w:sz w:val="17"/>
                <w:szCs w:val="17"/>
                <w:color w:val="auto"/>
              </w:rPr>
            </w:pPr>
          </w:p>
        </w:tc>
        <w:tc>
          <w:tcPr>
            <w:tcW w:w="320" w:type="dxa"/>
            <w:vAlign w:val="bottom"/>
            <w:tcBorders>
              <w:top w:val="single" w:sz="8" w:color="CCEEFF"/>
            </w:tcBorders>
            <w:shd w:val="clear" w:color="auto" w:fill="CCEEFF"/>
          </w:tcPr>
          <w:p>
            <w:pPr>
              <w:spacing w:after="0"/>
              <w:rPr>
                <w:sz w:val="17"/>
                <w:szCs w:val="17"/>
                <w:color w:val="auto"/>
              </w:rPr>
            </w:pPr>
          </w:p>
        </w:tc>
        <w:tc>
          <w:tcPr>
            <w:tcW w:w="280" w:type="dxa"/>
            <w:vAlign w:val="bottom"/>
            <w:tcBorders>
              <w:top w:val="single" w:sz="8" w:color="CCEEFF"/>
            </w:tcBorders>
            <w:shd w:val="clear" w:color="auto" w:fill="CCEEFF"/>
          </w:tcPr>
          <w:p>
            <w:pPr>
              <w:spacing w:after="0"/>
              <w:rPr>
                <w:sz w:val="17"/>
                <w:szCs w:val="17"/>
                <w:color w:val="auto"/>
              </w:rPr>
            </w:pPr>
          </w:p>
        </w:tc>
        <w:tc>
          <w:tcPr>
            <w:tcW w:w="102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820" w:type="dxa"/>
            <w:vAlign w:val="bottom"/>
          </w:tcPr>
          <w:p>
            <w:pPr>
              <w:spacing w:after="0"/>
              <w:rPr>
                <w:sz w:val="20"/>
                <w:szCs w:val="20"/>
                <w:color w:val="auto"/>
              </w:rPr>
            </w:pPr>
            <w:r>
              <w:rPr>
                <w:rFonts w:ascii="Arial" w:cs="Arial" w:eastAsia="Arial" w:hAnsi="Arial"/>
                <w:sz w:val="18"/>
                <w:szCs w:val="18"/>
                <w:color w:val="auto"/>
              </w:rPr>
              <w:t>Loss from ordinary activities after tax</w:t>
            </w:r>
          </w:p>
        </w:tc>
        <w:tc>
          <w:tcPr>
            <w:tcW w:w="2080" w:type="dxa"/>
            <w:vAlign w:val="bottom"/>
            <w:gridSpan w:val="3"/>
          </w:tcPr>
          <w:p>
            <w:pPr>
              <w:jc w:val="right"/>
              <w:ind w:right="260"/>
              <w:spacing w:after="0"/>
              <w:rPr>
                <w:sz w:val="20"/>
                <w:szCs w:val="20"/>
                <w:color w:val="auto"/>
              </w:rPr>
            </w:pPr>
            <w:r>
              <w:rPr>
                <w:rFonts w:ascii="Arial" w:cs="Arial" w:eastAsia="Arial" w:hAnsi="Arial"/>
                <w:sz w:val="18"/>
                <w:szCs w:val="18"/>
                <w:color w:val="auto"/>
              </w:rPr>
              <w:t>A$(16,519,155)</w:t>
            </w:r>
          </w:p>
        </w:tc>
        <w:tc>
          <w:tcPr>
            <w:tcW w:w="520" w:type="dxa"/>
            <w:vAlign w:val="bottom"/>
            <w:gridSpan w:val="2"/>
          </w:tcPr>
          <w:p>
            <w:pPr>
              <w:ind w:left="280"/>
              <w:spacing w:after="0"/>
              <w:rPr>
                <w:sz w:val="20"/>
                <w:szCs w:val="20"/>
                <w:color w:val="auto"/>
              </w:rPr>
            </w:pPr>
            <w:r>
              <w:rPr>
                <w:rFonts w:ascii="Arial" w:cs="Arial" w:eastAsia="Arial" w:hAnsi="Arial"/>
                <w:sz w:val="18"/>
                <w:szCs w:val="18"/>
                <w:color w:val="auto"/>
                <w:w w:val="99"/>
              </w:rPr>
              <w:t>A$</w:t>
            </w:r>
          </w:p>
        </w:tc>
        <w:tc>
          <w:tcPr>
            <w:tcW w:w="1180" w:type="dxa"/>
            <w:vAlign w:val="bottom"/>
            <w:gridSpan w:val="2"/>
          </w:tcPr>
          <w:p>
            <w:pPr>
              <w:jc w:val="right"/>
              <w:ind w:right="260"/>
              <w:spacing w:after="0"/>
              <w:rPr>
                <w:sz w:val="20"/>
                <w:szCs w:val="20"/>
                <w:color w:val="auto"/>
              </w:rPr>
            </w:pPr>
            <w:r>
              <w:rPr>
                <w:rFonts w:ascii="Arial" w:cs="Arial" w:eastAsia="Arial" w:hAnsi="Arial"/>
                <w:sz w:val="18"/>
                <w:szCs w:val="18"/>
                <w:color w:val="auto"/>
                <w:w w:val="88"/>
              </w:rPr>
              <w:t>(11,511,024)</w:t>
            </w:r>
          </w:p>
        </w:tc>
        <w:tc>
          <w:tcPr>
            <w:tcW w:w="1420" w:type="dxa"/>
            <w:vAlign w:val="bottom"/>
            <w:gridSpan w:val="3"/>
          </w:tcPr>
          <w:p>
            <w:pPr>
              <w:jc w:val="right"/>
              <w:ind w:right="60"/>
              <w:spacing w:after="0"/>
              <w:rPr>
                <w:sz w:val="20"/>
                <w:szCs w:val="20"/>
                <w:color w:val="auto"/>
              </w:rPr>
            </w:pPr>
            <w:r>
              <w:rPr>
                <w:rFonts w:ascii="Arial" w:cs="Arial" w:eastAsia="Arial" w:hAnsi="Arial"/>
                <w:sz w:val="18"/>
                <w:szCs w:val="18"/>
                <w:color w:val="auto"/>
              </w:rPr>
              <w:t>A$(7,778,015)</w:t>
            </w:r>
          </w:p>
        </w:tc>
        <w:tc>
          <w:tcPr>
            <w:tcW w:w="0" w:type="dxa"/>
            <w:vAlign w:val="bottom"/>
          </w:tcPr>
          <w:p>
            <w:pPr>
              <w:spacing w:after="0"/>
              <w:rPr>
                <w:sz w:val="1"/>
                <w:szCs w:val="1"/>
                <w:color w:val="auto"/>
              </w:rPr>
            </w:pPr>
          </w:p>
        </w:tc>
      </w:tr>
      <w:tr>
        <w:trPr>
          <w:trHeight w:val="94"/>
        </w:trPr>
        <w:tc>
          <w:tcPr>
            <w:tcW w:w="20" w:type="dxa"/>
            <w:vAlign w:val="bottom"/>
            <w:vMerge w:val="restart"/>
          </w:tcPr>
          <w:p>
            <w:pPr>
              <w:spacing w:after="0"/>
              <w:rPr>
                <w:sz w:val="8"/>
                <w:szCs w:val="8"/>
                <w:color w:val="auto"/>
              </w:rPr>
            </w:pPr>
          </w:p>
        </w:tc>
        <w:tc>
          <w:tcPr>
            <w:tcW w:w="5820" w:type="dxa"/>
            <w:vAlign w:val="bottom"/>
          </w:tcPr>
          <w:p>
            <w:pPr>
              <w:spacing w:after="0"/>
              <w:rPr>
                <w:sz w:val="8"/>
                <w:szCs w:val="8"/>
                <w:color w:val="auto"/>
              </w:rPr>
            </w:pPr>
          </w:p>
        </w:tc>
        <w:tc>
          <w:tcPr>
            <w:tcW w:w="660" w:type="dxa"/>
            <w:vAlign w:val="bottom"/>
          </w:tcPr>
          <w:p>
            <w:pPr>
              <w:spacing w:after="0"/>
              <w:rPr>
                <w:sz w:val="8"/>
                <w:szCs w:val="8"/>
                <w:color w:val="auto"/>
              </w:rPr>
            </w:pPr>
          </w:p>
        </w:tc>
        <w:tc>
          <w:tcPr>
            <w:tcW w:w="1100" w:type="dxa"/>
            <w:vAlign w:val="bottom"/>
          </w:tcPr>
          <w:p>
            <w:pPr>
              <w:spacing w:after="0"/>
              <w:rPr>
                <w:sz w:val="8"/>
                <w:szCs w:val="8"/>
                <w:color w:val="auto"/>
              </w:rPr>
            </w:pPr>
          </w:p>
        </w:tc>
        <w:tc>
          <w:tcPr>
            <w:tcW w:w="320" w:type="dxa"/>
            <w:vAlign w:val="bottom"/>
          </w:tcPr>
          <w:p>
            <w:pPr>
              <w:spacing w:after="0"/>
              <w:rPr>
                <w:sz w:val="8"/>
                <w:szCs w:val="8"/>
                <w:color w:val="auto"/>
              </w:rPr>
            </w:pPr>
          </w:p>
        </w:tc>
        <w:tc>
          <w:tcPr>
            <w:tcW w:w="280" w:type="dxa"/>
            <w:vAlign w:val="bottom"/>
          </w:tcPr>
          <w:p>
            <w:pPr>
              <w:spacing w:after="0"/>
              <w:rPr>
                <w:sz w:val="8"/>
                <w:szCs w:val="8"/>
                <w:color w:val="auto"/>
              </w:rPr>
            </w:pPr>
          </w:p>
        </w:tc>
        <w:tc>
          <w:tcPr>
            <w:tcW w:w="240" w:type="dxa"/>
            <w:vAlign w:val="bottom"/>
          </w:tcPr>
          <w:p>
            <w:pPr>
              <w:spacing w:after="0"/>
              <w:rPr>
                <w:sz w:val="8"/>
                <w:szCs w:val="8"/>
                <w:color w:val="auto"/>
              </w:rPr>
            </w:pPr>
          </w:p>
        </w:tc>
        <w:tc>
          <w:tcPr>
            <w:tcW w:w="860" w:type="dxa"/>
            <w:vAlign w:val="bottom"/>
          </w:tcPr>
          <w:p>
            <w:pPr>
              <w:spacing w:after="0"/>
              <w:rPr>
                <w:sz w:val="8"/>
                <w:szCs w:val="8"/>
                <w:color w:val="auto"/>
              </w:rPr>
            </w:pPr>
          </w:p>
        </w:tc>
        <w:tc>
          <w:tcPr>
            <w:tcW w:w="320" w:type="dxa"/>
            <w:vAlign w:val="bottom"/>
          </w:tcPr>
          <w:p>
            <w:pPr>
              <w:spacing w:after="0"/>
              <w:rPr>
                <w:sz w:val="8"/>
                <w:szCs w:val="8"/>
                <w:color w:val="auto"/>
              </w:rPr>
            </w:pPr>
          </w:p>
        </w:tc>
        <w:tc>
          <w:tcPr>
            <w:tcW w:w="280" w:type="dxa"/>
            <w:vAlign w:val="bottom"/>
          </w:tcPr>
          <w:p>
            <w:pPr>
              <w:spacing w:after="0"/>
              <w:rPr>
                <w:sz w:val="8"/>
                <w:szCs w:val="8"/>
                <w:color w:val="auto"/>
              </w:rPr>
            </w:pPr>
          </w:p>
        </w:tc>
        <w:tc>
          <w:tcPr>
            <w:tcW w:w="1020" w:type="dxa"/>
            <w:vAlign w:val="bottom"/>
          </w:tcPr>
          <w:p>
            <w:pPr>
              <w:spacing w:after="0"/>
              <w:rPr>
                <w:sz w:val="8"/>
                <w:szCs w:val="8"/>
                <w:color w:val="auto"/>
              </w:rPr>
            </w:pPr>
          </w:p>
        </w:tc>
        <w:tc>
          <w:tcPr>
            <w:tcW w:w="1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820" w:type="dxa"/>
            <w:vAlign w:val="bottom"/>
            <w:shd w:val="clear" w:color="auto" w:fill="CCEEFF"/>
          </w:tcPr>
          <w:p>
            <w:pPr>
              <w:spacing w:after="0"/>
              <w:rPr>
                <w:sz w:val="20"/>
                <w:szCs w:val="20"/>
                <w:color w:val="auto"/>
              </w:rPr>
            </w:pPr>
            <w:r>
              <w:rPr>
                <w:rFonts w:ascii="Arial" w:cs="Arial" w:eastAsia="Arial" w:hAnsi="Arial"/>
                <w:sz w:val="18"/>
                <w:szCs w:val="18"/>
                <w:b w:val="1"/>
                <w:bCs w:val="1"/>
                <w:i w:val="1"/>
                <w:iCs w:val="1"/>
                <w:color w:val="auto"/>
              </w:rPr>
              <w:t>Adjustments for non-cash items:</w:t>
            </w:r>
          </w:p>
        </w:tc>
        <w:tc>
          <w:tcPr>
            <w:tcW w:w="66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20" w:type="dxa"/>
            <w:vAlign w:val="bottom"/>
          </w:tcPr>
          <w:p>
            <w:pPr>
              <w:spacing w:after="0"/>
              <w:rPr>
                <w:sz w:val="20"/>
                <w:szCs w:val="20"/>
                <w:color w:val="auto"/>
              </w:rPr>
            </w:pPr>
            <w:r>
              <w:rPr>
                <w:rFonts w:ascii="Arial" w:cs="Arial" w:eastAsia="Arial" w:hAnsi="Arial"/>
                <w:sz w:val="18"/>
                <w:szCs w:val="18"/>
                <w:color w:val="auto"/>
              </w:rPr>
              <w:t>Depreciation</w:t>
            </w:r>
          </w:p>
        </w:tc>
        <w:tc>
          <w:tcPr>
            <w:tcW w:w="1760" w:type="dxa"/>
            <w:vAlign w:val="bottom"/>
            <w:gridSpan w:val="2"/>
          </w:tcPr>
          <w:p>
            <w:pPr>
              <w:jc w:val="right"/>
              <w:spacing w:after="0"/>
              <w:rPr>
                <w:sz w:val="20"/>
                <w:szCs w:val="20"/>
                <w:color w:val="auto"/>
              </w:rPr>
            </w:pPr>
            <w:r>
              <w:rPr>
                <w:rFonts w:ascii="Arial" w:cs="Arial" w:eastAsia="Arial" w:hAnsi="Arial"/>
                <w:sz w:val="18"/>
                <w:szCs w:val="18"/>
                <w:color w:val="auto"/>
              </w:rPr>
              <w:t>143,546</w:t>
            </w:r>
          </w:p>
        </w:tc>
        <w:tc>
          <w:tcPr>
            <w:tcW w:w="3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139,703</w:t>
            </w:r>
          </w:p>
        </w:tc>
        <w:tc>
          <w:tcPr>
            <w:tcW w:w="320" w:type="dxa"/>
            <w:vAlign w:val="bottom"/>
          </w:tcPr>
          <w:p>
            <w:pPr>
              <w:spacing w:after="0"/>
              <w:rPr>
                <w:sz w:val="18"/>
                <w:szCs w:val="18"/>
                <w:color w:val="auto"/>
              </w:rPr>
            </w:pPr>
          </w:p>
        </w:tc>
        <w:tc>
          <w:tcPr>
            <w:tcW w:w="1300" w:type="dxa"/>
            <w:vAlign w:val="bottom"/>
            <w:gridSpan w:val="2"/>
          </w:tcPr>
          <w:p>
            <w:pPr>
              <w:jc w:val="right"/>
              <w:spacing w:after="0"/>
              <w:rPr>
                <w:sz w:val="20"/>
                <w:szCs w:val="20"/>
                <w:color w:val="auto"/>
              </w:rPr>
            </w:pPr>
            <w:r>
              <w:rPr>
                <w:rFonts w:ascii="Arial" w:cs="Arial" w:eastAsia="Arial" w:hAnsi="Arial"/>
                <w:sz w:val="18"/>
                <w:szCs w:val="18"/>
                <w:color w:val="auto"/>
              </w:rPr>
              <w:t>83,724</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20" w:type="dxa"/>
            <w:vAlign w:val="bottom"/>
            <w:shd w:val="clear" w:color="auto" w:fill="CCEEFF"/>
          </w:tcPr>
          <w:p>
            <w:pPr>
              <w:spacing w:after="0"/>
              <w:rPr>
                <w:sz w:val="20"/>
                <w:szCs w:val="20"/>
                <w:color w:val="auto"/>
              </w:rPr>
            </w:pPr>
            <w:r>
              <w:rPr>
                <w:rFonts w:ascii="Arial" w:cs="Arial" w:eastAsia="Arial" w:hAnsi="Arial"/>
                <w:sz w:val="18"/>
                <w:szCs w:val="18"/>
                <w:color w:val="auto"/>
              </w:rPr>
              <w:t>Share options expensed</w:t>
            </w:r>
          </w:p>
        </w:tc>
        <w:tc>
          <w:tcPr>
            <w:tcW w:w="1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1,835,157</w:t>
            </w:r>
          </w:p>
        </w:tc>
        <w:tc>
          <w:tcPr>
            <w:tcW w:w="3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1,587,243</w:t>
            </w:r>
          </w:p>
        </w:tc>
        <w:tc>
          <w:tcPr>
            <w:tcW w:w="32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956,658</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20" w:type="dxa"/>
            <w:vAlign w:val="bottom"/>
          </w:tcPr>
          <w:p>
            <w:pPr>
              <w:spacing w:after="0"/>
              <w:rPr>
                <w:sz w:val="20"/>
                <w:szCs w:val="20"/>
                <w:color w:val="auto"/>
              </w:rPr>
            </w:pPr>
            <w:r>
              <w:rPr>
                <w:rFonts w:ascii="Arial" w:cs="Arial" w:eastAsia="Arial" w:hAnsi="Arial"/>
                <w:sz w:val="18"/>
                <w:szCs w:val="18"/>
                <w:color w:val="auto"/>
              </w:rPr>
              <w:t>Share options cancelled classified as financing activities</w:t>
            </w:r>
          </w:p>
        </w:tc>
        <w:tc>
          <w:tcPr>
            <w:tcW w:w="1760" w:type="dxa"/>
            <w:vAlign w:val="bottom"/>
            <w:gridSpan w:val="2"/>
          </w:tcPr>
          <w:p>
            <w:pPr>
              <w:jc w:val="right"/>
              <w:spacing w:after="0"/>
              <w:rPr>
                <w:sz w:val="20"/>
                <w:szCs w:val="20"/>
                <w:color w:val="auto"/>
              </w:rPr>
            </w:pPr>
            <w:r>
              <w:rPr>
                <w:rFonts w:ascii="Arial" w:cs="Arial" w:eastAsia="Arial" w:hAnsi="Arial"/>
                <w:sz w:val="18"/>
                <w:szCs w:val="18"/>
                <w:color w:val="auto"/>
              </w:rPr>
              <w:t>62,681</w:t>
            </w:r>
          </w:p>
        </w:tc>
        <w:tc>
          <w:tcPr>
            <w:tcW w:w="3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20" w:type="dxa"/>
            <w:vAlign w:val="bottom"/>
            <w:shd w:val="clear" w:color="auto" w:fill="CCEEFF"/>
          </w:tcPr>
          <w:p>
            <w:pPr>
              <w:spacing w:after="0"/>
              <w:rPr>
                <w:sz w:val="20"/>
                <w:szCs w:val="20"/>
                <w:color w:val="auto"/>
              </w:rPr>
            </w:pPr>
            <w:r>
              <w:rPr>
                <w:rFonts w:ascii="Arial" w:cs="Arial" w:eastAsia="Arial" w:hAnsi="Arial"/>
                <w:sz w:val="18"/>
                <w:szCs w:val="18"/>
                <w:color w:val="auto"/>
              </w:rPr>
              <w:t>R&amp;D claim accrual</w:t>
            </w:r>
          </w:p>
        </w:tc>
        <w:tc>
          <w:tcPr>
            <w:tcW w:w="208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(1,385,414)</w:t>
            </w:r>
          </w:p>
        </w:tc>
        <w:tc>
          <w:tcPr>
            <w:tcW w:w="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20" w:type="dxa"/>
            <w:vAlign w:val="bottom"/>
          </w:tcPr>
          <w:p>
            <w:pPr>
              <w:spacing w:after="0"/>
              <w:rPr>
                <w:sz w:val="20"/>
                <w:szCs w:val="20"/>
                <w:color w:val="auto"/>
              </w:rPr>
            </w:pPr>
            <w:r>
              <w:rPr>
                <w:rFonts w:ascii="Arial" w:cs="Arial" w:eastAsia="Arial" w:hAnsi="Arial"/>
                <w:sz w:val="18"/>
                <w:szCs w:val="18"/>
                <w:color w:val="auto"/>
              </w:rPr>
              <w:t>Foreign exchange differences</w:t>
            </w:r>
          </w:p>
        </w:tc>
        <w:tc>
          <w:tcPr>
            <w:tcW w:w="1760" w:type="dxa"/>
            <w:vAlign w:val="bottom"/>
            <w:gridSpan w:val="2"/>
          </w:tcPr>
          <w:p>
            <w:pPr>
              <w:jc w:val="right"/>
              <w:spacing w:after="0"/>
              <w:rPr>
                <w:sz w:val="20"/>
                <w:szCs w:val="20"/>
                <w:color w:val="auto"/>
              </w:rPr>
            </w:pPr>
            <w:r>
              <w:rPr>
                <w:rFonts w:ascii="Arial" w:cs="Arial" w:eastAsia="Arial" w:hAnsi="Arial"/>
                <w:sz w:val="18"/>
                <w:szCs w:val="18"/>
                <w:color w:val="auto"/>
              </w:rPr>
              <w:t>592,385</w:t>
            </w:r>
          </w:p>
        </w:tc>
        <w:tc>
          <w:tcPr>
            <w:tcW w:w="3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80" w:type="dxa"/>
            <w:vAlign w:val="bottom"/>
            <w:gridSpan w:val="2"/>
          </w:tcPr>
          <w:p>
            <w:pPr>
              <w:jc w:val="right"/>
              <w:ind w:right="42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20" w:type="dxa"/>
            <w:vAlign w:val="bottom"/>
            <w:shd w:val="clear" w:color="auto" w:fill="CCEEFF"/>
          </w:tcPr>
          <w:p>
            <w:pPr>
              <w:spacing w:after="0"/>
              <w:rPr>
                <w:sz w:val="20"/>
                <w:szCs w:val="20"/>
                <w:color w:val="auto"/>
              </w:rPr>
            </w:pPr>
            <w:r>
              <w:rPr>
                <w:rFonts w:ascii="Arial" w:cs="Arial" w:eastAsia="Arial" w:hAnsi="Arial"/>
                <w:sz w:val="18"/>
                <w:szCs w:val="18"/>
                <w:color w:val="auto"/>
              </w:rPr>
              <w:t>Investment</w:t>
            </w:r>
          </w:p>
        </w:tc>
        <w:tc>
          <w:tcPr>
            <w:tcW w:w="66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w:t>
            </w:r>
          </w:p>
        </w:tc>
        <w:tc>
          <w:tcPr>
            <w:tcW w:w="142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(453,892)</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820" w:type="dxa"/>
            <w:vAlign w:val="bottom"/>
          </w:tcPr>
          <w:p>
            <w:pPr>
              <w:spacing w:after="0"/>
              <w:rPr>
                <w:sz w:val="20"/>
                <w:szCs w:val="20"/>
                <w:color w:val="auto"/>
              </w:rPr>
            </w:pPr>
            <w:r>
              <w:rPr>
                <w:rFonts w:ascii="Arial" w:cs="Arial" w:eastAsia="Arial" w:hAnsi="Arial"/>
                <w:sz w:val="18"/>
                <w:szCs w:val="18"/>
                <w:color w:val="auto"/>
              </w:rPr>
              <w:t>Loss on disposal of PPE</w:t>
            </w:r>
          </w:p>
        </w:tc>
        <w:tc>
          <w:tcPr>
            <w:tcW w:w="660" w:type="dxa"/>
            <w:vAlign w:val="bottom"/>
          </w:tcPr>
          <w:p>
            <w:pPr>
              <w:spacing w:after="0"/>
              <w:rPr>
                <w:sz w:val="20"/>
                <w:szCs w:val="20"/>
                <w:color w:val="auto"/>
              </w:rPr>
            </w:pPr>
          </w:p>
        </w:tc>
        <w:tc>
          <w:tcPr>
            <w:tcW w:w="1420" w:type="dxa"/>
            <w:vAlign w:val="bottom"/>
            <w:gridSpan w:val="2"/>
          </w:tcPr>
          <w:p>
            <w:pPr>
              <w:jc w:val="right"/>
              <w:ind w:right="42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80" w:type="dxa"/>
            <w:vAlign w:val="bottom"/>
            <w:gridSpan w:val="2"/>
          </w:tcPr>
          <w:p>
            <w:pPr>
              <w:jc w:val="right"/>
              <w:ind w:right="420"/>
              <w:spacing w:after="0"/>
              <w:rPr>
                <w:sz w:val="20"/>
                <w:szCs w:val="20"/>
                <w:color w:val="auto"/>
              </w:rPr>
            </w:pPr>
            <w:r>
              <w:rPr>
                <w:rFonts w:ascii="Arial" w:cs="Arial" w:eastAsia="Arial" w:hAnsi="Arial"/>
                <w:sz w:val="18"/>
                <w:szCs w:val="18"/>
                <w:color w:val="auto"/>
              </w:rPr>
              <w:t>—</w:t>
            </w:r>
          </w:p>
        </w:tc>
        <w:tc>
          <w:tcPr>
            <w:tcW w:w="1300" w:type="dxa"/>
            <w:vAlign w:val="bottom"/>
            <w:gridSpan w:val="2"/>
          </w:tcPr>
          <w:p>
            <w:pPr>
              <w:jc w:val="right"/>
              <w:spacing w:after="0"/>
              <w:rPr>
                <w:sz w:val="20"/>
                <w:szCs w:val="20"/>
                <w:color w:val="auto"/>
              </w:rPr>
            </w:pPr>
            <w:r>
              <w:rPr>
                <w:rFonts w:ascii="Arial" w:cs="Arial" w:eastAsia="Arial" w:hAnsi="Arial"/>
                <w:sz w:val="18"/>
                <w:szCs w:val="18"/>
                <w:color w:val="auto"/>
              </w:rPr>
              <w:t>3,124</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94"/>
        </w:trPr>
        <w:tc>
          <w:tcPr>
            <w:tcW w:w="20" w:type="dxa"/>
            <w:vAlign w:val="bottom"/>
            <w:vMerge w:val="restart"/>
          </w:tcPr>
          <w:p>
            <w:pPr>
              <w:spacing w:after="0"/>
              <w:rPr>
                <w:sz w:val="8"/>
                <w:szCs w:val="8"/>
                <w:color w:val="auto"/>
              </w:rPr>
            </w:pPr>
          </w:p>
        </w:tc>
        <w:tc>
          <w:tcPr>
            <w:tcW w:w="5820" w:type="dxa"/>
            <w:vAlign w:val="bottom"/>
          </w:tcPr>
          <w:p>
            <w:pPr>
              <w:spacing w:after="0"/>
              <w:rPr>
                <w:sz w:val="8"/>
                <w:szCs w:val="8"/>
                <w:color w:val="auto"/>
              </w:rPr>
            </w:pPr>
          </w:p>
        </w:tc>
        <w:tc>
          <w:tcPr>
            <w:tcW w:w="660" w:type="dxa"/>
            <w:vAlign w:val="bottom"/>
          </w:tcPr>
          <w:p>
            <w:pPr>
              <w:spacing w:after="0"/>
              <w:rPr>
                <w:sz w:val="8"/>
                <w:szCs w:val="8"/>
                <w:color w:val="auto"/>
              </w:rPr>
            </w:pPr>
          </w:p>
        </w:tc>
        <w:tc>
          <w:tcPr>
            <w:tcW w:w="1100" w:type="dxa"/>
            <w:vAlign w:val="bottom"/>
          </w:tcPr>
          <w:p>
            <w:pPr>
              <w:spacing w:after="0"/>
              <w:rPr>
                <w:sz w:val="8"/>
                <w:szCs w:val="8"/>
                <w:color w:val="auto"/>
              </w:rPr>
            </w:pPr>
          </w:p>
        </w:tc>
        <w:tc>
          <w:tcPr>
            <w:tcW w:w="320" w:type="dxa"/>
            <w:vAlign w:val="bottom"/>
          </w:tcPr>
          <w:p>
            <w:pPr>
              <w:spacing w:after="0"/>
              <w:rPr>
                <w:sz w:val="8"/>
                <w:szCs w:val="8"/>
                <w:color w:val="auto"/>
              </w:rPr>
            </w:pPr>
          </w:p>
        </w:tc>
        <w:tc>
          <w:tcPr>
            <w:tcW w:w="280" w:type="dxa"/>
            <w:vAlign w:val="bottom"/>
          </w:tcPr>
          <w:p>
            <w:pPr>
              <w:spacing w:after="0"/>
              <w:rPr>
                <w:sz w:val="8"/>
                <w:szCs w:val="8"/>
                <w:color w:val="auto"/>
              </w:rPr>
            </w:pPr>
          </w:p>
        </w:tc>
        <w:tc>
          <w:tcPr>
            <w:tcW w:w="240" w:type="dxa"/>
            <w:vAlign w:val="bottom"/>
          </w:tcPr>
          <w:p>
            <w:pPr>
              <w:spacing w:after="0"/>
              <w:rPr>
                <w:sz w:val="8"/>
                <w:szCs w:val="8"/>
                <w:color w:val="auto"/>
              </w:rPr>
            </w:pPr>
          </w:p>
        </w:tc>
        <w:tc>
          <w:tcPr>
            <w:tcW w:w="860" w:type="dxa"/>
            <w:vAlign w:val="bottom"/>
          </w:tcPr>
          <w:p>
            <w:pPr>
              <w:spacing w:after="0"/>
              <w:rPr>
                <w:sz w:val="8"/>
                <w:szCs w:val="8"/>
                <w:color w:val="auto"/>
              </w:rPr>
            </w:pPr>
          </w:p>
        </w:tc>
        <w:tc>
          <w:tcPr>
            <w:tcW w:w="320" w:type="dxa"/>
            <w:vAlign w:val="bottom"/>
          </w:tcPr>
          <w:p>
            <w:pPr>
              <w:spacing w:after="0"/>
              <w:rPr>
                <w:sz w:val="8"/>
                <w:szCs w:val="8"/>
                <w:color w:val="auto"/>
              </w:rPr>
            </w:pPr>
          </w:p>
        </w:tc>
        <w:tc>
          <w:tcPr>
            <w:tcW w:w="280" w:type="dxa"/>
            <w:vAlign w:val="bottom"/>
          </w:tcPr>
          <w:p>
            <w:pPr>
              <w:spacing w:after="0"/>
              <w:rPr>
                <w:sz w:val="8"/>
                <w:szCs w:val="8"/>
                <w:color w:val="auto"/>
              </w:rPr>
            </w:pPr>
          </w:p>
        </w:tc>
        <w:tc>
          <w:tcPr>
            <w:tcW w:w="1020" w:type="dxa"/>
            <w:vAlign w:val="bottom"/>
          </w:tcPr>
          <w:p>
            <w:pPr>
              <w:spacing w:after="0"/>
              <w:rPr>
                <w:sz w:val="8"/>
                <w:szCs w:val="8"/>
                <w:color w:val="auto"/>
              </w:rPr>
            </w:pPr>
          </w:p>
        </w:tc>
        <w:tc>
          <w:tcPr>
            <w:tcW w:w="1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820" w:type="dxa"/>
            <w:vAlign w:val="bottom"/>
            <w:shd w:val="clear" w:color="auto" w:fill="CCEEFF"/>
          </w:tcPr>
          <w:p>
            <w:pPr>
              <w:spacing w:after="0"/>
              <w:rPr>
                <w:sz w:val="20"/>
                <w:szCs w:val="20"/>
                <w:color w:val="auto"/>
              </w:rPr>
            </w:pPr>
            <w:r>
              <w:rPr>
                <w:rFonts w:ascii="Arial" w:cs="Arial" w:eastAsia="Arial" w:hAnsi="Arial"/>
                <w:sz w:val="18"/>
                <w:szCs w:val="18"/>
                <w:b w:val="1"/>
                <w:bCs w:val="1"/>
                <w:i w:val="1"/>
                <w:iCs w:val="1"/>
                <w:color w:val="auto"/>
              </w:rPr>
              <w:t>Changes in assets and liabilities:</w:t>
            </w:r>
          </w:p>
        </w:tc>
        <w:tc>
          <w:tcPr>
            <w:tcW w:w="66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20" w:type="dxa"/>
            <w:vAlign w:val="bottom"/>
          </w:tcPr>
          <w:p>
            <w:pPr>
              <w:spacing w:after="0"/>
              <w:rPr>
                <w:sz w:val="20"/>
                <w:szCs w:val="20"/>
                <w:color w:val="auto"/>
              </w:rPr>
            </w:pPr>
            <w:r>
              <w:rPr>
                <w:rFonts w:ascii="Arial" w:cs="Arial" w:eastAsia="Arial" w:hAnsi="Arial"/>
                <w:sz w:val="18"/>
                <w:szCs w:val="18"/>
                <w:color w:val="auto"/>
              </w:rPr>
              <w:t>(Increase)/decrease in inventories</w:t>
            </w:r>
          </w:p>
        </w:tc>
        <w:tc>
          <w:tcPr>
            <w:tcW w:w="2080" w:type="dxa"/>
            <w:vAlign w:val="bottom"/>
            <w:gridSpan w:val="3"/>
          </w:tcPr>
          <w:p>
            <w:pPr>
              <w:jc w:val="right"/>
              <w:ind w:right="260"/>
              <w:spacing w:after="0"/>
              <w:rPr>
                <w:sz w:val="20"/>
                <w:szCs w:val="20"/>
                <w:color w:val="auto"/>
              </w:rPr>
            </w:pPr>
            <w:r>
              <w:rPr>
                <w:rFonts w:ascii="Arial" w:cs="Arial" w:eastAsia="Arial" w:hAnsi="Arial"/>
                <w:sz w:val="18"/>
                <w:szCs w:val="18"/>
                <w:color w:val="auto"/>
              </w:rPr>
              <w:t>(118,336)</w:t>
            </w: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333,132</w:t>
            </w:r>
          </w:p>
        </w:tc>
        <w:tc>
          <w:tcPr>
            <w:tcW w:w="320" w:type="dxa"/>
            <w:vAlign w:val="bottom"/>
          </w:tcPr>
          <w:p>
            <w:pPr>
              <w:spacing w:after="0"/>
              <w:rPr>
                <w:sz w:val="18"/>
                <w:szCs w:val="18"/>
                <w:color w:val="auto"/>
              </w:rPr>
            </w:pPr>
          </w:p>
        </w:tc>
        <w:tc>
          <w:tcPr>
            <w:tcW w:w="1420" w:type="dxa"/>
            <w:vAlign w:val="bottom"/>
            <w:gridSpan w:val="3"/>
          </w:tcPr>
          <w:p>
            <w:pPr>
              <w:jc w:val="right"/>
              <w:ind w:right="60"/>
              <w:spacing w:after="0"/>
              <w:rPr>
                <w:sz w:val="20"/>
                <w:szCs w:val="20"/>
                <w:color w:val="auto"/>
              </w:rPr>
            </w:pPr>
            <w:r>
              <w:rPr>
                <w:rFonts w:ascii="Arial" w:cs="Arial" w:eastAsia="Arial" w:hAnsi="Arial"/>
                <w:sz w:val="18"/>
                <w:szCs w:val="18"/>
                <w:color w:val="auto"/>
              </w:rPr>
              <w:t>(776,105)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20" w:type="dxa"/>
            <w:vAlign w:val="bottom"/>
            <w:shd w:val="clear" w:color="auto" w:fill="CCEEFF"/>
          </w:tcPr>
          <w:p>
            <w:pPr>
              <w:spacing w:after="0"/>
              <w:rPr>
                <w:sz w:val="20"/>
                <w:szCs w:val="20"/>
                <w:color w:val="auto"/>
              </w:rPr>
            </w:pPr>
            <w:r>
              <w:rPr>
                <w:rFonts w:ascii="Arial" w:cs="Arial" w:eastAsia="Arial" w:hAnsi="Arial"/>
                <w:sz w:val="18"/>
                <w:szCs w:val="18"/>
                <w:color w:val="auto"/>
              </w:rPr>
              <w:t>Increase in trade and other receivables</w:t>
            </w:r>
          </w:p>
        </w:tc>
        <w:tc>
          <w:tcPr>
            <w:tcW w:w="208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(1,980,566)</w:t>
            </w:r>
          </w:p>
        </w:tc>
        <w:tc>
          <w:tcPr>
            <w:tcW w:w="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(49,040)</w:t>
            </w:r>
          </w:p>
        </w:tc>
        <w:tc>
          <w:tcPr>
            <w:tcW w:w="142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(516,052)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20" w:type="dxa"/>
            <w:vAlign w:val="bottom"/>
          </w:tcPr>
          <w:p>
            <w:pPr>
              <w:spacing w:after="0"/>
              <w:rPr>
                <w:sz w:val="20"/>
                <w:szCs w:val="20"/>
                <w:color w:val="auto"/>
              </w:rPr>
            </w:pPr>
            <w:r>
              <w:rPr>
                <w:rFonts w:ascii="Arial" w:cs="Arial" w:eastAsia="Arial" w:hAnsi="Arial"/>
                <w:sz w:val="18"/>
                <w:szCs w:val="18"/>
                <w:color w:val="auto"/>
              </w:rPr>
              <w:t>(Increase) / decrease in prepayments</w:t>
            </w:r>
          </w:p>
        </w:tc>
        <w:tc>
          <w:tcPr>
            <w:tcW w:w="2080" w:type="dxa"/>
            <w:vAlign w:val="bottom"/>
            <w:gridSpan w:val="3"/>
          </w:tcPr>
          <w:p>
            <w:pPr>
              <w:jc w:val="right"/>
              <w:ind w:right="260"/>
              <w:spacing w:after="0"/>
              <w:rPr>
                <w:sz w:val="20"/>
                <w:szCs w:val="20"/>
                <w:color w:val="auto"/>
              </w:rPr>
            </w:pPr>
            <w:r>
              <w:rPr>
                <w:rFonts w:ascii="Arial" w:cs="Arial" w:eastAsia="Arial" w:hAnsi="Arial"/>
                <w:sz w:val="18"/>
                <w:szCs w:val="18"/>
                <w:color w:val="auto"/>
              </w:rPr>
              <w:t>(473,690)</w:t>
            </w: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80" w:type="dxa"/>
            <w:vAlign w:val="bottom"/>
            <w:gridSpan w:val="2"/>
          </w:tcPr>
          <w:p>
            <w:pPr>
              <w:jc w:val="right"/>
              <w:ind w:right="260"/>
              <w:spacing w:after="0"/>
              <w:rPr>
                <w:sz w:val="20"/>
                <w:szCs w:val="20"/>
                <w:color w:val="auto"/>
              </w:rPr>
            </w:pPr>
            <w:r>
              <w:rPr>
                <w:rFonts w:ascii="Arial" w:cs="Arial" w:eastAsia="Arial" w:hAnsi="Arial"/>
                <w:sz w:val="18"/>
                <w:szCs w:val="18"/>
                <w:color w:val="auto"/>
              </w:rPr>
              <w:t>(156,756)</w:t>
            </w:r>
          </w:p>
        </w:tc>
        <w:tc>
          <w:tcPr>
            <w:tcW w:w="1300" w:type="dxa"/>
            <w:vAlign w:val="bottom"/>
            <w:gridSpan w:val="2"/>
          </w:tcPr>
          <w:p>
            <w:pPr>
              <w:jc w:val="right"/>
              <w:spacing w:after="0"/>
              <w:rPr>
                <w:sz w:val="20"/>
                <w:szCs w:val="20"/>
                <w:color w:val="auto"/>
              </w:rPr>
            </w:pPr>
            <w:r>
              <w:rPr>
                <w:rFonts w:ascii="Arial" w:cs="Arial" w:eastAsia="Arial" w:hAnsi="Arial"/>
                <w:sz w:val="18"/>
                <w:szCs w:val="18"/>
                <w:color w:val="auto"/>
              </w:rPr>
              <w:t>17,892</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20" w:type="dxa"/>
            <w:vAlign w:val="bottom"/>
            <w:shd w:val="clear" w:color="auto" w:fill="CCEEFF"/>
          </w:tcPr>
          <w:p>
            <w:pPr>
              <w:spacing w:after="0"/>
              <w:rPr>
                <w:sz w:val="20"/>
                <w:szCs w:val="20"/>
                <w:color w:val="auto"/>
              </w:rPr>
            </w:pPr>
            <w:r>
              <w:rPr>
                <w:rFonts w:ascii="Arial" w:cs="Arial" w:eastAsia="Arial" w:hAnsi="Arial"/>
                <w:sz w:val="18"/>
                <w:szCs w:val="18"/>
                <w:color w:val="auto"/>
              </w:rPr>
              <w:t>Increase in trade and other payables</w:t>
            </w:r>
          </w:p>
        </w:tc>
        <w:tc>
          <w:tcPr>
            <w:tcW w:w="1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1,258,186</w:t>
            </w:r>
          </w:p>
        </w:tc>
        <w:tc>
          <w:tcPr>
            <w:tcW w:w="3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1,125,116</w:t>
            </w:r>
          </w:p>
        </w:tc>
        <w:tc>
          <w:tcPr>
            <w:tcW w:w="32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494,561</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20" w:type="dxa"/>
            <w:vAlign w:val="bottom"/>
          </w:tcPr>
          <w:p>
            <w:pPr>
              <w:spacing w:after="0"/>
              <w:rPr>
                <w:sz w:val="20"/>
                <w:szCs w:val="20"/>
                <w:color w:val="auto"/>
              </w:rPr>
            </w:pPr>
            <w:r>
              <w:rPr>
                <w:rFonts w:ascii="Arial" w:cs="Arial" w:eastAsia="Arial" w:hAnsi="Arial"/>
                <w:sz w:val="18"/>
                <w:szCs w:val="18"/>
                <w:color w:val="auto"/>
              </w:rPr>
              <w:t>Increase/(decrease) in provisions</w:t>
            </w:r>
          </w:p>
        </w:tc>
        <w:tc>
          <w:tcPr>
            <w:tcW w:w="66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213,182</w:t>
            </w:r>
          </w:p>
        </w:tc>
        <w:tc>
          <w:tcPr>
            <w:tcW w:w="3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80" w:type="dxa"/>
            <w:vAlign w:val="bottom"/>
            <w:gridSpan w:val="2"/>
          </w:tcPr>
          <w:p>
            <w:pPr>
              <w:jc w:val="right"/>
              <w:ind w:right="260"/>
              <w:spacing w:after="0"/>
              <w:rPr>
                <w:sz w:val="20"/>
                <w:szCs w:val="20"/>
                <w:color w:val="auto"/>
              </w:rPr>
            </w:pPr>
            <w:r>
              <w:rPr>
                <w:rFonts w:ascii="Arial" w:cs="Arial" w:eastAsia="Arial" w:hAnsi="Arial"/>
                <w:sz w:val="18"/>
                <w:szCs w:val="18"/>
                <w:color w:val="auto"/>
              </w:rPr>
              <w:t>(25,898)</w:t>
            </w:r>
          </w:p>
        </w:tc>
        <w:tc>
          <w:tcPr>
            <w:tcW w:w="1300" w:type="dxa"/>
            <w:vAlign w:val="bottom"/>
            <w:gridSpan w:val="2"/>
          </w:tcPr>
          <w:p>
            <w:pPr>
              <w:jc w:val="right"/>
              <w:spacing w:after="0"/>
              <w:rPr>
                <w:sz w:val="20"/>
                <w:szCs w:val="20"/>
                <w:color w:val="auto"/>
              </w:rPr>
            </w:pPr>
            <w:r>
              <w:rPr>
                <w:rFonts w:ascii="Arial" w:cs="Arial" w:eastAsia="Arial" w:hAnsi="Arial"/>
                <w:sz w:val="18"/>
                <w:szCs w:val="18"/>
                <w:color w:val="auto"/>
              </w:rPr>
              <w:t>29,549</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820" w:type="dxa"/>
            <w:vAlign w:val="bottom"/>
          </w:tcPr>
          <w:p>
            <w:pPr>
              <w:spacing w:after="0"/>
              <w:rPr>
                <w:sz w:val="2"/>
                <w:szCs w:val="2"/>
                <w:color w:val="auto"/>
              </w:rPr>
            </w:pPr>
          </w:p>
        </w:tc>
        <w:tc>
          <w:tcPr>
            <w:tcW w:w="660" w:type="dxa"/>
            <w:vAlign w:val="bottom"/>
          </w:tcPr>
          <w:p>
            <w:pPr>
              <w:spacing w:after="0"/>
              <w:rPr>
                <w:sz w:val="2"/>
                <w:szCs w:val="2"/>
                <w:color w:val="auto"/>
              </w:rPr>
            </w:pPr>
          </w:p>
        </w:tc>
        <w:tc>
          <w:tcPr>
            <w:tcW w:w="110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28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8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Net cash used in operating activities</w:t>
            </w:r>
          </w:p>
        </w:tc>
        <w:tc>
          <w:tcPr>
            <w:tcW w:w="208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b w:val="1"/>
                <w:bCs w:val="1"/>
                <w:u w:val="single" w:color="auto"/>
                <w:color w:val="auto"/>
              </w:rPr>
              <w:t>A$</w:t>
            </w:r>
            <w:r>
              <w:rPr>
                <w:rFonts w:ascii="Arial" w:cs="Arial" w:eastAsia="Arial" w:hAnsi="Arial"/>
                <w:sz w:val="18"/>
                <w:szCs w:val="18"/>
                <w:b w:val="1"/>
                <w:bCs w:val="1"/>
                <w:color w:val="auto"/>
              </w:rPr>
              <w:t>(16,372,024)</w:t>
            </w:r>
          </w:p>
        </w:tc>
        <w:tc>
          <w:tcPr>
            <w:tcW w:w="520" w:type="dxa"/>
            <w:vAlign w:val="bottom"/>
            <w:gridSpan w:val="2"/>
            <w:shd w:val="clear" w:color="auto" w:fill="CCEEFF"/>
          </w:tcPr>
          <w:p>
            <w:pPr>
              <w:ind w:left="280"/>
              <w:spacing w:after="0"/>
              <w:rPr>
                <w:sz w:val="20"/>
                <w:szCs w:val="20"/>
                <w:color w:val="auto"/>
              </w:rPr>
            </w:pPr>
            <w:r>
              <w:rPr>
                <w:rFonts w:ascii="Arial" w:cs="Arial" w:eastAsia="Arial" w:hAnsi="Arial"/>
                <w:sz w:val="18"/>
                <w:szCs w:val="18"/>
                <w:b w:val="1"/>
                <w:bCs w:val="1"/>
                <w:u w:val="single" w:color="auto"/>
                <w:color w:val="auto"/>
                <w:w w:val="95"/>
              </w:rPr>
              <w:t>A</w:t>
            </w:r>
            <w:r>
              <w:rPr>
                <w:rFonts w:ascii="Arial" w:cs="Arial" w:eastAsia="Arial" w:hAnsi="Arial"/>
                <w:sz w:val="18"/>
                <w:szCs w:val="18"/>
                <w:b w:val="1"/>
                <w:bCs w:val="1"/>
                <w:color w:val="auto"/>
                <w:w w:val="95"/>
              </w:rPr>
              <w:t>$</w:t>
            </w:r>
          </w:p>
        </w:tc>
        <w:tc>
          <w:tcPr>
            <w:tcW w:w="11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b w:val="1"/>
                <w:bCs w:val="1"/>
                <w:color w:val="auto"/>
                <w:w w:val="97"/>
              </w:rPr>
              <w:t>(8,557,524)</w:t>
            </w:r>
          </w:p>
        </w:tc>
        <w:tc>
          <w:tcPr>
            <w:tcW w:w="142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b w:val="1"/>
                <w:bCs w:val="1"/>
                <w:u w:val="single" w:color="auto"/>
                <w:color w:val="auto"/>
              </w:rPr>
              <w:t>A$</w:t>
            </w:r>
            <w:r>
              <w:rPr>
                <w:rFonts w:ascii="Arial" w:cs="Arial" w:eastAsia="Arial" w:hAnsi="Arial"/>
                <w:sz w:val="18"/>
                <w:szCs w:val="18"/>
                <w:b w:val="1"/>
                <w:bCs w:val="1"/>
                <w:color w:val="auto"/>
              </w:rPr>
              <w:t>(7,938,557)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8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60" w:lineRule="exact"/>
        <w:rPr>
          <w:sz w:val="20"/>
          <w:szCs w:val="20"/>
          <w:color w:val="auto"/>
        </w:rPr>
      </w:pPr>
    </w:p>
    <w:p>
      <w:pPr>
        <w:ind w:left="640" w:hanging="436"/>
        <w:spacing w:after="0"/>
        <w:tabs>
          <w:tab w:leader="none" w:pos="640" w:val="left"/>
        </w:tabs>
        <w:numPr>
          <w:ilvl w:val="0"/>
          <w:numId w:val="145"/>
        </w:numPr>
        <w:rPr>
          <w:rFonts w:ascii="Arial" w:cs="Arial" w:eastAsia="Arial" w:hAnsi="Arial"/>
          <w:sz w:val="18"/>
          <w:szCs w:val="18"/>
          <w:b w:val="1"/>
          <w:bCs w:val="1"/>
          <w:color w:val="auto"/>
        </w:rPr>
      </w:pPr>
      <w:r>
        <w:rPr>
          <w:rFonts w:ascii="Arial" w:cs="Arial" w:eastAsia="Arial" w:hAnsi="Arial"/>
          <w:sz w:val="18"/>
          <w:szCs w:val="18"/>
          <w:b w:val="1"/>
          <w:bCs w:val="1"/>
          <w:color w:val="auto"/>
        </w:rPr>
        <w:t>RELATED PARTY DISCLOSURE</w:t>
      </w:r>
    </w:p>
    <w:p>
      <w:pPr>
        <w:spacing w:after="0" w:line="131" w:lineRule="exact"/>
        <w:rPr>
          <w:sz w:val="20"/>
          <w:szCs w:val="20"/>
          <w:color w:val="auto"/>
        </w:rPr>
      </w:pPr>
    </w:p>
    <w:p>
      <w:pPr>
        <w:ind w:left="640" w:hanging="436"/>
        <w:spacing w:after="0"/>
        <w:tabs>
          <w:tab w:leader="none" w:pos="640" w:val="left"/>
        </w:tabs>
        <w:numPr>
          <w:ilvl w:val="0"/>
          <w:numId w:val="146"/>
        </w:numPr>
        <w:rPr>
          <w:rFonts w:ascii="Arial" w:cs="Arial" w:eastAsia="Arial" w:hAnsi="Arial"/>
          <w:sz w:val="18"/>
          <w:szCs w:val="18"/>
          <w:b w:val="1"/>
          <w:bCs w:val="1"/>
          <w:color w:val="auto"/>
        </w:rPr>
      </w:pPr>
      <w:r>
        <w:rPr>
          <w:rFonts w:ascii="Arial" w:cs="Arial" w:eastAsia="Arial" w:hAnsi="Arial"/>
          <w:sz w:val="18"/>
          <w:szCs w:val="18"/>
          <w:b w:val="1"/>
          <w:bCs w:val="1"/>
          <w:color w:val="auto"/>
        </w:rPr>
        <w:t>Subsidiaries</w:t>
      </w:r>
    </w:p>
    <w:p>
      <w:pPr>
        <w:spacing w:after="0" w:line="121" w:lineRule="exact"/>
        <w:rPr>
          <w:sz w:val="20"/>
          <w:szCs w:val="20"/>
          <w:color w:val="auto"/>
        </w:rPr>
      </w:pPr>
    </w:p>
    <w:p>
      <w:pPr>
        <w:ind w:left="200"/>
        <w:spacing w:after="0"/>
        <w:rPr>
          <w:sz w:val="20"/>
          <w:szCs w:val="20"/>
          <w:color w:val="auto"/>
        </w:rPr>
      </w:pPr>
      <w:r>
        <w:rPr>
          <w:rFonts w:ascii="Arial" w:cs="Arial" w:eastAsia="Arial" w:hAnsi="Arial"/>
          <w:sz w:val="17"/>
          <w:szCs w:val="17"/>
          <w:color w:val="auto"/>
        </w:rPr>
        <w:t>The consolidated financial statements include the financial statements of Avita Medical Limited and the subsidiaries listed in the following table:</w:t>
      </w:r>
    </w:p>
    <w:p>
      <w:pPr>
        <w:spacing w:after="0" w:line="247" w:lineRule="exact"/>
        <w:rPr>
          <w:sz w:val="20"/>
          <w:szCs w:val="20"/>
          <w:color w:val="auto"/>
        </w:rPr>
      </w:pPr>
    </w:p>
    <w:tbl>
      <w:tblPr>
        <w:tblLayout w:type="fixed"/>
        <w:tblInd w:w="20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220" w:type="dxa"/>
            <w:vAlign w:val="bottom"/>
          </w:tcPr>
          <w:p>
            <w:pPr>
              <w:spacing w:after="0"/>
              <w:rPr>
                <w:sz w:val="14"/>
                <w:szCs w:val="14"/>
                <w:color w:val="auto"/>
              </w:rPr>
            </w:pPr>
          </w:p>
        </w:tc>
        <w:tc>
          <w:tcPr>
            <w:tcW w:w="2120" w:type="dxa"/>
            <w:vAlign w:val="bottom"/>
          </w:tcPr>
          <w:p>
            <w:pPr>
              <w:spacing w:after="0"/>
              <w:rPr>
                <w:sz w:val="14"/>
                <w:szCs w:val="14"/>
                <w:color w:val="auto"/>
              </w:rPr>
            </w:pPr>
          </w:p>
        </w:tc>
        <w:tc>
          <w:tcPr>
            <w:tcW w:w="1000" w:type="dxa"/>
            <w:vAlign w:val="bottom"/>
          </w:tcPr>
          <w:p>
            <w:pPr>
              <w:jc w:val="center"/>
              <w:spacing w:after="0"/>
              <w:rPr>
                <w:sz w:val="20"/>
                <w:szCs w:val="20"/>
                <w:color w:val="auto"/>
              </w:rPr>
            </w:pPr>
            <w:r>
              <w:rPr>
                <w:rFonts w:ascii="Arial" w:cs="Arial" w:eastAsia="Arial" w:hAnsi="Arial"/>
                <w:sz w:val="14"/>
                <w:szCs w:val="14"/>
                <w:i w:val="1"/>
                <w:iCs w:val="1"/>
                <w:color w:val="auto"/>
                <w:w w:val="94"/>
              </w:rPr>
              <w:t>% Equity</w:t>
            </w:r>
          </w:p>
        </w:tc>
        <w:tc>
          <w:tcPr>
            <w:tcW w:w="1000" w:type="dxa"/>
            <w:vAlign w:val="bottom"/>
          </w:tcPr>
          <w:p>
            <w:pPr>
              <w:jc w:val="center"/>
              <w:spacing w:after="0"/>
              <w:rPr>
                <w:sz w:val="20"/>
                <w:szCs w:val="20"/>
                <w:color w:val="auto"/>
              </w:rPr>
            </w:pPr>
            <w:r>
              <w:rPr>
                <w:rFonts w:ascii="Arial" w:cs="Arial" w:eastAsia="Arial" w:hAnsi="Arial"/>
                <w:sz w:val="14"/>
                <w:szCs w:val="14"/>
                <w:i w:val="1"/>
                <w:iCs w:val="1"/>
                <w:color w:val="auto"/>
                <w:w w:val="94"/>
              </w:rPr>
              <w:t>% Equity</w:t>
            </w:r>
          </w:p>
        </w:tc>
        <w:tc>
          <w:tcPr>
            <w:tcW w:w="1240" w:type="dxa"/>
            <w:vAlign w:val="bottom"/>
          </w:tcPr>
          <w:p>
            <w:pPr>
              <w:jc w:val="center"/>
              <w:ind w:right="138"/>
              <w:spacing w:after="0"/>
              <w:rPr>
                <w:sz w:val="20"/>
                <w:szCs w:val="20"/>
                <w:color w:val="auto"/>
              </w:rPr>
            </w:pPr>
            <w:r>
              <w:rPr>
                <w:rFonts w:ascii="Arial" w:cs="Arial" w:eastAsia="Arial" w:hAnsi="Arial"/>
                <w:sz w:val="14"/>
                <w:szCs w:val="14"/>
                <w:i w:val="1"/>
                <w:iCs w:val="1"/>
                <w:color w:val="auto"/>
                <w:w w:val="97"/>
              </w:rPr>
              <w:t>% Equity</w:t>
            </w: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60" w:type="dxa"/>
            <w:vAlign w:val="bottom"/>
          </w:tcPr>
          <w:p>
            <w:pPr>
              <w:spacing w:after="0"/>
              <w:rPr>
                <w:sz w:val="14"/>
                <w:szCs w:val="14"/>
                <w:color w:val="auto"/>
              </w:rPr>
            </w:pPr>
          </w:p>
        </w:tc>
      </w:tr>
      <w:tr>
        <w:trPr>
          <w:trHeight w:val="149"/>
        </w:trPr>
        <w:tc>
          <w:tcPr>
            <w:tcW w:w="20" w:type="dxa"/>
            <w:vAlign w:val="bottom"/>
          </w:tcPr>
          <w:p>
            <w:pPr>
              <w:spacing w:after="0"/>
              <w:rPr>
                <w:sz w:val="12"/>
                <w:szCs w:val="12"/>
                <w:color w:val="auto"/>
              </w:rPr>
            </w:pPr>
          </w:p>
        </w:tc>
        <w:tc>
          <w:tcPr>
            <w:tcW w:w="3220" w:type="dxa"/>
            <w:vAlign w:val="bottom"/>
          </w:tcPr>
          <w:p>
            <w:pPr>
              <w:spacing w:after="0"/>
              <w:rPr>
                <w:sz w:val="12"/>
                <w:szCs w:val="12"/>
                <w:color w:val="auto"/>
              </w:rPr>
            </w:pPr>
          </w:p>
        </w:tc>
        <w:tc>
          <w:tcPr>
            <w:tcW w:w="2120" w:type="dxa"/>
            <w:vAlign w:val="bottom"/>
          </w:tcPr>
          <w:p>
            <w:pPr>
              <w:spacing w:after="0"/>
              <w:rPr>
                <w:sz w:val="12"/>
                <w:szCs w:val="12"/>
                <w:color w:val="auto"/>
              </w:rPr>
            </w:pPr>
          </w:p>
        </w:tc>
        <w:tc>
          <w:tcPr>
            <w:tcW w:w="1000" w:type="dxa"/>
            <w:vAlign w:val="bottom"/>
          </w:tcPr>
          <w:p>
            <w:pPr>
              <w:jc w:val="center"/>
              <w:spacing w:after="0" w:line="149" w:lineRule="exact"/>
              <w:rPr>
                <w:sz w:val="20"/>
                <w:szCs w:val="20"/>
                <w:color w:val="auto"/>
              </w:rPr>
            </w:pPr>
            <w:r>
              <w:rPr>
                <w:rFonts w:ascii="Arial" w:cs="Arial" w:eastAsia="Arial" w:hAnsi="Arial"/>
                <w:sz w:val="14"/>
                <w:szCs w:val="14"/>
                <w:i w:val="1"/>
                <w:iCs w:val="1"/>
                <w:color w:val="auto"/>
                <w:w w:val="91"/>
              </w:rPr>
              <w:t>interest at</w:t>
            </w:r>
          </w:p>
        </w:tc>
        <w:tc>
          <w:tcPr>
            <w:tcW w:w="1000" w:type="dxa"/>
            <w:vAlign w:val="bottom"/>
          </w:tcPr>
          <w:p>
            <w:pPr>
              <w:jc w:val="center"/>
              <w:spacing w:after="0" w:line="149" w:lineRule="exact"/>
              <w:rPr>
                <w:sz w:val="20"/>
                <w:szCs w:val="20"/>
                <w:color w:val="auto"/>
              </w:rPr>
            </w:pPr>
            <w:r>
              <w:rPr>
                <w:rFonts w:ascii="Arial" w:cs="Arial" w:eastAsia="Arial" w:hAnsi="Arial"/>
                <w:sz w:val="14"/>
                <w:szCs w:val="14"/>
                <w:i w:val="1"/>
                <w:iCs w:val="1"/>
                <w:color w:val="auto"/>
                <w:w w:val="91"/>
              </w:rPr>
              <w:t>interest at</w:t>
            </w:r>
          </w:p>
        </w:tc>
        <w:tc>
          <w:tcPr>
            <w:tcW w:w="1240" w:type="dxa"/>
            <w:vAlign w:val="bottom"/>
          </w:tcPr>
          <w:p>
            <w:pPr>
              <w:jc w:val="center"/>
              <w:ind w:right="138"/>
              <w:spacing w:after="0" w:line="149" w:lineRule="exact"/>
              <w:rPr>
                <w:sz w:val="20"/>
                <w:szCs w:val="20"/>
                <w:color w:val="auto"/>
              </w:rPr>
            </w:pPr>
            <w:r>
              <w:rPr>
                <w:rFonts w:ascii="Arial" w:cs="Arial" w:eastAsia="Arial" w:hAnsi="Arial"/>
                <w:sz w:val="14"/>
                <w:szCs w:val="14"/>
                <w:i w:val="1"/>
                <w:iCs w:val="1"/>
                <w:color w:val="auto"/>
                <w:w w:val="94"/>
              </w:rPr>
              <w:t>interest at</w:t>
            </w:r>
          </w:p>
        </w:tc>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60" w:type="dxa"/>
            <w:vAlign w:val="bottom"/>
          </w:tcPr>
          <w:p>
            <w:pPr>
              <w:spacing w:after="0"/>
              <w:rPr>
                <w:sz w:val="12"/>
                <w:szCs w:val="12"/>
                <w:color w:val="auto"/>
              </w:rPr>
            </w:pPr>
          </w:p>
        </w:tc>
      </w:tr>
      <w:tr>
        <w:trPr>
          <w:trHeight w:val="149"/>
        </w:trPr>
        <w:tc>
          <w:tcPr>
            <w:tcW w:w="20" w:type="dxa"/>
            <w:vAlign w:val="bottom"/>
          </w:tcPr>
          <w:p>
            <w:pPr>
              <w:spacing w:after="0"/>
              <w:rPr>
                <w:sz w:val="12"/>
                <w:szCs w:val="12"/>
                <w:color w:val="auto"/>
              </w:rPr>
            </w:pPr>
          </w:p>
        </w:tc>
        <w:tc>
          <w:tcPr>
            <w:tcW w:w="3220" w:type="dxa"/>
            <w:vAlign w:val="bottom"/>
          </w:tcPr>
          <w:p>
            <w:pPr>
              <w:spacing w:after="0"/>
              <w:rPr>
                <w:sz w:val="12"/>
                <w:szCs w:val="12"/>
                <w:color w:val="auto"/>
              </w:rPr>
            </w:pPr>
          </w:p>
        </w:tc>
        <w:tc>
          <w:tcPr>
            <w:tcW w:w="2120" w:type="dxa"/>
            <w:vAlign w:val="bottom"/>
          </w:tcPr>
          <w:p>
            <w:pPr>
              <w:jc w:val="center"/>
              <w:ind w:left="774"/>
              <w:spacing w:after="0" w:line="149" w:lineRule="exact"/>
              <w:rPr>
                <w:sz w:val="20"/>
                <w:szCs w:val="20"/>
                <w:color w:val="auto"/>
              </w:rPr>
            </w:pPr>
            <w:r>
              <w:rPr>
                <w:rFonts w:ascii="Arial" w:cs="Arial" w:eastAsia="Arial" w:hAnsi="Arial"/>
                <w:sz w:val="14"/>
                <w:szCs w:val="14"/>
                <w:i w:val="1"/>
                <w:iCs w:val="1"/>
                <w:color w:val="auto"/>
                <w:w w:val="95"/>
              </w:rPr>
              <w:t>Country of</w:t>
            </w:r>
          </w:p>
        </w:tc>
        <w:tc>
          <w:tcPr>
            <w:tcW w:w="1000" w:type="dxa"/>
            <w:vAlign w:val="bottom"/>
          </w:tcPr>
          <w:p>
            <w:pPr>
              <w:jc w:val="right"/>
              <w:ind w:right="178"/>
              <w:spacing w:after="0" w:line="149" w:lineRule="exact"/>
              <w:rPr>
                <w:sz w:val="20"/>
                <w:szCs w:val="20"/>
                <w:color w:val="auto"/>
              </w:rPr>
            </w:pPr>
            <w:r>
              <w:rPr>
                <w:rFonts w:ascii="Arial" w:cs="Arial" w:eastAsia="Arial" w:hAnsi="Arial"/>
                <w:sz w:val="14"/>
                <w:szCs w:val="14"/>
                <w:i w:val="1"/>
                <w:iCs w:val="1"/>
                <w:color w:val="auto"/>
              </w:rPr>
              <w:t>June 30,</w:t>
            </w:r>
          </w:p>
        </w:tc>
        <w:tc>
          <w:tcPr>
            <w:tcW w:w="1000" w:type="dxa"/>
            <w:vAlign w:val="bottom"/>
          </w:tcPr>
          <w:p>
            <w:pPr>
              <w:jc w:val="right"/>
              <w:ind w:right="178"/>
              <w:spacing w:after="0" w:line="149" w:lineRule="exact"/>
              <w:rPr>
                <w:sz w:val="20"/>
                <w:szCs w:val="20"/>
                <w:color w:val="auto"/>
              </w:rPr>
            </w:pPr>
            <w:r>
              <w:rPr>
                <w:rFonts w:ascii="Arial" w:cs="Arial" w:eastAsia="Arial" w:hAnsi="Arial"/>
                <w:sz w:val="14"/>
                <w:szCs w:val="14"/>
                <w:i w:val="1"/>
                <w:iCs w:val="1"/>
                <w:color w:val="auto"/>
              </w:rPr>
              <w:t>June 30,</w:t>
            </w:r>
          </w:p>
        </w:tc>
        <w:tc>
          <w:tcPr>
            <w:tcW w:w="1240" w:type="dxa"/>
            <w:vAlign w:val="bottom"/>
          </w:tcPr>
          <w:p>
            <w:pPr>
              <w:jc w:val="right"/>
              <w:ind w:right="398"/>
              <w:spacing w:after="0" w:line="149" w:lineRule="exact"/>
              <w:rPr>
                <w:sz w:val="20"/>
                <w:szCs w:val="20"/>
                <w:color w:val="auto"/>
              </w:rPr>
            </w:pPr>
            <w:r>
              <w:rPr>
                <w:rFonts w:ascii="Arial" w:cs="Arial" w:eastAsia="Arial" w:hAnsi="Arial"/>
                <w:sz w:val="14"/>
                <w:szCs w:val="14"/>
                <w:i w:val="1"/>
                <w:iCs w:val="1"/>
                <w:color w:val="auto"/>
              </w:rPr>
              <w:t>June 30,</w:t>
            </w:r>
          </w:p>
        </w:tc>
        <w:tc>
          <w:tcPr>
            <w:tcW w:w="20" w:type="dxa"/>
            <w:vAlign w:val="bottom"/>
          </w:tcPr>
          <w:p>
            <w:pPr>
              <w:spacing w:after="0"/>
              <w:rPr>
                <w:sz w:val="12"/>
                <w:szCs w:val="12"/>
                <w:color w:val="auto"/>
              </w:rPr>
            </w:pPr>
          </w:p>
        </w:tc>
        <w:tc>
          <w:tcPr>
            <w:tcW w:w="960" w:type="dxa"/>
            <w:vAlign w:val="bottom"/>
            <w:gridSpan w:val="2"/>
          </w:tcPr>
          <w:p>
            <w:pPr>
              <w:jc w:val="right"/>
              <w:spacing w:after="0" w:line="149" w:lineRule="exact"/>
              <w:rPr>
                <w:sz w:val="20"/>
                <w:szCs w:val="20"/>
                <w:color w:val="auto"/>
              </w:rPr>
            </w:pPr>
            <w:r>
              <w:rPr>
                <w:rFonts w:ascii="Arial" w:cs="Arial" w:eastAsia="Arial" w:hAnsi="Arial"/>
                <w:sz w:val="14"/>
                <w:szCs w:val="14"/>
                <w:i w:val="1"/>
                <w:iCs w:val="1"/>
                <w:color w:val="auto"/>
                <w:w w:val="96"/>
              </w:rPr>
              <w:t>Investment ($)</w:t>
            </w:r>
          </w:p>
        </w:tc>
        <w:tc>
          <w:tcPr>
            <w:tcW w:w="420" w:type="dxa"/>
            <w:vAlign w:val="bottom"/>
          </w:tcPr>
          <w:p>
            <w:pPr>
              <w:spacing w:after="0"/>
              <w:rPr>
                <w:sz w:val="12"/>
                <w:szCs w:val="12"/>
                <w:color w:val="auto"/>
              </w:rPr>
            </w:pPr>
          </w:p>
        </w:tc>
        <w:tc>
          <w:tcPr>
            <w:tcW w:w="1040" w:type="dxa"/>
            <w:vAlign w:val="bottom"/>
            <w:gridSpan w:val="3"/>
          </w:tcPr>
          <w:p>
            <w:pPr>
              <w:ind w:left="80"/>
              <w:spacing w:after="0" w:line="149" w:lineRule="exact"/>
              <w:rPr>
                <w:sz w:val="20"/>
                <w:szCs w:val="20"/>
                <w:color w:val="auto"/>
              </w:rPr>
            </w:pPr>
            <w:r>
              <w:rPr>
                <w:rFonts w:ascii="Arial" w:cs="Arial" w:eastAsia="Arial" w:hAnsi="Arial"/>
                <w:sz w:val="14"/>
                <w:szCs w:val="14"/>
                <w:i w:val="1"/>
                <w:iCs w:val="1"/>
                <w:color w:val="auto"/>
              </w:rPr>
              <w:t>Investment ($)</w:t>
            </w:r>
          </w:p>
        </w:tc>
      </w:tr>
      <w:tr>
        <w:trPr>
          <w:trHeight w:val="181"/>
        </w:trPr>
        <w:tc>
          <w:tcPr>
            <w:tcW w:w="3240" w:type="dxa"/>
            <w:vAlign w:val="bottom"/>
            <w:gridSpan w:val="2"/>
          </w:tcPr>
          <w:p>
            <w:pPr>
              <w:spacing w:after="0"/>
              <w:rPr>
                <w:sz w:val="20"/>
                <w:szCs w:val="20"/>
                <w:color w:val="auto"/>
              </w:rPr>
            </w:pPr>
            <w:r>
              <w:rPr>
                <w:rFonts w:ascii="Arial" w:cs="Arial" w:eastAsia="Arial" w:hAnsi="Arial"/>
                <w:sz w:val="14"/>
                <w:szCs w:val="14"/>
                <w:i w:val="1"/>
                <w:iCs w:val="1"/>
                <w:color w:val="auto"/>
              </w:rPr>
              <w:t>Name</w:t>
            </w:r>
          </w:p>
        </w:tc>
        <w:tc>
          <w:tcPr>
            <w:tcW w:w="2120" w:type="dxa"/>
            <w:vAlign w:val="bottom"/>
          </w:tcPr>
          <w:p>
            <w:pPr>
              <w:jc w:val="center"/>
              <w:ind w:left="774"/>
              <w:spacing w:after="0"/>
              <w:rPr>
                <w:sz w:val="20"/>
                <w:szCs w:val="20"/>
                <w:color w:val="auto"/>
              </w:rPr>
            </w:pPr>
            <w:r>
              <w:rPr>
                <w:rFonts w:ascii="Arial" w:cs="Arial" w:eastAsia="Arial" w:hAnsi="Arial"/>
                <w:sz w:val="14"/>
                <w:szCs w:val="14"/>
                <w:i w:val="1"/>
                <w:iCs w:val="1"/>
                <w:color w:val="auto"/>
              </w:rPr>
              <w:t>Incorporation</w:t>
            </w:r>
          </w:p>
        </w:tc>
        <w:tc>
          <w:tcPr>
            <w:tcW w:w="1000" w:type="dxa"/>
            <w:vAlign w:val="bottom"/>
          </w:tcPr>
          <w:p>
            <w:pPr>
              <w:jc w:val="center"/>
              <w:spacing w:after="0"/>
              <w:rPr>
                <w:sz w:val="20"/>
                <w:szCs w:val="20"/>
                <w:color w:val="auto"/>
              </w:rPr>
            </w:pPr>
            <w:r>
              <w:rPr>
                <w:rFonts w:ascii="Arial" w:cs="Arial" w:eastAsia="Arial" w:hAnsi="Arial"/>
                <w:sz w:val="14"/>
                <w:szCs w:val="14"/>
                <w:i w:val="1"/>
                <w:iCs w:val="1"/>
                <w:color w:val="auto"/>
                <w:w w:val="89"/>
              </w:rPr>
              <w:t>2018</w:t>
            </w:r>
          </w:p>
        </w:tc>
        <w:tc>
          <w:tcPr>
            <w:tcW w:w="1000" w:type="dxa"/>
            <w:vAlign w:val="bottom"/>
          </w:tcPr>
          <w:p>
            <w:pPr>
              <w:jc w:val="center"/>
              <w:spacing w:after="0"/>
              <w:rPr>
                <w:sz w:val="20"/>
                <w:szCs w:val="20"/>
                <w:color w:val="auto"/>
              </w:rPr>
            </w:pPr>
            <w:r>
              <w:rPr>
                <w:rFonts w:ascii="Arial" w:cs="Arial" w:eastAsia="Arial" w:hAnsi="Arial"/>
                <w:sz w:val="14"/>
                <w:szCs w:val="14"/>
                <w:i w:val="1"/>
                <w:iCs w:val="1"/>
                <w:color w:val="auto"/>
                <w:w w:val="89"/>
              </w:rPr>
              <w:t>2017</w:t>
            </w:r>
          </w:p>
        </w:tc>
        <w:tc>
          <w:tcPr>
            <w:tcW w:w="1240" w:type="dxa"/>
            <w:vAlign w:val="bottom"/>
          </w:tcPr>
          <w:p>
            <w:pPr>
              <w:jc w:val="center"/>
              <w:ind w:right="138"/>
              <w:spacing w:after="0"/>
              <w:rPr>
                <w:sz w:val="20"/>
                <w:szCs w:val="20"/>
                <w:color w:val="auto"/>
              </w:rPr>
            </w:pPr>
            <w:r>
              <w:rPr>
                <w:rFonts w:ascii="Arial" w:cs="Arial" w:eastAsia="Arial" w:hAnsi="Arial"/>
                <w:sz w:val="14"/>
                <w:szCs w:val="14"/>
                <w:i w:val="1"/>
                <w:iCs w:val="1"/>
                <w:color w:val="auto"/>
                <w:w w:val="96"/>
              </w:rPr>
              <w:t>2016</w:t>
            </w:r>
          </w:p>
        </w:tc>
        <w:tc>
          <w:tcPr>
            <w:tcW w:w="20" w:type="dxa"/>
            <w:vAlign w:val="bottom"/>
          </w:tcPr>
          <w:p>
            <w:pPr>
              <w:spacing w:after="0"/>
              <w:rPr>
                <w:sz w:val="15"/>
                <w:szCs w:val="15"/>
                <w:color w:val="auto"/>
              </w:rPr>
            </w:pPr>
          </w:p>
        </w:tc>
        <w:tc>
          <w:tcPr>
            <w:tcW w:w="960" w:type="dxa"/>
            <w:vAlign w:val="bottom"/>
            <w:gridSpan w:val="2"/>
          </w:tcPr>
          <w:p>
            <w:pPr>
              <w:jc w:val="right"/>
              <w:spacing w:after="0"/>
              <w:rPr>
                <w:sz w:val="20"/>
                <w:szCs w:val="20"/>
                <w:color w:val="auto"/>
              </w:rPr>
            </w:pPr>
            <w:r>
              <w:rPr>
                <w:rFonts w:ascii="Arial" w:cs="Arial" w:eastAsia="Arial" w:hAnsi="Arial"/>
                <w:sz w:val="14"/>
                <w:szCs w:val="14"/>
                <w:i w:val="1"/>
                <w:iCs w:val="1"/>
                <w:color w:val="auto"/>
                <w:w w:val="88"/>
              </w:rPr>
              <w:t>at June 30, 2018</w:t>
            </w:r>
          </w:p>
        </w:tc>
        <w:tc>
          <w:tcPr>
            <w:tcW w:w="1460" w:type="dxa"/>
            <w:vAlign w:val="bottom"/>
            <w:gridSpan w:val="4"/>
          </w:tcPr>
          <w:p>
            <w:pPr>
              <w:ind w:left="420"/>
              <w:spacing w:after="0"/>
              <w:rPr>
                <w:sz w:val="20"/>
                <w:szCs w:val="20"/>
                <w:color w:val="auto"/>
              </w:rPr>
            </w:pPr>
            <w:r>
              <w:rPr>
                <w:rFonts w:ascii="Arial" w:cs="Arial" w:eastAsia="Arial" w:hAnsi="Arial"/>
                <w:sz w:val="14"/>
                <w:szCs w:val="14"/>
                <w:i w:val="1"/>
                <w:iCs w:val="1"/>
                <w:color w:val="auto"/>
                <w:w w:val="97"/>
              </w:rPr>
              <w:t>at June 30, 2017</w:t>
            </w:r>
          </w:p>
        </w:tc>
      </w:tr>
      <w:tr>
        <w:trPr>
          <w:trHeight w:val="216"/>
        </w:trPr>
        <w:tc>
          <w:tcPr>
            <w:tcW w:w="20" w:type="dxa"/>
            <w:vAlign w:val="bottom"/>
          </w:tcPr>
          <w:p>
            <w:pPr>
              <w:spacing w:after="0"/>
              <w:rPr>
                <w:sz w:val="18"/>
                <w:szCs w:val="18"/>
                <w:color w:val="auto"/>
              </w:rPr>
            </w:pPr>
          </w:p>
        </w:tc>
        <w:tc>
          <w:tcPr>
            <w:tcW w:w="3220" w:type="dxa"/>
            <w:vAlign w:val="bottom"/>
            <w:shd w:val="clear" w:color="auto" w:fill="CCEEFF"/>
          </w:tcPr>
          <w:p>
            <w:pPr>
              <w:spacing w:after="0"/>
              <w:rPr>
                <w:sz w:val="20"/>
                <w:szCs w:val="20"/>
                <w:color w:val="auto"/>
              </w:rPr>
            </w:pPr>
            <w:r>
              <w:rPr>
                <w:rFonts w:ascii="Arial" w:cs="Arial" w:eastAsia="Arial" w:hAnsi="Arial"/>
                <w:sz w:val="18"/>
                <w:szCs w:val="18"/>
                <w:color w:val="auto"/>
              </w:rPr>
              <w:t>C3 Operations Pty Ltd</w:t>
            </w:r>
          </w:p>
        </w:tc>
        <w:tc>
          <w:tcPr>
            <w:tcW w:w="2120" w:type="dxa"/>
            <w:vAlign w:val="bottom"/>
            <w:shd w:val="clear" w:color="auto" w:fill="CCEEFF"/>
          </w:tcPr>
          <w:p>
            <w:pPr>
              <w:jc w:val="center"/>
              <w:ind w:left="814"/>
              <w:spacing w:after="0"/>
              <w:rPr>
                <w:sz w:val="20"/>
                <w:szCs w:val="20"/>
                <w:color w:val="auto"/>
              </w:rPr>
            </w:pPr>
            <w:r>
              <w:rPr>
                <w:rFonts w:ascii="Arial" w:cs="Arial" w:eastAsia="Arial" w:hAnsi="Arial"/>
                <w:sz w:val="18"/>
                <w:szCs w:val="18"/>
                <w:color w:val="auto"/>
                <w:w w:val="94"/>
              </w:rPr>
              <w:t>Australia</w:t>
            </w:r>
          </w:p>
        </w:tc>
        <w:tc>
          <w:tcPr>
            <w:tcW w:w="1000" w:type="dxa"/>
            <w:vAlign w:val="bottom"/>
            <w:shd w:val="clear" w:color="auto" w:fill="CCEEFF"/>
          </w:tcPr>
          <w:p>
            <w:pPr>
              <w:jc w:val="right"/>
              <w:ind w:right="178"/>
              <w:spacing w:after="0"/>
              <w:rPr>
                <w:sz w:val="20"/>
                <w:szCs w:val="20"/>
                <w:color w:val="auto"/>
              </w:rPr>
            </w:pPr>
            <w:r>
              <w:rPr>
                <w:rFonts w:ascii="Arial" w:cs="Arial" w:eastAsia="Arial" w:hAnsi="Arial"/>
                <w:sz w:val="18"/>
                <w:szCs w:val="18"/>
                <w:color w:val="auto"/>
              </w:rPr>
              <w:t>100%</w:t>
            </w:r>
          </w:p>
        </w:tc>
        <w:tc>
          <w:tcPr>
            <w:tcW w:w="1000" w:type="dxa"/>
            <w:vAlign w:val="bottom"/>
            <w:shd w:val="clear" w:color="auto" w:fill="CCEEFF"/>
          </w:tcPr>
          <w:p>
            <w:pPr>
              <w:jc w:val="right"/>
              <w:ind w:right="178"/>
              <w:spacing w:after="0"/>
              <w:rPr>
                <w:sz w:val="20"/>
                <w:szCs w:val="20"/>
                <w:color w:val="auto"/>
              </w:rPr>
            </w:pPr>
            <w:r>
              <w:rPr>
                <w:rFonts w:ascii="Arial" w:cs="Arial" w:eastAsia="Arial" w:hAnsi="Arial"/>
                <w:sz w:val="18"/>
                <w:szCs w:val="18"/>
                <w:color w:val="auto"/>
              </w:rPr>
              <w:t>100%</w:t>
            </w:r>
          </w:p>
        </w:tc>
        <w:tc>
          <w:tcPr>
            <w:tcW w:w="1240" w:type="dxa"/>
            <w:vAlign w:val="bottom"/>
            <w:shd w:val="clear" w:color="auto" w:fill="CCEEFF"/>
          </w:tcPr>
          <w:p>
            <w:pPr>
              <w:jc w:val="right"/>
              <w:ind w:right="418"/>
              <w:spacing w:after="0"/>
              <w:rPr>
                <w:sz w:val="20"/>
                <w:szCs w:val="20"/>
                <w:color w:val="auto"/>
              </w:rPr>
            </w:pPr>
            <w:r>
              <w:rPr>
                <w:rFonts w:ascii="Arial" w:cs="Arial" w:eastAsia="Arial" w:hAnsi="Arial"/>
                <w:sz w:val="18"/>
                <w:szCs w:val="18"/>
                <w:color w:val="auto"/>
              </w:rPr>
              <w:t>100%</w:t>
            </w:r>
          </w:p>
        </w:tc>
        <w:tc>
          <w:tcPr>
            <w:tcW w:w="220" w:type="dxa"/>
            <w:vAlign w:val="bottom"/>
            <w:gridSpan w:val="2"/>
            <w:shd w:val="clear" w:color="auto" w:fill="CCEEFF"/>
          </w:tcPr>
          <w:p>
            <w:pPr>
              <w:spacing w:after="0"/>
              <w:rPr>
                <w:sz w:val="20"/>
                <w:szCs w:val="20"/>
                <w:color w:val="auto"/>
              </w:rPr>
            </w:pPr>
            <w:r>
              <w:rPr>
                <w:rFonts w:ascii="Arial" w:cs="Arial" w:eastAsia="Arial" w:hAnsi="Arial"/>
                <w:sz w:val="18"/>
                <w:szCs w:val="18"/>
                <w:color w:val="auto"/>
                <w:w w:val="90"/>
              </w:rPr>
              <w:t>A$</w:t>
            </w:r>
          </w:p>
        </w:tc>
        <w:tc>
          <w:tcPr>
            <w:tcW w:w="760" w:type="dxa"/>
            <w:vAlign w:val="bottom"/>
            <w:shd w:val="clear" w:color="auto" w:fill="CCEEFF"/>
          </w:tcPr>
          <w:p>
            <w:pPr>
              <w:ind w:left="480"/>
              <w:spacing w:after="0"/>
              <w:rPr>
                <w:sz w:val="20"/>
                <w:szCs w:val="20"/>
                <w:color w:val="auto"/>
              </w:rPr>
            </w:pPr>
            <w:r>
              <w:rPr>
                <w:rFonts w:ascii="Arial" w:cs="Arial" w:eastAsia="Arial" w:hAnsi="Arial"/>
                <w:sz w:val="18"/>
                <w:szCs w:val="18"/>
                <w:color w:val="auto"/>
              </w:rPr>
              <w:t>—</w:t>
            </w:r>
          </w:p>
        </w:tc>
        <w:tc>
          <w:tcPr>
            <w:tcW w:w="66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w w:val="99"/>
              </w:rPr>
              <w:t>A$</w:t>
            </w:r>
          </w:p>
        </w:tc>
        <w:tc>
          <w:tcPr>
            <w:tcW w:w="800" w:type="dxa"/>
            <w:vAlign w:val="bottom"/>
            <w:gridSpan w:val="2"/>
            <w:shd w:val="clear" w:color="auto" w:fill="CCEEFF"/>
          </w:tcPr>
          <w:p>
            <w:pPr>
              <w:ind w:left="460"/>
              <w:spacing w:after="0"/>
              <w:rPr>
                <w:sz w:val="20"/>
                <w:szCs w:val="20"/>
                <w:color w:val="auto"/>
              </w:rPr>
            </w:pPr>
            <w:r>
              <w:rPr>
                <w:rFonts w:ascii="Arial" w:cs="Arial" w:eastAsia="Arial" w:hAnsi="Arial"/>
                <w:sz w:val="18"/>
                <w:szCs w:val="18"/>
                <w:color w:val="auto"/>
              </w:rPr>
              <w:t>—</w:t>
            </w:r>
          </w:p>
        </w:tc>
      </w:tr>
      <w:tr>
        <w:trPr>
          <w:trHeight w:val="202"/>
        </w:trPr>
        <w:tc>
          <w:tcPr>
            <w:tcW w:w="20" w:type="dxa"/>
            <w:vAlign w:val="bottom"/>
          </w:tcPr>
          <w:p>
            <w:pPr>
              <w:spacing w:after="0"/>
              <w:rPr>
                <w:sz w:val="17"/>
                <w:szCs w:val="17"/>
                <w:color w:val="auto"/>
              </w:rPr>
            </w:pPr>
          </w:p>
        </w:tc>
        <w:tc>
          <w:tcPr>
            <w:tcW w:w="3220" w:type="dxa"/>
            <w:vAlign w:val="bottom"/>
          </w:tcPr>
          <w:p>
            <w:pPr>
              <w:spacing w:after="0" w:line="201" w:lineRule="exact"/>
              <w:rPr>
                <w:sz w:val="20"/>
                <w:szCs w:val="20"/>
                <w:color w:val="auto"/>
              </w:rPr>
            </w:pPr>
            <w:r>
              <w:rPr>
                <w:rFonts w:ascii="Arial" w:cs="Arial" w:eastAsia="Arial" w:hAnsi="Arial"/>
                <w:sz w:val="18"/>
                <w:szCs w:val="18"/>
                <w:color w:val="auto"/>
              </w:rPr>
              <w:t>Avita Medical Europe Ltd</w:t>
            </w:r>
          </w:p>
        </w:tc>
        <w:tc>
          <w:tcPr>
            <w:tcW w:w="2120" w:type="dxa"/>
            <w:vAlign w:val="bottom"/>
          </w:tcPr>
          <w:p>
            <w:pPr>
              <w:jc w:val="center"/>
              <w:ind w:left="834"/>
              <w:spacing w:after="0" w:line="201" w:lineRule="exact"/>
              <w:rPr>
                <w:sz w:val="20"/>
                <w:szCs w:val="20"/>
                <w:color w:val="auto"/>
              </w:rPr>
            </w:pPr>
            <w:r>
              <w:rPr>
                <w:rFonts w:ascii="Arial" w:cs="Arial" w:eastAsia="Arial" w:hAnsi="Arial"/>
                <w:sz w:val="18"/>
                <w:szCs w:val="18"/>
                <w:color w:val="auto"/>
                <w:w w:val="92"/>
              </w:rPr>
              <w:t>United</w:t>
            </w:r>
          </w:p>
        </w:tc>
        <w:tc>
          <w:tcPr>
            <w:tcW w:w="1000" w:type="dxa"/>
            <w:vAlign w:val="bottom"/>
          </w:tcPr>
          <w:p>
            <w:pPr>
              <w:jc w:val="right"/>
              <w:ind w:right="178"/>
              <w:spacing w:after="0" w:line="201" w:lineRule="exact"/>
              <w:rPr>
                <w:sz w:val="20"/>
                <w:szCs w:val="20"/>
                <w:color w:val="auto"/>
              </w:rPr>
            </w:pPr>
            <w:r>
              <w:rPr>
                <w:rFonts w:ascii="Arial" w:cs="Arial" w:eastAsia="Arial" w:hAnsi="Arial"/>
                <w:sz w:val="18"/>
                <w:szCs w:val="18"/>
                <w:color w:val="auto"/>
              </w:rPr>
              <w:t>100%</w:t>
            </w:r>
          </w:p>
        </w:tc>
        <w:tc>
          <w:tcPr>
            <w:tcW w:w="1000" w:type="dxa"/>
            <w:vAlign w:val="bottom"/>
          </w:tcPr>
          <w:p>
            <w:pPr>
              <w:jc w:val="right"/>
              <w:ind w:right="178"/>
              <w:spacing w:after="0" w:line="201" w:lineRule="exact"/>
              <w:rPr>
                <w:sz w:val="20"/>
                <w:szCs w:val="20"/>
                <w:color w:val="auto"/>
              </w:rPr>
            </w:pPr>
            <w:r>
              <w:rPr>
                <w:rFonts w:ascii="Arial" w:cs="Arial" w:eastAsia="Arial" w:hAnsi="Arial"/>
                <w:sz w:val="18"/>
                <w:szCs w:val="18"/>
                <w:color w:val="auto"/>
              </w:rPr>
              <w:t>100%</w:t>
            </w:r>
          </w:p>
        </w:tc>
        <w:tc>
          <w:tcPr>
            <w:tcW w:w="1240" w:type="dxa"/>
            <w:vAlign w:val="bottom"/>
          </w:tcPr>
          <w:p>
            <w:pPr>
              <w:jc w:val="right"/>
              <w:ind w:right="418"/>
              <w:spacing w:after="0" w:line="201" w:lineRule="exact"/>
              <w:rPr>
                <w:sz w:val="20"/>
                <w:szCs w:val="20"/>
                <w:color w:val="auto"/>
              </w:rPr>
            </w:pPr>
            <w:r>
              <w:rPr>
                <w:rFonts w:ascii="Arial" w:cs="Arial" w:eastAsia="Arial" w:hAnsi="Arial"/>
                <w:sz w:val="18"/>
                <w:szCs w:val="18"/>
                <w:color w:val="auto"/>
              </w:rPr>
              <w:t>100%</w:t>
            </w: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60" w:type="dxa"/>
            <w:vAlign w:val="bottom"/>
          </w:tcPr>
          <w:p>
            <w:pPr>
              <w:ind w:left="480"/>
              <w:spacing w:after="0" w:line="201" w:lineRule="exact"/>
              <w:rPr>
                <w:sz w:val="20"/>
                <w:szCs w:val="20"/>
                <w:color w:val="auto"/>
              </w:rPr>
            </w:pPr>
            <w:r>
              <w:rPr>
                <w:rFonts w:ascii="Arial" w:cs="Arial" w:eastAsia="Arial" w:hAnsi="Arial"/>
                <w:sz w:val="18"/>
                <w:szCs w:val="18"/>
                <w:color w:val="auto"/>
              </w:rPr>
              <w:t>—</w:t>
            </w:r>
          </w:p>
        </w:tc>
        <w:tc>
          <w:tcPr>
            <w:tcW w:w="4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00" w:type="dxa"/>
            <w:vAlign w:val="bottom"/>
            <w:gridSpan w:val="2"/>
          </w:tcPr>
          <w:p>
            <w:pPr>
              <w:ind w:left="460"/>
              <w:spacing w:after="0" w:line="201" w:lineRule="exact"/>
              <w:rPr>
                <w:sz w:val="20"/>
                <w:szCs w:val="20"/>
                <w:color w:val="auto"/>
              </w:rPr>
            </w:pPr>
            <w:r>
              <w:rPr>
                <w:rFonts w:ascii="Arial" w:cs="Arial" w:eastAsia="Arial" w:hAnsi="Arial"/>
                <w:sz w:val="18"/>
                <w:szCs w:val="18"/>
                <w:color w:val="auto"/>
              </w:rPr>
              <w:t>—</w:t>
            </w:r>
          </w:p>
        </w:tc>
      </w:tr>
      <w:tr>
        <w:trPr>
          <w:trHeight w:val="230"/>
        </w:trPr>
        <w:tc>
          <w:tcPr>
            <w:tcW w:w="20" w:type="dxa"/>
            <w:vAlign w:val="bottom"/>
          </w:tcPr>
          <w:p>
            <w:pPr>
              <w:spacing w:after="0"/>
              <w:rPr>
                <w:sz w:val="20"/>
                <w:szCs w:val="20"/>
                <w:color w:val="auto"/>
              </w:rPr>
            </w:pPr>
          </w:p>
        </w:tc>
        <w:tc>
          <w:tcPr>
            <w:tcW w:w="3220" w:type="dxa"/>
            <w:vAlign w:val="bottom"/>
          </w:tcPr>
          <w:p>
            <w:pPr>
              <w:spacing w:after="0"/>
              <w:rPr>
                <w:sz w:val="20"/>
                <w:szCs w:val="20"/>
                <w:color w:val="auto"/>
              </w:rPr>
            </w:pPr>
          </w:p>
        </w:tc>
        <w:tc>
          <w:tcPr>
            <w:tcW w:w="2120" w:type="dxa"/>
            <w:vAlign w:val="bottom"/>
          </w:tcPr>
          <w:p>
            <w:pPr>
              <w:jc w:val="center"/>
              <w:ind w:left="834"/>
              <w:spacing w:after="0"/>
              <w:rPr>
                <w:sz w:val="20"/>
                <w:szCs w:val="20"/>
                <w:color w:val="auto"/>
              </w:rPr>
            </w:pPr>
            <w:r>
              <w:rPr>
                <w:rFonts w:ascii="Arial" w:cs="Arial" w:eastAsia="Arial" w:hAnsi="Arial"/>
                <w:sz w:val="18"/>
                <w:szCs w:val="18"/>
                <w:color w:val="auto"/>
                <w:w w:val="95"/>
              </w:rPr>
              <w:t>Kingdom</w:t>
            </w:r>
          </w:p>
        </w:tc>
        <w:tc>
          <w:tcPr>
            <w:tcW w:w="100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60" w:type="dxa"/>
            <w:vAlign w:val="bottom"/>
          </w:tcPr>
          <w:p>
            <w:pPr>
              <w:spacing w:after="0"/>
              <w:rPr>
                <w:sz w:val="20"/>
                <w:szCs w:val="20"/>
                <w:color w:val="auto"/>
              </w:rPr>
            </w:pPr>
          </w:p>
        </w:tc>
      </w:tr>
      <w:tr>
        <w:trPr>
          <w:trHeight w:val="202"/>
        </w:trPr>
        <w:tc>
          <w:tcPr>
            <w:tcW w:w="20" w:type="dxa"/>
            <w:vAlign w:val="bottom"/>
          </w:tcPr>
          <w:p>
            <w:pPr>
              <w:spacing w:after="0"/>
              <w:rPr>
                <w:sz w:val="17"/>
                <w:szCs w:val="17"/>
                <w:color w:val="auto"/>
              </w:rPr>
            </w:pPr>
          </w:p>
        </w:tc>
        <w:tc>
          <w:tcPr>
            <w:tcW w:w="322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Avita Medical Americas LLC</w:t>
            </w:r>
          </w:p>
        </w:tc>
        <w:tc>
          <w:tcPr>
            <w:tcW w:w="2120" w:type="dxa"/>
            <w:vAlign w:val="bottom"/>
            <w:shd w:val="clear" w:color="auto" w:fill="CCEEFF"/>
          </w:tcPr>
          <w:p>
            <w:pPr>
              <w:jc w:val="center"/>
              <w:ind w:left="834"/>
              <w:spacing w:after="0" w:line="201" w:lineRule="exact"/>
              <w:rPr>
                <w:sz w:val="20"/>
                <w:szCs w:val="20"/>
                <w:color w:val="auto"/>
              </w:rPr>
            </w:pPr>
            <w:r>
              <w:rPr>
                <w:rFonts w:ascii="Arial" w:cs="Arial" w:eastAsia="Arial" w:hAnsi="Arial"/>
                <w:sz w:val="18"/>
                <w:szCs w:val="18"/>
                <w:color w:val="auto"/>
                <w:w w:val="92"/>
              </w:rPr>
              <w:t>United</w:t>
            </w:r>
          </w:p>
        </w:tc>
        <w:tc>
          <w:tcPr>
            <w:tcW w:w="1000" w:type="dxa"/>
            <w:vAlign w:val="bottom"/>
            <w:shd w:val="clear" w:color="auto" w:fill="CCEEFF"/>
          </w:tcPr>
          <w:p>
            <w:pPr>
              <w:jc w:val="right"/>
              <w:ind w:right="178"/>
              <w:spacing w:after="0" w:line="201" w:lineRule="exact"/>
              <w:rPr>
                <w:sz w:val="20"/>
                <w:szCs w:val="20"/>
                <w:color w:val="auto"/>
              </w:rPr>
            </w:pPr>
            <w:r>
              <w:rPr>
                <w:rFonts w:ascii="Arial" w:cs="Arial" w:eastAsia="Arial" w:hAnsi="Arial"/>
                <w:sz w:val="18"/>
                <w:szCs w:val="18"/>
                <w:color w:val="auto"/>
              </w:rPr>
              <w:t>100%</w:t>
            </w:r>
          </w:p>
        </w:tc>
        <w:tc>
          <w:tcPr>
            <w:tcW w:w="1000" w:type="dxa"/>
            <w:vAlign w:val="bottom"/>
            <w:shd w:val="clear" w:color="auto" w:fill="CCEEFF"/>
          </w:tcPr>
          <w:p>
            <w:pPr>
              <w:jc w:val="right"/>
              <w:ind w:right="178"/>
              <w:spacing w:after="0" w:line="201" w:lineRule="exact"/>
              <w:rPr>
                <w:sz w:val="20"/>
                <w:szCs w:val="20"/>
                <w:color w:val="auto"/>
              </w:rPr>
            </w:pPr>
            <w:r>
              <w:rPr>
                <w:rFonts w:ascii="Arial" w:cs="Arial" w:eastAsia="Arial" w:hAnsi="Arial"/>
                <w:sz w:val="18"/>
                <w:szCs w:val="18"/>
                <w:color w:val="auto"/>
              </w:rPr>
              <w:t>100%</w:t>
            </w:r>
          </w:p>
        </w:tc>
        <w:tc>
          <w:tcPr>
            <w:tcW w:w="1240" w:type="dxa"/>
            <w:vAlign w:val="bottom"/>
            <w:shd w:val="clear" w:color="auto" w:fill="CCEEFF"/>
          </w:tcPr>
          <w:p>
            <w:pPr>
              <w:jc w:val="right"/>
              <w:ind w:right="418"/>
              <w:spacing w:after="0" w:line="201" w:lineRule="exact"/>
              <w:rPr>
                <w:sz w:val="20"/>
                <w:szCs w:val="20"/>
                <w:color w:val="auto"/>
              </w:rPr>
            </w:pPr>
            <w:r>
              <w:rPr>
                <w:rFonts w:ascii="Arial" w:cs="Arial" w:eastAsia="Arial" w:hAnsi="Arial"/>
                <w:sz w:val="18"/>
                <w:szCs w:val="18"/>
                <w:color w:val="auto"/>
              </w:rPr>
              <w:t>100%</w:t>
            </w:r>
          </w:p>
        </w:tc>
        <w:tc>
          <w:tcPr>
            <w:tcW w:w="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60" w:type="dxa"/>
            <w:vAlign w:val="bottom"/>
            <w:shd w:val="clear" w:color="auto" w:fill="CCEEFF"/>
          </w:tcPr>
          <w:p>
            <w:pPr>
              <w:ind w:left="480"/>
              <w:spacing w:after="0" w:line="201" w:lineRule="exact"/>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00" w:type="dxa"/>
            <w:vAlign w:val="bottom"/>
            <w:gridSpan w:val="2"/>
            <w:shd w:val="clear" w:color="auto" w:fill="CCEEFF"/>
          </w:tcPr>
          <w:p>
            <w:pPr>
              <w:ind w:left="460"/>
              <w:spacing w:after="0" w:line="201" w:lineRule="exact"/>
              <w:rPr>
                <w:sz w:val="20"/>
                <w:szCs w:val="20"/>
                <w:color w:val="auto"/>
              </w:rPr>
            </w:pPr>
            <w:r>
              <w:rPr>
                <w:rFonts w:ascii="Arial" w:cs="Arial" w:eastAsia="Arial" w:hAnsi="Arial"/>
                <w:sz w:val="18"/>
                <w:szCs w:val="18"/>
                <w:color w:val="auto"/>
              </w:rPr>
              <w:t>—</w:t>
            </w:r>
          </w:p>
        </w:tc>
      </w:tr>
      <w:tr>
        <w:trPr>
          <w:trHeight w:val="230"/>
        </w:trPr>
        <w:tc>
          <w:tcPr>
            <w:tcW w:w="20" w:type="dxa"/>
            <w:vAlign w:val="bottom"/>
          </w:tcPr>
          <w:p>
            <w:pPr>
              <w:spacing w:after="0"/>
              <w:rPr>
                <w:sz w:val="20"/>
                <w:szCs w:val="20"/>
                <w:color w:val="auto"/>
              </w:rPr>
            </w:pPr>
          </w:p>
        </w:tc>
        <w:tc>
          <w:tcPr>
            <w:tcW w:w="3220" w:type="dxa"/>
            <w:vAlign w:val="bottom"/>
            <w:shd w:val="clear" w:color="auto" w:fill="CCEEFF"/>
          </w:tcPr>
          <w:p>
            <w:pPr>
              <w:spacing w:after="0"/>
              <w:rPr>
                <w:sz w:val="20"/>
                <w:szCs w:val="20"/>
                <w:color w:val="auto"/>
              </w:rPr>
            </w:pPr>
          </w:p>
        </w:tc>
        <w:tc>
          <w:tcPr>
            <w:tcW w:w="2120" w:type="dxa"/>
            <w:vAlign w:val="bottom"/>
            <w:shd w:val="clear" w:color="auto" w:fill="CCEEFF"/>
          </w:tcPr>
          <w:p>
            <w:pPr>
              <w:jc w:val="center"/>
              <w:ind w:left="834"/>
              <w:spacing w:after="0"/>
              <w:rPr>
                <w:sz w:val="20"/>
                <w:szCs w:val="20"/>
                <w:color w:val="auto"/>
              </w:rPr>
            </w:pPr>
            <w:r>
              <w:rPr>
                <w:rFonts w:ascii="Arial" w:cs="Arial" w:eastAsia="Arial" w:hAnsi="Arial"/>
                <w:sz w:val="18"/>
                <w:szCs w:val="18"/>
                <w:color w:val="auto"/>
                <w:w w:val="86"/>
              </w:rPr>
              <w:t>States</w:t>
            </w:r>
          </w:p>
        </w:tc>
        <w:tc>
          <w:tcPr>
            <w:tcW w:w="1000" w:type="dxa"/>
            <w:vAlign w:val="bottom"/>
            <w:shd w:val="clear" w:color="auto" w:fill="CCEEFF"/>
          </w:tcPr>
          <w:p>
            <w:pPr>
              <w:spacing w:after="0"/>
              <w:rPr>
                <w:sz w:val="20"/>
                <w:szCs w:val="20"/>
                <w:color w:val="auto"/>
              </w:rPr>
            </w:pPr>
          </w:p>
        </w:tc>
        <w:tc>
          <w:tcPr>
            <w:tcW w:w="1000" w:type="dxa"/>
            <w:vAlign w:val="bottom"/>
            <w:shd w:val="clear" w:color="auto" w:fill="CCEEFF"/>
          </w:tcPr>
          <w:p>
            <w:pPr>
              <w:spacing w:after="0"/>
              <w:rPr>
                <w:sz w:val="20"/>
                <w:szCs w:val="20"/>
                <w:color w:val="auto"/>
              </w:rPr>
            </w:pPr>
          </w:p>
        </w:tc>
        <w:tc>
          <w:tcPr>
            <w:tcW w:w="124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760" w:type="dxa"/>
            <w:vAlign w:val="bottom"/>
            <w:shd w:val="clear" w:color="auto" w:fill="CCEEFF"/>
          </w:tcPr>
          <w:p>
            <w:pPr>
              <w:spacing w:after="0"/>
              <w:rPr>
                <w:sz w:val="20"/>
                <w:szCs w:val="20"/>
                <w:color w:val="auto"/>
              </w:rPr>
            </w:pPr>
          </w:p>
        </w:tc>
        <w:tc>
          <w:tcPr>
            <w:tcW w:w="42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74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r>
      <w:tr>
        <w:trPr>
          <w:trHeight w:val="216"/>
        </w:trPr>
        <w:tc>
          <w:tcPr>
            <w:tcW w:w="20" w:type="dxa"/>
            <w:vAlign w:val="bottom"/>
          </w:tcPr>
          <w:p>
            <w:pPr>
              <w:spacing w:after="0"/>
              <w:rPr>
                <w:sz w:val="18"/>
                <w:szCs w:val="18"/>
                <w:color w:val="auto"/>
              </w:rPr>
            </w:pPr>
          </w:p>
        </w:tc>
        <w:tc>
          <w:tcPr>
            <w:tcW w:w="3220" w:type="dxa"/>
            <w:vAlign w:val="bottom"/>
          </w:tcPr>
          <w:p>
            <w:pPr>
              <w:spacing w:after="0"/>
              <w:rPr>
                <w:sz w:val="20"/>
                <w:szCs w:val="20"/>
                <w:color w:val="auto"/>
              </w:rPr>
            </w:pPr>
            <w:r>
              <w:rPr>
                <w:rFonts w:ascii="Arial" w:cs="Arial" w:eastAsia="Arial" w:hAnsi="Arial"/>
                <w:sz w:val="18"/>
                <w:szCs w:val="18"/>
                <w:color w:val="auto"/>
              </w:rPr>
              <w:t>Infamed Pty Limited</w:t>
            </w:r>
          </w:p>
        </w:tc>
        <w:tc>
          <w:tcPr>
            <w:tcW w:w="2120" w:type="dxa"/>
            <w:vAlign w:val="bottom"/>
          </w:tcPr>
          <w:p>
            <w:pPr>
              <w:jc w:val="center"/>
              <w:ind w:left="814"/>
              <w:spacing w:after="0"/>
              <w:rPr>
                <w:sz w:val="20"/>
                <w:szCs w:val="20"/>
                <w:color w:val="auto"/>
              </w:rPr>
            </w:pPr>
            <w:r>
              <w:rPr>
                <w:rFonts w:ascii="Arial" w:cs="Arial" w:eastAsia="Arial" w:hAnsi="Arial"/>
                <w:sz w:val="18"/>
                <w:szCs w:val="18"/>
                <w:color w:val="auto"/>
                <w:w w:val="94"/>
              </w:rPr>
              <w:t>Australia</w:t>
            </w:r>
          </w:p>
        </w:tc>
        <w:tc>
          <w:tcPr>
            <w:tcW w:w="1000" w:type="dxa"/>
            <w:vAlign w:val="bottom"/>
          </w:tcPr>
          <w:p>
            <w:pPr>
              <w:jc w:val="right"/>
              <w:ind w:right="178"/>
              <w:spacing w:after="0"/>
              <w:rPr>
                <w:sz w:val="20"/>
                <w:szCs w:val="20"/>
                <w:color w:val="auto"/>
              </w:rPr>
            </w:pPr>
            <w:r>
              <w:rPr>
                <w:rFonts w:ascii="Arial" w:cs="Arial" w:eastAsia="Arial" w:hAnsi="Arial"/>
                <w:sz w:val="18"/>
                <w:szCs w:val="18"/>
                <w:color w:val="auto"/>
              </w:rPr>
              <w:t>100%</w:t>
            </w:r>
          </w:p>
        </w:tc>
        <w:tc>
          <w:tcPr>
            <w:tcW w:w="1000" w:type="dxa"/>
            <w:vAlign w:val="bottom"/>
          </w:tcPr>
          <w:p>
            <w:pPr>
              <w:jc w:val="right"/>
              <w:ind w:right="178"/>
              <w:spacing w:after="0"/>
              <w:rPr>
                <w:sz w:val="20"/>
                <w:szCs w:val="20"/>
                <w:color w:val="auto"/>
              </w:rPr>
            </w:pPr>
            <w:r>
              <w:rPr>
                <w:rFonts w:ascii="Arial" w:cs="Arial" w:eastAsia="Arial" w:hAnsi="Arial"/>
                <w:sz w:val="18"/>
                <w:szCs w:val="18"/>
                <w:color w:val="auto"/>
              </w:rPr>
              <w:t>100%</w:t>
            </w:r>
          </w:p>
        </w:tc>
        <w:tc>
          <w:tcPr>
            <w:tcW w:w="1240" w:type="dxa"/>
            <w:vAlign w:val="bottom"/>
          </w:tcPr>
          <w:p>
            <w:pPr>
              <w:jc w:val="right"/>
              <w:ind w:right="418"/>
              <w:spacing w:after="0"/>
              <w:rPr>
                <w:sz w:val="20"/>
                <w:szCs w:val="20"/>
                <w:color w:val="auto"/>
              </w:rPr>
            </w:pPr>
            <w:r>
              <w:rPr>
                <w:rFonts w:ascii="Arial" w:cs="Arial" w:eastAsia="Arial" w:hAnsi="Arial"/>
                <w:sz w:val="18"/>
                <w:szCs w:val="18"/>
                <w:color w:val="auto"/>
              </w:rPr>
              <w:t>100%</w:t>
            </w: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ind w:left="480"/>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0" w:type="dxa"/>
            <w:vAlign w:val="bottom"/>
            <w:gridSpan w:val="2"/>
          </w:tcPr>
          <w:p>
            <w:pPr>
              <w:ind w:left="460"/>
              <w:spacing w:after="0"/>
              <w:rPr>
                <w:sz w:val="20"/>
                <w:szCs w:val="20"/>
                <w:color w:val="auto"/>
              </w:rPr>
            </w:pPr>
            <w:r>
              <w:rPr>
                <w:rFonts w:ascii="Arial" w:cs="Arial" w:eastAsia="Arial" w:hAnsi="Arial"/>
                <w:sz w:val="18"/>
                <w:szCs w:val="18"/>
                <w:color w:val="auto"/>
              </w:rPr>
              <w:t>—</w:t>
            </w:r>
          </w:p>
        </w:tc>
      </w:tr>
      <w:tr>
        <w:trPr>
          <w:trHeight w:val="216"/>
        </w:trPr>
        <w:tc>
          <w:tcPr>
            <w:tcW w:w="20" w:type="dxa"/>
            <w:vAlign w:val="bottom"/>
          </w:tcPr>
          <w:p>
            <w:pPr>
              <w:spacing w:after="0"/>
              <w:rPr>
                <w:sz w:val="18"/>
                <w:szCs w:val="18"/>
                <w:color w:val="auto"/>
              </w:rPr>
            </w:pPr>
          </w:p>
        </w:tc>
        <w:tc>
          <w:tcPr>
            <w:tcW w:w="3220" w:type="dxa"/>
            <w:vAlign w:val="bottom"/>
            <w:shd w:val="clear" w:color="auto" w:fill="CCEEFF"/>
          </w:tcPr>
          <w:p>
            <w:pPr>
              <w:spacing w:after="0"/>
              <w:rPr>
                <w:sz w:val="20"/>
                <w:szCs w:val="20"/>
                <w:color w:val="auto"/>
              </w:rPr>
            </w:pPr>
            <w:r>
              <w:rPr>
                <w:rFonts w:ascii="Arial" w:cs="Arial" w:eastAsia="Arial" w:hAnsi="Arial"/>
                <w:sz w:val="18"/>
                <w:szCs w:val="18"/>
                <w:color w:val="auto"/>
              </w:rPr>
              <w:t>Visiomed Group Pty Ltd</w:t>
            </w:r>
          </w:p>
        </w:tc>
        <w:tc>
          <w:tcPr>
            <w:tcW w:w="2120" w:type="dxa"/>
            <w:vAlign w:val="bottom"/>
            <w:shd w:val="clear" w:color="auto" w:fill="CCEEFF"/>
          </w:tcPr>
          <w:p>
            <w:pPr>
              <w:jc w:val="center"/>
              <w:ind w:left="814"/>
              <w:spacing w:after="0"/>
              <w:rPr>
                <w:sz w:val="20"/>
                <w:szCs w:val="20"/>
                <w:color w:val="auto"/>
              </w:rPr>
            </w:pPr>
            <w:r>
              <w:rPr>
                <w:rFonts w:ascii="Arial" w:cs="Arial" w:eastAsia="Arial" w:hAnsi="Arial"/>
                <w:sz w:val="18"/>
                <w:szCs w:val="18"/>
                <w:color w:val="auto"/>
                <w:w w:val="94"/>
              </w:rPr>
              <w:t>Australia</w:t>
            </w:r>
          </w:p>
        </w:tc>
        <w:tc>
          <w:tcPr>
            <w:tcW w:w="1000" w:type="dxa"/>
            <w:vAlign w:val="bottom"/>
            <w:shd w:val="clear" w:color="auto" w:fill="CCEEFF"/>
          </w:tcPr>
          <w:p>
            <w:pPr>
              <w:jc w:val="right"/>
              <w:ind w:right="178"/>
              <w:spacing w:after="0"/>
              <w:rPr>
                <w:sz w:val="20"/>
                <w:szCs w:val="20"/>
                <w:color w:val="auto"/>
              </w:rPr>
            </w:pPr>
            <w:r>
              <w:rPr>
                <w:rFonts w:ascii="Arial" w:cs="Arial" w:eastAsia="Arial" w:hAnsi="Arial"/>
                <w:sz w:val="18"/>
                <w:szCs w:val="18"/>
                <w:color w:val="auto"/>
              </w:rPr>
              <w:t>100%</w:t>
            </w:r>
          </w:p>
        </w:tc>
        <w:tc>
          <w:tcPr>
            <w:tcW w:w="1000" w:type="dxa"/>
            <w:vAlign w:val="bottom"/>
            <w:shd w:val="clear" w:color="auto" w:fill="CCEEFF"/>
          </w:tcPr>
          <w:p>
            <w:pPr>
              <w:jc w:val="right"/>
              <w:ind w:right="178"/>
              <w:spacing w:after="0"/>
              <w:rPr>
                <w:sz w:val="20"/>
                <w:szCs w:val="20"/>
                <w:color w:val="auto"/>
              </w:rPr>
            </w:pPr>
            <w:r>
              <w:rPr>
                <w:rFonts w:ascii="Arial" w:cs="Arial" w:eastAsia="Arial" w:hAnsi="Arial"/>
                <w:sz w:val="18"/>
                <w:szCs w:val="18"/>
                <w:color w:val="auto"/>
              </w:rPr>
              <w:t>100%</w:t>
            </w:r>
          </w:p>
        </w:tc>
        <w:tc>
          <w:tcPr>
            <w:tcW w:w="1240" w:type="dxa"/>
            <w:vAlign w:val="bottom"/>
            <w:shd w:val="clear" w:color="auto" w:fill="CCEEFF"/>
          </w:tcPr>
          <w:p>
            <w:pPr>
              <w:jc w:val="right"/>
              <w:ind w:right="418"/>
              <w:spacing w:after="0"/>
              <w:rPr>
                <w:sz w:val="20"/>
                <w:szCs w:val="20"/>
                <w:color w:val="auto"/>
              </w:rPr>
            </w:pPr>
            <w:r>
              <w:rPr>
                <w:rFonts w:ascii="Arial" w:cs="Arial" w:eastAsia="Arial" w:hAnsi="Arial"/>
                <w:sz w:val="18"/>
                <w:szCs w:val="18"/>
                <w:color w:val="auto"/>
              </w:rPr>
              <w:t>100%</w:t>
            </w:r>
          </w:p>
        </w:tc>
        <w:tc>
          <w:tcPr>
            <w:tcW w:w="2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4,643,888</w:t>
            </w:r>
          </w:p>
        </w:tc>
        <w:tc>
          <w:tcPr>
            <w:tcW w:w="42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w w:val="87"/>
              </w:rPr>
              <w:t>4,643,888</w:t>
            </w:r>
          </w:p>
        </w:tc>
        <w:tc>
          <w:tcPr>
            <w:tcW w:w="60" w:type="dxa"/>
            <w:vAlign w:val="bottom"/>
            <w:shd w:val="clear" w:color="auto" w:fill="CCEEFF"/>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3220" w:type="dxa"/>
            <w:vAlign w:val="bottom"/>
          </w:tcPr>
          <w:p>
            <w:pPr>
              <w:spacing w:after="0"/>
              <w:rPr>
                <w:sz w:val="19"/>
                <w:szCs w:val="19"/>
                <w:color w:val="auto"/>
              </w:rPr>
            </w:pPr>
          </w:p>
        </w:tc>
        <w:tc>
          <w:tcPr>
            <w:tcW w:w="21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b w:val="1"/>
                <w:bCs w:val="1"/>
                <w:u w:val="single" w:color="auto"/>
                <w:color w:val="auto"/>
                <w:w w:val="85"/>
              </w:rPr>
              <w:t>A</w:t>
            </w:r>
            <w:r>
              <w:rPr>
                <w:rFonts w:ascii="Arial" w:cs="Arial" w:eastAsia="Arial" w:hAnsi="Arial"/>
                <w:sz w:val="18"/>
                <w:szCs w:val="18"/>
                <w:b w:val="1"/>
                <w:bCs w:val="1"/>
                <w:color w:val="auto"/>
                <w:w w:val="85"/>
              </w:rPr>
              <w:t>$ 4,643,888</w:t>
            </w:r>
          </w:p>
        </w:tc>
        <w:tc>
          <w:tcPr>
            <w:tcW w:w="420" w:type="dxa"/>
            <w:vAlign w:val="bottom"/>
          </w:tcPr>
          <w:p>
            <w:pPr>
              <w:spacing w:after="0"/>
              <w:rPr>
                <w:sz w:val="19"/>
                <w:szCs w:val="19"/>
                <w:color w:val="auto"/>
              </w:rPr>
            </w:pPr>
          </w:p>
        </w:tc>
        <w:tc>
          <w:tcPr>
            <w:tcW w:w="980" w:type="dxa"/>
            <w:vAlign w:val="bottom"/>
            <w:tcBorders>
              <w:bottom w:val="single" w:sz="8" w:color="auto"/>
            </w:tcBorders>
            <w:gridSpan w:val="2"/>
          </w:tcPr>
          <w:p>
            <w:pPr>
              <w:spacing w:after="0"/>
              <w:rPr>
                <w:sz w:val="20"/>
                <w:szCs w:val="20"/>
                <w:color w:val="auto"/>
              </w:rPr>
            </w:pPr>
            <w:r>
              <w:rPr>
                <w:rFonts w:ascii="Arial" w:cs="Arial" w:eastAsia="Arial" w:hAnsi="Arial"/>
                <w:sz w:val="18"/>
                <w:szCs w:val="18"/>
                <w:b w:val="1"/>
                <w:bCs w:val="1"/>
                <w:u w:val="single" w:color="auto"/>
                <w:color w:val="auto"/>
                <w:w w:val="88"/>
              </w:rPr>
              <w:t>A</w:t>
            </w:r>
            <w:r>
              <w:rPr>
                <w:rFonts w:ascii="Arial" w:cs="Arial" w:eastAsia="Arial" w:hAnsi="Arial"/>
                <w:sz w:val="18"/>
                <w:szCs w:val="18"/>
                <w:b w:val="1"/>
                <w:bCs w:val="1"/>
                <w:color w:val="auto"/>
                <w:w w:val="88"/>
              </w:rPr>
              <w:t>$ 4,643,888</w:t>
            </w:r>
          </w:p>
        </w:tc>
        <w:tc>
          <w:tcPr>
            <w:tcW w:w="60" w:type="dxa"/>
            <w:vAlign w:val="bottom"/>
          </w:tcPr>
          <w:p>
            <w:pPr>
              <w:spacing w:after="0"/>
              <w:rPr>
                <w:sz w:val="19"/>
                <w:szCs w:val="19"/>
                <w:color w:val="auto"/>
              </w:rPr>
            </w:pPr>
          </w:p>
        </w:tc>
      </w:tr>
      <w:tr>
        <w:trPr>
          <w:trHeight w:val="20"/>
        </w:trPr>
        <w:tc>
          <w:tcPr>
            <w:tcW w:w="20" w:type="dxa"/>
            <w:vAlign w:val="bottom"/>
          </w:tcPr>
          <w:p>
            <w:pPr>
              <w:spacing w:after="0" w:line="20" w:lineRule="exact"/>
              <w:rPr>
                <w:sz w:val="1"/>
                <w:szCs w:val="1"/>
                <w:color w:val="auto"/>
              </w:rPr>
            </w:pPr>
          </w:p>
        </w:tc>
        <w:tc>
          <w:tcPr>
            <w:tcW w:w="3220" w:type="dxa"/>
            <w:vAlign w:val="bottom"/>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117" w:lineRule="exact"/>
        <w:rPr>
          <w:sz w:val="20"/>
          <w:szCs w:val="20"/>
          <w:color w:val="auto"/>
        </w:rPr>
      </w:pPr>
    </w:p>
    <w:p>
      <w:pPr>
        <w:ind w:left="640" w:hanging="436"/>
        <w:spacing w:after="0"/>
        <w:tabs>
          <w:tab w:leader="none" w:pos="640" w:val="left"/>
        </w:tabs>
        <w:numPr>
          <w:ilvl w:val="0"/>
          <w:numId w:val="147"/>
        </w:numPr>
        <w:rPr>
          <w:rFonts w:ascii="Arial" w:cs="Arial" w:eastAsia="Arial" w:hAnsi="Arial"/>
          <w:sz w:val="18"/>
          <w:szCs w:val="18"/>
          <w:b w:val="1"/>
          <w:bCs w:val="1"/>
          <w:color w:val="auto"/>
        </w:rPr>
      </w:pPr>
      <w:r>
        <w:rPr>
          <w:rFonts w:ascii="Arial" w:cs="Arial" w:eastAsia="Arial" w:hAnsi="Arial"/>
          <w:sz w:val="18"/>
          <w:szCs w:val="18"/>
          <w:b w:val="1"/>
          <w:bCs w:val="1"/>
          <w:color w:val="auto"/>
        </w:rPr>
        <w:t>Ultimate parent</w:t>
      </w:r>
    </w:p>
    <w:p>
      <w:pPr>
        <w:spacing w:after="0" w:line="121" w:lineRule="exact"/>
        <w:rPr>
          <w:sz w:val="20"/>
          <w:szCs w:val="20"/>
          <w:color w:val="auto"/>
        </w:rPr>
      </w:pPr>
    </w:p>
    <w:p>
      <w:pPr>
        <w:ind w:left="200"/>
        <w:spacing w:after="0"/>
        <w:rPr>
          <w:sz w:val="20"/>
          <w:szCs w:val="20"/>
          <w:color w:val="auto"/>
        </w:rPr>
      </w:pPr>
      <w:r>
        <w:rPr>
          <w:rFonts w:ascii="Arial" w:cs="Arial" w:eastAsia="Arial" w:hAnsi="Arial"/>
          <w:sz w:val="18"/>
          <w:szCs w:val="18"/>
          <w:color w:val="auto"/>
        </w:rPr>
        <w:t>Avita Medical Limited is the ultimate parent entity in the wholly-owned company.</w:t>
      </w:r>
    </w:p>
    <w:p>
      <w:pPr>
        <w:spacing w:after="0" w:line="158" w:lineRule="exact"/>
        <w:rPr>
          <w:sz w:val="20"/>
          <w:szCs w:val="20"/>
          <w:color w:val="auto"/>
        </w:rPr>
      </w:pPr>
    </w:p>
    <w:p>
      <w:pPr>
        <w:ind w:left="5540"/>
        <w:spacing w:after="0"/>
        <w:rPr>
          <w:sz w:val="20"/>
          <w:szCs w:val="20"/>
          <w:color w:val="auto"/>
        </w:rPr>
      </w:pPr>
      <w:r>
        <w:rPr>
          <w:rFonts w:ascii="Arial" w:cs="Arial" w:eastAsia="Arial" w:hAnsi="Arial"/>
          <w:sz w:val="18"/>
          <w:szCs w:val="18"/>
          <w:color w:val="auto"/>
        </w:rPr>
        <w:t>F-34</w:t>
      </w:r>
    </w:p>
    <w:p>
      <w:pPr>
        <w:sectPr>
          <w:pgSz w:w="11900" w:h="16838" w:orient="portrait"/>
          <w:cols w:equalWidth="0" w:num="1">
            <w:col w:w="11240"/>
          </w:cols>
          <w:pgMar w:left="240" w:top="459" w:right="419" w:bottom="1440" w:gutter="0" w:footer="0" w:header="0"/>
        </w:sectPr>
      </w:pPr>
    </w:p>
    <w:bookmarkStart w:id="133" w:name="page134"/>
    <w:bookmarkEnd w:id="13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8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AVITA MEDICAL LIMITED</w:t>
      </w:r>
    </w:p>
    <w:p>
      <w:pPr>
        <w:spacing w:after="0" w:line="27"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9"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(IN AUSTRALIAN DOLLARS)</w:t>
      </w:r>
    </w:p>
    <w:p>
      <w:pPr>
        <w:spacing w:after="0" w:line="234" w:lineRule="exact"/>
        <w:rPr>
          <w:sz w:val="20"/>
          <w:szCs w:val="20"/>
          <w:color w:val="auto"/>
        </w:rPr>
      </w:pPr>
    </w:p>
    <w:p>
      <w:pPr>
        <w:ind w:left="640" w:hanging="436"/>
        <w:spacing w:after="0"/>
        <w:tabs>
          <w:tab w:leader="none" w:pos="640" w:val="left"/>
        </w:tabs>
        <w:numPr>
          <w:ilvl w:val="0"/>
          <w:numId w:val="148"/>
        </w:numPr>
        <w:rPr>
          <w:rFonts w:ascii="Arial" w:cs="Arial" w:eastAsia="Arial" w:hAnsi="Arial"/>
          <w:sz w:val="18"/>
          <w:szCs w:val="18"/>
          <w:b w:val="1"/>
          <w:bCs w:val="1"/>
          <w:color w:val="auto"/>
        </w:rPr>
      </w:pPr>
      <w:r>
        <w:rPr>
          <w:rFonts w:ascii="Arial" w:cs="Arial" w:eastAsia="Arial" w:hAnsi="Arial"/>
          <w:sz w:val="18"/>
          <w:szCs w:val="18"/>
          <w:b w:val="1"/>
          <w:bCs w:val="1"/>
          <w:color w:val="auto"/>
        </w:rPr>
        <w:t>RELATED PARTY DISCLOSURE (CONTINUED)</w:t>
      </w:r>
    </w:p>
    <w:p>
      <w:pPr>
        <w:spacing w:after="0" w:line="131" w:lineRule="exact"/>
        <w:rPr>
          <w:sz w:val="20"/>
          <w:szCs w:val="20"/>
          <w:color w:val="auto"/>
        </w:rPr>
      </w:pPr>
    </w:p>
    <w:p>
      <w:pPr>
        <w:ind w:left="640" w:hanging="436"/>
        <w:spacing w:after="0"/>
        <w:tabs>
          <w:tab w:leader="none" w:pos="640" w:val="left"/>
        </w:tabs>
        <w:numPr>
          <w:ilvl w:val="0"/>
          <w:numId w:val="149"/>
        </w:numPr>
        <w:rPr>
          <w:rFonts w:ascii="Arial" w:cs="Arial" w:eastAsia="Arial" w:hAnsi="Arial"/>
          <w:sz w:val="18"/>
          <w:szCs w:val="18"/>
          <w:b w:val="1"/>
          <w:bCs w:val="1"/>
          <w:color w:val="auto"/>
        </w:rPr>
      </w:pPr>
      <w:r>
        <w:rPr>
          <w:rFonts w:ascii="Arial" w:cs="Arial" w:eastAsia="Arial" w:hAnsi="Arial"/>
          <w:sz w:val="18"/>
          <w:szCs w:val="18"/>
          <w:b w:val="1"/>
          <w:bCs w:val="1"/>
          <w:color w:val="auto"/>
        </w:rPr>
        <w:t>Key Management Personnel</w:t>
      </w:r>
    </w:p>
    <w:p>
      <w:pPr>
        <w:spacing w:after="0" w:line="121" w:lineRule="exact"/>
        <w:rPr>
          <w:sz w:val="20"/>
          <w:szCs w:val="20"/>
          <w:color w:val="auto"/>
        </w:rPr>
      </w:pPr>
    </w:p>
    <w:p>
      <w:pPr>
        <w:ind w:left="200"/>
        <w:spacing w:after="0"/>
        <w:rPr>
          <w:sz w:val="20"/>
          <w:szCs w:val="20"/>
          <w:color w:val="auto"/>
        </w:rPr>
      </w:pPr>
      <w:r>
        <w:rPr>
          <w:rFonts w:ascii="Arial" w:cs="Arial" w:eastAsia="Arial" w:hAnsi="Arial"/>
          <w:sz w:val="18"/>
          <w:szCs w:val="18"/>
          <w:color w:val="auto"/>
        </w:rPr>
        <w:t>The total remuneration paid to key management personnel of the Company during year is detailed below.</w:t>
      </w:r>
    </w:p>
    <w:p>
      <w:pPr>
        <w:spacing w:after="0" w:line="231" w:lineRule="exact"/>
        <w:rPr>
          <w:sz w:val="20"/>
          <w:szCs w:val="20"/>
          <w:color w:val="auto"/>
        </w:rPr>
      </w:pPr>
    </w:p>
    <w:tbl>
      <w:tblPr>
        <w:tblLayout w:type="fixed"/>
        <w:tblInd w:w="20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960" w:type="dxa"/>
            <w:vAlign w:val="bottom"/>
          </w:tcPr>
          <w:p>
            <w:pPr>
              <w:spacing w:after="0"/>
              <w:rPr>
                <w:sz w:val="14"/>
                <w:szCs w:val="14"/>
                <w:color w:val="auto"/>
              </w:rPr>
            </w:pPr>
          </w:p>
        </w:tc>
        <w:tc>
          <w:tcPr>
            <w:tcW w:w="980" w:type="dxa"/>
            <w:vAlign w:val="bottom"/>
            <w:gridSpan w:val="2"/>
            <w:vMerge w:val="restart"/>
          </w:tcPr>
          <w:p>
            <w:pPr>
              <w:jc w:val="center"/>
              <w:spacing w:after="0"/>
              <w:rPr>
                <w:sz w:val="20"/>
                <w:szCs w:val="20"/>
                <w:color w:val="auto"/>
              </w:rPr>
            </w:pPr>
            <w:r>
              <w:rPr>
                <w:rFonts w:ascii="Arial" w:cs="Arial" w:eastAsia="Arial" w:hAnsi="Arial"/>
                <w:sz w:val="14"/>
                <w:szCs w:val="14"/>
                <w:b w:val="1"/>
                <w:bCs w:val="1"/>
                <w:color w:val="auto"/>
                <w:w w:val="89"/>
              </w:rPr>
              <w:t>2018</w:t>
            </w:r>
          </w:p>
        </w:tc>
        <w:tc>
          <w:tcPr>
            <w:tcW w:w="1840" w:type="dxa"/>
            <w:vAlign w:val="bottom"/>
            <w:gridSpan w:val="3"/>
          </w:tcPr>
          <w:p>
            <w:pPr>
              <w:jc w:val="center"/>
              <w:ind w:left="119"/>
              <w:spacing w:after="0"/>
              <w:rPr>
                <w:sz w:val="20"/>
                <w:szCs w:val="20"/>
                <w:color w:val="auto"/>
              </w:rPr>
            </w:pPr>
            <w:r>
              <w:rPr>
                <w:rFonts w:ascii="Arial" w:cs="Arial" w:eastAsia="Arial" w:hAnsi="Arial"/>
                <w:sz w:val="14"/>
                <w:szCs w:val="14"/>
                <w:b w:val="1"/>
                <w:bCs w:val="1"/>
                <w:color w:val="auto"/>
                <w:w w:val="91"/>
              </w:rPr>
              <w:t>Year ended June 30,</w:t>
            </w:r>
          </w:p>
        </w:tc>
        <w:tc>
          <w:tcPr>
            <w:tcW w:w="1180" w:type="dxa"/>
            <w:vAlign w:val="bottom"/>
            <w:gridSpan w:val="2"/>
            <w:vMerge w:val="restart"/>
          </w:tcPr>
          <w:p>
            <w:pPr>
              <w:jc w:val="right"/>
              <w:ind w:right="250"/>
              <w:spacing w:after="0"/>
              <w:rPr>
                <w:sz w:val="20"/>
                <w:szCs w:val="20"/>
                <w:color w:val="auto"/>
              </w:rPr>
            </w:pPr>
            <w:r>
              <w:rPr>
                <w:rFonts w:ascii="Arial" w:cs="Arial" w:eastAsia="Arial" w:hAnsi="Arial"/>
                <w:sz w:val="14"/>
                <w:szCs w:val="14"/>
                <w:b w:val="1"/>
                <w:bCs w:val="1"/>
                <w:color w:val="auto"/>
              </w:rPr>
              <w:t>2016</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6960" w:type="dxa"/>
            <w:vAlign w:val="bottom"/>
          </w:tcPr>
          <w:p>
            <w:pPr>
              <w:spacing w:after="0"/>
              <w:rPr>
                <w:sz w:val="14"/>
                <w:szCs w:val="14"/>
                <w:color w:val="auto"/>
              </w:rPr>
            </w:pPr>
          </w:p>
        </w:tc>
        <w:tc>
          <w:tcPr>
            <w:tcW w:w="980" w:type="dxa"/>
            <w:vAlign w:val="bottom"/>
            <w:gridSpan w:val="2"/>
            <w:vMerge w:val="continue"/>
          </w:tcPr>
          <w:p>
            <w:pPr>
              <w:spacing w:after="0"/>
              <w:rPr>
                <w:sz w:val="14"/>
                <w:szCs w:val="14"/>
                <w:color w:val="auto"/>
              </w:rPr>
            </w:pPr>
          </w:p>
        </w:tc>
        <w:tc>
          <w:tcPr>
            <w:tcW w:w="1500" w:type="dxa"/>
            <w:vAlign w:val="bottom"/>
            <w:gridSpan w:val="2"/>
          </w:tcPr>
          <w:p>
            <w:pPr>
              <w:jc w:val="center"/>
              <w:ind w:left="459"/>
              <w:spacing w:after="0"/>
              <w:rPr>
                <w:sz w:val="20"/>
                <w:szCs w:val="20"/>
                <w:color w:val="auto"/>
              </w:rPr>
            </w:pPr>
            <w:r>
              <w:rPr>
                <w:rFonts w:ascii="Arial" w:cs="Arial" w:eastAsia="Arial" w:hAnsi="Arial"/>
                <w:sz w:val="14"/>
                <w:szCs w:val="14"/>
                <w:b w:val="1"/>
                <w:bCs w:val="1"/>
                <w:color w:val="auto"/>
                <w:w w:val="89"/>
              </w:rPr>
              <w:t>2017</w:t>
            </w:r>
          </w:p>
        </w:tc>
        <w:tc>
          <w:tcPr>
            <w:tcW w:w="340" w:type="dxa"/>
            <w:vAlign w:val="bottom"/>
          </w:tcPr>
          <w:p>
            <w:pPr>
              <w:spacing w:after="0"/>
              <w:rPr>
                <w:sz w:val="14"/>
                <w:szCs w:val="14"/>
                <w:color w:val="auto"/>
              </w:rPr>
            </w:pPr>
          </w:p>
        </w:tc>
        <w:tc>
          <w:tcPr>
            <w:tcW w:w="1180" w:type="dxa"/>
            <w:vAlign w:val="bottom"/>
            <w:gridSpan w:val="2"/>
            <w:vMerge w:val="continue"/>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9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Short-term employee benefits</w:t>
            </w:r>
          </w:p>
        </w:tc>
        <w:tc>
          <w:tcPr>
            <w:tcW w:w="20" w:type="dxa"/>
            <w:vAlign w:val="bottom"/>
            <w:tcBorders>
              <w:top w:val="single" w:sz="8" w:color="CCEEFF"/>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2"/>
              </w:rPr>
              <w:t>A$3,770,141</w:t>
            </w:r>
          </w:p>
        </w:tc>
        <w:tc>
          <w:tcPr>
            <w:tcW w:w="540" w:type="dxa"/>
            <w:vAlign w:val="bottom"/>
            <w:tcBorders>
              <w:top w:val="single" w:sz="8" w:color="CCEEFF"/>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3"/>
              </w:rPr>
              <w:t>A$2,933,510</w:t>
            </w:r>
          </w:p>
        </w:tc>
        <w:tc>
          <w:tcPr>
            <w:tcW w:w="34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2"/>
              </w:rPr>
              <w:t>A$1,904,993</w:t>
            </w:r>
          </w:p>
        </w:tc>
        <w:tc>
          <w:tcPr>
            <w:tcW w:w="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60" w:type="dxa"/>
            <w:vAlign w:val="bottom"/>
          </w:tcPr>
          <w:p>
            <w:pPr>
              <w:spacing w:after="0"/>
              <w:rPr>
                <w:sz w:val="20"/>
                <w:szCs w:val="20"/>
                <w:color w:val="auto"/>
              </w:rPr>
            </w:pPr>
            <w:r>
              <w:rPr>
                <w:rFonts w:ascii="Arial" w:cs="Arial" w:eastAsia="Arial" w:hAnsi="Arial"/>
                <w:sz w:val="18"/>
                <w:szCs w:val="18"/>
                <w:color w:val="auto"/>
              </w:rPr>
              <w:t>Post-employment employee benefits</w:t>
            </w:r>
          </w:p>
        </w:tc>
        <w:tc>
          <w:tcPr>
            <w:tcW w:w="980" w:type="dxa"/>
            <w:vAlign w:val="bottom"/>
            <w:gridSpan w:val="2"/>
          </w:tcPr>
          <w:p>
            <w:pPr>
              <w:jc w:val="right"/>
              <w:spacing w:after="0"/>
              <w:rPr>
                <w:sz w:val="20"/>
                <w:szCs w:val="20"/>
                <w:color w:val="auto"/>
              </w:rPr>
            </w:pPr>
            <w:r>
              <w:rPr>
                <w:rFonts w:ascii="Arial" w:cs="Arial" w:eastAsia="Arial" w:hAnsi="Arial"/>
                <w:sz w:val="18"/>
                <w:szCs w:val="18"/>
                <w:color w:val="auto"/>
              </w:rPr>
              <w:t>90,512</w:t>
            </w:r>
          </w:p>
        </w:tc>
        <w:tc>
          <w:tcPr>
            <w:tcW w:w="1500" w:type="dxa"/>
            <w:vAlign w:val="bottom"/>
            <w:gridSpan w:val="2"/>
          </w:tcPr>
          <w:p>
            <w:pPr>
              <w:jc w:val="right"/>
              <w:spacing w:after="0"/>
              <w:rPr>
                <w:sz w:val="20"/>
                <w:szCs w:val="20"/>
                <w:color w:val="auto"/>
              </w:rPr>
            </w:pPr>
            <w:r>
              <w:rPr>
                <w:rFonts w:ascii="Arial" w:cs="Arial" w:eastAsia="Arial" w:hAnsi="Arial"/>
                <w:sz w:val="18"/>
                <w:szCs w:val="18"/>
                <w:color w:val="auto"/>
              </w:rPr>
              <w:t>112,034</w:t>
            </w:r>
          </w:p>
        </w:tc>
        <w:tc>
          <w:tcPr>
            <w:tcW w:w="340" w:type="dxa"/>
            <w:vAlign w:val="bottom"/>
          </w:tcPr>
          <w:p>
            <w:pPr>
              <w:spacing w:after="0"/>
              <w:rPr>
                <w:sz w:val="18"/>
                <w:szCs w:val="18"/>
                <w:color w:val="auto"/>
              </w:rPr>
            </w:pPr>
          </w:p>
        </w:tc>
        <w:tc>
          <w:tcPr>
            <w:tcW w:w="1180" w:type="dxa"/>
            <w:vAlign w:val="bottom"/>
            <w:gridSpan w:val="2"/>
          </w:tcPr>
          <w:p>
            <w:pPr>
              <w:jc w:val="right"/>
              <w:spacing w:after="0"/>
              <w:rPr>
                <w:sz w:val="20"/>
                <w:szCs w:val="20"/>
                <w:color w:val="auto"/>
              </w:rPr>
            </w:pPr>
            <w:r>
              <w:rPr>
                <w:rFonts w:ascii="Arial" w:cs="Arial" w:eastAsia="Arial" w:hAnsi="Arial"/>
                <w:sz w:val="18"/>
                <w:szCs w:val="18"/>
                <w:color w:val="auto"/>
              </w:rPr>
              <w:t>108,486</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60" w:type="dxa"/>
            <w:vAlign w:val="bottom"/>
            <w:shd w:val="clear" w:color="auto" w:fill="CCEEFF"/>
          </w:tcPr>
          <w:p>
            <w:pPr>
              <w:spacing w:after="0"/>
              <w:rPr>
                <w:sz w:val="20"/>
                <w:szCs w:val="20"/>
                <w:color w:val="auto"/>
              </w:rPr>
            </w:pPr>
            <w:r>
              <w:rPr>
                <w:rFonts w:ascii="Arial" w:cs="Arial" w:eastAsia="Arial" w:hAnsi="Arial"/>
                <w:sz w:val="18"/>
                <w:szCs w:val="18"/>
                <w:color w:val="auto"/>
              </w:rPr>
              <w:t>Share-based expenses</w:t>
            </w:r>
          </w:p>
        </w:tc>
        <w:tc>
          <w:tcPr>
            <w:tcW w:w="9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1,596,368</w:t>
            </w:r>
          </w:p>
        </w:tc>
        <w:tc>
          <w:tcPr>
            <w:tcW w:w="15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1,215,809</w:t>
            </w:r>
          </w:p>
        </w:tc>
        <w:tc>
          <w:tcPr>
            <w:tcW w:w="3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902,959</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6980" w:type="dxa"/>
            <w:vAlign w:val="bottom"/>
            <w:gridSpan w:val="2"/>
          </w:tcPr>
          <w:p>
            <w:pPr>
              <w:spacing w:after="0"/>
              <w:rPr>
                <w:sz w:val="20"/>
                <w:szCs w:val="20"/>
                <w:color w:val="auto"/>
              </w:rPr>
            </w:pPr>
            <w:r>
              <w:rPr>
                <w:rFonts w:ascii="Arial" w:cs="Arial" w:eastAsia="Arial" w:hAnsi="Arial"/>
                <w:sz w:val="18"/>
                <w:szCs w:val="18"/>
                <w:b w:val="1"/>
                <w:bCs w:val="1"/>
                <w:color w:val="auto"/>
              </w:rPr>
              <w:t>Total compensation</w:t>
            </w:r>
          </w:p>
        </w:tc>
        <w:tc>
          <w:tcPr>
            <w:tcW w:w="20" w:type="dxa"/>
            <w:vAlign w:val="bottom"/>
            <w:tcBorders>
              <w:bottom w:val="single" w:sz="8" w:color="auto"/>
            </w:tcBorders>
          </w:tcPr>
          <w:p>
            <w:pPr>
              <w:spacing w:after="0"/>
              <w:rPr>
                <w:sz w:val="19"/>
                <w:szCs w:val="19"/>
                <w:color w:val="auto"/>
              </w:rPr>
            </w:pPr>
          </w:p>
        </w:tc>
        <w:tc>
          <w:tcPr>
            <w:tcW w:w="96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8"/>
                <w:szCs w:val="18"/>
                <w:u w:val="single" w:color="auto"/>
                <w:color w:val="auto"/>
                <w:w w:val="87"/>
              </w:rPr>
              <w:t>A</w:t>
            </w:r>
            <w:r>
              <w:rPr>
                <w:rFonts w:ascii="Arial" w:cs="Arial" w:eastAsia="Arial" w:hAnsi="Arial"/>
                <w:sz w:val="18"/>
                <w:szCs w:val="18"/>
                <w:color w:val="auto"/>
                <w:w w:val="87"/>
              </w:rPr>
              <w:t xml:space="preserve">$ </w:t>
            </w:r>
            <w:r>
              <w:rPr>
                <w:rFonts w:ascii="Arial" w:cs="Arial" w:eastAsia="Arial" w:hAnsi="Arial"/>
                <w:sz w:val="18"/>
                <w:szCs w:val="18"/>
                <w:b w:val="1"/>
                <w:bCs w:val="1"/>
                <w:color w:val="auto"/>
                <w:w w:val="87"/>
              </w:rPr>
              <w:t>5,457,021</w:t>
            </w:r>
          </w:p>
        </w:tc>
        <w:tc>
          <w:tcPr>
            <w:tcW w:w="540" w:type="dxa"/>
            <w:vAlign w:val="bottom"/>
          </w:tcPr>
          <w:p>
            <w:pPr>
              <w:spacing w:after="0"/>
              <w:rPr>
                <w:sz w:val="19"/>
                <w:szCs w:val="19"/>
                <w:color w:val="auto"/>
              </w:rPr>
            </w:pPr>
          </w:p>
        </w:tc>
        <w:tc>
          <w:tcPr>
            <w:tcW w:w="96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8"/>
                <w:szCs w:val="18"/>
                <w:b w:val="1"/>
                <w:bCs w:val="1"/>
                <w:u w:val="single" w:color="auto"/>
                <w:color w:val="auto"/>
                <w:w w:val="93"/>
              </w:rPr>
              <w:t>A$</w:t>
            </w:r>
            <w:r>
              <w:rPr>
                <w:rFonts w:ascii="Arial" w:cs="Arial" w:eastAsia="Arial" w:hAnsi="Arial"/>
                <w:sz w:val="18"/>
                <w:szCs w:val="18"/>
                <w:b w:val="1"/>
                <w:bCs w:val="1"/>
                <w:color w:val="auto"/>
                <w:w w:val="93"/>
              </w:rPr>
              <w:t>4,261,353</w:t>
            </w:r>
          </w:p>
        </w:tc>
        <w:tc>
          <w:tcPr>
            <w:tcW w:w="3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u w:val="single" w:color="auto"/>
                <w:color w:val="auto"/>
                <w:w w:val="91"/>
              </w:rPr>
              <w:t>A$</w:t>
            </w:r>
            <w:r>
              <w:rPr>
                <w:rFonts w:ascii="Arial" w:cs="Arial" w:eastAsia="Arial" w:hAnsi="Arial"/>
                <w:sz w:val="18"/>
                <w:szCs w:val="18"/>
                <w:b w:val="1"/>
                <w:bCs w:val="1"/>
                <w:color w:val="auto"/>
                <w:w w:val="91"/>
              </w:rPr>
              <w:t>2,916,438</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9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ind w:left="200" w:right="180"/>
        <w:spacing w:after="0" w:line="277" w:lineRule="auto"/>
        <w:rPr>
          <w:sz w:val="20"/>
          <w:szCs w:val="20"/>
          <w:color w:val="auto"/>
        </w:rPr>
      </w:pPr>
      <w:r>
        <w:rPr>
          <w:rFonts w:ascii="Arial" w:cs="Arial" w:eastAsia="Arial" w:hAnsi="Arial"/>
          <w:sz w:val="18"/>
          <w:szCs w:val="18"/>
          <w:color w:val="auto"/>
        </w:rPr>
        <w:t>Refer to the remuneration report contained the Directors’ Report for details of the remuneration paid or payable to each member of the Company’s key management personnel for the year ended June 30, 2018.</w:t>
      </w:r>
    </w:p>
    <w:p>
      <w:pPr>
        <w:spacing w:after="0" w:line="170" w:lineRule="exact"/>
        <w:rPr>
          <w:sz w:val="20"/>
          <w:szCs w:val="20"/>
          <w:color w:val="auto"/>
        </w:rPr>
      </w:pPr>
    </w:p>
    <w:p>
      <w:pPr>
        <w:jc w:val="both"/>
        <w:ind w:left="200" w:right="420"/>
        <w:spacing w:after="0" w:line="264" w:lineRule="auto"/>
        <w:rPr>
          <w:sz w:val="20"/>
          <w:szCs w:val="20"/>
          <w:color w:val="auto"/>
        </w:rPr>
      </w:pPr>
      <w:r>
        <w:rPr>
          <w:rFonts w:ascii="Arial" w:cs="Arial" w:eastAsia="Arial" w:hAnsi="Arial"/>
          <w:sz w:val="18"/>
          <w:szCs w:val="18"/>
          <w:color w:val="auto"/>
        </w:rPr>
        <w:t>The total amount of transactions entered into with Key Management Personnel for the year ended June 30, 2018 were A$157,728 Consultancy fees (2017: A$128,987 and 2016: A$59,675) paid under normal terms and conditions to Bioscience Managers Pty Ltd of which Mr. Curnock Cook is an officer and Dr. Michael Perry is a director.</w:t>
      </w:r>
    </w:p>
    <w:p>
      <w:pPr>
        <w:spacing w:after="0" w:line="326" w:lineRule="exact"/>
        <w:rPr>
          <w:sz w:val="20"/>
          <w:szCs w:val="20"/>
          <w:color w:val="auto"/>
        </w:rPr>
      </w:pPr>
    </w:p>
    <w:p>
      <w:pPr>
        <w:ind w:left="640" w:hanging="436"/>
        <w:spacing w:after="0"/>
        <w:tabs>
          <w:tab w:leader="none" w:pos="640" w:val="left"/>
        </w:tabs>
        <w:numPr>
          <w:ilvl w:val="0"/>
          <w:numId w:val="150"/>
        </w:numPr>
        <w:rPr>
          <w:rFonts w:ascii="Arial" w:cs="Arial" w:eastAsia="Arial" w:hAnsi="Arial"/>
          <w:sz w:val="18"/>
          <w:szCs w:val="18"/>
          <w:b w:val="1"/>
          <w:bCs w:val="1"/>
          <w:color w:val="auto"/>
        </w:rPr>
      </w:pPr>
      <w:r>
        <w:rPr>
          <w:rFonts w:ascii="Arial" w:cs="Arial" w:eastAsia="Arial" w:hAnsi="Arial"/>
          <w:sz w:val="18"/>
          <w:szCs w:val="18"/>
          <w:b w:val="1"/>
          <w:bCs w:val="1"/>
          <w:color w:val="auto"/>
        </w:rPr>
        <w:t>Transactions with related parties</w:t>
      </w:r>
    </w:p>
    <w:p>
      <w:pPr>
        <w:spacing w:after="0" w:line="121" w:lineRule="exact"/>
        <w:rPr>
          <w:sz w:val="20"/>
          <w:szCs w:val="20"/>
          <w:color w:val="auto"/>
        </w:rPr>
      </w:pPr>
    </w:p>
    <w:p>
      <w:pPr>
        <w:ind w:left="200"/>
        <w:spacing w:after="0"/>
        <w:rPr>
          <w:sz w:val="20"/>
          <w:szCs w:val="20"/>
          <w:color w:val="auto"/>
        </w:rPr>
      </w:pPr>
      <w:r>
        <w:rPr>
          <w:rFonts w:ascii="Arial" w:cs="Arial" w:eastAsia="Arial" w:hAnsi="Arial"/>
          <w:sz w:val="18"/>
          <w:szCs w:val="18"/>
          <w:i w:val="1"/>
          <w:iCs w:val="1"/>
          <w:color w:val="auto"/>
        </w:rPr>
        <w:t>Subsidiaries of the Company</w:t>
      </w:r>
    </w:p>
    <w:p>
      <w:pPr>
        <w:spacing w:after="0" w:line="117" w:lineRule="exact"/>
        <w:rPr>
          <w:sz w:val="20"/>
          <w:szCs w:val="20"/>
          <w:color w:val="auto"/>
        </w:rPr>
      </w:pPr>
    </w:p>
    <w:p>
      <w:pPr>
        <w:ind w:left="200" w:right="360"/>
        <w:spacing w:after="0" w:line="277" w:lineRule="auto"/>
        <w:rPr>
          <w:sz w:val="20"/>
          <w:szCs w:val="20"/>
          <w:color w:val="auto"/>
        </w:rPr>
      </w:pPr>
      <w:r>
        <w:rPr>
          <w:rFonts w:ascii="Arial" w:cs="Arial" w:eastAsia="Arial" w:hAnsi="Arial"/>
          <w:sz w:val="18"/>
          <w:szCs w:val="18"/>
          <w:color w:val="auto"/>
        </w:rPr>
        <w:t>During the reporting period, inter-company other revenue was made of A$2,819,592 (2017: A$2,087,051 and 2016: A$1,995,041) by Avita Medical Europe Ltd and Avita Medical Americas LLC to Avita Medical Limited. These have been eliminated on consolidation.</w:t>
      </w:r>
    </w:p>
    <w:p>
      <w:pPr>
        <w:spacing w:after="0" w:line="279" w:lineRule="exact"/>
        <w:rPr>
          <w:sz w:val="20"/>
          <w:szCs w:val="20"/>
          <w:color w:val="auto"/>
        </w:rPr>
      </w:pPr>
    </w:p>
    <w:p>
      <w:pPr>
        <w:ind w:left="200"/>
        <w:spacing w:after="0"/>
        <w:rPr>
          <w:sz w:val="20"/>
          <w:szCs w:val="20"/>
          <w:color w:val="auto"/>
        </w:rPr>
      </w:pPr>
      <w:r>
        <w:rPr>
          <w:rFonts w:ascii="Arial" w:cs="Arial" w:eastAsia="Arial" w:hAnsi="Arial"/>
          <w:sz w:val="18"/>
          <w:szCs w:val="18"/>
          <w:i w:val="1"/>
          <w:iCs w:val="1"/>
          <w:color w:val="auto"/>
        </w:rPr>
        <w:t>Employees</w:t>
      </w:r>
    </w:p>
    <w:p>
      <w:pPr>
        <w:spacing w:after="0" w:line="117" w:lineRule="exact"/>
        <w:rPr>
          <w:sz w:val="20"/>
          <w:szCs w:val="20"/>
          <w:color w:val="auto"/>
        </w:rPr>
      </w:pPr>
    </w:p>
    <w:p>
      <w:pPr>
        <w:ind w:left="200"/>
        <w:spacing w:after="0"/>
        <w:rPr>
          <w:sz w:val="20"/>
          <w:szCs w:val="20"/>
          <w:color w:val="auto"/>
        </w:rPr>
      </w:pPr>
      <w:r>
        <w:rPr>
          <w:rFonts w:ascii="Arial" w:cs="Arial" w:eastAsia="Arial" w:hAnsi="Arial"/>
          <w:sz w:val="18"/>
          <w:szCs w:val="18"/>
          <w:color w:val="auto"/>
        </w:rPr>
        <w:t>Contributions to superannuation funds on behalf of employees are disclosed in note 4(g).</w:t>
      </w:r>
    </w:p>
    <w:p>
      <w:pPr>
        <w:spacing w:after="0" w:line="333" w:lineRule="exact"/>
        <w:rPr>
          <w:sz w:val="20"/>
          <w:szCs w:val="20"/>
          <w:color w:val="auto"/>
        </w:rPr>
      </w:pPr>
    </w:p>
    <w:p>
      <w:pPr>
        <w:ind w:left="200"/>
        <w:spacing w:after="0"/>
        <w:rPr>
          <w:sz w:val="20"/>
          <w:szCs w:val="20"/>
          <w:color w:val="auto"/>
        </w:rPr>
      </w:pPr>
      <w:r>
        <w:rPr>
          <w:rFonts w:ascii="Arial" w:cs="Arial" w:eastAsia="Arial" w:hAnsi="Arial"/>
          <w:sz w:val="18"/>
          <w:szCs w:val="18"/>
          <w:i w:val="1"/>
          <w:iCs w:val="1"/>
          <w:color w:val="auto"/>
        </w:rPr>
        <w:t>Terms and conditions of transactions with related parties</w:t>
      </w:r>
    </w:p>
    <w:p>
      <w:pPr>
        <w:spacing w:after="0" w:line="117" w:lineRule="exact"/>
        <w:rPr>
          <w:sz w:val="20"/>
          <w:szCs w:val="20"/>
          <w:color w:val="auto"/>
        </w:rPr>
      </w:pPr>
    </w:p>
    <w:p>
      <w:pPr>
        <w:ind w:left="200"/>
        <w:spacing w:after="0"/>
        <w:rPr>
          <w:sz w:val="20"/>
          <w:szCs w:val="20"/>
          <w:color w:val="auto"/>
        </w:rPr>
      </w:pPr>
      <w:r>
        <w:rPr>
          <w:rFonts w:ascii="Arial" w:cs="Arial" w:eastAsia="Arial" w:hAnsi="Arial"/>
          <w:sz w:val="18"/>
          <w:szCs w:val="18"/>
          <w:color w:val="auto"/>
        </w:rPr>
        <w:t>Outstanding balances at year end are unsecured, interest free and settlement occurs in cash.</w:t>
      </w:r>
    </w:p>
    <w:p>
      <w:pPr>
        <w:spacing w:after="0" w:line="370" w:lineRule="exact"/>
        <w:rPr>
          <w:sz w:val="20"/>
          <w:szCs w:val="20"/>
          <w:color w:val="auto"/>
        </w:rPr>
      </w:pPr>
    </w:p>
    <w:p>
      <w:pPr>
        <w:ind w:left="640" w:hanging="436"/>
        <w:spacing w:after="0"/>
        <w:tabs>
          <w:tab w:leader="none" w:pos="640" w:val="left"/>
        </w:tabs>
        <w:numPr>
          <w:ilvl w:val="0"/>
          <w:numId w:val="151"/>
        </w:numPr>
        <w:rPr>
          <w:rFonts w:ascii="Arial" w:cs="Arial" w:eastAsia="Arial" w:hAnsi="Arial"/>
          <w:sz w:val="18"/>
          <w:szCs w:val="18"/>
          <w:b w:val="1"/>
          <w:bCs w:val="1"/>
          <w:color w:val="auto"/>
        </w:rPr>
      </w:pPr>
      <w:r>
        <w:rPr>
          <w:rFonts w:ascii="Arial" w:cs="Arial" w:eastAsia="Arial" w:hAnsi="Arial"/>
          <w:sz w:val="18"/>
          <w:szCs w:val="18"/>
          <w:b w:val="1"/>
          <w:bCs w:val="1"/>
          <w:color w:val="auto"/>
        </w:rPr>
        <w:t>SHARE-BASED PAYMENT PLANS</w:t>
      </w:r>
    </w:p>
    <w:p>
      <w:pPr>
        <w:spacing w:after="0" w:line="131" w:lineRule="exact"/>
        <w:rPr>
          <w:sz w:val="20"/>
          <w:szCs w:val="20"/>
          <w:color w:val="auto"/>
        </w:rPr>
      </w:pPr>
    </w:p>
    <w:p>
      <w:pPr>
        <w:ind w:left="640" w:hanging="436"/>
        <w:spacing w:after="0"/>
        <w:tabs>
          <w:tab w:leader="none" w:pos="640" w:val="left"/>
        </w:tabs>
        <w:numPr>
          <w:ilvl w:val="0"/>
          <w:numId w:val="152"/>
        </w:numPr>
        <w:rPr>
          <w:rFonts w:ascii="Arial" w:cs="Arial" w:eastAsia="Arial" w:hAnsi="Arial"/>
          <w:sz w:val="18"/>
          <w:szCs w:val="18"/>
          <w:b w:val="1"/>
          <w:bCs w:val="1"/>
          <w:color w:val="auto"/>
        </w:rPr>
      </w:pPr>
      <w:r>
        <w:rPr>
          <w:rFonts w:ascii="Arial" w:cs="Arial" w:eastAsia="Arial" w:hAnsi="Arial"/>
          <w:sz w:val="18"/>
          <w:szCs w:val="18"/>
          <w:b w:val="1"/>
          <w:bCs w:val="1"/>
          <w:color w:val="auto"/>
        </w:rPr>
        <w:t>Recognized share-based payment expenses</w:t>
      </w:r>
    </w:p>
    <w:p>
      <w:pPr>
        <w:spacing w:after="0" w:line="121" w:lineRule="exact"/>
        <w:rPr>
          <w:sz w:val="20"/>
          <w:szCs w:val="20"/>
          <w:color w:val="auto"/>
        </w:rPr>
      </w:pPr>
    </w:p>
    <w:p>
      <w:pPr>
        <w:ind w:left="200"/>
        <w:spacing w:after="0"/>
        <w:rPr>
          <w:sz w:val="20"/>
          <w:szCs w:val="20"/>
          <w:color w:val="auto"/>
        </w:rPr>
      </w:pPr>
      <w:r>
        <w:rPr>
          <w:rFonts w:ascii="Arial" w:cs="Arial" w:eastAsia="Arial" w:hAnsi="Arial"/>
          <w:sz w:val="18"/>
          <w:szCs w:val="18"/>
          <w:color w:val="auto"/>
        </w:rPr>
        <w:t>The expense recognized for employee services received during the year is shown in the table below:</w:t>
      </w:r>
    </w:p>
    <w:p>
      <w:pPr>
        <w:spacing w:after="0" w:line="231" w:lineRule="exact"/>
        <w:rPr>
          <w:sz w:val="20"/>
          <w:szCs w:val="20"/>
          <w:color w:val="auto"/>
        </w:rPr>
      </w:pPr>
    </w:p>
    <w:tbl>
      <w:tblPr>
        <w:tblLayout w:type="fixed"/>
        <w:tblInd w:w="20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200" w:type="dxa"/>
            <w:vAlign w:val="bottom"/>
          </w:tcPr>
          <w:p>
            <w:pPr>
              <w:spacing w:after="0"/>
              <w:rPr>
                <w:sz w:val="14"/>
                <w:szCs w:val="14"/>
                <w:color w:val="auto"/>
              </w:rPr>
            </w:pPr>
          </w:p>
        </w:tc>
        <w:tc>
          <w:tcPr>
            <w:tcW w:w="2860" w:type="dxa"/>
            <w:vAlign w:val="bottom"/>
            <w:gridSpan w:val="2"/>
            <w:vMerge w:val="restart"/>
          </w:tcPr>
          <w:p>
            <w:pPr>
              <w:jc w:val="center"/>
              <w:ind w:left="1819"/>
              <w:spacing w:after="0"/>
              <w:rPr>
                <w:sz w:val="20"/>
                <w:szCs w:val="20"/>
                <w:color w:val="auto"/>
              </w:rPr>
            </w:pPr>
            <w:r>
              <w:rPr>
                <w:rFonts w:ascii="Arial" w:cs="Arial" w:eastAsia="Arial" w:hAnsi="Arial"/>
                <w:sz w:val="14"/>
                <w:szCs w:val="14"/>
                <w:b w:val="1"/>
                <w:bCs w:val="1"/>
                <w:color w:val="auto"/>
                <w:w w:val="89"/>
              </w:rPr>
              <w:t>2018</w:t>
            </w:r>
          </w:p>
        </w:tc>
        <w:tc>
          <w:tcPr>
            <w:tcW w:w="1820" w:type="dxa"/>
            <w:vAlign w:val="bottom"/>
            <w:gridSpan w:val="3"/>
          </w:tcPr>
          <w:p>
            <w:pPr>
              <w:ind w:left="340"/>
              <w:spacing w:after="0"/>
              <w:rPr>
                <w:sz w:val="20"/>
                <w:szCs w:val="20"/>
                <w:color w:val="auto"/>
              </w:rPr>
            </w:pPr>
            <w:r>
              <w:rPr>
                <w:rFonts w:ascii="Arial" w:cs="Arial" w:eastAsia="Arial" w:hAnsi="Arial"/>
                <w:sz w:val="14"/>
                <w:szCs w:val="14"/>
                <w:b w:val="1"/>
                <w:bCs w:val="1"/>
                <w:color w:val="auto"/>
              </w:rPr>
              <w:t>Year ended June 30,</w:t>
            </w:r>
          </w:p>
        </w:tc>
        <w:tc>
          <w:tcPr>
            <w:tcW w:w="1080" w:type="dxa"/>
            <w:vAlign w:val="bottom"/>
            <w:gridSpan w:val="2"/>
            <w:vMerge w:val="restart"/>
          </w:tcPr>
          <w:p>
            <w:pPr>
              <w:jc w:val="center"/>
              <w:ind w:left="168"/>
              <w:spacing w:after="0"/>
              <w:rPr>
                <w:sz w:val="20"/>
                <w:szCs w:val="20"/>
                <w:color w:val="auto"/>
              </w:rPr>
            </w:pPr>
            <w:r>
              <w:rPr>
                <w:rFonts w:ascii="Arial" w:cs="Arial" w:eastAsia="Arial" w:hAnsi="Arial"/>
                <w:sz w:val="14"/>
                <w:szCs w:val="14"/>
                <w:b w:val="1"/>
                <w:bCs w:val="1"/>
                <w:color w:val="auto"/>
                <w:w w:val="89"/>
              </w:rPr>
              <w:t>2016</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5200" w:type="dxa"/>
            <w:vAlign w:val="bottom"/>
          </w:tcPr>
          <w:p>
            <w:pPr>
              <w:spacing w:after="0"/>
              <w:rPr>
                <w:sz w:val="14"/>
                <w:szCs w:val="14"/>
                <w:color w:val="auto"/>
              </w:rPr>
            </w:pPr>
          </w:p>
        </w:tc>
        <w:tc>
          <w:tcPr>
            <w:tcW w:w="2860" w:type="dxa"/>
            <w:vAlign w:val="bottom"/>
            <w:gridSpan w:val="2"/>
            <w:vMerge w:val="continue"/>
          </w:tcPr>
          <w:p>
            <w:pPr>
              <w:spacing w:after="0"/>
              <w:rPr>
                <w:sz w:val="14"/>
                <w:szCs w:val="14"/>
                <w:color w:val="auto"/>
              </w:rPr>
            </w:pPr>
          </w:p>
        </w:tc>
        <w:tc>
          <w:tcPr>
            <w:tcW w:w="1520" w:type="dxa"/>
            <w:vAlign w:val="bottom"/>
            <w:gridSpan w:val="2"/>
          </w:tcPr>
          <w:p>
            <w:pPr>
              <w:jc w:val="center"/>
              <w:ind w:left="468"/>
              <w:spacing w:after="0"/>
              <w:rPr>
                <w:sz w:val="20"/>
                <w:szCs w:val="20"/>
                <w:color w:val="auto"/>
              </w:rPr>
            </w:pPr>
            <w:r>
              <w:rPr>
                <w:rFonts w:ascii="Arial" w:cs="Arial" w:eastAsia="Arial" w:hAnsi="Arial"/>
                <w:sz w:val="14"/>
                <w:szCs w:val="14"/>
                <w:b w:val="1"/>
                <w:bCs w:val="1"/>
                <w:color w:val="auto"/>
                <w:w w:val="96"/>
              </w:rPr>
              <w:t>2017</w:t>
            </w:r>
          </w:p>
        </w:tc>
        <w:tc>
          <w:tcPr>
            <w:tcW w:w="300" w:type="dxa"/>
            <w:vAlign w:val="bottom"/>
          </w:tcPr>
          <w:p>
            <w:pPr>
              <w:spacing w:after="0"/>
              <w:rPr>
                <w:sz w:val="14"/>
                <w:szCs w:val="14"/>
                <w:color w:val="auto"/>
              </w:rPr>
            </w:pPr>
          </w:p>
        </w:tc>
        <w:tc>
          <w:tcPr>
            <w:tcW w:w="1080" w:type="dxa"/>
            <w:vAlign w:val="bottom"/>
            <w:gridSpan w:val="2"/>
            <w:vMerge w:val="continue"/>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2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w w:val="90"/>
              </w:rPr>
              <w:t>Expenses arising from equity-settled share-based payment transactions</w:t>
            </w:r>
          </w:p>
        </w:tc>
        <w:tc>
          <w:tcPr>
            <w:tcW w:w="1900" w:type="dxa"/>
            <w:vAlign w:val="bottom"/>
            <w:tcBorders>
              <w:top w:val="single" w:sz="8" w:color="CCEEFF"/>
            </w:tcBorders>
            <w:shd w:val="clear" w:color="auto" w:fill="CCEEFF"/>
          </w:tcPr>
          <w:p>
            <w:pPr>
              <w:spacing w:after="0"/>
              <w:rPr>
                <w:sz w:val="18"/>
                <w:szCs w:val="18"/>
                <w:color w:val="auto"/>
              </w:rPr>
            </w:pPr>
          </w:p>
        </w:tc>
        <w:tc>
          <w:tcPr>
            <w:tcW w:w="960" w:type="dxa"/>
            <w:vAlign w:val="bottom"/>
            <w:tcBorders>
              <w:top w:val="single" w:sz="8" w:color="auto"/>
              <w:bottom w:val="single" w:sz="8" w:color="auto"/>
            </w:tcBorders>
            <w:shd w:val="clear" w:color="auto" w:fill="CCEEFF"/>
          </w:tcPr>
          <w:p>
            <w:pPr>
              <w:jc w:val="center"/>
              <w:spacing w:after="0"/>
              <w:rPr>
                <w:sz w:val="20"/>
                <w:szCs w:val="20"/>
                <w:color w:val="auto"/>
              </w:rPr>
            </w:pPr>
            <w:r>
              <w:rPr>
                <w:rFonts w:ascii="Arial" w:cs="Arial" w:eastAsia="Arial" w:hAnsi="Arial"/>
                <w:sz w:val="18"/>
                <w:szCs w:val="18"/>
                <w:u w:val="single" w:color="auto"/>
                <w:color w:val="auto"/>
                <w:w w:val="93"/>
              </w:rPr>
              <w:t>A$</w:t>
            </w:r>
            <w:r>
              <w:rPr>
                <w:rFonts w:ascii="Arial" w:cs="Arial" w:eastAsia="Arial" w:hAnsi="Arial"/>
                <w:sz w:val="18"/>
                <w:szCs w:val="18"/>
                <w:color w:val="auto"/>
                <w:w w:val="93"/>
              </w:rPr>
              <w:t>1,835,157</w:t>
            </w:r>
          </w:p>
        </w:tc>
        <w:tc>
          <w:tcPr>
            <w:tcW w:w="560" w:type="dxa"/>
            <w:vAlign w:val="bottom"/>
            <w:tcBorders>
              <w:top w:val="single" w:sz="8" w:color="CCEEFF"/>
            </w:tcBorders>
            <w:shd w:val="clear" w:color="auto" w:fill="CCEEFF"/>
          </w:tcPr>
          <w:p>
            <w:pPr>
              <w:spacing w:after="0"/>
              <w:rPr>
                <w:sz w:val="18"/>
                <w:szCs w:val="18"/>
                <w:color w:val="auto"/>
              </w:rPr>
            </w:pPr>
          </w:p>
        </w:tc>
        <w:tc>
          <w:tcPr>
            <w:tcW w:w="960" w:type="dxa"/>
            <w:vAlign w:val="bottom"/>
            <w:tcBorders>
              <w:top w:val="single" w:sz="8" w:color="auto"/>
              <w:bottom w:val="single" w:sz="8" w:color="auto"/>
            </w:tcBorders>
            <w:shd w:val="clear" w:color="auto" w:fill="CCEEFF"/>
          </w:tcPr>
          <w:p>
            <w:pPr>
              <w:jc w:val="center"/>
              <w:spacing w:after="0"/>
              <w:rPr>
                <w:sz w:val="20"/>
                <w:szCs w:val="20"/>
                <w:color w:val="auto"/>
              </w:rPr>
            </w:pPr>
            <w:r>
              <w:rPr>
                <w:rFonts w:ascii="Arial" w:cs="Arial" w:eastAsia="Arial" w:hAnsi="Arial"/>
                <w:sz w:val="18"/>
                <w:szCs w:val="18"/>
                <w:u w:val="single" w:color="auto"/>
                <w:color w:val="auto"/>
                <w:w w:val="93"/>
              </w:rPr>
              <w:t>A$</w:t>
            </w:r>
            <w:r>
              <w:rPr>
                <w:rFonts w:ascii="Arial" w:cs="Arial" w:eastAsia="Arial" w:hAnsi="Arial"/>
                <w:sz w:val="18"/>
                <w:szCs w:val="18"/>
                <w:color w:val="auto"/>
                <w:w w:val="93"/>
              </w:rPr>
              <w:t>1,587,243</w:t>
            </w:r>
          </w:p>
        </w:tc>
        <w:tc>
          <w:tcPr>
            <w:tcW w:w="30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CCEEFF"/>
            </w:tcBorders>
            <w:shd w:val="clear" w:color="auto" w:fill="CCEEFF"/>
          </w:tcPr>
          <w:p>
            <w:pPr>
              <w:spacing w:after="0"/>
              <w:rPr>
                <w:sz w:val="18"/>
                <w:szCs w:val="18"/>
                <w:color w:val="auto"/>
              </w:rPr>
            </w:pPr>
          </w:p>
        </w:tc>
        <w:tc>
          <w:tcPr>
            <w:tcW w:w="820" w:type="dxa"/>
            <w:vAlign w:val="bottom"/>
            <w:tcBorders>
              <w:top w:val="single" w:sz="8" w:color="auto"/>
              <w:bottom w:val="single" w:sz="8" w:color="auto"/>
            </w:tcBorders>
            <w:shd w:val="clear" w:color="auto" w:fill="CCEEFF"/>
          </w:tcPr>
          <w:p>
            <w:pPr>
              <w:jc w:val="center"/>
              <w:spacing w:after="0"/>
              <w:rPr>
                <w:sz w:val="20"/>
                <w:szCs w:val="20"/>
                <w:color w:val="auto"/>
              </w:rPr>
            </w:pPr>
            <w:r>
              <w:rPr>
                <w:rFonts w:ascii="Arial" w:cs="Arial" w:eastAsia="Arial" w:hAnsi="Arial"/>
                <w:sz w:val="18"/>
                <w:szCs w:val="18"/>
                <w:u w:val="single" w:color="auto"/>
                <w:color w:val="auto"/>
                <w:w w:val="94"/>
              </w:rPr>
              <w:t>A$</w:t>
            </w:r>
            <w:r>
              <w:rPr>
                <w:rFonts w:ascii="Arial" w:cs="Arial" w:eastAsia="Arial" w:hAnsi="Arial"/>
                <w:sz w:val="18"/>
                <w:szCs w:val="18"/>
                <w:color w:val="auto"/>
                <w:w w:val="94"/>
              </w:rPr>
              <w:t>956,658</w:t>
            </w:r>
          </w:p>
        </w:tc>
        <w:tc>
          <w:tcPr>
            <w:tcW w:w="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5220" w:type="dxa"/>
            <w:vAlign w:val="bottom"/>
            <w:gridSpan w:val="2"/>
          </w:tcPr>
          <w:p>
            <w:pPr>
              <w:spacing w:after="0"/>
              <w:rPr>
                <w:sz w:val="20"/>
                <w:szCs w:val="20"/>
                <w:color w:val="auto"/>
              </w:rPr>
            </w:pPr>
            <w:r>
              <w:rPr>
                <w:rFonts w:ascii="Arial" w:cs="Arial" w:eastAsia="Arial" w:hAnsi="Arial"/>
                <w:sz w:val="18"/>
                <w:szCs w:val="18"/>
                <w:b w:val="1"/>
                <w:bCs w:val="1"/>
                <w:color w:val="auto"/>
                <w:w w:val="97"/>
              </w:rPr>
              <w:t>Total expense arising from share-based payment transactions</w:t>
            </w:r>
          </w:p>
        </w:tc>
        <w:tc>
          <w:tcPr>
            <w:tcW w:w="1900" w:type="dxa"/>
            <w:vAlign w:val="bottom"/>
          </w:tcPr>
          <w:p>
            <w:pPr>
              <w:spacing w:after="0"/>
              <w:rPr>
                <w:sz w:val="19"/>
                <w:szCs w:val="19"/>
                <w:color w:val="auto"/>
              </w:rPr>
            </w:pPr>
          </w:p>
        </w:tc>
        <w:tc>
          <w:tcPr>
            <w:tcW w:w="96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u w:val="single" w:color="auto"/>
                <w:color w:val="auto"/>
                <w:w w:val="93"/>
              </w:rPr>
              <w:t>A$</w:t>
            </w:r>
            <w:r>
              <w:rPr>
                <w:rFonts w:ascii="Arial" w:cs="Arial" w:eastAsia="Arial" w:hAnsi="Arial"/>
                <w:sz w:val="18"/>
                <w:szCs w:val="18"/>
                <w:b w:val="1"/>
                <w:bCs w:val="1"/>
                <w:color w:val="auto"/>
                <w:w w:val="93"/>
              </w:rPr>
              <w:t>1,835,157</w:t>
            </w:r>
          </w:p>
        </w:tc>
        <w:tc>
          <w:tcPr>
            <w:tcW w:w="560" w:type="dxa"/>
            <w:vAlign w:val="bottom"/>
          </w:tcPr>
          <w:p>
            <w:pPr>
              <w:spacing w:after="0"/>
              <w:rPr>
                <w:sz w:val="19"/>
                <w:szCs w:val="19"/>
                <w:color w:val="auto"/>
              </w:rPr>
            </w:pPr>
          </w:p>
        </w:tc>
        <w:tc>
          <w:tcPr>
            <w:tcW w:w="96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u w:val="single" w:color="auto"/>
                <w:color w:val="auto"/>
                <w:w w:val="93"/>
              </w:rPr>
              <w:t>A$</w:t>
            </w:r>
            <w:r>
              <w:rPr>
                <w:rFonts w:ascii="Arial" w:cs="Arial" w:eastAsia="Arial" w:hAnsi="Arial"/>
                <w:sz w:val="18"/>
                <w:szCs w:val="18"/>
                <w:b w:val="1"/>
                <w:bCs w:val="1"/>
                <w:color w:val="auto"/>
                <w:w w:val="93"/>
              </w:rPr>
              <w:t>1,587,243</w:t>
            </w:r>
          </w:p>
        </w:tc>
        <w:tc>
          <w:tcPr>
            <w:tcW w:w="3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2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u w:val="single" w:color="auto"/>
                <w:color w:val="auto"/>
                <w:w w:val="93"/>
              </w:rPr>
              <w:t>A$</w:t>
            </w:r>
            <w:r>
              <w:rPr>
                <w:rFonts w:ascii="Arial" w:cs="Arial" w:eastAsia="Arial" w:hAnsi="Arial"/>
                <w:sz w:val="18"/>
                <w:szCs w:val="18"/>
                <w:b w:val="1"/>
                <w:bCs w:val="1"/>
                <w:color w:val="auto"/>
                <w:w w:val="93"/>
              </w:rPr>
              <w:t>956,648</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200" w:type="dxa"/>
            <w:vAlign w:val="bottom"/>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20" w:type="dxa"/>
            <w:vAlign w:val="bottom"/>
          </w:tcPr>
          <w:p>
            <w:pPr>
              <w:spacing w:after="0"/>
              <w:rPr>
                <w:sz w:val="24"/>
                <w:szCs w:val="24"/>
                <w:color w:val="auto"/>
              </w:rPr>
            </w:pPr>
          </w:p>
        </w:tc>
        <w:tc>
          <w:tcPr>
            <w:tcW w:w="5200" w:type="dxa"/>
            <w:vAlign w:val="bottom"/>
          </w:tcPr>
          <w:p>
            <w:pPr>
              <w:spacing w:after="0"/>
              <w:rPr>
                <w:sz w:val="24"/>
                <w:szCs w:val="24"/>
                <w:color w:val="auto"/>
              </w:rPr>
            </w:pPr>
          </w:p>
        </w:tc>
        <w:tc>
          <w:tcPr>
            <w:tcW w:w="2860" w:type="dxa"/>
            <w:vAlign w:val="bottom"/>
            <w:gridSpan w:val="2"/>
          </w:tcPr>
          <w:p>
            <w:pPr>
              <w:ind w:left="120"/>
              <w:spacing w:after="0"/>
              <w:rPr>
                <w:sz w:val="20"/>
                <w:szCs w:val="20"/>
                <w:color w:val="auto"/>
              </w:rPr>
            </w:pPr>
            <w:r>
              <w:rPr>
                <w:rFonts w:ascii="Arial" w:cs="Arial" w:eastAsia="Arial" w:hAnsi="Arial"/>
                <w:sz w:val="18"/>
                <w:szCs w:val="18"/>
                <w:color w:val="auto"/>
              </w:rPr>
              <w:t>F-35</w:t>
            </w:r>
          </w:p>
        </w:tc>
        <w:tc>
          <w:tcPr>
            <w:tcW w:w="5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240" w:top="459" w:right="419" w:bottom="1440" w:gutter="0" w:footer="0" w:header="0"/>
        </w:sectPr>
      </w:pPr>
    </w:p>
    <w:bookmarkStart w:id="134" w:name="page135"/>
    <w:bookmarkEnd w:id="13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8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AVITA MEDICAL LIMITED</w:t>
      </w:r>
    </w:p>
    <w:p>
      <w:pPr>
        <w:spacing w:after="0" w:line="27"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9"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(IN AUSTRALIAN DOLLARS)</w:t>
      </w:r>
    </w:p>
    <w:p>
      <w:pPr>
        <w:spacing w:after="0" w:line="234" w:lineRule="exact"/>
        <w:rPr>
          <w:sz w:val="20"/>
          <w:szCs w:val="20"/>
          <w:color w:val="auto"/>
        </w:rPr>
      </w:pPr>
    </w:p>
    <w:p>
      <w:pPr>
        <w:ind w:left="640" w:hanging="436"/>
        <w:spacing w:after="0"/>
        <w:tabs>
          <w:tab w:leader="none" w:pos="640" w:val="left"/>
        </w:tabs>
        <w:numPr>
          <w:ilvl w:val="0"/>
          <w:numId w:val="153"/>
        </w:numPr>
        <w:rPr>
          <w:rFonts w:ascii="Arial" w:cs="Arial" w:eastAsia="Arial" w:hAnsi="Arial"/>
          <w:sz w:val="18"/>
          <w:szCs w:val="18"/>
          <w:b w:val="1"/>
          <w:bCs w:val="1"/>
          <w:color w:val="auto"/>
        </w:rPr>
      </w:pPr>
      <w:r>
        <w:rPr>
          <w:rFonts w:ascii="Arial" w:cs="Arial" w:eastAsia="Arial" w:hAnsi="Arial"/>
          <w:sz w:val="18"/>
          <w:szCs w:val="18"/>
          <w:b w:val="1"/>
          <w:bCs w:val="1"/>
          <w:color w:val="auto"/>
        </w:rPr>
        <w:t>SHARE-BASED PAYMENT PLANS (CONTINUED)</w:t>
      </w:r>
    </w:p>
    <w:p>
      <w:pPr>
        <w:spacing w:after="0" w:line="131" w:lineRule="exact"/>
        <w:rPr>
          <w:sz w:val="20"/>
          <w:szCs w:val="20"/>
          <w:color w:val="auto"/>
        </w:rPr>
      </w:pPr>
    </w:p>
    <w:p>
      <w:pPr>
        <w:ind w:left="640" w:hanging="436"/>
        <w:spacing w:after="0"/>
        <w:tabs>
          <w:tab w:leader="none" w:pos="640" w:val="left"/>
        </w:tabs>
        <w:numPr>
          <w:ilvl w:val="0"/>
          <w:numId w:val="154"/>
        </w:numPr>
        <w:rPr>
          <w:rFonts w:ascii="Arial" w:cs="Arial" w:eastAsia="Arial" w:hAnsi="Arial"/>
          <w:sz w:val="18"/>
          <w:szCs w:val="18"/>
          <w:b w:val="1"/>
          <w:bCs w:val="1"/>
          <w:color w:val="auto"/>
        </w:rPr>
      </w:pPr>
      <w:r>
        <w:rPr>
          <w:rFonts w:ascii="Arial" w:cs="Arial" w:eastAsia="Arial" w:hAnsi="Arial"/>
          <w:sz w:val="18"/>
          <w:szCs w:val="18"/>
          <w:b w:val="1"/>
          <w:bCs w:val="1"/>
          <w:color w:val="auto"/>
        </w:rPr>
        <w:t>Recognized share-based payment expenses (continued)</w:t>
      </w:r>
    </w:p>
    <w:p>
      <w:pPr>
        <w:spacing w:after="0" w:line="135" w:lineRule="exact"/>
        <w:rPr>
          <w:sz w:val="20"/>
          <w:szCs w:val="20"/>
          <w:color w:val="auto"/>
        </w:rPr>
      </w:pPr>
    </w:p>
    <w:p>
      <w:pPr>
        <w:ind w:left="200"/>
        <w:spacing w:after="0"/>
        <w:rPr>
          <w:sz w:val="20"/>
          <w:szCs w:val="20"/>
          <w:color w:val="auto"/>
        </w:rPr>
      </w:pPr>
      <w:r>
        <w:rPr>
          <w:rFonts w:ascii="Arial" w:cs="Arial" w:eastAsia="Arial" w:hAnsi="Arial"/>
          <w:sz w:val="18"/>
          <w:szCs w:val="18"/>
          <w:color w:val="auto"/>
        </w:rPr>
        <w:t>The share-based payment plans are described below. There have been share-based plan forfeitures during fiscal 2018 and 2017.</w:t>
      </w:r>
    </w:p>
    <w:p>
      <w:pPr>
        <w:spacing w:after="0" w:line="370" w:lineRule="exact"/>
        <w:rPr>
          <w:sz w:val="20"/>
          <w:szCs w:val="20"/>
          <w:color w:val="auto"/>
        </w:rPr>
      </w:pPr>
    </w:p>
    <w:p>
      <w:pPr>
        <w:ind w:left="200" w:right="7840" w:firstLine="4"/>
        <w:spacing w:after="0" w:line="453" w:lineRule="auto"/>
        <w:tabs>
          <w:tab w:leader="none" w:pos="632" w:val="left"/>
        </w:tabs>
        <w:numPr>
          <w:ilvl w:val="0"/>
          <w:numId w:val="155"/>
        </w:numPr>
        <w:rPr>
          <w:rFonts w:ascii="Arial" w:cs="Arial" w:eastAsia="Arial" w:hAnsi="Arial"/>
          <w:sz w:val="15"/>
          <w:szCs w:val="15"/>
          <w:b w:val="1"/>
          <w:bCs w:val="1"/>
          <w:color w:val="auto"/>
        </w:rPr>
      </w:pPr>
      <w:r>
        <w:rPr>
          <w:rFonts w:ascii="Arial" w:cs="Arial" w:eastAsia="Arial" w:hAnsi="Arial"/>
          <w:sz w:val="15"/>
          <w:szCs w:val="15"/>
          <w:b w:val="1"/>
          <w:bCs w:val="1"/>
          <w:color w:val="auto"/>
        </w:rPr>
        <w:t>Types of share-based payment plans Employee Share Option Plan (ESOP)</w:t>
      </w:r>
    </w:p>
    <w:p>
      <w:pPr>
        <w:spacing w:after="0" w:line="1" w:lineRule="exact"/>
        <w:rPr>
          <w:sz w:val="20"/>
          <w:szCs w:val="20"/>
          <w:color w:val="auto"/>
        </w:rPr>
      </w:pPr>
    </w:p>
    <w:p>
      <w:pPr>
        <w:ind w:left="200" w:right="140"/>
        <w:spacing w:after="0" w:line="264" w:lineRule="auto"/>
        <w:rPr>
          <w:sz w:val="20"/>
          <w:szCs w:val="20"/>
          <w:color w:val="auto"/>
        </w:rPr>
      </w:pPr>
      <w:r>
        <w:rPr>
          <w:rFonts w:ascii="Arial" w:cs="Arial" w:eastAsia="Arial" w:hAnsi="Arial"/>
          <w:sz w:val="18"/>
          <w:szCs w:val="18"/>
          <w:color w:val="auto"/>
        </w:rPr>
        <w:t>Share options are granted to Senior Executives and employees under the Employee Share Option Plan at the discretion of the Board. The exercise price of the options is based on a weighted average market price of the shares preceding the date of grant. The options vest at the time of grant and the contractual life of each option granted is ten years. There are no cash settlement alternatives.</w:t>
      </w:r>
    </w:p>
    <w:p>
      <w:pPr>
        <w:spacing w:after="0" w:line="181" w:lineRule="exact"/>
        <w:rPr>
          <w:sz w:val="20"/>
          <w:szCs w:val="20"/>
          <w:color w:val="auto"/>
        </w:rPr>
      </w:pPr>
    </w:p>
    <w:p>
      <w:pPr>
        <w:ind w:left="200" w:right="180"/>
        <w:spacing w:after="0" w:line="312" w:lineRule="auto"/>
        <w:rPr>
          <w:sz w:val="20"/>
          <w:szCs w:val="20"/>
          <w:color w:val="auto"/>
        </w:rPr>
      </w:pPr>
      <w:r>
        <w:rPr>
          <w:rFonts w:ascii="Arial" w:cs="Arial" w:eastAsia="Arial" w:hAnsi="Arial"/>
          <w:sz w:val="16"/>
          <w:szCs w:val="16"/>
          <w:color w:val="auto"/>
        </w:rPr>
        <w:t>Subject to shareholder approval, options may also be granted to Directors at the discretion of the Board. The exercise price of the options is based on a weighted average market price of the shares preceding the date of grant. The options vest either at the time of grant or are subject to performance conditions at the discretion of the Board and the contractual life of each option granted is three years. There are no cash settlement alternatives.</w:t>
      </w:r>
    </w:p>
    <w:p>
      <w:pPr>
        <w:spacing w:after="0" w:line="291" w:lineRule="exact"/>
        <w:rPr>
          <w:sz w:val="20"/>
          <w:szCs w:val="20"/>
          <w:color w:val="auto"/>
        </w:rPr>
      </w:pPr>
    </w:p>
    <w:p>
      <w:pPr>
        <w:ind w:left="640" w:hanging="436"/>
        <w:spacing w:after="0"/>
        <w:tabs>
          <w:tab w:leader="none" w:pos="640" w:val="left"/>
        </w:tabs>
        <w:numPr>
          <w:ilvl w:val="0"/>
          <w:numId w:val="156"/>
        </w:numPr>
        <w:rPr>
          <w:rFonts w:ascii="Arial" w:cs="Arial" w:eastAsia="Arial" w:hAnsi="Arial"/>
          <w:sz w:val="18"/>
          <w:szCs w:val="18"/>
          <w:b w:val="1"/>
          <w:bCs w:val="1"/>
          <w:color w:val="auto"/>
        </w:rPr>
      </w:pPr>
      <w:r>
        <w:rPr>
          <w:rFonts w:ascii="Arial" w:cs="Arial" w:eastAsia="Arial" w:hAnsi="Arial"/>
          <w:sz w:val="18"/>
          <w:szCs w:val="18"/>
          <w:b w:val="1"/>
          <w:bCs w:val="1"/>
          <w:color w:val="auto"/>
        </w:rPr>
        <w:t>Summaries of options granted under ESOP arrangements</w:t>
      </w:r>
    </w:p>
    <w:p>
      <w:pPr>
        <w:spacing w:after="0" w:line="121" w:lineRule="exact"/>
        <w:rPr>
          <w:sz w:val="20"/>
          <w:szCs w:val="20"/>
          <w:color w:val="auto"/>
        </w:rPr>
      </w:pPr>
    </w:p>
    <w:p>
      <w:pPr>
        <w:ind w:left="200" w:right="400"/>
        <w:spacing w:after="0" w:line="277" w:lineRule="auto"/>
        <w:rPr>
          <w:sz w:val="20"/>
          <w:szCs w:val="20"/>
          <w:color w:val="auto"/>
        </w:rPr>
      </w:pPr>
      <w:r>
        <w:rPr>
          <w:rFonts w:ascii="Arial" w:cs="Arial" w:eastAsia="Arial" w:hAnsi="Arial"/>
          <w:sz w:val="18"/>
          <w:szCs w:val="18"/>
          <w:color w:val="auto"/>
        </w:rPr>
        <w:t>The following table illustrates the number (No) and weighted average exercise price (WAEP) of, and movements in, share options issued during the year:</w:t>
      </w:r>
    </w:p>
    <w:p>
      <w:pPr>
        <w:spacing w:after="0" w:line="181" w:lineRule="exact"/>
        <w:rPr>
          <w:sz w:val="20"/>
          <w:szCs w:val="20"/>
          <w:color w:val="auto"/>
        </w:rPr>
      </w:pPr>
    </w:p>
    <w:tbl>
      <w:tblPr>
        <w:tblLayout w:type="fixed"/>
        <w:tblInd w:w="20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940" w:type="dxa"/>
            <w:vAlign w:val="bottom"/>
          </w:tcPr>
          <w:p>
            <w:pPr>
              <w:spacing w:after="0"/>
              <w:rPr>
                <w:sz w:val="14"/>
                <w:szCs w:val="14"/>
                <w:color w:val="auto"/>
              </w:rPr>
            </w:pPr>
          </w:p>
        </w:tc>
        <w:tc>
          <w:tcPr>
            <w:tcW w:w="860" w:type="dxa"/>
            <w:vAlign w:val="bottom"/>
          </w:tcPr>
          <w:p>
            <w:pPr>
              <w:jc w:val="right"/>
              <w:ind w:right="215"/>
              <w:spacing w:after="0"/>
              <w:rPr>
                <w:sz w:val="20"/>
                <w:szCs w:val="20"/>
                <w:color w:val="auto"/>
              </w:rPr>
            </w:pPr>
            <w:r>
              <w:rPr>
                <w:rFonts w:ascii="Arial" w:cs="Arial" w:eastAsia="Arial" w:hAnsi="Arial"/>
                <w:sz w:val="14"/>
                <w:szCs w:val="14"/>
                <w:b w:val="1"/>
                <w:bCs w:val="1"/>
                <w:i w:val="1"/>
                <w:iCs w:val="1"/>
                <w:color w:val="auto"/>
              </w:rPr>
              <w:t>2018</w:t>
            </w:r>
          </w:p>
        </w:tc>
        <w:tc>
          <w:tcPr>
            <w:tcW w:w="180" w:type="dxa"/>
            <w:vAlign w:val="bottom"/>
          </w:tcPr>
          <w:p>
            <w:pPr>
              <w:spacing w:after="0"/>
              <w:rPr>
                <w:sz w:val="14"/>
                <w:szCs w:val="14"/>
                <w:color w:val="auto"/>
              </w:rPr>
            </w:pPr>
          </w:p>
        </w:tc>
        <w:tc>
          <w:tcPr>
            <w:tcW w:w="780" w:type="dxa"/>
            <w:vAlign w:val="bottom"/>
            <w:gridSpan w:val="3"/>
          </w:tcPr>
          <w:p>
            <w:pPr>
              <w:jc w:val="right"/>
              <w:ind w:right="90"/>
              <w:spacing w:after="0"/>
              <w:rPr>
                <w:sz w:val="20"/>
                <w:szCs w:val="20"/>
                <w:color w:val="auto"/>
              </w:rPr>
            </w:pPr>
            <w:r>
              <w:rPr>
                <w:rFonts w:ascii="Arial" w:cs="Arial" w:eastAsia="Arial" w:hAnsi="Arial"/>
                <w:sz w:val="14"/>
                <w:szCs w:val="14"/>
                <w:b w:val="1"/>
                <w:bCs w:val="1"/>
                <w:i w:val="1"/>
                <w:iCs w:val="1"/>
                <w:color w:val="auto"/>
              </w:rPr>
              <w:t>2018</w:t>
            </w:r>
          </w:p>
        </w:tc>
        <w:tc>
          <w:tcPr>
            <w:tcW w:w="1140" w:type="dxa"/>
            <w:vAlign w:val="bottom"/>
            <w:gridSpan w:val="2"/>
          </w:tcPr>
          <w:p>
            <w:pPr>
              <w:jc w:val="right"/>
              <w:ind w:right="216"/>
              <w:spacing w:after="0"/>
              <w:rPr>
                <w:sz w:val="20"/>
                <w:szCs w:val="20"/>
                <w:color w:val="auto"/>
              </w:rPr>
            </w:pPr>
            <w:r>
              <w:rPr>
                <w:rFonts w:ascii="Arial" w:cs="Arial" w:eastAsia="Arial" w:hAnsi="Arial"/>
                <w:sz w:val="14"/>
                <w:szCs w:val="14"/>
                <w:b w:val="1"/>
                <w:bCs w:val="1"/>
                <w:i w:val="1"/>
                <w:iCs w:val="1"/>
                <w:color w:val="auto"/>
              </w:rPr>
              <w:t>2017</w:t>
            </w:r>
          </w:p>
        </w:tc>
        <w:tc>
          <w:tcPr>
            <w:tcW w:w="180" w:type="dxa"/>
            <w:vAlign w:val="bottom"/>
          </w:tcPr>
          <w:p>
            <w:pPr>
              <w:spacing w:after="0"/>
              <w:rPr>
                <w:sz w:val="14"/>
                <w:szCs w:val="14"/>
                <w:color w:val="auto"/>
              </w:rPr>
            </w:pPr>
          </w:p>
        </w:tc>
        <w:tc>
          <w:tcPr>
            <w:tcW w:w="780" w:type="dxa"/>
            <w:vAlign w:val="bottom"/>
            <w:gridSpan w:val="3"/>
          </w:tcPr>
          <w:p>
            <w:pPr>
              <w:jc w:val="right"/>
              <w:ind w:right="110"/>
              <w:spacing w:after="0"/>
              <w:rPr>
                <w:sz w:val="20"/>
                <w:szCs w:val="20"/>
                <w:color w:val="auto"/>
              </w:rPr>
            </w:pPr>
            <w:r>
              <w:rPr>
                <w:rFonts w:ascii="Arial" w:cs="Arial" w:eastAsia="Arial" w:hAnsi="Arial"/>
                <w:sz w:val="14"/>
                <w:szCs w:val="14"/>
                <w:b w:val="1"/>
                <w:bCs w:val="1"/>
                <w:i w:val="1"/>
                <w:iCs w:val="1"/>
                <w:color w:val="auto"/>
              </w:rPr>
              <w:t>2017</w:t>
            </w:r>
          </w:p>
        </w:tc>
        <w:tc>
          <w:tcPr>
            <w:tcW w:w="1120" w:type="dxa"/>
            <w:vAlign w:val="bottom"/>
            <w:gridSpan w:val="2"/>
          </w:tcPr>
          <w:p>
            <w:pPr>
              <w:jc w:val="right"/>
              <w:ind w:right="214"/>
              <w:spacing w:after="0"/>
              <w:rPr>
                <w:sz w:val="20"/>
                <w:szCs w:val="20"/>
                <w:color w:val="auto"/>
              </w:rPr>
            </w:pPr>
            <w:r>
              <w:rPr>
                <w:rFonts w:ascii="Arial" w:cs="Arial" w:eastAsia="Arial" w:hAnsi="Arial"/>
                <w:sz w:val="14"/>
                <w:szCs w:val="14"/>
                <w:b w:val="1"/>
                <w:bCs w:val="1"/>
                <w:i w:val="1"/>
                <w:iCs w:val="1"/>
                <w:color w:val="auto"/>
              </w:rPr>
              <w:t>2016</w:t>
            </w:r>
          </w:p>
        </w:tc>
        <w:tc>
          <w:tcPr>
            <w:tcW w:w="180" w:type="dxa"/>
            <w:vAlign w:val="bottom"/>
          </w:tcPr>
          <w:p>
            <w:pPr>
              <w:spacing w:after="0"/>
              <w:rPr>
                <w:sz w:val="14"/>
                <w:szCs w:val="14"/>
                <w:color w:val="auto"/>
              </w:rPr>
            </w:pPr>
          </w:p>
        </w:tc>
        <w:tc>
          <w:tcPr>
            <w:tcW w:w="780" w:type="dxa"/>
            <w:vAlign w:val="bottom"/>
            <w:gridSpan w:val="3"/>
          </w:tcPr>
          <w:p>
            <w:pPr>
              <w:jc w:val="right"/>
              <w:ind w:right="90"/>
              <w:spacing w:after="0"/>
              <w:rPr>
                <w:sz w:val="20"/>
                <w:szCs w:val="20"/>
                <w:color w:val="auto"/>
              </w:rPr>
            </w:pPr>
            <w:r>
              <w:rPr>
                <w:rFonts w:ascii="Arial" w:cs="Arial" w:eastAsia="Arial" w:hAnsi="Arial"/>
                <w:sz w:val="14"/>
                <w:szCs w:val="14"/>
                <w:b w:val="1"/>
                <w:bCs w:val="1"/>
                <w:i w:val="1"/>
                <w:iCs w:val="1"/>
                <w:color w:val="auto"/>
              </w:rPr>
              <w:t>2016</w:t>
            </w:r>
          </w:p>
        </w:tc>
        <w:tc>
          <w:tcPr>
            <w:tcW w:w="80" w:type="dxa"/>
            <w:vAlign w:val="bottom"/>
          </w:tcPr>
          <w:p>
            <w:pPr>
              <w:spacing w:after="0"/>
              <w:rPr>
                <w:sz w:val="14"/>
                <w:szCs w:val="14"/>
                <w:color w:val="auto"/>
              </w:rPr>
            </w:pPr>
          </w:p>
        </w:tc>
      </w:tr>
      <w:tr>
        <w:trPr>
          <w:trHeight w:val="167"/>
        </w:trPr>
        <w:tc>
          <w:tcPr>
            <w:tcW w:w="20" w:type="dxa"/>
            <w:vAlign w:val="bottom"/>
          </w:tcPr>
          <w:p>
            <w:pPr>
              <w:spacing w:after="0"/>
              <w:rPr>
                <w:sz w:val="14"/>
                <w:szCs w:val="14"/>
                <w:color w:val="auto"/>
              </w:rPr>
            </w:pPr>
          </w:p>
        </w:tc>
        <w:tc>
          <w:tcPr>
            <w:tcW w:w="4940" w:type="dxa"/>
            <w:vAlign w:val="bottom"/>
          </w:tcPr>
          <w:p>
            <w:pPr>
              <w:spacing w:after="0"/>
              <w:rPr>
                <w:sz w:val="14"/>
                <w:szCs w:val="14"/>
                <w:color w:val="auto"/>
              </w:rPr>
            </w:pPr>
          </w:p>
        </w:tc>
        <w:tc>
          <w:tcPr>
            <w:tcW w:w="1040" w:type="dxa"/>
            <w:vAlign w:val="bottom"/>
            <w:gridSpan w:val="2"/>
          </w:tcPr>
          <w:p>
            <w:pPr>
              <w:jc w:val="right"/>
              <w:ind w:right="540"/>
              <w:spacing w:after="0"/>
              <w:rPr>
                <w:sz w:val="20"/>
                <w:szCs w:val="20"/>
                <w:color w:val="auto"/>
              </w:rPr>
            </w:pPr>
            <w:r>
              <w:rPr>
                <w:rFonts w:ascii="Arial" w:cs="Arial" w:eastAsia="Arial" w:hAnsi="Arial"/>
                <w:sz w:val="14"/>
                <w:szCs w:val="14"/>
                <w:b w:val="1"/>
                <w:bCs w:val="1"/>
                <w:i w:val="1"/>
                <w:iCs w:val="1"/>
                <w:color w:val="auto"/>
              </w:rPr>
              <w:t>No</w:t>
            </w:r>
          </w:p>
        </w:tc>
        <w:tc>
          <w:tcPr>
            <w:tcW w:w="140" w:type="dxa"/>
            <w:vAlign w:val="bottom"/>
          </w:tcPr>
          <w:p>
            <w:pPr>
              <w:spacing w:after="0"/>
              <w:rPr>
                <w:sz w:val="14"/>
                <w:szCs w:val="14"/>
                <w:color w:val="auto"/>
              </w:rPr>
            </w:pPr>
          </w:p>
        </w:tc>
        <w:tc>
          <w:tcPr>
            <w:tcW w:w="640" w:type="dxa"/>
            <w:vAlign w:val="bottom"/>
            <w:gridSpan w:val="2"/>
          </w:tcPr>
          <w:p>
            <w:pPr>
              <w:jc w:val="right"/>
              <w:ind w:right="30"/>
              <w:spacing w:after="0"/>
              <w:rPr>
                <w:sz w:val="20"/>
                <w:szCs w:val="20"/>
                <w:color w:val="auto"/>
              </w:rPr>
            </w:pPr>
            <w:r>
              <w:rPr>
                <w:rFonts w:ascii="Arial" w:cs="Arial" w:eastAsia="Arial" w:hAnsi="Arial"/>
                <w:sz w:val="14"/>
                <w:szCs w:val="14"/>
                <w:b w:val="1"/>
                <w:bCs w:val="1"/>
                <w:i w:val="1"/>
                <w:iCs w:val="1"/>
                <w:color w:val="auto"/>
              </w:rPr>
              <w:t>WAEP</w:t>
            </w:r>
          </w:p>
        </w:tc>
        <w:tc>
          <w:tcPr>
            <w:tcW w:w="260" w:type="dxa"/>
            <w:vAlign w:val="bottom"/>
          </w:tcPr>
          <w:p>
            <w:pPr>
              <w:spacing w:after="0"/>
              <w:rPr>
                <w:sz w:val="14"/>
                <w:szCs w:val="14"/>
                <w:color w:val="auto"/>
              </w:rPr>
            </w:pPr>
          </w:p>
        </w:tc>
        <w:tc>
          <w:tcPr>
            <w:tcW w:w="1060" w:type="dxa"/>
            <w:vAlign w:val="bottom"/>
            <w:gridSpan w:val="2"/>
          </w:tcPr>
          <w:p>
            <w:pPr>
              <w:jc w:val="right"/>
              <w:ind w:right="540"/>
              <w:spacing w:after="0"/>
              <w:rPr>
                <w:sz w:val="20"/>
                <w:szCs w:val="20"/>
                <w:color w:val="auto"/>
              </w:rPr>
            </w:pPr>
            <w:r>
              <w:rPr>
                <w:rFonts w:ascii="Arial" w:cs="Arial" w:eastAsia="Arial" w:hAnsi="Arial"/>
                <w:sz w:val="14"/>
                <w:szCs w:val="14"/>
                <w:b w:val="1"/>
                <w:bCs w:val="1"/>
                <w:i w:val="1"/>
                <w:iCs w:val="1"/>
                <w:color w:val="auto"/>
              </w:rPr>
              <w:t>No</w:t>
            </w:r>
          </w:p>
        </w:tc>
        <w:tc>
          <w:tcPr>
            <w:tcW w:w="140" w:type="dxa"/>
            <w:vAlign w:val="bottom"/>
          </w:tcPr>
          <w:p>
            <w:pPr>
              <w:spacing w:after="0"/>
              <w:rPr>
                <w:sz w:val="14"/>
                <w:szCs w:val="14"/>
                <w:color w:val="auto"/>
              </w:rPr>
            </w:pPr>
          </w:p>
        </w:tc>
        <w:tc>
          <w:tcPr>
            <w:tcW w:w="640" w:type="dxa"/>
            <w:vAlign w:val="bottom"/>
            <w:gridSpan w:val="2"/>
          </w:tcPr>
          <w:p>
            <w:pPr>
              <w:jc w:val="right"/>
              <w:ind w:right="50"/>
              <w:spacing w:after="0"/>
              <w:rPr>
                <w:sz w:val="20"/>
                <w:szCs w:val="20"/>
                <w:color w:val="auto"/>
              </w:rPr>
            </w:pPr>
            <w:r>
              <w:rPr>
                <w:rFonts w:ascii="Arial" w:cs="Arial" w:eastAsia="Arial" w:hAnsi="Arial"/>
                <w:sz w:val="14"/>
                <w:szCs w:val="14"/>
                <w:b w:val="1"/>
                <w:bCs w:val="1"/>
                <w:i w:val="1"/>
                <w:iCs w:val="1"/>
                <w:color w:val="auto"/>
              </w:rPr>
              <w:t>WAEP</w:t>
            </w:r>
          </w:p>
        </w:tc>
        <w:tc>
          <w:tcPr>
            <w:tcW w:w="260" w:type="dxa"/>
            <w:vAlign w:val="bottom"/>
          </w:tcPr>
          <w:p>
            <w:pPr>
              <w:spacing w:after="0"/>
              <w:rPr>
                <w:sz w:val="14"/>
                <w:szCs w:val="14"/>
                <w:color w:val="auto"/>
              </w:rPr>
            </w:pPr>
          </w:p>
        </w:tc>
        <w:tc>
          <w:tcPr>
            <w:tcW w:w="1040" w:type="dxa"/>
            <w:vAlign w:val="bottom"/>
            <w:gridSpan w:val="2"/>
          </w:tcPr>
          <w:p>
            <w:pPr>
              <w:jc w:val="right"/>
              <w:ind w:right="520"/>
              <w:spacing w:after="0"/>
              <w:rPr>
                <w:sz w:val="20"/>
                <w:szCs w:val="20"/>
                <w:color w:val="auto"/>
              </w:rPr>
            </w:pPr>
            <w:r>
              <w:rPr>
                <w:rFonts w:ascii="Arial" w:cs="Arial" w:eastAsia="Arial" w:hAnsi="Arial"/>
                <w:sz w:val="14"/>
                <w:szCs w:val="14"/>
                <w:b w:val="1"/>
                <w:bCs w:val="1"/>
                <w:i w:val="1"/>
                <w:iCs w:val="1"/>
                <w:color w:val="auto"/>
              </w:rPr>
              <w:t>No</w:t>
            </w:r>
          </w:p>
        </w:tc>
        <w:tc>
          <w:tcPr>
            <w:tcW w:w="140" w:type="dxa"/>
            <w:vAlign w:val="bottom"/>
          </w:tcPr>
          <w:p>
            <w:pPr>
              <w:spacing w:after="0"/>
              <w:rPr>
                <w:sz w:val="14"/>
                <w:szCs w:val="14"/>
                <w:color w:val="auto"/>
              </w:rPr>
            </w:pPr>
          </w:p>
        </w:tc>
        <w:tc>
          <w:tcPr>
            <w:tcW w:w="720" w:type="dxa"/>
            <w:vAlign w:val="bottom"/>
            <w:gridSpan w:val="3"/>
          </w:tcPr>
          <w:p>
            <w:pPr>
              <w:ind w:left="120"/>
              <w:spacing w:after="0"/>
              <w:rPr>
                <w:sz w:val="20"/>
                <w:szCs w:val="20"/>
                <w:color w:val="auto"/>
              </w:rPr>
            </w:pPr>
            <w:r>
              <w:rPr>
                <w:rFonts w:ascii="Arial" w:cs="Arial" w:eastAsia="Arial" w:hAnsi="Arial"/>
                <w:sz w:val="14"/>
                <w:szCs w:val="14"/>
                <w:b w:val="1"/>
                <w:bCs w:val="1"/>
                <w:i w:val="1"/>
                <w:iCs w:val="1"/>
                <w:color w:val="auto"/>
              </w:rPr>
              <w:t>WAEP</w:t>
            </w:r>
          </w:p>
        </w:tc>
      </w:tr>
      <w:tr>
        <w:trPr>
          <w:trHeight w:val="210"/>
        </w:trPr>
        <w:tc>
          <w:tcPr>
            <w:tcW w:w="20" w:type="dxa"/>
            <w:vAlign w:val="bottom"/>
          </w:tcPr>
          <w:p>
            <w:pPr>
              <w:spacing w:after="0"/>
              <w:rPr>
                <w:sz w:val="18"/>
                <w:szCs w:val="18"/>
                <w:color w:val="auto"/>
              </w:rPr>
            </w:pPr>
          </w:p>
        </w:tc>
        <w:tc>
          <w:tcPr>
            <w:tcW w:w="49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Outstanding at the beginning of the year</w:t>
            </w: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3"/>
              </w:rPr>
              <w:t>24,797,286</w:t>
            </w:r>
          </w:p>
        </w:tc>
        <w:tc>
          <w:tcPr>
            <w:tcW w:w="1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90"/>
              </w:rPr>
              <w:t>A$</w:t>
            </w:r>
          </w:p>
        </w:tc>
        <w:tc>
          <w:tcPr>
            <w:tcW w:w="4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0.09</w:t>
            </w:r>
          </w:p>
        </w:tc>
        <w:tc>
          <w:tcPr>
            <w:tcW w:w="260" w:type="dxa"/>
            <w:vAlign w:val="bottom"/>
            <w:tcBorders>
              <w:top w:val="single" w:sz="8" w:color="CCEEFF"/>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3"/>
              </w:rPr>
              <w:t>11,147,289</w:t>
            </w:r>
          </w:p>
        </w:tc>
        <w:tc>
          <w:tcPr>
            <w:tcW w:w="1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1"/>
              </w:rPr>
              <w:t>A$</w:t>
            </w:r>
          </w:p>
        </w:tc>
        <w:tc>
          <w:tcPr>
            <w:tcW w:w="4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0.14</w:t>
            </w:r>
          </w:p>
        </w:tc>
        <w:tc>
          <w:tcPr>
            <w:tcW w:w="260" w:type="dxa"/>
            <w:vAlign w:val="bottom"/>
            <w:tcBorders>
              <w:top w:val="single" w:sz="8" w:color="CCEEFF"/>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9,441,250</w:t>
            </w:r>
          </w:p>
        </w:tc>
        <w:tc>
          <w:tcPr>
            <w:tcW w:w="1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90"/>
              </w:rPr>
              <w:t>A$</w:t>
            </w:r>
          </w:p>
        </w:tc>
        <w:tc>
          <w:tcPr>
            <w:tcW w:w="4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0.14</w:t>
            </w:r>
          </w:p>
        </w:tc>
        <w:tc>
          <w:tcPr>
            <w:tcW w:w="80" w:type="dxa"/>
            <w:vAlign w:val="bottom"/>
            <w:tcBorders>
              <w:top w:val="single" w:sz="8" w:color="CCEEFF"/>
            </w:tcBorders>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940" w:type="dxa"/>
            <w:vAlign w:val="bottom"/>
          </w:tcPr>
          <w:p>
            <w:pPr>
              <w:spacing w:after="0"/>
              <w:rPr>
                <w:sz w:val="20"/>
                <w:szCs w:val="20"/>
                <w:color w:val="auto"/>
              </w:rPr>
            </w:pPr>
            <w:r>
              <w:rPr>
                <w:rFonts w:ascii="Arial" w:cs="Arial" w:eastAsia="Arial" w:hAnsi="Arial"/>
                <w:sz w:val="18"/>
                <w:szCs w:val="18"/>
                <w:color w:val="auto"/>
              </w:rPr>
              <w:t>Expired during the year</w:t>
            </w:r>
          </w:p>
        </w:tc>
        <w:tc>
          <w:tcPr>
            <w:tcW w:w="1040" w:type="dxa"/>
            <w:vAlign w:val="bottom"/>
            <w:gridSpan w:val="2"/>
          </w:tcPr>
          <w:p>
            <w:pPr>
              <w:jc w:val="right"/>
              <w:ind w:right="120"/>
              <w:spacing w:after="0"/>
              <w:rPr>
                <w:sz w:val="20"/>
                <w:szCs w:val="20"/>
                <w:color w:val="auto"/>
              </w:rPr>
            </w:pPr>
            <w:r>
              <w:rPr>
                <w:rFonts w:ascii="Arial" w:cs="Arial" w:eastAsia="Arial" w:hAnsi="Arial"/>
                <w:sz w:val="18"/>
                <w:szCs w:val="18"/>
                <w:color w:val="auto"/>
                <w:w w:val="97"/>
              </w:rPr>
              <w:t>(3,937,289)</w:t>
            </w: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0.13</w:t>
            </w:r>
          </w:p>
        </w:tc>
        <w:tc>
          <w:tcPr>
            <w:tcW w:w="1320" w:type="dxa"/>
            <w:vAlign w:val="bottom"/>
            <w:gridSpan w:val="3"/>
          </w:tcPr>
          <w:p>
            <w:pPr>
              <w:jc w:val="right"/>
              <w:ind w:right="140"/>
              <w:spacing w:after="0"/>
              <w:rPr>
                <w:sz w:val="20"/>
                <w:szCs w:val="20"/>
                <w:color w:val="auto"/>
              </w:rPr>
            </w:pPr>
            <w:r>
              <w:rPr>
                <w:rFonts w:ascii="Arial" w:cs="Arial" w:eastAsia="Arial" w:hAnsi="Arial"/>
                <w:sz w:val="18"/>
                <w:szCs w:val="18"/>
                <w:color w:val="auto"/>
              </w:rPr>
              <w:t>(4,710,000)</w:t>
            </w: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0.14</w:t>
            </w:r>
          </w:p>
        </w:tc>
        <w:tc>
          <w:tcPr>
            <w:tcW w:w="1300" w:type="dxa"/>
            <w:vAlign w:val="bottom"/>
            <w:gridSpan w:val="3"/>
          </w:tcPr>
          <w:p>
            <w:pPr>
              <w:jc w:val="right"/>
              <w:ind w:right="120"/>
              <w:spacing w:after="0"/>
              <w:rPr>
                <w:sz w:val="20"/>
                <w:szCs w:val="20"/>
                <w:color w:val="auto"/>
              </w:rPr>
            </w:pPr>
            <w:r>
              <w:rPr>
                <w:rFonts w:ascii="Arial" w:cs="Arial" w:eastAsia="Arial" w:hAnsi="Arial"/>
                <w:sz w:val="18"/>
                <w:szCs w:val="18"/>
                <w:color w:val="auto"/>
              </w:rPr>
              <w:t>(1,450,000)</w:t>
            </w: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0.14</w:t>
            </w:r>
          </w:p>
        </w:tc>
        <w:tc>
          <w:tcPr>
            <w:tcW w:w="8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940" w:type="dxa"/>
            <w:vAlign w:val="bottom"/>
            <w:shd w:val="clear" w:color="auto" w:fill="CCEEFF"/>
          </w:tcPr>
          <w:p>
            <w:pPr>
              <w:spacing w:after="0"/>
              <w:rPr>
                <w:sz w:val="20"/>
                <w:szCs w:val="20"/>
                <w:color w:val="auto"/>
              </w:rPr>
            </w:pPr>
            <w:r>
              <w:rPr>
                <w:rFonts w:ascii="Arial" w:cs="Arial" w:eastAsia="Arial" w:hAnsi="Arial"/>
                <w:sz w:val="18"/>
                <w:szCs w:val="18"/>
                <w:color w:val="auto"/>
              </w:rPr>
              <w:t>Forfeiture</w:t>
            </w:r>
          </w:p>
        </w:tc>
        <w:tc>
          <w:tcPr>
            <w:tcW w:w="10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(838,333)</w:t>
            </w:r>
          </w:p>
        </w:tc>
        <w:tc>
          <w:tcPr>
            <w:tcW w:w="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0.08</w:t>
            </w:r>
          </w:p>
        </w:tc>
        <w:tc>
          <w:tcPr>
            <w:tcW w:w="132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(2,500,000)</w:t>
            </w:r>
          </w:p>
        </w:tc>
        <w:tc>
          <w:tcPr>
            <w:tcW w:w="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0.15</w:t>
            </w:r>
          </w:p>
        </w:tc>
        <w:tc>
          <w:tcPr>
            <w:tcW w:w="26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0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w:t>
            </w:r>
          </w:p>
        </w:tc>
      </w:tr>
      <w:tr>
        <w:trPr>
          <w:trHeight w:val="223"/>
        </w:trPr>
        <w:tc>
          <w:tcPr>
            <w:tcW w:w="20" w:type="dxa"/>
            <w:vAlign w:val="bottom"/>
          </w:tcPr>
          <w:p>
            <w:pPr>
              <w:spacing w:after="0"/>
              <w:rPr>
                <w:sz w:val="19"/>
                <w:szCs w:val="19"/>
                <w:color w:val="auto"/>
              </w:rPr>
            </w:pPr>
          </w:p>
        </w:tc>
        <w:tc>
          <w:tcPr>
            <w:tcW w:w="4940" w:type="dxa"/>
            <w:vAlign w:val="bottom"/>
          </w:tcPr>
          <w:p>
            <w:pPr>
              <w:spacing w:after="0"/>
              <w:rPr>
                <w:sz w:val="20"/>
                <w:szCs w:val="20"/>
                <w:color w:val="auto"/>
              </w:rPr>
            </w:pPr>
            <w:r>
              <w:rPr>
                <w:rFonts w:ascii="Arial" w:cs="Arial" w:eastAsia="Arial" w:hAnsi="Arial"/>
                <w:sz w:val="18"/>
                <w:szCs w:val="18"/>
                <w:color w:val="auto"/>
              </w:rPr>
              <w:t>Granted during the year</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9,110,000</w:t>
            </w: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0.06</w:t>
            </w:r>
          </w:p>
        </w:tc>
        <w:tc>
          <w:tcPr>
            <w:tcW w:w="260" w:type="dxa"/>
            <w:vAlign w:val="bottom"/>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3"/>
              </w:rPr>
              <w:t>20,859,997</w:t>
            </w: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0.08</w:t>
            </w:r>
          </w:p>
        </w:tc>
        <w:tc>
          <w:tcPr>
            <w:tcW w:w="260" w:type="dxa"/>
            <w:vAlign w:val="bottom"/>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3,156,039</w:t>
            </w: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0.16</w:t>
            </w:r>
          </w:p>
        </w:tc>
        <w:tc>
          <w:tcPr>
            <w:tcW w:w="8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49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Outstanding at the end of the year</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93"/>
              </w:rPr>
              <w:t>29,131,664</w:t>
            </w:r>
          </w:p>
        </w:tc>
        <w:tc>
          <w:tcPr>
            <w:tcW w:w="180" w:type="dxa"/>
            <w:vAlign w:val="bottom"/>
            <w:shd w:val="clear" w:color="auto" w:fill="CCEEFF"/>
          </w:tcPr>
          <w:p>
            <w:pPr>
              <w:spacing w:after="0"/>
              <w:rPr>
                <w:sz w:val="18"/>
                <w:szCs w:val="18"/>
                <w:color w:val="auto"/>
              </w:rPr>
            </w:pPr>
          </w:p>
        </w:tc>
        <w:tc>
          <w:tcPr>
            <w:tcW w:w="360" w:type="dxa"/>
            <w:vAlign w:val="bottom"/>
            <w:gridSpan w:val="2"/>
            <w:shd w:val="clear" w:color="auto" w:fill="CCEEFF"/>
          </w:tcPr>
          <w:p>
            <w:pPr>
              <w:ind w:left="140"/>
              <w:spacing w:after="0"/>
              <w:rPr>
                <w:sz w:val="20"/>
                <w:szCs w:val="20"/>
                <w:color w:val="auto"/>
              </w:rPr>
            </w:pPr>
            <w:r>
              <w:rPr>
                <w:rFonts w:ascii="Arial" w:cs="Arial" w:eastAsia="Arial" w:hAnsi="Arial"/>
                <w:sz w:val="18"/>
                <w:szCs w:val="18"/>
                <w:b w:val="1"/>
                <w:bCs w:val="1"/>
                <w:u w:val="single" w:color="auto"/>
                <w:color w:val="auto"/>
                <w:w w:val="86"/>
              </w:rPr>
              <w:t>A$</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88"/>
              </w:rPr>
              <w:t>0.078</w:t>
            </w:r>
          </w:p>
        </w:tc>
        <w:tc>
          <w:tcPr>
            <w:tcW w:w="114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24,797,286</w:t>
            </w:r>
          </w:p>
        </w:tc>
        <w:tc>
          <w:tcPr>
            <w:tcW w:w="180" w:type="dxa"/>
            <w:vAlign w:val="bottom"/>
            <w:shd w:val="clear" w:color="auto" w:fill="CCEEFF"/>
          </w:tcPr>
          <w:p>
            <w:pPr>
              <w:spacing w:after="0"/>
              <w:rPr>
                <w:sz w:val="18"/>
                <w:szCs w:val="18"/>
                <w:color w:val="auto"/>
              </w:rPr>
            </w:pPr>
          </w:p>
        </w:tc>
        <w:tc>
          <w:tcPr>
            <w:tcW w:w="36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u w:val="single" w:color="auto"/>
                <w:color w:val="auto"/>
              </w:rPr>
              <w:t>A$</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84"/>
              </w:rPr>
              <w:t>0.084</w:t>
            </w:r>
          </w:p>
        </w:tc>
        <w:tc>
          <w:tcPr>
            <w:tcW w:w="112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11,147,289</w:t>
            </w:r>
          </w:p>
        </w:tc>
        <w:tc>
          <w:tcPr>
            <w:tcW w:w="180" w:type="dxa"/>
            <w:vAlign w:val="bottom"/>
            <w:shd w:val="clear" w:color="auto" w:fill="CCEEFF"/>
          </w:tcPr>
          <w:p>
            <w:pPr>
              <w:spacing w:after="0"/>
              <w:rPr>
                <w:sz w:val="18"/>
                <w:szCs w:val="18"/>
                <w:color w:val="auto"/>
              </w:rPr>
            </w:pPr>
          </w:p>
        </w:tc>
        <w:tc>
          <w:tcPr>
            <w:tcW w:w="360" w:type="dxa"/>
            <w:vAlign w:val="bottom"/>
            <w:gridSpan w:val="2"/>
            <w:shd w:val="clear" w:color="auto" w:fill="CCEEFF"/>
          </w:tcPr>
          <w:p>
            <w:pPr>
              <w:ind w:left="140"/>
              <w:spacing w:after="0"/>
              <w:rPr>
                <w:sz w:val="20"/>
                <w:szCs w:val="20"/>
                <w:color w:val="auto"/>
              </w:rPr>
            </w:pPr>
            <w:r>
              <w:rPr>
                <w:rFonts w:ascii="Arial" w:cs="Arial" w:eastAsia="Arial" w:hAnsi="Arial"/>
                <w:sz w:val="18"/>
                <w:szCs w:val="18"/>
                <w:b w:val="1"/>
                <w:bCs w:val="1"/>
                <w:u w:val="single" w:color="auto"/>
                <w:color w:val="auto"/>
                <w:w w:val="86"/>
              </w:rPr>
              <w:t>A$</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88"/>
              </w:rPr>
              <w:t>0.149</w:t>
            </w:r>
          </w:p>
        </w:tc>
        <w:tc>
          <w:tcPr>
            <w:tcW w:w="80" w:type="dxa"/>
            <w:vAlign w:val="bottom"/>
            <w:shd w:val="clear" w:color="auto" w:fill="CCEEFF"/>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4940" w:type="dxa"/>
            <w:vAlign w:val="bottom"/>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15" w:lineRule="exact"/>
        <w:rPr>
          <w:sz w:val="20"/>
          <w:szCs w:val="20"/>
          <w:color w:val="auto"/>
        </w:rPr>
      </w:pPr>
    </w:p>
    <w:p>
      <w:pPr>
        <w:ind w:left="200"/>
        <w:spacing w:after="0"/>
        <w:rPr>
          <w:sz w:val="20"/>
          <w:szCs w:val="20"/>
          <w:color w:val="auto"/>
        </w:rPr>
      </w:pPr>
      <w:r>
        <w:rPr>
          <w:rFonts w:ascii="Arial" w:cs="Arial" w:eastAsia="Arial" w:hAnsi="Arial"/>
          <w:sz w:val="18"/>
          <w:szCs w:val="18"/>
          <w:color w:val="auto"/>
        </w:rPr>
        <w:t>As at the reporting date, there were 29,131,664 unissued ordinary shares under options represented by:</w:t>
      </w:r>
    </w:p>
    <w:p>
      <w:pPr>
        <w:spacing w:after="0" w:line="225" w:lineRule="exact"/>
        <w:rPr>
          <w:sz w:val="20"/>
          <w:szCs w:val="20"/>
          <w:color w:val="auto"/>
        </w:rPr>
      </w:pPr>
    </w:p>
    <w:p>
      <w:pPr>
        <w:ind w:left="200"/>
        <w:spacing w:after="0"/>
        <w:rPr>
          <w:sz w:val="20"/>
          <w:szCs w:val="20"/>
          <w:color w:val="auto"/>
        </w:rPr>
      </w:pPr>
      <w:r>
        <w:rPr>
          <w:rFonts w:ascii="Arial" w:cs="Arial" w:eastAsia="Arial" w:hAnsi="Arial"/>
          <w:sz w:val="18"/>
          <w:szCs w:val="18"/>
          <w:color w:val="auto"/>
        </w:rPr>
        <w:t>1,110,000 exercisable at A$0.08 expiring December 31, 2018 issued to an employee on July 1, 2017.</w:t>
      </w:r>
    </w:p>
    <w:p>
      <w:pPr>
        <w:spacing w:after="0" w:line="225" w:lineRule="exact"/>
        <w:rPr>
          <w:sz w:val="20"/>
          <w:szCs w:val="20"/>
          <w:color w:val="auto"/>
        </w:rPr>
      </w:pPr>
    </w:p>
    <w:p>
      <w:pPr>
        <w:ind w:left="200"/>
        <w:spacing w:after="0"/>
        <w:rPr>
          <w:sz w:val="20"/>
          <w:szCs w:val="20"/>
          <w:color w:val="auto"/>
        </w:rPr>
      </w:pPr>
      <w:r>
        <w:rPr>
          <w:rFonts w:ascii="Arial" w:cs="Arial" w:eastAsia="Arial" w:hAnsi="Arial"/>
          <w:sz w:val="18"/>
          <w:szCs w:val="18"/>
          <w:color w:val="auto"/>
        </w:rPr>
        <w:t>17,910,415 exercisable at A$0.085 expiring May 18, 2027 issued to employees on May 18, 2017.</w:t>
      </w:r>
    </w:p>
    <w:p>
      <w:pPr>
        <w:spacing w:after="0" w:line="225" w:lineRule="exact"/>
        <w:rPr>
          <w:sz w:val="20"/>
          <w:szCs w:val="20"/>
          <w:color w:val="auto"/>
        </w:rPr>
      </w:pPr>
    </w:p>
    <w:p>
      <w:pPr>
        <w:ind w:left="200"/>
        <w:spacing w:after="0"/>
        <w:rPr>
          <w:sz w:val="20"/>
          <w:szCs w:val="20"/>
          <w:color w:val="auto"/>
        </w:rPr>
      </w:pPr>
      <w:r>
        <w:rPr>
          <w:rFonts w:ascii="Arial" w:cs="Arial" w:eastAsia="Arial" w:hAnsi="Arial"/>
          <w:sz w:val="18"/>
          <w:szCs w:val="18"/>
          <w:color w:val="auto"/>
        </w:rPr>
        <w:t>1,072,916 exercisable at A$0.082 expiring May 26, 2027 issued to an employee on May 26, 2017.</w:t>
      </w:r>
    </w:p>
    <w:p>
      <w:pPr>
        <w:spacing w:after="0" w:line="225" w:lineRule="exact"/>
        <w:rPr>
          <w:sz w:val="20"/>
          <w:szCs w:val="20"/>
          <w:color w:val="auto"/>
        </w:rPr>
      </w:pPr>
    </w:p>
    <w:p>
      <w:pPr>
        <w:ind w:left="200"/>
        <w:spacing w:after="0"/>
        <w:rPr>
          <w:sz w:val="20"/>
          <w:szCs w:val="20"/>
          <w:color w:val="auto"/>
        </w:rPr>
      </w:pPr>
      <w:r>
        <w:rPr>
          <w:rFonts w:ascii="Arial" w:cs="Arial" w:eastAsia="Arial" w:hAnsi="Arial"/>
          <w:sz w:val="18"/>
          <w:szCs w:val="18"/>
          <w:color w:val="auto"/>
        </w:rPr>
        <w:t>1,038,333 exercisable at A$0.08 expiring June 27, 2027 issued to employees on June 27, 2017.</w:t>
      </w:r>
    </w:p>
    <w:p>
      <w:pPr>
        <w:spacing w:after="0" w:line="225" w:lineRule="exact"/>
        <w:rPr>
          <w:sz w:val="20"/>
          <w:szCs w:val="20"/>
          <w:color w:val="auto"/>
        </w:rPr>
      </w:pPr>
    </w:p>
    <w:p>
      <w:pPr>
        <w:ind w:left="200"/>
        <w:spacing w:after="0"/>
        <w:rPr>
          <w:sz w:val="20"/>
          <w:szCs w:val="20"/>
          <w:color w:val="auto"/>
        </w:rPr>
      </w:pPr>
      <w:r>
        <w:rPr>
          <w:rFonts w:ascii="Arial" w:cs="Arial" w:eastAsia="Arial" w:hAnsi="Arial"/>
          <w:sz w:val="18"/>
          <w:szCs w:val="18"/>
          <w:color w:val="auto"/>
        </w:rPr>
        <w:t>4,000,000 exercisable at A$0.063 expiring September 6, 2027 issued to an employee on September 6, 2017.</w:t>
      </w:r>
    </w:p>
    <w:p>
      <w:pPr>
        <w:spacing w:after="0" w:line="225" w:lineRule="exact"/>
        <w:rPr>
          <w:sz w:val="20"/>
          <w:szCs w:val="20"/>
          <w:color w:val="auto"/>
        </w:rPr>
      </w:pPr>
    </w:p>
    <w:p>
      <w:pPr>
        <w:ind w:left="200"/>
        <w:spacing w:after="0"/>
        <w:rPr>
          <w:sz w:val="20"/>
          <w:szCs w:val="20"/>
          <w:color w:val="auto"/>
        </w:rPr>
      </w:pPr>
      <w:r>
        <w:rPr>
          <w:rFonts w:ascii="Arial" w:cs="Arial" w:eastAsia="Arial" w:hAnsi="Arial"/>
          <w:sz w:val="18"/>
          <w:szCs w:val="18"/>
          <w:color w:val="auto"/>
        </w:rPr>
        <w:t>4,000,000 exercisable at A$0.061 expiring January 3, 2028 issued to an employee on January 3, 2018.</w:t>
      </w:r>
    </w:p>
    <w:p>
      <w:pPr>
        <w:spacing w:after="0" w:line="225" w:lineRule="exact"/>
        <w:rPr>
          <w:sz w:val="20"/>
          <w:szCs w:val="20"/>
          <w:color w:val="auto"/>
        </w:rPr>
      </w:pPr>
    </w:p>
    <w:p>
      <w:pPr>
        <w:ind w:left="200"/>
        <w:spacing w:after="0"/>
        <w:rPr>
          <w:sz w:val="20"/>
          <w:szCs w:val="20"/>
          <w:color w:val="auto"/>
        </w:rPr>
      </w:pPr>
      <w:r>
        <w:rPr>
          <w:rFonts w:ascii="Arial" w:cs="Arial" w:eastAsia="Arial" w:hAnsi="Arial"/>
          <w:sz w:val="17"/>
          <w:szCs w:val="17"/>
          <w:color w:val="auto"/>
        </w:rPr>
        <w:t>Option holders do not have any right, by virtue of the option, to participate in any share issue of the Company or any related corporate body.</w:t>
      </w:r>
    </w:p>
    <w:p>
      <w:pPr>
        <w:spacing w:after="0" w:line="169" w:lineRule="exact"/>
        <w:rPr>
          <w:sz w:val="20"/>
          <w:szCs w:val="20"/>
          <w:color w:val="auto"/>
        </w:rPr>
      </w:pPr>
    </w:p>
    <w:p>
      <w:pPr>
        <w:ind w:left="5540"/>
        <w:spacing w:after="0"/>
        <w:rPr>
          <w:sz w:val="20"/>
          <w:szCs w:val="20"/>
          <w:color w:val="auto"/>
        </w:rPr>
      </w:pPr>
      <w:r>
        <w:rPr>
          <w:rFonts w:ascii="Arial" w:cs="Arial" w:eastAsia="Arial" w:hAnsi="Arial"/>
          <w:sz w:val="18"/>
          <w:szCs w:val="18"/>
          <w:color w:val="auto"/>
        </w:rPr>
        <w:t>F-36</w:t>
      </w:r>
    </w:p>
    <w:p>
      <w:pPr>
        <w:sectPr>
          <w:pgSz w:w="11900" w:h="16838" w:orient="portrait"/>
          <w:cols w:equalWidth="0" w:num="1">
            <w:col w:w="11240"/>
          </w:cols>
          <w:pgMar w:left="240" w:top="459" w:right="419" w:bottom="1440" w:gutter="0" w:footer="0" w:header="0"/>
        </w:sectPr>
      </w:pPr>
    </w:p>
    <w:bookmarkStart w:id="135" w:name="page136"/>
    <w:bookmarkEnd w:id="13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8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279"/>
        <w:spacing w:after="0"/>
        <w:rPr>
          <w:sz w:val="20"/>
          <w:szCs w:val="20"/>
          <w:color w:val="auto"/>
        </w:rPr>
      </w:pPr>
      <w:r>
        <w:rPr>
          <w:rFonts w:ascii="Arial" w:cs="Arial" w:eastAsia="Arial" w:hAnsi="Arial"/>
          <w:sz w:val="18"/>
          <w:szCs w:val="18"/>
          <w:b w:val="1"/>
          <w:bCs w:val="1"/>
          <w:color w:val="auto"/>
        </w:rPr>
        <w:t>AVITA MEDICAL LIMITED</w:t>
      </w:r>
    </w:p>
    <w:p>
      <w:pPr>
        <w:spacing w:after="0" w:line="27" w:lineRule="exact"/>
        <w:rPr>
          <w:sz w:val="20"/>
          <w:szCs w:val="20"/>
          <w:color w:val="auto"/>
        </w:rPr>
      </w:pPr>
    </w:p>
    <w:p>
      <w:pPr>
        <w:jc w:val="center"/>
        <w:ind w:right="-279"/>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9" w:lineRule="exact"/>
        <w:rPr>
          <w:sz w:val="20"/>
          <w:szCs w:val="20"/>
          <w:color w:val="auto"/>
        </w:rPr>
      </w:pPr>
    </w:p>
    <w:p>
      <w:pPr>
        <w:jc w:val="center"/>
        <w:ind w:right="-279"/>
        <w:spacing w:after="0"/>
        <w:rPr>
          <w:sz w:val="20"/>
          <w:szCs w:val="20"/>
          <w:color w:val="auto"/>
        </w:rPr>
      </w:pPr>
      <w:r>
        <w:rPr>
          <w:rFonts w:ascii="Arial" w:cs="Arial" w:eastAsia="Arial" w:hAnsi="Arial"/>
          <w:sz w:val="18"/>
          <w:szCs w:val="18"/>
          <w:b w:val="1"/>
          <w:bCs w:val="1"/>
          <w:color w:val="auto"/>
        </w:rPr>
        <w:t>(IN AUSTRALIAN DOLLARS)</w:t>
      </w:r>
    </w:p>
    <w:p>
      <w:pPr>
        <w:spacing w:after="0" w:line="234" w:lineRule="exact"/>
        <w:rPr>
          <w:sz w:val="20"/>
          <w:szCs w:val="20"/>
          <w:color w:val="auto"/>
        </w:rPr>
      </w:pPr>
    </w:p>
    <w:p>
      <w:pPr>
        <w:ind w:left="640" w:hanging="436"/>
        <w:spacing w:after="0"/>
        <w:tabs>
          <w:tab w:leader="none" w:pos="640" w:val="left"/>
        </w:tabs>
        <w:numPr>
          <w:ilvl w:val="0"/>
          <w:numId w:val="157"/>
        </w:numPr>
        <w:rPr>
          <w:rFonts w:ascii="Arial" w:cs="Arial" w:eastAsia="Arial" w:hAnsi="Arial"/>
          <w:sz w:val="18"/>
          <w:szCs w:val="18"/>
          <w:b w:val="1"/>
          <w:bCs w:val="1"/>
          <w:color w:val="auto"/>
        </w:rPr>
      </w:pPr>
      <w:r>
        <w:rPr>
          <w:rFonts w:ascii="Arial" w:cs="Arial" w:eastAsia="Arial" w:hAnsi="Arial"/>
          <w:sz w:val="18"/>
          <w:szCs w:val="18"/>
          <w:b w:val="1"/>
          <w:bCs w:val="1"/>
          <w:color w:val="auto"/>
        </w:rPr>
        <w:t>SHARE-BASED PAYMENT PLANS (CONTINUED)</w:t>
      </w:r>
    </w:p>
    <w:p>
      <w:pPr>
        <w:spacing w:after="0" w:line="131" w:lineRule="exact"/>
        <w:rPr>
          <w:sz w:val="20"/>
          <w:szCs w:val="20"/>
          <w:color w:val="auto"/>
        </w:rPr>
      </w:pPr>
    </w:p>
    <w:p>
      <w:pPr>
        <w:ind w:left="640" w:hanging="436"/>
        <w:spacing w:after="0"/>
        <w:tabs>
          <w:tab w:leader="none" w:pos="640" w:val="left"/>
        </w:tabs>
        <w:numPr>
          <w:ilvl w:val="0"/>
          <w:numId w:val="158"/>
        </w:numPr>
        <w:rPr>
          <w:rFonts w:ascii="Arial" w:cs="Arial" w:eastAsia="Arial" w:hAnsi="Arial"/>
          <w:sz w:val="18"/>
          <w:szCs w:val="18"/>
          <w:b w:val="1"/>
          <w:bCs w:val="1"/>
          <w:color w:val="auto"/>
        </w:rPr>
      </w:pPr>
      <w:r>
        <w:rPr>
          <w:rFonts w:ascii="Arial" w:cs="Arial" w:eastAsia="Arial" w:hAnsi="Arial"/>
          <w:sz w:val="18"/>
          <w:szCs w:val="18"/>
          <w:b w:val="1"/>
          <w:bCs w:val="1"/>
          <w:color w:val="auto"/>
        </w:rPr>
        <w:t>Summaries of options granted under ESOP arrangements (continued)</w:t>
      </w:r>
    </w:p>
    <w:p>
      <w:pPr>
        <w:spacing w:after="0" w:line="135"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Shares issued as a result of the exercise of options</w:t>
      </w:r>
    </w:p>
    <w:p>
      <w:pPr>
        <w:spacing w:after="0" w:line="117" w:lineRule="exact"/>
        <w:rPr>
          <w:sz w:val="20"/>
          <w:szCs w:val="20"/>
          <w:color w:val="auto"/>
        </w:rPr>
      </w:pPr>
    </w:p>
    <w:p>
      <w:pPr>
        <w:ind w:left="200"/>
        <w:spacing w:after="0"/>
        <w:rPr>
          <w:sz w:val="20"/>
          <w:szCs w:val="20"/>
          <w:color w:val="auto"/>
        </w:rPr>
      </w:pPr>
      <w:r>
        <w:rPr>
          <w:rFonts w:ascii="Arial" w:cs="Arial" w:eastAsia="Arial" w:hAnsi="Arial"/>
          <w:sz w:val="18"/>
          <w:szCs w:val="18"/>
          <w:color w:val="auto"/>
        </w:rPr>
        <w:t>During the financial year and up to the date of this report, no options were exercised to acquire fully paid ordinary shares in the Company.</w:t>
      </w:r>
    </w:p>
    <w:p>
      <w:pPr>
        <w:spacing w:after="0" w:line="370" w:lineRule="exact"/>
        <w:rPr>
          <w:sz w:val="20"/>
          <w:szCs w:val="20"/>
          <w:color w:val="auto"/>
        </w:rPr>
      </w:pPr>
    </w:p>
    <w:p>
      <w:pPr>
        <w:ind w:left="640" w:hanging="436"/>
        <w:spacing w:after="0"/>
        <w:tabs>
          <w:tab w:leader="none" w:pos="640" w:val="left"/>
        </w:tabs>
        <w:numPr>
          <w:ilvl w:val="0"/>
          <w:numId w:val="159"/>
        </w:numPr>
        <w:rPr>
          <w:rFonts w:ascii="Arial" w:cs="Arial" w:eastAsia="Arial" w:hAnsi="Arial"/>
          <w:sz w:val="18"/>
          <w:szCs w:val="18"/>
          <w:b w:val="1"/>
          <w:bCs w:val="1"/>
          <w:color w:val="auto"/>
        </w:rPr>
      </w:pPr>
      <w:r>
        <w:rPr>
          <w:rFonts w:ascii="Arial" w:cs="Arial" w:eastAsia="Arial" w:hAnsi="Arial"/>
          <w:sz w:val="18"/>
          <w:szCs w:val="18"/>
          <w:b w:val="1"/>
          <w:bCs w:val="1"/>
          <w:color w:val="auto"/>
        </w:rPr>
        <w:t>Weighted average remaining contractual life</w:t>
      </w:r>
    </w:p>
    <w:p>
      <w:pPr>
        <w:spacing w:after="0" w:line="121" w:lineRule="exact"/>
        <w:rPr>
          <w:sz w:val="20"/>
          <w:szCs w:val="20"/>
          <w:color w:val="auto"/>
        </w:rPr>
      </w:pPr>
    </w:p>
    <w:p>
      <w:pPr>
        <w:ind w:left="200" w:right="240"/>
        <w:spacing w:after="0" w:line="277" w:lineRule="auto"/>
        <w:rPr>
          <w:sz w:val="20"/>
          <w:szCs w:val="20"/>
          <w:color w:val="auto"/>
        </w:rPr>
      </w:pPr>
      <w:r>
        <w:rPr>
          <w:rFonts w:ascii="Arial" w:cs="Arial" w:eastAsia="Arial" w:hAnsi="Arial"/>
          <w:sz w:val="18"/>
          <w:szCs w:val="18"/>
          <w:color w:val="auto"/>
        </w:rPr>
        <w:t>The weighted average remaining contractual life for the share options outstanding as at June 30, 2018 is 9.52 years (2017: 9.39 years and 2016: 2.88 years).</w:t>
      </w:r>
    </w:p>
    <w:p>
      <w:pPr>
        <w:spacing w:after="0" w:line="315" w:lineRule="exact"/>
        <w:rPr>
          <w:sz w:val="20"/>
          <w:szCs w:val="20"/>
          <w:color w:val="auto"/>
        </w:rPr>
      </w:pPr>
    </w:p>
    <w:p>
      <w:pPr>
        <w:ind w:left="640" w:hanging="436"/>
        <w:spacing w:after="0"/>
        <w:tabs>
          <w:tab w:leader="none" w:pos="640" w:val="left"/>
        </w:tabs>
        <w:numPr>
          <w:ilvl w:val="0"/>
          <w:numId w:val="160"/>
        </w:numPr>
        <w:rPr>
          <w:rFonts w:ascii="Arial" w:cs="Arial" w:eastAsia="Arial" w:hAnsi="Arial"/>
          <w:sz w:val="18"/>
          <w:szCs w:val="18"/>
          <w:b w:val="1"/>
          <w:bCs w:val="1"/>
          <w:color w:val="auto"/>
        </w:rPr>
      </w:pPr>
      <w:r>
        <w:rPr>
          <w:rFonts w:ascii="Arial" w:cs="Arial" w:eastAsia="Arial" w:hAnsi="Arial"/>
          <w:sz w:val="18"/>
          <w:szCs w:val="18"/>
          <w:b w:val="1"/>
          <w:bCs w:val="1"/>
          <w:color w:val="auto"/>
        </w:rPr>
        <w:t>Range of exercise price</w:t>
      </w:r>
    </w:p>
    <w:p>
      <w:pPr>
        <w:spacing w:after="0" w:line="121" w:lineRule="exact"/>
        <w:rPr>
          <w:sz w:val="20"/>
          <w:szCs w:val="20"/>
          <w:color w:val="auto"/>
        </w:rPr>
      </w:pPr>
    </w:p>
    <w:p>
      <w:pPr>
        <w:ind w:left="200" w:right="420"/>
        <w:spacing w:after="0" w:line="277" w:lineRule="auto"/>
        <w:rPr>
          <w:sz w:val="20"/>
          <w:szCs w:val="20"/>
          <w:color w:val="auto"/>
        </w:rPr>
      </w:pPr>
      <w:r>
        <w:rPr>
          <w:rFonts w:ascii="Arial" w:cs="Arial" w:eastAsia="Arial" w:hAnsi="Arial"/>
          <w:sz w:val="18"/>
          <w:szCs w:val="18"/>
          <w:color w:val="auto"/>
        </w:rPr>
        <w:t>The range of exercise prices for options outstanding at the end of the year was A$0.061—A$0.126 (2017: A$0.079—A$0.14 and 2016: A$0.10— A$0.175).</w:t>
      </w:r>
    </w:p>
    <w:p>
      <w:pPr>
        <w:spacing w:after="0" w:line="170" w:lineRule="exact"/>
        <w:rPr>
          <w:sz w:val="20"/>
          <w:szCs w:val="20"/>
          <w:color w:val="auto"/>
        </w:rPr>
      </w:pPr>
    </w:p>
    <w:p>
      <w:pPr>
        <w:ind w:left="200" w:right="200"/>
        <w:spacing w:after="0" w:line="277" w:lineRule="auto"/>
        <w:rPr>
          <w:sz w:val="20"/>
          <w:szCs w:val="20"/>
          <w:color w:val="auto"/>
        </w:rPr>
      </w:pPr>
      <w:r>
        <w:rPr>
          <w:rFonts w:ascii="Arial" w:cs="Arial" w:eastAsia="Arial" w:hAnsi="Arial"/>
          <w:sz w:val="18"/>
          <w:szCs w:val="18"/>
          <w:color w:val="auto"/>
        </w:rPr>
        <w:t>As the range of exercise prices is wide, refer to Section (c) above for further information in assessing the number and timing of additional shares that may be issued and the cash that may be received upon exercise of those options.</w:t>
      </w:r>
    </w:p>
    <w:p>
      <w:pPr>
        <w:spacing w:after="0" w:line="315" w:lineRule="exact"/>
        <w:rPr>
          <w:sz w:val="20"/>
          <w:szCs w:val="20"/>
          <w:color w:val="auto"/>
        </w:rPr>
      </w:pPr>
    </w:p>
    <w:p>
      <w:pPr>
        <w:ind w:left="640" w:hanging="436"/>
        <w:spacing w:after="0"/>
        <w:tabs>
          <w:tab w:leader="none" w:pos="640" w:val="left"/>
        </w:tabs>
        <w:numPr>
          <w:ilvl w:val="0"/>
          <w:numId w:val="161"/>
        </w:numPr>
        <w:rPr>
          <w:rFonts w:ascii="Arial" w:cs="Arial" w:eastAsia="Arial" w:hAnsi="Arial"/>
          <w:sz w:val="18"/>
          <w:szCs w:val="18"/>
          <w:b w:val="1"/>
          <w:bCs w:val="1"/>
          <w:color w:val="auto"/>
        </w:rPr>
      </w:pPr>
      <w:r>
        <w:rPr>
          <w:rFonts w:ascii="Arial" w:cs="Arial" w:eastAsia="Arial" w:hAnsi="Arial"/>
          <w:sz w:val="18"/>
          <w:szCs w:val="18"/>
          <w:b w:val="1"/>
          <w:bCs w:val="1"/>
          <w:color w:val="auto"/>
        </w:rPr>
        <w:t>Weighted average fair value</w:t>
      </w:r>
    </w:p>
    <w:p>
      <w:pPr>
        <w:spacing w:after="0" w:line="121" w:lineRule="exact"/>
        <w:rPr>
          <w:sz w:val="20"/>
          <w:szCs w:val="20"/>
          <w:color w:val="auto"/>
        </w:rPr>
      </w:pPr>
    </w:p>
    <w:p>
      <w:pPr>
        <w:ind w:left="200"/>
        <w:spacing w:after="0"/>
        <w:rPr>
          <w:sz w:val="20"/>
          <w:szCs w:val="20"/>
          <w:color w:val="auto"/>
        </w:rPr>
      </w:pPr>
      <w:r>
        <w:rPr>
          <w:rFonts w:ascii="Arial" w:cs="Arial" w:eastAsia="Arial" w:hAnsi="Arial"/>
          <w:sz w:val="16"/>
          <w:szCs w:val="16"/>
          <w:color w:val="auto"/>
        </w:rPr>
        <w:t>The weighted average fair value of options granted during the year was A$247,089 (2017: A$578,879 and 2016: A$191,589). The total fair value of the</w:t>
      </w:r>
    </w:p>
    <w:p>
      <w:pPr>
        <w:spacing w:after="0" w:line="46" w:lineRule="exact"/>
        <w:rPr>
          <w:sz w:val="20"/>
          <w:szCs w:val="20"/>
          <w:color w:val="auto"/>
        </w:rPr>
      </w:pPr>
    </w:p>
    <w:p>
      <w:pPr>
        <w:ind w:left="200"/>
        <w:spacing w:after="0"/>
        <w:rPr>
          <w:sz w:val="20"/>
          <w:szCs w:val="20"/>
          <w:color w:val="auto"/>
        </w:rPr>
      </w:pPr>
      <w:r>
        <w:rPr>
          <w:rFonts w:ascii="Arial" w:cs="Arial" w:eastAsia="Arial" w:hAnsi="Arial"/>
          <w:sz w:val="18"/>
          <w:szCs w:val="18"/>
          <w:color w:val="auto"/>
        </w:rPr>
        <w:t>options granted during the year is A$247,089 (2017: A$578,879 and 2016: A$191,589).</w:t>
      </w:r>
    </w:p>
    <w:p>
      <w:pPr>
        <w:spacing w:after="0" w:line="355" w:lineRule="exact"/>
        <w:rPr>
          <w:sz w:val="20"/>
          <w:szCs w:val="20"/>
          <w:color w:val="auto"/>
        </w:rPr>
      </w:pPr>
    </w:p>
    <w:p>
      <w:pPr>
        <w:ind w:left="200" w:right="7260" w:firstLine="4"/>
        <w:spacing w:after="0" w:line="378" w:lineRule="auto"/>
        <w:tabs>
          <w:tab w:leader="none" w:pos="632" w:val="left"/>
        </w:tabs>
        <w:numPr>
          <w:ilvl w:val="0"/>
          <w:numId w:val="162"/>
        </w:numPr>
        <w:rPr>
          <w:rFonts w:ascii="Arial" w:cs="Arial" w:eastAsia="Arial" w:hAnsi="Arial"/>
          <w:sz w:val="18"/>
          <w:szCs w:val="18"/>
          <w:b w:val="1"/>
          <w:bCs w:val="1"/>
          <w:color w:val="auto"/>
        </w:rPr>
      </w:pPr>
      <w:r>
        <w:rPr>
          <w:rFonts w:ascii="Arial" w:cs="Arial" w:eastAsia="Arial" w:hAnsi="Arial"/>
          <w:sz w:val="18"/>
          <w:szCs w:val="18"/>
          <w:b w:val="1"/>
          <w:bCs w:val="1"/>
          <w:color w:val="auto"/>
        </w:rPr>
        <w:t>Option pricing model: ESOP and Investor Equity-settled transactions</w:t>
      </w:r>
    </w:p>
    <w:p>
      <w:pPr>
        <w:ind w:left="200" w:right="140"/>
        <w:spacing w:after="0" w:line="277" w:lineRule="auto"/>
        <w:rPr>
          <w:sz w:val="20"/>
          <w:szCs w:val="20"/>
          <w:color w:val="auto"/>
        </w:rPr>
      </w:pPr>
      <w:r>
        <w:rPr>
          <w:rFonts w:ascii="Arial" w:cs="Arial" w:eastAsia="Arial" w:hAnsi="Arial"/>
          <w:sz w:val="18"/>
          <w:szCs w:val="18"/>
          <w:color w:val="auto"/>
        </w:rPr>
        <w:t>The fair value of the equity-settled share options granted under the ESOP is estimated at the date of grant using a Binomial Model taking into account the terms and conditions upon which the options were granted.</w:t>
      </w:r>
    </w:p>
    <w:p>
      <w:pPr>
        <w:spacing w:after="0" w:line="170" w:lineRule="exact"/>
        <w:rPr>
          <w:sz w:val="20"/>
          <w:szCs w:val="20"/>
          <w:color w:val="auto"/>
        </w:rPr>
      </w:pPr>
    </w:p>
    <w:p>
      <w:pPr>
        <w:ind w:left="200"/>
        <w:spacing w:after="0"/>
        <w:rPr>
          <w:sz w:val="20"/>
          <w:szCs w:val="20"/>
          <w:color w:val="auto"/>
        </w:rPr>
      </w:pPr>
      <w:r>
        <w:rPr>
          <w:rFonts w:ascii="Arial" w:cs="Arial" w:eastAsia="Arial" w:hAnsi="Arial"/>
          <w:sz w:val="18"/>
          <w:szCs w:val="18"/>
          <w:color w:val="auto"/>
        </w:rPr>
        <w:t>The options issued in the period have vesting criteria based on the following performance conditions:</w:t>
      </w:r>
    </w:p>
    <w:p>
      <w:pPr>
        <w:spacing w:after="0" w:line="131" w:lineRule="exact"/>
        <w:rPr>
          <w:sz w:val="20"/>
          <w:szCs w:val="20"/>
          <w:color w:val="auto"/>
        </w:rPr>
      </w:pPr>
    </w:p>
    <w:p>
      <w:pPr>
        <w:ind w:left="1180" w:hanging="436"/>
        <w:spacing w:after="0"/>
        <w:tabs>
          <w:tab w:leader="none" w:pos="1180" w:val="left"/>
        </w:tabs>
        <w:numPr>
          <w:ilvl w:val="0"/>
          <w:numId w:val="163"/>
        </w:numPr>
        <w:rPr>
          <w:rFonts w:ascii="Arial" w:cs="Arial" w:eastAsia="Arial" w:hAnsi="Arial"/>
          <w:sz w:val="18"/>
          <w:szCs w:val="18"/>
          <w:color w:val="auto"/>
        </w:rPr>
      </w:pPr>
      <w:r>
        <w:rPr>
          <w:rFonts w:ascii="Arial" w:cs="Arial" w:eastAsia="Arial" w:hAnsi="Arial"/>
          <w:sz w:val="18"/>
          <w:szCs w:val="18"/>
          <w:color w:val="auto"/>
        </w:rPr>
        <w:t>Tenure with the Company</w:t>
      </w:r>
    </w:p>
    <w:p>
      <w:pPr>
        <w:spacing w:after="0" w:line="130" w:lineRule="exact"/>
        <w:rPr>
          <w:rFonts w:ascii="Arial" w:cs="Arial" w:eastAsia="Arial" w:hAnsi="Arial"/>
          <w:sz w:val="18"/>
          <w:szCs w:val="18"/>
          <w:color w:val="auto"/>
        </w:rPr>
      </w:pPr>
    </w:p>
    <w:p>
      <w:pPr>
        <w:ind w:left="1180" w:hanging="436"/>
        <w:spacing w:after="0"/>
        <w:tabs>
          <w:tab w:leader="none" w:pos="1180" w:val="left"/>
        </w:tabs>
        <w:numPr>
          <w:ilvl w:val="0"/>
          <w:numId w:val="163"/>
        </w:numPr>
        <w:rPr>
          <w:rFonts w:ascii="Arial" w:cs="Arial" w:eastAsia="Arial" w:hAnsi="Arial"/>
          <w:sz w:val="18"/>
          <w:szCs w:val="18"/>
          <w:color w:val="auto"/>
        </w:rPr>
      </w:pPr>
      <w:r>
        <w:rPr>
          <w:rFonts w:ascii="Arial" w:cs="Arial" w:eastAsia="Arial" w:hAnsi="Arial"/>
          <w:sz w:val="18"/>
          <w:szCs w:val="18"/>
          <w:color w:val="auto"/>
        </w:rPr>
        <w:t>Revenue target</w:t>
      </w:r>
    </w:p>
    <w:p>
      <w:pPr>
        <w:spacing w:after="0" w:line="130" w:lineRule="exact"/>
        <w:rPr>
          <w:rFonts w:ascii="Arial" w:cs="Arial" w:eastAsia="Arial" w:hAnsi="Arial"/>
          <w:sz w:val="18"/>
          <w:szCs w:val="18"/>
          <w:color w:val="auto"/>
        </w:rPr>
      </w:pPr>
    </w:p>
    <w:p>
      <w:pPr>
        <w:ind w:left="1180" w:hanging="436"/>
        <w:spacing w:after="0"/>
        <w:tabs>
          <w:tab w:leader="none" w:pos="1180" w:val="left"/>
        </w:tabs>
        <w:numPr>
          <w:ilvl w:val="0"/>
          <w:numId w:val="163"/>
        </w:numPr>
        <w:rPr>
          <w:rFonts w:ascii="Arial" w:cs="Arial" w:eastAsia="Arial" w:hAnsi="Arial"/>
          <w:sz w:val="18"/>
          <w:szCs w:val="18"/>
          <w:color w:val="auto"/>
        </w:rPr>
      </w:pPr>
      <w:r>
        <w:rPr>
          <w:rFonts w:ascii="Arial" w:cs="Arial" w:eastAsia="Arial" w:hAnsi="Arial"/>
          <w:sz w:val="18"/>
          <w:szCs w:val="18"/>
          <w:color w:val="auto"/>
        </w:rPr>
        <w:t>FDA PMA approval of RECELL for burns</w:t>
      </w:r>
    </w:p>
    <w:p>
      <w:pPr>
        <w:spacing w:after="0" w:line="130" w:lineRule="exact"/>
        <w:rPr>
          <w:rFonts w:ascii="Arial" w:cs="Arial" w:eastAsia="Arial" w:hAnsi="Arial"/>
          <w:sz w:val="18"/>
          <w:szCs w:val="18"/>
          <w:color w:val="auto"/>
        </w:rPr>
      </w:pPr>
    </w:p>
    <w:p>
      <w:pPr>
        <w:ind w:left="1180" w:hanging="436"/>
        <w:spacing w:after="0"/>
        <w:tabs>
          <w:tab w:leader="none" w:pos="1180" w:val="left"/>
        </w:tabs>
        <w:numPr>
          <w:ilvl w:val="0"/>
          <w:numId w:val="163"/>
        </w:numPr>
        <w:rPr>
          <w:rFonts w:ascii="Arial" w:cs="Arial" w:eastAsia="Arial" w:hAnsi="Arial"/>
          <w:sz w:val="18"/>
          <w:szCs w:val="18"/>
          <w:color w:val="auto"/>
        </w:rPr>
      </w:pPr>
      <w:r>
        <w:rPr>
          <w:rFonts w:ascii="Arial" w:cs="Arial" w:eastAsia="Arial" w:hAnsi="Arial"/>
          <w:sz w:val="18"/>
          <w:szCs w:val="18"/>
          <w:color w:val="auto"/>
        </w:rPr>
        <w:t>Initial BARDA procurement under CLIN2 of the BARDA Contract</w:t>
      </w:r>
    </w:p>
    <w:p>
      <w:pPr>
        <w:spacing w:after="0" w:line="130" w:lineRule="exact"/>
        <w:rPr>
          <w:rFonts w:ascii="Arial" w:cs="Arial" w:eastAsia="Arial" w:hAnsi="Arial"/>
          <w:sz w:val="18"/>
          <w:szCs w:val="18"/>
          <w:color w:val="auto"/>
        </w:rPr>
      </w:pPr>
    </w:p>
    <w:p>
      <w:pPr>
        <w:ind w:left="1180" w:hanging="436"/>
        <w:spacing w:after="0"/>
        <w:tabs>
          <w:tab w:leader="none" w:pos="1180" w:val="left"/>
        </w:tabs>
        <w:numPr>
          <w:ilvl w:val="0"/>
          <w:numId w:val="163"/>
        </w:numPr>
        <w:rPr>
          <w:rFonts w:ascii="Arial" w:cs="Arial" w:eastAsia="Arial" w:hAnsi="Arial"/>
          <w:sz w:val="18"/>
          <w:szCs w:val="18"/>
          <w:color w:val="auto"/>
        </w:rPr>
      </w:pPr>
      <w:r>
        <w:rPr>
          <w:rFonts w:ascii="Arial" w:cs="Arial" w:eastAsia="Arial" w:hAnsi="Arial"/>
          <w:sz w:val="18"/>
          <w:szCs w:val="18"/>
          <w:color w:val="auto"/>
        </w:rPr>
        <w:t>US Quotation</w:t>
      </w:r>
    </w:p>
    <w:p>
      <w:pPr>
        <w:spacing w:after="0" w:line="158" w:lineRule="exact"/>
        <w:rPr>
          <w:sz w:val="20"/>
          <w:szCs w:val="20"/>
          <w:color w:val="auto"/>
        </w:rPr>
      </w:pPr>
    </w:p>
    <w:p>
      <w:pPr>
        <w:jc w:val="center"/>
        <w:ind w:right="-279"/>
        <w:spacing w:after="0"/>
        <w:rPr>
          <w:sz w:val="20"/>
          <w:szCs w:val="20"/>
          <w:color w:val="auto"/>
        </w:rPr>
      </w:pPr>
      <w:r>
        <w:rPr>
          <w:rFonts w:ascii="Arial" w:cs="Arial" w:eastAsia="Arial" w:hAnsi="Arial"/>
          <w:sz w:val="18"/>
          <w:szCs w:val="18"/>
          <w:color w:val="auto"/>
        </w:rPr>
        <w:t>F-37</w:t>
      </w:r>
    </w:p>
    <w:p>
      <w:pPr>
        <w:sectPr>
          <w:pgSz w:w="11900" w:h="16838" w:orient="portrait"/>
          <w:cols w:equalWidth="0" w:num="1">
            <w:col w:w="11140"/>
          </w:cols>
          <w:pgMar w:left="240" w:top="459" w:right="519" w:bottom="1440" w:gutter="0" w:footer="0" w:header="0"/>
        </w:sectPr>
      </w:pPr>
    </w:p>
    <w:bookmarkStart w:id="136" w:name="page137"/>
    <w:bookmarkEnd w:id="13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8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279"/>
        <w:spacing w:after="0"/>
        <w:rPr>
          <w:sz w:val="20"/>
          <w:szCs w:val="20"/>
          <w:color w:val="auto"/>
        </w:rPr>
      </w:pPr>
      <w:r>
        <w:rPr>
          <w:rFonts w:ascii="Arial" w:cs="Arial" w:eastAsia="Arial" w:hAnsi="Arial"/>
          <w:sz w:val="18"/>
          <w:szCs w:val="18"/>
          <w:b w:val="1"/>
          <w:bCs w:val="1"/>
          <w:color w:val="auto"/>
        </w:rPr>
        <w:t>AVITA MEDICAL LIMITED</w:t>
      </w:r>
    </w:p>
    <w:p>
      <w:pPr>
        <w:spacing w:after="0" w:line="27" w:lineRule="exact"/>
        <w:rPr>
          <w:sz w:val="20"/>
          <w:szCs w:val="20"/>
          <w:color w:val="auto"/>
        </w:rPr>
      </w:pPr>
    </w:p>
    <w:p>
      <w:pPr>
        <w:jc w:val="center"/>
        <w:ind w:right="-279"/>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9" w:lineRule="exact"/>
        <w:rPr>
          <w:sz w:val="20"/>
          <w:szCs w:val="20"/>
          <w:color w:val="auto"/>
        </w:rPr>
      </w:pPr>
    </w:p>
    <w:p>
      <w:pPr>
        <w:jc w:val="center"/>
        <w:ind w:right="-279"/>
        <w:spacing w:after="0"/>
        <w:rPr>
          <w:sz w:val="20"/>
          <w:szCs w:val="20"/>
          <w:color w:val="auto"/>
        </w:rPr>
      </w:pPr>
      <w:r>
        <w:rPr>
          <w:rFonts w:ascii="Arial" w:cs="Arial" w:eastAsia="Arial" w:hAnsi="Arial"/>
          <w:sz w:val="18"/>
          <w:szCs w:val="18"/>
          <w:b w:val="1"/>
          <w:bCs w:val="1"/>
          <w:color w:val="auto"/>
        </w:rPr>
        <w:t>(IN AUSTRALIAN DOLLARS)</w:t>
      </w:r>
    </w:p>
    <w:p>
      <w:pPr>
        <w:spacing w:after="0" w:line="234" w:lineRule="exact"/>
        <w:rPr>
          <w:sz w:val="20"/>
          <w:szCs w:val="20"/>
          <w:color w:val="auto"/>
        </w:rPr>
      </w:pPr>
    </w:p>
    <w:p>
      <w:pPr>
        <w:ind w:left="640" w:hanging="436"/>
        <w:spacing w:after="0"/>
        <w:tabs>
          <w:tab w:leader="none" w:pos="640" w:val="left"/>
        </w:tabs>
        <w:numPr>
          <w:ilvl w:val="0"/>
          <w:numId w:val="164"/>
        </w:numPr>
        <w:rPr>
          <w:rFonts w:ascii="Arial" w:cs="Arial" w:eastAsia="Arial" w:hAnsi="Arial"/>
          <w:sz w:val="18"/>
          <w:szCs w:val="18"/>
          <w:b w:val="1"/>
          <w:bCs w:val="1"/>
          <w:color w:val="auto"/>
        </w:rPr>
      </w:pPr>
      <w:r>
        <w:rPr>
          <w:rFonts w:ascii="Arial" w:cs="Arial" w:eastAsia="Arial" w:hAnsi="Arial"/>
          <w:sz w:val="18"/>
          <w:szCs w:val="18"/>
          <w:b w:val="1"/>
          <w:bCs w:val="1"/>
          <w:color w:val="auto"/>
        </w:rPr>
        <w:t>SHARE-BASED PAYMENT PLANS (CONTINUED)</w:t>
      </w:r>
    </w:p>
    <w:p>
      <w:pPr>
        <w:spacing w:after="0" w:line="131" w:lineRule="exact"/>
        <w:rPr>
          <w:sz w:val="20"/>
          <w:szCs w:val="20"/>
          <w:color w:val="auto"/>
        </w:rPr>
      </w:pPr>
    </w:p>
    <w:p>
      <w:pPr>
        <w:ind w:left="640" w:hanging="436"/>
        <w:spacing w:after="0"/>
        <w:tabs>
          <w:tab w:leader="none" w:pos="640" w:val="left"/>
        </w:tabs>
        <w:numPr>
          <w:ilvl w:val="0"/>
          <w:numId w:val="165"/>
        </w:numPr>
        <w:rPr>
          <w:rFonts w:ascii="Arial" w:cs="Arial" w:eastAsia="Arial" w:hAnsi="Arial"/>
          <w:sz w:val="18"/>
          <w:szCs w:val="18"/>
          <w:b w:val="1"/>
          <w:bCs w:val="1"/>
          <w:color w:val="auto"/>
        </w:rPr>
      </w:pPr>
      <w:r>
        <w:rPr>
          <w:rFonts w:ascii="Arial" w:cs="Arial" w:eastAsia="Arial" w:hAnsi="Arial"/>
          <w:sz w:val="18"/>
          <w:szCs w:val="18"/>
          <w:b w:val="1"/>
          <w:bCs w:val="1"/>
          <w:color w:val="auto"/>
        </w:rPr>
        <w:t>Option pricing model: ESOP and Investor (continued)</w:t>
      </w:r>
    </w:p>
    <w:p>
      <w:pPr>
        <w:spacing w:after="0" w:line="135" w:lineRule="exact"/>
        <w:rPr>
          <w:sz w:val="20"/>
          <w:szCs w:val="20"/>
          <w:color w:val="auto"/>
        </w:rPr>
      </w:pPr>
    </w:p>
    <w:p>
      <w:pPr>
        <w:ind w:left="200" w:firstLine="4"/>
        <w:spacing w:after="0" w:line="277" w:lineRule="auto"/>
        <w:tabs>
          <w:tab w:leader="none" w:pos="355" w:val="left"/>
        </w:tabs>
        <w:numPr>
          <w:ilvl w:val="0"/>
          <w:numId w:val="166"/>
        </w:numPr>
        <w:rPr>
          <w:rFonts w:ascii="Arial" w:cs="Arial" w:eastAsia="Arial" w:hAnsi="Arial"/>
          <w:sz w:val="18"/>
          <w:szCs w:val="18"/>
          <w:b w:val="1"/>
          <w:bCs w:val="1"/>
          <w:color w:val="auto"/>
        </w:rPr>
      </w:pPr>
      <w:r>
        <w:rPr>
          <w:rFonts w:ascii="Arial" w:cs="Arial" w:eastAsia="Arial" w:hAnsi="Arial"/>
          <w:sz w:val="18"/>
          <w:szCs w:val="18"/>
          <w:color w:val="auto"/>
        </w:rPr>
        <w:t>On May 18, 2017, 17,910,415 options were granted to employees at an exercise price of A$0.085 expiring on May 18, 2027. The following table lists the inputs to the models used for the options granted to employees each year:</w:t>
      </w:r>
    </w:p>
    <w:p>
      <w:pPr>
        <w:spacing w:after="0" w:line="189" w:lineRule="exact"/>
        <w:rPr>
          <w:sz w:val="20"/>
          <w:szCs w:val="20"/>
          <w:color w:val="auto"/>
        </w:rPr>
      </w:pPr>
    </w:p>
    <w:tbl>
      <w:tblPr>
        <w:tblLayout w:type="fixed"/>
        <w:tblInd w:w="152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3380" w:type="dxa"/>
            <w:vAlign w:val="bottom"/>
            <w:tcBorders>
              <w:bottom w:val="single" w:sz="8" w:color="CCEEFF"/>
            </w:tcBorders>
          </w:tcPr>
          <w:p>
            <w:pPr>
              <w:spacing w:after="0"/>
              <w:rPr>
                <w:sz w:val="14"/>
                <w:szCs w:val="14"/>
                <w:color w:val="auto"/>
              </w:rPr>
            </w:pPr>
          </w:p>
        </w:tc>
        <w:tc>
          <w:tcPr>
            <w:tcW w:w="1440" w:type="dxa"/>
            <w:vAlign w:val="bottom"/>
            <w:tcBorders>
              <w:bottom w:val="single" w:sz="8" w:color="CCEEFF"/>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jc w:val="right"/>
              <w:ind w:right="292"/>
              <w:spacing w:after="0"/>
              <w:rPr>
                <w:sz w:val="20"/>
                <w:szCs w:val="20"/>
                <w:color w:val="auto"/>
              </w:rPr>
            </w:pPr>
            <w:r>
              <w:rPr>
                <w:rFonts w:ascii="Arial" w:cs="Arial" w:eastAsia="Arial" w:hAnsi="Arial"/>
                <w:sz w:val="14"/>
                <w:szCs w:val="14"/>
                <w:b w:val="1"/>
                <w:bCs w:val="1"/>
                <w:color w:val="auto"/>
              </w:rPr>
              <w:t>2018</w:t>
            </w:r>
          </w:p>
        </w:tc>
        <w:tc>
          <w:tcPr>
            <w:tcW w:w="680" w:type="dxa"/>
            <w:vAlign w:val="bottom"/>
            <w:tcBorders>
              <w:bottom w:val="single" w:sz="8" w:color="CCEEFF"/>
            </w:tcBorders>
          </w:tcPr>
          <w:p>
            <w:pPr>
              <w:spacing w:after="0"/>
              <w:rPr>
                <w:sz w:val="14"/>
                <w:szCs w:val="14"/>
                <w:color w:val="auto"/>
              </w:rPr>
            </w:pPr>
          </w:p>
        </w:tc>
        <w:tc>
          <w:tcPr>
            <w:tcW w:w="560" w:type="dxa"/>
            <w:vAlign w:val="bottom"/>
            <w:tcBorders>
              <w:bottom w:val="single" w:sz="8" w:color="CCEEFF"/>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right"/>
              <w:ind w:right="292"/>
              <w:spacing w:after="0"/>
              <w:rPr>
                <w:sz w:val="20"/>
                <w:szCs w:val="20"/>
                <w:color w:val="auto"/>
              </w:rPr>
            </w:pPr>
            <w:r>
              <w:rPr>
                <w:rFonts w:ascii="Arial" w:cs="Arial" w:eastAsia="Arial" w:hAnsi="Arial"/>
                <w:sz w:val="14"/>
                <w:szCs w:val="14"/>
                <w:b w:val="1"/>
                <w:bCs w:val="1"/>
                <w:color w:val="auto"/>
              </w:rPr>
              <w:t>2017</w:t>
            </w:r>
          </w:p>
        </w:tc>
        <w:tc>
          <w:tcPr>
            <w:tcW w:w="200" w:type="dxa"/>
            <w:vAlign w:val="bottom"/>
            <w:tcBorders>
              <w:bottom w:val="single" w:sz="8" w:color="CCEEFF"/>
            </w:tcBorders>
          </w:tcPr>
          <w:p>
            <w:pPr>
              <w:spacing w:after="0"/>
              <w:rPr>
                <w:sz w:val="14"/>
                <w:szCs w:val="14"/>
                <w:color w:val="auto"/>
              </w:rPr>
            </w:pPr>
          </w:p>
        </w:tc>
      </w:tr>
      <w:tr>
        <w:trPr>
          <w:trHeight w:val="210"/>
        </w:trPr>
        <w:tc>
          <w:tcPr>
            <w:tcW w:w="20" w:type="dxa"/>
            <w:vAlign w:val="bottom"/>
          </w:tcPr>
          <w:p>
            <w:pPr>
              <w:spacing w:after="0"/>
              <w:rPr>
                <w:sz w:val="18"/>
                <w:szCs w:val="18"/>
                <w:color w:val="auto"/>
              </w:rPr>
            </w:pPr>
          </w:p>
        </w:tc>
        <w:tc>
          <w:tcPr>
            <w:tcW w:w="3380" w:type="dxa"/>
            <w:vAlign w:val="bottom"/>
            <w:shd w:val="clear" w:color="auto" w:fill="CCEEFF"/>
          </w:tcPr>
          <w:p>
            <w:pPr>
              <w:spacing w:after="0"/>
              <w:rPr>
                <w:sz w:val="20"/>
                <w:szCs w:val="20"/>
                <w:color w:val="auto"/>
              </w:rPr>
            </w:pPr>
            <w:r>
              <w:rPr>
                <w:rFonts w:ascii="Arial" w:cs="Arial" w:eastAsia="Arial" w:hAnsi="Arial"/>
                <w:sz w:val="18"/>
                <w:szCs w:val="18"/>
                <w:color w:val="auto"/>
              </w:rPr>
              <w:t>Grant date</w:t>
            </w:r>
          </w:p>
        </w:tc>
        <w:tc>
          <w:tcPr>
            <w:tcW w:w="14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0"/>
              </w:rPr>
              <w:t>05/18/2017</w:t>
            </w:r>
          </w:p>
        </w:tc>
        <w:tc>
          <w:tcPr>
            <w:tcW w:w="6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05/18/2017</w:t>
            </w:r>
          </w:p>
        </w:tc>
        <w:tc>
          <w:tcPr>
            <w:tcW w:w="2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380" w:type="dxa"/>
            <w:vAlign w:val="bottom"/>
          </w:tcPr>
          <w:p>
            <w:pPr>
              <w:spacing w:after="0"/>
              <w:rPr>
                <w:sz w:val="20"/>
                <w:szCs w:val="20"/>
                <w:color w:val="auto"/>
              </w:rPr>
            </w:pPr>
            <w:r>
              <w:rPr>
                <w:rFonts w:ascii="Arial" w:cs="Arial" w:eastAsia="Arial" w:hAnsi="Arial"/>
                <w:sz w:val="18"/>
                <w:szCs w:val="18"/>
                <w:color w:val="auto"/>
              </w:rPr>
              <w:t>Share price at date of grant</w:t>
            </w:r>
          </w:p>
        </w:tc>
        <w:tc>
          <w:tcPr>
            <w:tcW w:w="1660" w:type="dxa"/>
            <w:vAlign w:val="bottom"/>
            <w:gridSpan w:val="2"/>
          </w:tcPr>
          <w:p>
            <w:pPr>
              <w:ind w:left="1440"/>
              <w:spacing w:after="0"/>
              <w:rPr>
                <w:sz w:val="20"/>
                <w:szCs w:val="20"/>
                <w:color w:val="auto"/>
              </w:rPr>
            </w:pPr>
            <w:r>
              <w:rPr>
                <w:rFonts w:ascii="Arial" w:cs="Arial" w:eastAsia="Arial" w:hAnsi="Arial"/>
                <w:sz w:val="18"/>
                <w:szCs w:val="18"/>
                <w:color w:val="auto"/>
                <w:w w:val="90"/>
              </w:rPr>
              <w:t>A$</w:t>
            </w:r>
          </w:p>
        </w:tc>
        <w:tc>
          <w:tcPr>
            <w:tcW w:w="840" w:type="dxa"/>
            <w:vAlign w:val="bottom"/>
          </w:tcPr>
          <w:p>
            <w:pPr>
              <w:jc w:val="right"/>
              <w:spacing w:after="0"/>
              <w:rPr>
                <w:sz w:val="20"/>
                <w:szCs w:val="20"/>
                <w:color w:val="auto"/>
              </w:rPr>
            </w:pPr>
            <w:r>
              <w:rPr>
                <w:rFonts w:ascii="Arial" w:cs="Arial" w:eastAsia="Arial" w:hAnsi="Arial"/>
                <w:sz w:val="18"/>
                <w:szCs w:val="18"/>
                <w:color w:val="auto"/>
              </w:rPr>
              <w:t>0.08</w:t>
            </w:r>
          </w:p>
        </w:tc>
        <w:tc>
          <w:tcPr>
            <w:tcW w:w="680" w:type="dxa"/>
            <w:vAlign w:val="bottom"/>
          </w:tcPr>
          <w:p>
            <w:pPr>
              <w:spacing w:after="0"/>
              <w:rPr>
                <w:sz w:val="18"/>
                <w:szCs w:val="18"/>
                <w:color w:val="auto"/>
              </w:rPr>
            </w:pPr>
          </w:p>
        </w:tc>
        <w:tc>
          <w:tcPr>
            <w:tcW w:w="780" w:type="dxa"/>
            <w:vAlign w:val="bottom"/>
            <w:gridSpan w:val="2"/>
          </w:tcPr>
          <w:p>
            <w:pPr>
              <w:ind w:left="540"/>
              <w:spacing w:after="0"/>
              <w:rPr>
                <w:sz w:val="20"/>
                <w:szCs w:val="20"/>
                <w:color w:val="auto"/>
              </w:rPr>
            </w:pPr>
            <w:r>
              <w:rPr>
                <w:rFonts w:ascii="Arial" w:cs="Arial" w:eastAsia="Arial" w:hAnsi="Arial"/>
                <w:sz w:val="18"/>
                <w:szCs w:val="18"/>
                <w:color w:val="auto"/>
                <w:w w:val="99"/>
              </w:rPr>
              <w:t>A$</w:t>
            </w:r>
          </w:p>
        </w:tc>
        <w:tc>
          <w:tcPr>
            <w:tcW w:w="820" w:type="dxa"/>
            <w:vAlign w:val="bottom"/>
          </w:tcPr>
          <w:p>
            <w:pPr>
              <w:jc w:val="right"/>
              <w:spacing w:after="0"/>
              <w:rPr>
                <w:sz w:val="20"/>
                <w:szCs w:val="20"/>
                <w:color w:val="auto"/>
              </w:rPr>
            </w:pPr>
            <w:r>
              <w:rPr>
                <w:rFonts w:ascii="Arial" w:cs="Arial" w:eastAsia="Arial" w:hAnsi="Arial"/>
                <w:sz w:val="18"/>
                <w:szCs w:val="18"/>
                <w:color w:val="auto"/>
              </w:rPr>
              <w:t>0.08</w:t>
            </w:r>
          </w:p>
        </w:tc>
        <w:tc>
          <w:tcPr>
            <w:tcW w:w="2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380" w:type="dxa"/>
            <w:vAlign w:val="bottom"/>
            <w:shd w:val="clear" w:color="auto" w:fill="CCEEFF"/>
          </w:tcPr>
          <w:p>
            <w:pPr>
              <w:spacing w:after="0"/>
              <w:rPr>
                <w:sz w:val="20"/>
                <w:szCs w:val="20"/>
                <w:color w:val="auto"/>
              </w:rPr>
            </w:pPr>
            <w:r>
              <w:rPr>
                <w:rFonts w:ascii="Arial" w:cs="Arial" w:eastAsia="Arial" w:hAnsi="Arial"/>
                <w:sz w:val="18"/>
                <w:szCs w:val="18"/>
                <w:color w:val="auto"/>
              </w:rPr>
              <w:t>Dividend yield (%)</w:t>
            </w:r>
          </w:p>
        </w:tc>
        <w:tc>
          <w:tcPr>
            <w:tcW w:w="14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0%</w:t>
            </w:r>
          </w:p>
        </w:tc>
        <w:tc>
          <w:tcPr>
            <w:tcW w:w="5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0%</w:t>
            </w:r>
          </w:p>
        </w:tc>
      </w:tr>
      <w:tr>
        <w:trPr>
          <w:trHeight w:val="216"/>
        </w:trPr>
        <w:tc>
          <w:tcPr>
            <w:tcW w:w="20" w:type="dxa"/>
            <w:vAlign w:val="bottom"/>
          </w:tcPr>
          <w:p>
            <w:pPr>
              <w:spacing w:after="0"/>
              <w:rPr>
                <w:sz w:val="18"/>
                <w:szCs w:val="18"/>
                <w:color w:val="auto"/>
              </w:rPr>
            </w:pPr>
          </w:p>
        </w:tc>
        <w:tc>
          <w:tcPr>
            <w:tcW w:w="3380" w:type="dxa"/>
            <w:vAlign w:val="bottom"/>
          </w:tcPr>
          <w:p>
            <w:pPr>
              <w:spacing w:after="0"/>
              <w:rPr>
                <w:sz w:val="20"/>
                <w:szCs w:val="20"/>
                <w:color w:val="auto"/>
              </w:rPr>
            </w:pPr>
            <w:r>
              <w:rPr>
                <w:rFonts w:ascii="Arial" w:cs="Arial" w:eastAsia="Arial" w:hAnsi="Arial"/>
                <w:sz w:val="18"/>
                <w:szCs w:val="18"/>
                <w:color w:val="auto"/>
              </w:rPr>
              <w:t>Expected volatility (%)</w:t>
            </w:r>
          </w:p>
        </w:tc>
        <w:tc>
          <w:tcPr>
            <w:tcW w:w="14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520" w:type="dxa"/>
            <w:vAlign w:val="bottom"/>
            <w:gridSpan w:val="2"/>
          </w:tcPr>
          <w:p>
            <w:pPr>
              <w:jc w:val="right"/>
              <w:ind w:right="540"/>
              <w:spacing w:after="0"/>
              <w:rPr>
                <w:sz w:val="20"/>
                <w:szCs w:val="20"/>
                <w:color w:val="auto"/>
              </w:rPr>
            </w:pPr>
            <w:r>
              <w:rPr>
                <w:rFonts w:ascii="Arial" w:cs="Arial" w:eastAsia="Arial" w:hAnsi="Arial"/>
                <w:sz w:val="18"/>
                <w:szCs w:val="18"/>
                <w:color w:val="auto"/>
              </w:rPr>
              <w:t>90%</w:t>
            </w:r>
          </w:p>
        </w:tc>
        <w:tc>
          <w:tcPr>
            <w:tcW w:w="5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gridSpan w:val="2"/>
          </w:tcPr>
          <w:p>
            <w:pPr>
              <w:jc w:val="right"/>
              <w:ind w:right="60"/>
              <w:spacing w:after="0"/>
              <w:rPr>
                <w:sz w:val="20"/>
                <w:szCs w:val="20"/>
                <w:color w:val="auto"/>
              </w:rPr>
            </w:pPr>
            <w:r>
              <w:rPr>
                <w:rFonts w:ascii="Arial" w:cs="Arial" w:eastAsia="Arial" w:hAnsi="Arial"/>
                <w:sz w:val="18"/>
                <w:szCs w:val="18"/>
                <w:color w:val="auto"/>
              </w:rPr>
              <w:t>90%</w:t>
            </w:r>
          </w:p>
        </w:tc>
      </w:tr>
      <w:tr>
        <w:trPr>
          <w:trHeight w:val="216"/>
        </w:trPr>
        <w:tc>
          <w:tcPr>
            <w:tcW w:w="20" w:type="dxa"/>
            <w:vAlign w:val="bottom"/>
          </w:tcPr>
          <w:p>
            <w:pPr>
              <w:spacing w:after="0"/>
              <w:rPr>
                <w:sz w:val="18"/>
                <w:szCs w:val="18"/>
                <w:color w:val="auto"/>
              </w:rPr>
            </w:pPr>
          </w:p>
        </w:tc>
        <w:tc>
          <w:tcPr>
            <w:tcW w:w="3380" w:type="dxa"/>
            <w:vAlign w:val="bottom"/>
            <w:shd w:val="clear" w:color="auto" w:fill="CCEEFF"/>
          </w:tcPr>
          <w:p>
            <w:pPr>
              <w:spacing w:after="0"/>
              <w:rPr>
                <w:sz w:val="20"/>
                <w:szCs w:val="20"/>
                <w:color w:val="auto"/>
              </w:rPr>
            </w:pPr>
            <w:r>
              <w:rPr>
                <w:rFonts w:ascii="Arial" w:cs="Arial" w:eastAsia="Arial" w:hAnsi="Arial"/>
                <w:sz w:val="18"/>
                <w:szCs w:val="18"/>
                <w:color w:val="auto"/>
              </w:rPr>
              <w:t>Risk-free interest rate (%)</w:t>
            </w:r>
          </w:p>
        </w:tc>
        <w:tc>
          <w:tcPr>
            <w:tcW w:w="14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1.5%</w:t>
            </w:r>
          </w:p>
        </w:tc>
        <w:tc>
          <w:tcPr>
            <w:tcW w:w="5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1.5%</w:t>
            </w:r>
          </w:p>
        </w:tc>
      </w:tr>
      <w:tr>
        <w:trPr>
          <w:trHeight w:val="216"/>
        </w:trPr>
        <w:tc>
          <w:tcPr>
            <w:tcW w:w="20" w:type="dxa"/>
            <w:vAlign w:val="bottom"/>
          </w:tcPr>
          <w:p>
            <w:pPr>
              <w:spacing w:after="0"/>
              <w:rPr>
                <w:sz w:val="18"/>
                <w:szCs w:val="18"/>
                <w:color w:val="auto"/>
              </w:rPr>
            </w:pPr>
          </w:p>
        </w:tc>
        <w:tc>
          <w:tcPr>
            <w:tcW w:w="3380" w:type="dxa"/>
            <w:vAlign w:val="bottom"/>
          </w:tcPr>
          <w:p>
            <w:pPr>
              <w:spacing w:after="0"/>
              <w:rPr>
                <w:sz w:val="20"/>
                <w:szCs w:val="20"/>
                <w:color w:val="auto"/>
              </w:rPr>
            </w:pPr>
            <w:r>
              <w:rPr>
                <w:rFonts w:ascii="Arial" w:cs="Arial" w:eastAsia="Arial" w:hAnsi="Arial"/>
                <w:sz w:val="18"/>
                <w:szCs w:val="18"/>
                <w:color w:val="auto"/>
              </w:rPr>
              <w:t>Expected life of option</w:t>
            </w:r>
          </w:p>
        </w:tc>
        <w:tc>
          <w:tcPr>
            <w:tcW w:w="14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3,650</w:t>
            </w:r>
          </w:p>
        </w:tc>
        <w:tc>
          <w:tcPr>
            <w:tcW w:w="6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3,650</w:t>
            </w:r>
          </w:p>
        </w:tc>
        <w:tc>
          <w:tcPr>
            <w:tcW w:w="2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380" w:type="dxa"/>
            <w:vAlign w:val="bottom"/>
            <w:shd w:val="clear" w:color="auto" w:fill="CCEEFF"/>
          </w:tcPr>
          <w:p>
            <w:pPr>
              <w:spacing w:after="0"/>
              <w:rPr>
                <w:sz w:val="20"/>
                <w:szCs w:val="20"/>
                <w:color w:val="auto"/>
              </w:rPr>
            </w:pPr>
            <w:r>
              <w:rPr>
                <w:rFonts w:ascii="Arial" w:cs="Arial" w:eastAsia="Arial" w:hAnsi="Arial"/>
                <w:sz w:val="18"/>
                <w:szCs w:val="18"/>
                <w:color w:val="auto"/>
              </w:rPr>
              <w:t>Fair value at date of grant</w:t>
            </w:r>
          </w:p>
        </w:tc>
        <w:tc>
          <w:tcPr>
            <w:tcW w:w="1660" w:type="dxa"/>
            <w:vAlign w:val="bottom"/>
            <w:gridSpan w:val="2"/>
            <w:shd w:val="clear" w:color="auto" w:fill="CCEEFF"/>
          </w:tcPr>
          <w:p>
            <w:pPr>
              <w:ind w:left="1440"/>
              <w:spacing w:after="0"/>
              <w:rPr>
                <w:sz w:val="20"/>
                <w:szCs w:val="20"/>
                <w:color w:val="auto"/>
              </w:rPr>
            </w:pPr>
            <w:r>
              <w:rPr>
                <w:rFonts w:ascii="Arial" w:cs="Arial" w:eastAsia="Arial" w:hAnsi="Arial"/>
                <w:sz w:val="18"/>
                <w:szCs w:val="18"/>
                <w:color w:val="auto"/>
                <w:w w:val="90"/>
              </w:rPr>
              <w:t>A$</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0.075</w:t>
            </w:r>
          </w:p>
        </w:tc>
        <w:tc>
          <w:tcPr>
            <w:tcW w:w="6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ind w:left="540"/>
              <w:spacing w:after="0"/>
              <w:rPr>
                <w:sz w:val="20"/>
                <w:szCs w:val="20"/>
                <w:color w:val="auto"/>
              </w:rPr>
            </w:pPr>
            <w:r>
              <w:rPr>
                <w:rFonts w:ascii="Arial" w:cs="Arial" w:eastAsia="Arial" w:hAnsi="Arial"/>
                <w:sz w:val="18"/>
                <w:szCs w:val="18"/>
                <w:color w:val="auto"/>
                <w:w w:val="99"/>
              </w:rPr>
              <w:t>A$</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0.075</w:t>
            </w:r>
          </w:p>
        </w:tc>
        <w:tc>
          <w:tcPr>
            <w:tcW w:w="200" w:type="dxa"/>
            <w:vAlign w:val="bottom"/>
            <w:shd w:val="clear" w:color="auto" w:fill="CCEEFF"/>
          </w:tcPr>
          <w:p>
            <w:pPr>
              <w:spacing w:after="0"/>
              <w:rPr>
                <w:sz w:val="18"/>
                <w:szCs w:val="18"/>
                <w:color w:val="auto"/>
              </w:rPr>
            </w:pPr>
          </w:p>
        </w:tc>
      </w:tr>
      <w:tr>
        <w:trPr>
          <w:trHeight w:val="230"/>
        </w:trPr>
        <w:tc>
          <w:tcPr>
            <w:tcW w:w="20" w:type="dxa"/>
            <w:vAlign w:val="bottom"/>
          </w:tcPr>
          <w:p>
            <w:pPr>
              <w:spacing w:after="0"/>
              <w:rPr>
                <w:sz w:val="20"/>
                <w:szCs w:val="20"/>
                <w:color w:val="auto"/>
              </w:rPr>
            </w:pPr>
          </w:p>
        </w:tc>
        <w:tc>
          <w:tcPr>
            <w:tcW w:w="3380" w:type="dxa"/>
            <w:vAlign w:val="bottom"/>
          </w:tcPr>
          <w:p>
            <w:pPr>
              <w:spacing w:after="0"/>
              <w:rPr>
                <w:sz w:val="20"/>
                <w:szCs w:val="20"/>
                <w:color w:val="auto"/>
              </w:rPr>
            </w:pPr>
            <w:r>
              <w:rPr>
                <w:rFonts w:ascii="Arial" w:cs="Arial" w:eastAsia="Arial" w:hAnsi="Arial"/>
                <w:sz w:val="18"/>
                <w:szCs w:val="18"/>
                <w:color w:val="auto"/>
              </w:rPr>
              <w:t>Option exercise price (A$)</w:t>
            </w:r>
          </w:p>
        </w:tc>
        <w:tc>
          <w:tcPr>
            <w:tcW w:w="1660" w:type="dxa"/>
            <w:vAlign w:val="bottom"/>
            <w:gridSpan w:val="2"/>
          </w:tcPr>
          <w:p>
            <w:pPr>
              <w:ind w:left="1440"/>
              <w:spacing w:after="0"/>
              <w:rPr>
                <w:sz w:val="20"/>
                <w:szCs w:val="20"/>
                <w:color w:val="auto"/>
              </w:rPr>
            </w:pPr>
            <w:r>
              <w:rPr>
                <w:rFonts w:ascii="Arial" w:cs="Arial" w:eastAsia="Arial" w:hAnsi="Arial"/>
                <w:sz w:val="18"/>
                <w:szCs w:val="18"/>
                <w:color w:val="auto"/>
                <w:w w:val="90"/>
              </w:rPr>
              <w:t>A$</w:t>
            </w:r>
          </w:p>
        </w:tc>
        <w:tc>
          <w:tcPr>
            <w:tcW w:w="840" w:type="dxa"/>
            <w:vAlign w:val="bottom"/>
          </w:tcPr>
          <w:p>
            <w:pPr>
              <w:jc w:val="right"/>
              <w:spacing w:after="0"/>
              <w:rPr>
                <w:sz w:val="20"/>
                <w:szCs w:val="20"/>
                <w:color w:val="auto"/>
              </w:rPr>
            </w:pPr>
            <w:r>
              <w:rPr>
                <w:rFonts w:ascii="Arial" w:cs="Arial" w:eastAsia="Arial" w:hAnsi="Arial"/>
                <w:sz w:val="18"/>
                <w:szCs w:val="18"/>
                <w:color w:val="auto"/>
              </w:rPr>
              <w:t>0.085</w:t>
            </w:r>
          </w:p>
        </w:tc>
        <w:tc>
          <w:tcPr>
            <w:tcW w:w="680" w:type="dxa"/>
            <w:vAlign w:val="bottom"/>
          </w:tcPr>
          <w:p>
            <w:pPr>
              <w:spacing w:after="0"/>
              <w:rPr>
                <w:sz w:val="20"/>
                <w:szCs w:val="20"/>
                <w:color w:val="auto"/>
              </w:rPr>
            </w:pPr>
          </w:p>
        </w:tc>
        <w:tc>
          <w:tcPr>
            <w:tcW w:w="780" w:type="dxa"/>
            <w:vAlign w:val="bottom"/>
            <w:gridSpan w:val="2"/>
          </w:tcPr>
          <w:p>
            <w:pPr>
              <w:ind w:left="540"/>
              <w:spacing w:after="0"/>
              <w:rPr>
                <w:sz w:val="20"/>
                <w:szCs w:val="20"/>
                <w:color w:val="auto"/>
              </w:rPr>
            </w:pPr>
            <w:r>
              <w:rPr>
                <w:rFonts w:ascii="Arial" w:cs="Arial" w:eastAsia="Arial" w:hAnsi="Arial"/>
                <w:sz w:val="18"/>
                <w:szCs w:val="18"/>
                <w:color w:val="auto"/>
                <w:w w:val="99"/>
              </w:rPr>
              <w:t>A$</w:t>
            </w:r>
          </w:p>
        </w:tc>
        <w:tc>
          <w:tcPr>
            <w:tcW w:w="820" w:type="dxa"/>
            <w:vAlign w:val="bottom"/>
          </w:tcPr>
          <w:p>
            <w:pPr>
              <w:jc w:val="right"/>
              <w:spacing w:after="0"/>
              <w:rPr>
                <w:sz w:val="20"/>
                <w:szCs w:val="20"/>
                <w:color w:val="auto"/>
              </w:rPr>
            </w:pPr>
            <w:r>
              <w:rPr>
                <w:rFonts w:ascii="Arial" w:cs="Arial" w:eastAsia="Arial" w:hAnsi="Arial"/>
                <w:sz w:val="18"/>
                <w:szCs w:val="18"/>
                <w:color w:val="auto"/>
              </w:rPr>
              <w:t>0.085</w:t>
            </w:r>
          </w:p>
        </w:tc>
        <w:tc>
          <w:tcPr>
            <w:tcW w:w="200" w:type="dxa"/>
            <w:vAlign w:val="bottom"/>
          </w:tcPr>
          <w:p>
            <w:pPr>
              <w:spacing w:after="0"/>
              <w:rPr>
                <w:sz w:val="20"/>
                <w:szCs w:val="20"/>
                <w:color w:val="auto"/>
              </w:rPr>
            </w:pPr>
          </w:p>
        </w:tc>
      </w:tr>
    </w:tbl>
    <w:p>
      <w:pPr>
        <w:spacing w:after="0" w:line="187" w:lineRule="exact"/>
        <w:rPr>
          <w:sz w:val="20"/>
          <w:szCs w:val="20"/>
          <w:color w:val="auto"/>
        </w:rPr>
      </w:pPr>
    </w:p>
    <w:p>
      <w:pPr>
        <w:ind w:left="200"/>
        <w:spacing w:after="0"/>
        <w:rPr>
          <w:sz w:val="20"/>
          <w:szCs w:val="20"/>
          <w:color w:val="auto"/>
        </w:rPr>
      </w:pPr>
      <w:r>
        <w:rPr>
          <w:rFonts w:ascii="Arial" w:cs="Arial" w:eastAsia="Arial" w:hAnsi="Arial"/>
          <w:sz w:val="18"/>
          <w:szCs w:val="18"/>
          <w:color w:val="auto"/>
        </w:rPr>
        <w:t>At year end, 7,808,333 options were unvested.</w:t>
      </w:r>
    </w:p>
    <w:p>
      <w:pPr>
        <w:spacing w:after="0" w:line="225" w:lineRule="exact"/>
        <w:rPr>
          <w:sz w:val="20"/>
          <w:szCs w:val="20"/>
          <w:color w:val="auto"/>
        </w:rPr>
      </w:pPr>
    </w:p>
    <w:p>
      <w:pPr>
        <w:ind w:left="200" w:right="40" w:firstLine="4"/>
        <w:spacing w:after="0" w:line="277" w:lineRule="auto"/>
        <w:tabs>
          <w:tab w:leader="none" w:pos="405" w:val="left"/>
        </w:tabs>
        <w:numPr>
          <w:ilvl w:val="0"/>
          <w:numId w:val="167"/>
        </w:numPr>
        <w:rPr>
          <w:rFonts w:ascii="Arial" w:cs="Arial" w:eastAsia="Arial" w:hAnsi="Arial"/>
          <w:sz w:val="18"/>
          <w:szCs w:val="18"/>
          <w:b w:val="1"/>
          <w:bCs w:val="1"/>
          <w:color w:val="auto"/>
        </w:rPr>
      </w:pPr>
      <w:r>
        <w:rPr>
          <w:rFonts w:ascii="Arial" w:cs="Arial" w:eastAsia="Arial" w:hAnsi="Arial"/>
          <w:sz w:val="18"/>
          <w:szCs w:val="18"/>
          <w:color w:val="auto"/>
        </w:rPr>
        <w:t>On May 26, 2017, 1,072,916 options were granted to employees at an exercise price of A$0.082 expiring on May 26, 2027. The following table lists the inputs to the models used for the options granted to employees each year:</w:t>
      </w:r>
    </w:p>
    <w:p>
      <w:pPr>
        <w:spacing w:after="0" w:line="189" w:lineRule="exact"/>
        <w:rPr>
          <w:sz w:val="20"/>
          <w:szCs w:val="20"/>
          <w:color w:val="auto"/>
        </w:rPr>
      </w:pPr>
    </w:p>
    <w:tbl>
      <w:tblPr>
        <w:tblLayout w:type="fixed"/>
        <w:tblInd w:w="152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3380" w:type="dxa"/>
            <w:vAlign w:val="bottom"/>
            <w:tcBorders>
              <w:bottom w:val="single" w:sz="8" w:color="CCEEFF"/>
            </w:tcBorders>
          </w:tcPr>
          <w:p>
            <w:pPr>
              <w:spacing w:after="0"/>
              <w:rPr>
                <w:sz w:val="14"/>
                <w:szCs w:val="14"/>
                <w:color w:val="auto"/>
              </w:rPr>
            </w:pPr>
          </w:p>
        </w:tc>
        <w:tc>
          <w:tcPr>
            <w:tcW w:w="1440" w:type="dxa"/>
            <w:vAlign w:val="bottom"/>
            <w:tcBorders>
              <w:bottom w:val="single" w:sz="8" w:color="CCEEFF"/>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jc w:val="right"/>
              <w:ind w:right="292"/>
              <w:spacing w:after="0"/>
              <w:rPr>
                <w:sz w:val="20"/>
                <w:szCs w:val="20"/>
                <w:color w:val="auto"/>
              </w:rPr>
            </w:pPr>
            <w:r>
              <w:rPr>
                <w:rFonts w:ascii="Arial" w:cs="Arial" w:eastAsia="Arial" w:hAnsi="Arial"/>
                <w:sz w:val="14"/>
                <w:szCs w:val="14"/>
                <w:b w:val="1"/>
                <w:bCs w:val="1"/>
                <w:color w:val="auto"/>
              </w:rPr>
              <w:t>2018</w:t>
            </w:r>
          </w:p>
        </w:tc>
        <w:tc>
          <w:tcPr>
            <w:tcW w:w="680" w:type="dxa"/>
            <w:vAlign w:val="bottom"/>
            <w:tcBorders>
              <w:bottom w:val="single" w:sz="8" w:color="CCEEFF"/>
            </w:tcBorders>
          </w:tcPr>
          <w:p>
            <w:pPr>
              <w:spacing w:after="0"/>
              <w:rPr>
                <w:sz w:val="14"/>
                <w:szCs w:val="14"/>
                <w:color w:val="auto"/>
              </w:rPr>
            </w:pPr>
          </w:p>
        </w:tc>
        <w:tc>
          <w:tcPr>
            <w:tcW w:w="560" w:type="dxa"/>
            <w:vAlign w:val="bottom"/>
            <w:tcBorders>
              <w:bottom w:val="single" w:sz="8" w:color="CCEEFF"/>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right"/>
              <w:ind w:right="292"/>
              <w:spacing w:after="0"/>
              <w:rPr>
                <w:sz w:val="20"/>
                <w:szCs w:val="20"/>
                <w:color w:val="auto"/>
              </w:rPr>
            </w:pPr>
            <w:r>
              <w:rPr>
                <w:rFonts w:ascii="Arial" w:cs="Arial" w:eastAsia="Arial" w:hAnsi="Arial"/>
                <w:sz w:val="14"/>
                <w:szCs w:val="14"/>
                <w:b w:val="1"/>
                <w:bCs w:val="1"/>
                <w:color w:val="auto"/>
              </w:rPr>
              <w:t>2017</w:t>
            </w:r>
          </w:p>
        </w:tc>
        <w:tc>
          <w:tcPr>
            <w:tcW w:w="200" w:type="dxa"/>
            <w:vAlign w:val="bottom"/>
            <w:tcBorders>
              <w:bottom w:val="single" w:sz="8" w:color="CCEEFF"/>
            </w:tcBorders>
          </w:tcPr>
          <w:p>
            <w:pPr>
              <w:spacing w:after="0"/>
              <w:rPr>
                <w:sz w:val="14"/>
                <w:szCs w:val="14"/>
                <w:color w:val="auto"/>
              </w:rPr>
            </w:pPr>
          </w:p>
        </w:tc>
      </w:tr>
      <w:tr>
        <w:trPr>
          <w:trHeight w:val="210"/>
        </w:trPr>
        <w:tc>
          <w:tcPr>
            <w:tcW w:w="20" w:type="dxa"/>
            <w:vAlign w:val="bottom"/>
          </w:tcPr>
          <w:p>
            <w:pPr>
              <w:spacing w:after="0"/>
              <w:rPr>
                <w:sz w:val="18"/>
                <w:szCs w:val="18"/>
                <w:color w:val="auto"/>
              </w:rPr>
            </w:pPr>
          </w:p>
        </w:tc>
        <w:tc>
          <w:tcPr>
            <w:tcW w:w="3380" w:type="dxa"/>
            <w:vAlign w:val="bottom"/>
            <w:shd w:val="clear" w:color="auto" w:fill="CCEEFF"/>
          </w:tcPr>
          <w:p>
            <w:pPr>
              <w:spacing w:after="0"/>
              <w:rPr>
                <w:sz w:val="20"/>
                <w:szCs w:val="20"/>
                <w:color w:val="auto"/>
              </w:rPr>
            </w:pPr>
            <w:r>
              <w:rPr>
                <w:rFonts w:ascii="Arial" w:cs="Arial" w:eastAsia="Arial" w:hAnsi="Arial"/>
                <w:sz w:val="18"/>
                <w:szCs w:val="18"/>
                <w:color w:val="auto"/>
              </w:rPr>
              <w:t>Grant date</w:t>
            </w:r>
          </w:p>
        </w:tc>
        <w:tc>
          <w:tcPr>
            <w:tcW w:w="14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0"/>
              </w:rPr>
              <w:t>05/26/2017</w:t>
            </w:r>
          </w:p>
        </w:tc>
        <w:tc>
          <w:tcPr>
            <w:tcW w:w="6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05/26/2017</w:t>
            </w:r>
          </w:p>
        </w:tc>
        <w:tc>
          <w:tcPr>
            <w:tcW w:w="2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380" w:type="dxa"/>
            <w:vAlign w:val="bottom"/>
          </w:tcPr>
          <w:p>
            <w:pPr>
              <w:spacing w:after="0"/>
              <w:rPr>
                <w:sz w:val="20"/>
                <w:szCs w:val="20"/>
                <w:color w:val="auto"/>
              </w:rPr>
            </w:pPr>
            <w:r>
              <w:rPr>
                <w:rFonts w:ascii="Arial" w:cs="Arial" w:eastAsia="Arial" w:hAnsi="Arial"/>
                <w:sz w:val="18"/>
                <w:szCs w:val="18"/>
                <w:color w:val="auto"/>
              </w:rPr>
              <w:t>Share price at date of grant</w:t>
            </w:r>
          </w:p>
        </w:tc>
        <w:tc>
          <w:tcPr>
            <w:tcW w:w="1660" w:type="dxa"/>
            <w:vAlign w:val="bottom"/>
            <w:gridSpan w:val="2"/>
          </w:tcPr>
          <w:p>
            <w:pPr>
              <w:ind w:left="1440"/>
              <w:spacing w:after="0"/>
              <w:rPr>
                <w:sz w:val="20"/>
                <w:szCs w:val="20"/>
                <w:color w:val="auto"/>
              </w:rPr>
            </w:pPr>
            <w:r>
              <w:rPr>
                <w:rFonts w:ascii="Arial" w:cs="Arial" w:eastAsia="Arial" w:hAnsi="Arial"/>
                <w:sz w:val="18"/>
                <w:szCs w:val="18"/>
                <w:color w:val="auto"/>
                <w:w w:val="90"/>
              </w:rPr>
              <w:t>A$</w:t>
            </w:r>
          </w:p>
        </w:tc>
        <w:tc>
          <w:tcPr>
            <w:tcW w:w="840" w:type="dxa"/>
            <w:vAlign w:val="bottom"/>
          </w:tcPr>
          <w:p>
            <w:pPr>
              <w:jc w:val="right"/>
              <w:spacing w:after="0"/>
              <w:rPr>
                <w:sz w:val="20"/>
                <w:szCs w:val="20"/>
                <w:color w:val="auto"/>
              </w:rPr>
            </w:pPr>
            <w:r>
              <w:rPr>
                <w:rFonts w:ascii="Arial" w:cs="Arial" w:eastAsia="Arial" w:hAnsi="Arial"/>
                <w:sz w:val="18"/>
                <w:szCs w:val="18"/>
                <w:color w:val="auto"/>
              </w:rPr>
              <w:t>0.086</w:t>
            </w:r>
          </w:p>
        </w:tc>
        <w:tc>
          <w:tcPr>
            <w:tcW w:w="680" w:type="dxa"/>
            <w:vAlign w:val="bottom"/>
          </w:tcPr>
          <w:p>
            <w:pPr>
              <w:spacing w:after="0"/>
              <w:rPr>
                <w:sz w:val="18"/>
                <w:szCs w:val="18"/>
                <w:color w:val="auto"/>
              </w:rPr>
            </w:pPr>
          </w:p>
        </w:tc>
        <w:tc>
          <w:tcPr>
            <w:tcW w:w="780" w:type="dxa"/>
            <w:vAlign w:val="bottom"/>
            <w:gridSpan w:val="2"/>
          </w:tcPr>
          <w:p>
            <w:pPr>
              <w:ind w:left="540"/>
              <w:spacing w:after="0"/>
              <w:rPr>
                <w:sz w:val="20"/>
                <w:szCs w:val="20"/>
                <w:color w:val="auto"/>
              </w:rPr>
            </w:pPr>
            <w:r>
              <w:rPr>
                <w:rFonts w:ascii="Arial" w:cs="Arial" w:eastAsia="Arial" w:hAnsi="Arial"/>
                <w:sz w:val="18"/>
                <w:szCs w:val="18"/>
                <w:color w:val="auto"/>
                <w:w w:val="99"/>
              </w:rPr>
              <w:t>A$</w:t>
            </w:r>
          </w:p>
        </w:tc>
        <w:tc>
          <w:tcPr>
            <w:tcW w:w="820" w:type="dxa"/>
            <w:vAlign w:val="bottom"/>
          </w:tcPr>
          <w:p>
            <w:pPr>
              <w:jc w:val="right"/>
              <w:spacing w:after="0"/>
              <w:rPr>
                <w:sz w:val="20"/>
                <w:szCs w:val="20"/>
                <w:color w:val="auto"/>
              </w:rPr>
            </w:pPr>
            <w:r>
              <w:rPr>
                <w:rFonts w:ascii="Arial" w:cs="Arial" w:eastAsia="Arial" w:hAnsi="Arial"/>
                <w:sz w:val="18"/>
                <w:szCs w:val="18"/>
                <w:color w:val="auto"/>
              </w:rPr>
              <w:t>0.086</w:t>
            </w:r>
          </w:p>
        </w:tc>
        <w:tc>
          <w:tcPr>
            <w:tcW w:w="2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380" w:type="dxa"/>
            <w:vAlign w:val="bottom"/>
            <w:shd w:val="clear" w:color="auto" w:fill="CCEEFF"/>
          </w:tcPr>
          <w:p>
            <w:pPr>
              <w:spacing w:after="0"/>
              <w:rPr>
                <w:sz w:val="20"/>
                <w:szCs w:val="20"/>
                <w:color w:val="auto"/>
              </w:rPr>
            </w:pPr>
            <w:r>
              <w:rPr>
                <w:rFonts w:ascii="Arial" w:cs="Arial" w:eastAsia="Arial" w:hAnsi="Arial"/>
                <w:sz w:val="18"/>
                <w:szCs w:val="18"/>
                <w:color w:val="auto"/>
              </w:rPr>
              <w:t>Dividend yield (%)</w:t>
            </w:r>
          </w:p>
        </w:tc>
        <w:tc>
          <w:tcPr>
            <w:tcW w:w="14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0%</w:t>
            </w:r>
          </w:p>
        </w:tc>
        <w:tc>
          <w:tcPr>
            <w:tcW w:w="5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0%</w:t>
            </w:r>
          </w:p>
        </w:tc>
      </w:tr>
      <w:tr>
        <w:trPr>
          <w:trHeight w:val="216"/>
        </w:trPr>
        <w:tc>
          <w:tcPr>
            <w:tcW w:w="20" w:type="dxa"/>
            <w:vAlign w:val="bottom"/>
          </w:tcPr>
          <w:p>
            <w:pPr>
              <w:spacing w:after="0"/>
              <w:rPr>
                <w:sz w:val="18"/>
                <w:szCs w:val="18"/>
                <w:color w:val="auto"/>
              </w:rPr>
            </w:pPr>
          </w:p>
        </w:tc>
        <w:tc>
          <w:tcPr>
            <w:tcW w:w="3380" w:type="dxa"/>
            <w:vAlign w:val="bottom"/>
          </w:tcPr>
          <w:p>
            <w:pPr>
              <w:spacing w:after="0"/>
              <w:rPr>
                <w:sz w:val="20"/>
                <w:szCs w:val="20"/>
                <w:color w:val="auto"/>
              </w:rPr>
            </w:pPr>
            <w:r>
              <w:rPr>
                <w:rFonts w:ascii="Arial" w:cs="Arial" w:eastAsia="Arial" w:hAnsi="Arial"/>
                <w:sz w:val="18"/>
                <w:szCs w:val="18"/>
                <w:color w:val="auto"/>
              </w:rPr>
              <w:t>Expected volatility (%)</w:t>
            </w:r>
          </w:p>
        </w:tc>
        <w:tc>
          <w:tcPr>
            <w:tcW w:w="14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520" w:type="dxa"/>
            <w:vAlign w:val="bottom"/>
            <w:gridSpan w:val="2"/>
          </w:tcPr>
          <w:p>
            <w:pPr>
              <w:jc w:val="right"/>
              <w:ind w:right="540"/>
              <w:spacing w:after="0"/>
              <w:rPr>
                <w:sz w:val="20"/>
                <w:szCs w:val="20"/>
                <w:color w:val="auto"/>
              </w:rPr>
            </w:pPr>
            <w:r>
              <w:rPr>
                <w:rFonts w:ascii="Arial" w:cs="Arial" w:eastAsia="Arial" w:hAnsi="Arial"/>
                <w:sz w:val="18"/>
                <w:szCs w:val="18"/>
                <w:color w:val="auto"/>
              </w:rPr>
              <w:t>90%</w:t>
            </w:r>
          </w:p>
        </w:tc>
        <w:tc>
          <w:tcPr>
            <w:tcW w:w="5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gridSpan w:val="2"/>
          </w:tcPr>
          <w:p>
            <w:pPr>
              <w:jc w:val="right"/>
              <w:ind w:right="60"/>
              <w:spacing w:after="0"/>
              <w:rPr>
                <w:sz w:val="20"/>
                <w:szCs w:val="20"/>
                <w:color w:val="auto"/>
              </w:rPr>
            </w:pPr>
            <w:r>
              <w:rPr>
                <w:rFonts w:ascii="Arial" w:cs="Arial" w:eastAsia="Arial" w:hAnsi="Arial"/>
                <w:sz w:val="18"/>
                <w:szCs w:val="18"/>
                <w:color w:val="auto"/>
              </w:rPr>
              <w:t>90%</w:t>
            </w:r>
          </w:p>
        </w:tc>
      </w:tr>
      <w:tr>
        <w:trPr>
          <w:trHeight w:val="216"/>
        </w:trPr>
        <w:tc>
          <w:tcPr>
            <w:tcW w:w="20" w:type="dxa"/>
            <w:vAlign w:val="bottom"/>
          </w:tcPr>
          <w:p>
            <w:pPr>
              <w:spacing w:after="0"/>
              <w:rPr>
                <w:sz w:val="18"/>
                <w:szCs w:val="18"/>
                <w:color w:val="auto"/>
              </w:rPr>
            </w:pPr>
          </w:p>
        </w:tc>
        <w:tc>
          <w:tcPr>
            <w:tcW w:w="3380" w:type="dxa"/>
            <w:vAlign w:val="bottom"/>
            <w:shd w:val="clear" w:color="auto" w:fill="CCEEFF"/>
          </w:tcPr>
          <w:p>
            <w:pPr>
              <w:spacing w:after="0"/>
              <w:rPr>
                <w:sz w:val="20"/>
                <w:szCs w:val="20"/>
                <w:color w:val="auto"/>
              </w:rPr>
            </w:pPr>
            <w:r>
              <w:rPr>
                <w:rFonts w:ascii="Arial" w:cs="Arial" w:eastAsia="Arial" w:hAnsi="Arial"/>
                <w:sz w:val="18"/>
                <w:szCs w:val="18"/>
                <w:color w:val="auto"/>
              </w:rPr>
              <w:t>Risk-free interest rate (%)</w:t>
            </w:r>
          </w:p>
        </w:tc>
        <w:tc>
          <w:tcPr>
            <w:tcW w:w="14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1.5%</w:t>
            </w:r>
          </w:p>
        </w:tc>
        <w:tc>
          <w:tcPr>
            <w:tcW w:w="5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1.5%</w:t>
            </w:r>
          </w:p>
        </w:tc>
      </w:tr>
      <w:tr>
        <w:trPr>
          <w:trHeight w:val="216"/>
        </w:trPr>
        <w:tc>
          <w:tcPr>
            <w:tcW w:w="20" w:type="dxa"/>
            <w:vAlign w:val="bottom"/>
          </w:tcPr>
          <w:p>
            <w:pPr>
              <w:spacing w:after="0"/>
              <w:rPr>
                <w:sz w:val="18"/>
                <w:szCs w:val="18"/>
                <w:color w:val="auto"/>
              </w:rPr>
            </w:pPr>
          </w:p>
        </w:tc>
        <w:tc>
          <w:tcPr>
            <w:tcW w:w="3380" w:type="dxa"/>
            <w:vAlign w:val="bottom"/>
          </w:tcPr>
          <w:p>
            <w:pPr>
              <w:spacing w:after="0"/>
              <w:rPr>
                <w:sz w:val="20"/>
                <w:szCs w:val="20"/>
                <w:color w:val="auto"/>
              </w:rPr>
            </w:pPr>
            <w:r>
              <w:rPr>
                <w:rFonts w:ascii="Arial" w:cs="Arial" w:eastAsia="Arial" w:hAnsi="Arial"/>
                <w:sz w:val="18"/>
                <w:szCs w:val="18"/>
                <w:color w:val="auto"/>
              </w:rPr>
              <w:t>Expected life of option</w:t>
            </w:r>
          </w:p>
        </w:tc>
        <w:tc>
          <w:tcPr>
            <w:tcW w:w="14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3,650</w:t>
            </w:r>
          </w:p>
        </w:tc>
        <w:tc>
          <w:tcPr>
            <w:tcW w:w="6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3,650</w:t>
            </w:r>
          </w:p>
        </w:tc>
        <w:tc>
          <w:tcPr>
            <w:tcW w:w="2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380" w:type="dxa"/>
            <w:vAlign w:val="bottom"/>
            <w:shd w:val="clear" w:color="auto" w:fill="CCEEFF"/>
          </w:tcPr>
          <w:p>
            <w:pPr>
              <w:spacing w:after="0"/>
              <w:rPr>
                <w:sz w:val="20"/>
                <w:szCs w:val="20"/>
                <w:color w:val="auto"/>
              </w:rPr>
            </w:pPr>
            <w:r>
              <w:rPr>
                <w:rFonts w:ascii="Arial" w:cs="Arial" w:eastAsia="Arial" w:hAnsi="Arial"/>
                <w:sz w:val="18"/>
                <w:szCs w:val="18"/>
                <w:color w:val="auto"/>
              </w:rPr>
              <w:t>Fair value at date of grant</w:t>
            </w:r>
          </w:p>
        </w:tc>
        <w:tc>
          <w:tcPr>
            <w:tcW w:w="1660" w:type="dxa"/>
            <w:vAlign w:val="bottom"/>
            <w:gridSpan w:val="2"/>
            <w:shd w:val="clear" w:color="auto" w:fill="CCEEFF"/>
          </w:tcPr>
          <w:p>
            <w:pPr>
              <w:ind w:left="1440"/>
              <w:spacing w:after="0"/>
              <w:rPr>
                <w:sz w:val="20"/>
                <w:szCs w:val="20"/>
                <w:color w:val="auto"/>
              </w:rPr>
            </w:pPr>
            <w:r>
              <w:rPr>
                <w:rFonts w:ascii="Arial" w:cs="Arial" w:eastAsia="Arial" w:hAnsi="Arial"/>
                <w:sz w:val="18"/>
                <w:szCs w:val="18"/>
                <w:color w:val="auto"/>
                <w:w w:val="90"/>
              </w:rPr>
              <w:t>A$</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0.070</w:t>
            </w:r>
          </w:p>
        </w:tc>
        <w:tc>
          <w:tcPr>
            <w:tcW w:w="6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ind w:left="540"/>
              <w:spacing w:after="0"/>
              <w:rPr>
                <w:sz w:val="20"/>
                <w:szCs w:val="20"/>
                <w:color w:val="auto"/>
              </w:rPr>
            </w:pPr>
            <w:r>
              <w:rPr>
                <w:rFonts w:ascii="Arial" w:cs="Arial" w:eastAsia="Arial" w:hAnsi="Arial"/>
                <w:sz w:val="18"/>
                <w:szCs w:val="18"/>
                <w:color w:val="auto"/>
                <w:w w:val="99"/>
              </w:rPr>
              <w:t>A$</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0.070</w:t>
            </w:r>
          </w:p>
        </w:tc>
        <w:tc>
          <w:tcPr>
            <w:tcW w:w="200" w:type="dxa"/>
            <w:vAlign w:val="bottom"/>
            <w:shd w:val="clear" w:color="auto" w:fill="CCEEFF"/>
          </w:tcPr>
          <w:p>
            <w:pPr>
              <w:spacing w:after="0"/>
              <w:rPr>
                <w:sz w:val="18"/>
                <w:szCs w:val="18"/>
                <w:color w:val="auto"/>
              </w:rPr>
            </w:pPr>
          </w:p>
        </w:tc>
      </w:tr>
      <w:tr>
        <w:trPr>
          <w:trHeight w:val="230"/>
        </w:trPr>
        <w:tc>
          <w:tcPr>
            <w:tcW w:w="20" w:type="dxa"/>
            <w:vAlign w:val="bottom"/>
          </w:tcPr>
          <w:p>
            <w:pPr>
              <w:spacing w:after="0"/>
              <w:rPr>
                <w:sz w:val="20"/>
                <w:szCs w:val="20"/>
                <w:color w:val="auto"/>
              </w:rPr>
            </w:pPr>
          </w:p>
        </w:tc>
        <w:tc>
          <w:tcPr>
            <w:tcW w:w="3380" w:type="dxa"/>
            <w:vAlign w:val="bottom"/>
          </w:tcPr>
          <w:p>
            <w:pPr>
              <w:spacing w:after="0"/>
              <w:rPr>
                <w:sz w:val="20"/>
                <w:szCs w:val="20"/>
                <w:color w:val="auto"/>
              </w:rPr>
            </w:pPr>
            <w:r>
              <w:rPr>
                <w:rFonts w:ascii="Arial" w:cs="Arial" w:eastAsia="Arial" w:hAnsi="Arial"/>
                <w:sz w:val="18"/>
                <w:szCs w:val="18"/>
                <w:color w:val="auto"/>
              </w:rPr>
              <w:t>Option exercise price (A$)</w:t>
            </w:r>
          </w:p>
        </w:tc>
        <w:tc>
          <w:tcPr>
            <w:tcW w:w="1660" w:type="dxa"/>
            <w:vAlign w:val="bottom"/>
            <w:gridSpan w:val="2"/>
          </w:tcPr>
          <w:p>
            <w:pPr>
              <w:ind w:left="1440"/>
              <w:spacing w:after="0"/>
              <w:rPr>
                <w:sz w:val="20"/>
                <w:szCs w:val="20"/>
                <w:color w:val="auto"/>
              </w:rPr>
            </w:pPr>
            <w:r>
              <w:rPr>
                <w:rFonts w:ascii="Arial" w:cs="Arial" w:eastAsia="Arial" w:hAnsi="Arial"/>
                <w:sz w:val="18"/>
                <w:szCs w:val="18"/>
                <w:color w:val="auto"/>
                <w:w w:val="90"/>
              </w:rPr>
              <w:t>A$</w:t>
            </w:r>
          </w:p>
        </w:tc>
        <w:tc>
          <w:tcPr>
            <w:tcW w:w="840" w:type="dxa"/>
            <w:vAlign w:val="bottom"/>
          </w:tcPr>
          <w:p>
            <w:pPr>
              <w:jc w:val="right"/>
              <w:spacing w:after="0"/>
              <w:rPr>
                <w:sz w:val="20"/>
                <w:szCs w:val="20"/>
                <w:color w:val="auto"/>
              </w:rPr>
            </w:pPr>
            <w:r>
              <w:rPr>
                <w:rFonts w:ascii="Arial" w:cs="Arial" w:eastAsia="Arial" w:hAnsi="Arial"/>
                <w:sz w:val="18"/>
                <w:szCs w:val="18"/>
                <w:color w:val="auto"/>
              </w:rPr>
              <w:t>0.082</w:t>
            </w:r>
          </w:p>
        </w:tc>
        <w:tc>
          <w:tcPr>
            <w:tcW w:w="680" w:type="dxa"/>
            <w:vAlign w:val="bottom"/>
          </w:tcPr>
          <w:p>
            <w:pPr>
              <w:spacing w:after="0"/>
              <w:rPr>
                <w:sz w:val="20"/>
                <w:szCs w:val="20"/>
                <w:color w:val="auto"/>
              </w:rPr>
            </w:pPr>
          </w:p>
        </w:tc>
        <w:tc>
          <w:tcPr>
            <w:tcW w:w="780" w:type="dxa"/>
            <w:vAlign w:val="bottom"/>
            <w:gridSpan w:val="2"/>
          </w:tcPr>
          <w:p>
            <w:pPr>
              <w:ind w:left="540"/>
              <w:spacing w:after="0"/>
              <w:rPr>
                <w:sz w:val="20"/>
                <w:szCs w:val="20"/>
                <w:color w:val="auto"/>
              </w:rPr>
            </w:pPr>
            <w:r>
              <w:rPr>
                <w:rFonts w:ascii="Arial" w:cs="Arial" w:eastAsia="Arial" w:hAnsi="Arial"/>
                <w:sz w:val="18"/>
                <w:szCs w:val="18"/>
                <w:color w:val="auto"/>
                <w:w w:val="99"/>
              </w:rPr>
              <w:t>A$</w:t>
            </w:r>
          </w:p>
        </w:tc>
        <w:tc>
          <w:tcPr>
            <w:tcW w:w="820" w:type="dxa"/>
            <w:vAlign w:val="bottom"/>
          </w:tcPr>
          <w:p>
            <w:pPr>
              <w:jc w:val="right"/>
              <w:spacing w:after="0"/>
              <w:rPr>
                <w:sz w:val="20"/>
                <w:szCs w:val="20"/>
                <w:color w:val="auto"/>
              </w:rPr>
            </w:pPr>
            <w:r>
              <w:rPr>
                <w:rFonts w:ascii="Arial" w:cs="Arial" w:eastAsia="Arial" w:hAnsi="Arial"/>
                <w:sz w:val="18"/>
                <w:szCs w:val="18"/>
                <w:color w:val="auto"/>
              </w:rPr>
              <w:t>0.082</w:t>
            </w:r>
          </w:p>
        </w:tc>
        <w:tc>
          <w:tcPr>
            <w:tcW w:w="200" w:type="dxa"/>
            <w:vAlign w:val="bottom"/>
          </w:tcPr>
          <w:p>
            <w:pPr>
              <w:spacing w:after="0"/>
              <w:rPr>
                <w:sz w:val="20"/>
                <w:szCs w:val="20"/>
                <w:color w:val="auto"/>
              </w:rPr>
            </w:pPr>
          </w:p>
        </w:tc>
      </w:tr>
    </w:tbl>
    <w:p>
      <w:pPr>
        <w:spacing w:after="0" w:line="187" w:lineRule="exact"/>
        <w:rPr>
          <w:sz w:val="20"/>
          <w:szCs w:val="20"/>
          <w:color w:val="auto"/>
        </w:rPr>
      </w:pPr>
    </w:p>
    <w:p>
      <w:pPr>
        <w:ind w:left="200"/>
        <w:spacing w:after="0"/>
        <w:rPr>
          <w:sz w:val="20"/>
          <w:szCs w:val="20"/>
          <w:color w:val="auto"/>
        </w:rPr>
      </w:pPr>
      <w:r>
        <w:rPr>
          <w:rFonts w:ascii="Arial" w:cs="Arial" w:eastAsia="Arial" w:hAnsi="Arial"/>
          <w:sz w:val="18"/>
          <w:szCs w:val="18"/>
          <w:color w:val="auto"/>
        </w:rPr>
        <w:t>At year end, 938,333 options were unvested.</w:t>
      </w:r>
    </w:p>
    <w:p>
      <w:pPr>
        <w:spacing w:after="0" w:line="225" w:lineRule="exact"/>
        <w:rPr>
          <w:sz w:val="20"/>
          <w:szCs w:val="20"/>
          <w:color w:val="auto"/>
        </w:rPr>
      </w:pPr>
    </w:p>
    <w:p>
      <w:pPr>
        <w:ind w:left="200" w:right="80" w:firstLine="4"/>
        <w:spacing w:after="0" w:line="277" w:lineRule="auto"/>
        <w:tabs>
          <w:tab w:leader="none" w:pos="455" w:val="left"/>
        </w:tabs>
        <w:numPr>
          <w:ilvl w:val="0"/>
          <w:numId w:val="168"/>
        </w:numPr>
        <w:rPr>
          <w:rFonts w:ascii="Arial" w:cs="Arial" w:eastAsia="Arial" w:hAnsi="Arial"/>
          <w:sz w:val="18"/>
          <w:szCs w:val="18"/>
          <w:b w:val="1"/>
          <w:bCs w:val="1"/>
          <w:color w:val="auto"/>
        </w:rPr>
      </w:pPr>
      <w:r>
        <w:rPr>
          <w:rFonts w:ascii="Arial" w:cs="Arial" w:eastAsia="Arial" w:hAnsi="Arial"/>
          <w:sz w:val="18"/>
          <w:szCs w:val="18"/>
          <w:color w:val="auto"/>
        </w:rPr>
        <w:t>On June 27, 2017, 1,876,666 options were granted to employees at an exercise price of A$0.08 expiring on June 27, 2027. The following table lists the inputs to the models used for the options granted to employees each year:</w:t>
      </w:r>
    </w:p>
    <w:p>
      <w:pPr>
        <w:spacing w:after="0" w:line="189" w:lineRule="exact"/>
        <w:rPr>
          <w:sz w:val="20"/>
          <w:szCs w:val="20"/>
          <w:color w:val="auto"/>
        </w:rPr>
      </w:pPr>
    </w:p>
    <w:tbl>
      <w:tblPr>
        <w:tblLayout w:type="fixed"/>
        <w:tblInd w:w="152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2960" w:type="dxa"/>
            <w:vAlign w:val="bottom"/>
            <w:tcBorders>
              <w:bottom w:val="single" w:sz="8" w:color="CCEEFF"/>
            </w:tcBorders>
          </w:tcPr>
          <w:p>
            <w:pPr>
              <w:spacing w:after="0"/>
              <w:rPr>
                <w:sz w:val="14"/>
                <w:szCs w:val="14"/>
                <w:color w:val="auto"/>
              </w:rPr>
            </w:pPr>
          </w:p>
        </w:tc>
        <w:tc>
          <w:tcPr>
            <w:tcW w:w="1860" w:type="dxa"/>
            <w:vAlign w:val="bottom"/>
            <w:tcBorders>
              <w:bottom w:val="single" w:sz="8" w:color="CCEEFF"/>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jc w:val="right"/>
              <w:ind w:right="292"/>
              <w:spacing w:after="0"/>
              <w:rPr>
                <w:sz w:val="20"/>
                <w:szCs w:val="20"/>
                <w:color w:val="auto"/>
              </w:rPr>
            </w:pPr>
            <w:r>
              <w:rPr>
                <w:rFonts w:ascii="Arial" w:cs="Arial" w:eastAsia="Arial" w:hAnsi="Arial"/>
                <w:sz w:val="14"/>
                <w:szCs w:val="14"/>
                <w:b w:val="1"/>
                <w:bCs w:val="1"/>
                <w:color w:val="auto"/>
              </w:rPr>
              <w:t>2018</w:t>
            </w:r>
          </w:p>
        </w:tc>
        <w:tc>
          <w:tcPr>
            <w:tcW w:w="680" w:type="dxa"/>
            <w:vAlign w:val="bottom"/>
            <w:tcBorders>
              <w:bottom w:val="single" w:sz="8" w:color="CCEEFF"/>
            </w:tcBorders>
          </w:tcPr>
          <w:p>
            <w:pPr>
              <w:spacing w:after="0"/>
              <w:rPr>
                <w:sz w:val="14"/>
                <w:szCs w:val="14"/>
                <w:color w:val="auto"/>
              </w:rPr>
            </w:pPr>
          </w:p>
        </w:tc>
        <w:tc>
          <w:tcPr>
            <w:tcW w:w="560" w:type="dxa"/>
            <w:vAlign w:val="bottom"/>
            <w:tcBorders>
              <w:bottom w:val="single" w:sz="8" w:color="CCEEFF"/>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right"/>
              <w:ind w:right="292"/>
              <w:spacing w:after="0"/>
              <w:rPr>
                <w:sz w:val="20"/>
                <w:szCs w:val="20"/>
                <w:color w:val="auto"/>
              </w:rPr>
            </w:pPr>
            <w:r>
              <w:rPr>
                <w:rFonts w:ascii="Arial" w:cs="Arial" w:eastAsia="Arial" w:hAnsi="Arial"/>
                <w:sz w:val="14"/>
                <w:szCs w:val="14"/>
                <w:b w:val="1"/>
                <w:bCs w:val="1"/>
                <w:color w:val="auto"/>
              </w:rPr>
              <w:t>2017</w:t>
            </w:r>
          </w:p>
        </w:tc>
        <w:tc>
          <w:tcPr>
            <w:tcW w:w="200" w:type="dxa"/>
            <w:vAlign w:val="bottom"/>
            <w:tcBorders>
              <w:bottom w:val="single" w:sz="8" w:color="CCEEFF"/>
            </w:tcBorders>
          </w:tcPr>
          <w:p>
            <w:pPr>
              <w:spacing w:after="0"/>
              <w:rPr>
                <w:sz w:val="14"/>
                <w:szCs w:val="14"/>
                <w:color w:val="auto"/>
              </w:rPr>
            </w:pPr>
          </w:p>
        </w:tc>
      </w:tr>
      <w:tr>
        <w:trPr>
          <w:trHeight w:val="210"/>
        </w:trPr>
        <w:tc>
          <w:tcPr>
            <w:tcW w:w="20" w:type="dxa"/>
            <w:vAlign w:val="bottom"/>
          </w:tcPr>
          <w:p>
            <w:pPr>
              <w:spacing w:after="0"/>
              <w:rPr>
                <w:sz w:val="18"/>
                <w:szCs w:val="18"/>
                <w:color w:val="auto"/>
              </w:rPr>
            </w:pPr>
          </w:p>
        </w:tc>
        <w:tc>
          <w:tcPr>
            <w:tcW w:w="2960" w:type="dxa"/>
            <w:vAlign w:val="bottom"/>
            <w:shd w:val="clear" w:color="auto" w:fill="CCEEFF"/>
          </w:tcPr>
          <w:p>
            <w:pPr>
              <w:spacing w:after="0"/>
              <w:rPr>
                <w:sz w:val="20"/>
                <w:szCs w:val="20"/>
                <w:color w:val="auto"/>
              </w:rPr>
            </w:pPr>
            <w:r>
              <w:rPr>
                <w:rFonts w:ascii="Arial" w:cs="Arial" w:eastAsia="Arial" w:hAnsi="Arial"/>
                <w:sz w:val="18"/>
                <w:szCs w:val="18"/>
                <w:color w:val="auto"/>
              </w:rPr>
              <w:t>Grant date</w:t>
            </w:r>
          </w:p>
        </w:tc>
        <w:tc>
          <w:tcPr>
            <w:tcW w:w="18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0"/>
              </w:rPr>
              <w:t>06/27/2017</w:t>
            </w:r>
          </w:p>
        </w:tc>
        <w:tc>
          <w:tcPr>
            <w:tcW w:w="6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06/27/2017</w:t>
            </w:r>
          </w:p>
        </w:tc>
        <w:tc>
          <w:tcPr>
            <w:tcW w:w="2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2960" w:type="dxa"/>
            <w:vAlign w:val="bottom"/>
          </w:tcPr>
          <w:p>
            <w:pPr>
              <w:spacing w:after="0"/>
              <w:rPr>
                <w:sz w:val="20"/>
                <w:szCs w:val="20"/>
                <w:color w:val="auto"/>
              </w:rPr>
            </w:pPr>
            <w:r>
              <w:rPr>
                <w:rFonts w:ascii="Arial" w:cs="Arial" w:eastAsia="Arial" w:hAnsi="Arial"/>
                <w:sz w:val="18"/>
                <w:szCs w:val="18"/>
                <w:color w:val="auto"/>
              </w:rPr>
              <w:t>Share price at date of grant</w:t>
            </w:r>
          </w:p>
        </w:tc>
        <w:tc>
          <w:tcPr>
            <w:tcW w:w="2080" w:type="dxa"/>
            <w:vAlign w:val="bottom"/>
            <w:gridSpan w:val="2"/>
          </w:tcPr>
          <w:p>
            <w:pPr>
              <w:ind w:left="1860"/>
              <w:spacing w:after="0"/>
              <w:rPr>
                <w:sz w:val="20"/>
                <w:szCs w:val="20"/>
                <w:color w:val="auto"/>
              </w:rPr>
            </w:pPr>
            <w:r>
              <w:rPr>
                <w:rFonts w:ascii="Arial" w:cs="Arial" w:eastAsia="Arial" w:hAnsi="Arial"/>
                <w:sz w:val="18"/>
                <w:szCs w:val="18"/>
                <w:color w:val="auto"/>
                <w:w w:val="90"/>
              </w:rPr>
              <w:t>A$</w:t>
            </w:r>
          </w:p>
        </w:tc>
        <w:tc>
          <w:tcPr>
            <w:tcW w:w="840" w:type="dxa"/>
            <w:vAlign w:val="bottom"/>
          </w:tcPr>
          <w:p>
            <w:pPr>
              <w:jc w:val="right"/>
              <w:spacing w:after="0"/>
              <w:rPr>
                <w:sz w:val="20"/>
                <w:szCs w:val="20"/>
                <w:color w:val="auto"/>
              </w:rPr>
            </w:pPr>
            <w:r>
              <w:rPr>
                <w:rFonts w:ascii="Arial" w:cs="Arial" w:eastAsia="Arial" w:hAnsi="Arial"/>
                <w:sz w:val="18"/>
                <w:szCs w:val="18"/>
                <w:color w:val="auto"/>
              </w:rPr>
              <w:t>0.067</w:t>
            </w:r>
          </w:p>
        </w:tc>
        <w:tc>
          <w:tcPr>
            <w:tcW w:w="680" w:type="dxa"/>
            <w:vAlign w:val="bottom"/>
          </w:tcPr>
          <w:p>
            <w:pPr>
              <w:spacing w:after="0"/>
              <w:rPr>
                <w:sz w:val="18"/>
                <w:szCs w:val="18"/>
                <w:color w:val="auto"/>
              </w:rPr>
            </w:pPr>
          </w:p>
        </w:tc>
        <w:tc>
          <w:tcPr>
            <w:tcW w:w="780" w:type="dxa"/>
            <w:vAlign w:val="bottom"/>
            <w:gridSpan w:val="2"/>
          </w:tcPr>
          <w:p>
            <w:pPr>
              <w:ind w:left="540"/>
              <w:spacing w:after="0"/>
              <w:rPr>
                <w:sz w:val="20"/>
                <w:szCs w:val="20"/>
                <w:color w:val="auto"/>
              </w:rPr>
            </w:pPr>
            <w:r>
              <w:rPr>
                <w:rFonts w:ascii="Arial" w:cs="Arial" w:eastAsia="Arial" w:hAnsi="Arial"/>
                <w:sz w:val="18"/>
                <w:szCs w:val="18"/>
                <w:color w:val="auto"/>
                <w:w w:val="99"/>
              </w:rPr>
              <w:t>A$</w:t>
            </w:r>
          </w:p>
        </w:tc>
        <w:tc>
          <w:tcPr>
            <w:tcW w:w="820" w:type="dxa"/>
            <w:vAlign w:val="bottom"/>
          </w:tcPr>
          <w:p>
            <w:pPr>
              <w:jc w:val="right"/>
              <w:spacing w:after="0"/>
              <w:rPr>
                <w:sz w:val="20"/>
                <w:szCs w:val="20"/>
                <w:color w:val="auto"/>
              </w:rPr>
            </w:pPr>
            <w:r>
              <w:rPr>
                <w:rFonts w:ascii="Arial" w:cs="Arial" w:eastAsia="Arial" w:hAnsi="Arial"/>
                <w:sz w:val="18"/>
                <w:szCs w:val="18"/>
                <w:color w:val="auto"/>
              </w:rPr>
              <w:t>0.067</w:t>
            </w:r>
          </w:p>
        </w:tc>
        <w:tc>
          <w:tcPr>
            <w:tcW w:w="2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2960" w:type="dxa"/>
            <w:vAlign w:val="bottom"/>
            <w:shd w:val="clear" w:color="auto" w:fill="CCEEFF"/>
          </w:tcPr>
          <w:p>
            <w:pPr>
              <w:spacing w:after="0"/>
              <w:rPr>
                <w:sz w:val="20"/>
                <w:szCs w:val="20"/>
                <w:color w:val="auto"/>
              </w:rPr>
            </w:pPr>
            <w:r>
              <w:rPr>
                <w:rFonts w:ascii="Arial" w:cs="Arial" w:eastAsia="Arial" w:hAnsi="Arial"/>
                <w:sz w:val="18"/>
                <w:szCs w:val="18"/>
                <w:color w:val="auto"/>
              </w:rPr>
              <w:t>Dividend yield (%)</w:t>
            </w:r>
          </w:p>
        </w:tc>
        <w:tc>
          <w:tcPr>
            <w:tcW w:w="18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0%</w:t>
            </w:r>
          </w:p>
        </w:tc>
        <w:tc>
          <w:tcPr>
            <w:tcW w:w="5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0%</w:t>
            </w:r>
          </w:p>
        </w:tc>
      </w:tr>
      <w:tr>
        <w:trPr>
          <w:trHeight w:val="216"/>
        </w:trPr>
        <w:tc>
          <w:tcPr>
            <w:tcW w:w="20" w:type="dxa"/>
            <w:vAlign w:val="bottom"/>
          </w:tcPr>
          <w:p>
            <w:pPr>
              <w:spacing w:after="0"/>
              <w:rPr>
                <w:sz w:val="18"/>
                <w:szCs w:val="18"/>
                <w:color w:val="auto"/>
              </w:rPr>
            </w:pPr>
          </w:p>
        </w:tc>
        <w:tc>
          <w:tcPr>
            <w:tcW w:w="2960" w:type="dxa"/>
            <w:vAlign w:val="bottom"/>
          </w:tcPr>
          <w:p>
            <w:pPr>
              <w:spacing w:after="0"/>
              <w:rPr>
                <w:sz w:val="20"/>
                <w:szCs w:val="20"/>
                <w:color w:val="auto"/>
              </w:rPr>
            </w:pPr>
            <w:r>
              <w:rPr>
                <w:rFonts w:ascii="Arial" w:cs="Arial" w:eastAsia="Arial" w:hAnsi="Arial"/>
                <w:sz w:val="18"/>
                <w:szCs w:val="18"/>
                <w:color w:val="auto"/>
              </w:rPr>
              <w:t>Expected volatility (%)</w:t>
            </w:r>
          </w:p>
        </w:tc>
        <w:tc>
          <w:tcPr>
            <w:tcW w:w="1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520" w:type="dxa"/>
            <w:vAlign w:val="bottom"/>
            <w:gridSpan w:val="2"/>
          </w:tcPr>
          <w:p>
            <w:pPr>
              <w:jc w:val="right"/>
              <w:ind w:right="540"/>
              <w:spacing w:after="0"/>
              <w:rPr>
                <w:sz w:val="20"/>
                <w:szCs w:val="20"/>
                <w:color w:val="auto"/>
              </w:rPr>
            </w:pPr>
            <w:r>
              <w:rPr>
                <w:rFonts w:ascii="Arial" w:cs="Arial" w:eastAsia="Arial" w:hAnsi="Arial"/>
                <w:sz w:val="18"/>
                <w:szCs w:val="18"/>
                <w:color w:val="auto"/>
              </w:rPr>
              <w:t>90%</w:t>
            </w:r>
          </w:p>
        </w:tc>
        <w:tc>
          <w:tcPr>
            <w:tcW w:w="5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gridSpan w:val="2"/>
          </w:tcPr>
          <w:p>
            <w:pPr>
              <w:jc w:val="right"/>
              <w:ind w:right="60"/>
              <w:spacing w:after="0"/>
              <w:rPr>
                <w:sz w:val="20"/>
                <w:szCs w:val="20"/>
                <w:color w:val="auto"/>
              </w:rPr>
            </w:pPr>
            <w:r>
              <w:rPr>
                <w:rFonts w:ascii="Arial" w:cs="Arial" w:eastAsia="Arial" w:hAnsi="Arial"/>
                <w:sz w:val="18"/>
                <w:szCs w:val="18"/>
                <w:color w:val="auto"/>
              </w:rPr>
              <w:t>90%</w:t>
            </w:r>
          </w:p>
        </w:tc>
      </w:tr>
      <w:tr>
        <w:trPr>
          <w:trHeight w:val="216"/>
        </w:trPr>
        <w:tc>
          <w:tcPr>
            <w:tcW w:w="20" w:type="dxa"/>
            <w:vAlign w:val="bottom"/>
          </w:tcPr>
          <w:p>
            <w:pPr>
              <w:spacing w:after="0"/>
              <w:rPr>
                <w:sz w:val="18"/>
                <w:szCs w:val="18"/>
                <w:color w:val="auto"/>
              </w:rPr>
            </w:pPr>
          </w:p>
        </w:tc>
        <w:tc>
          <w:tcPr>
            <w:tcW w:w="2960" w:type="dxa"/>
            <w:vAlign w:val="bottom"/>
            <w:shd w:val="clear" w:color="auto" w:fill="CCEEFF"/>
          </w:tcPr>
          <w:p>
            <w:pPr>
              <w:spacing w:after="0"/>
              <w:rPr>
                <w:sz w:val="20"/>
                <w:szCs w:val="20"/>
                <w:color w:val="auto"/>
              </w:rPr>
            </w:pPr>
            <w:r>
              <w:rPr>
                <w:rFonts w:ascii="Arial" w:cs="Arial" w:eastAsia="Arial" w:hAnsi="Arial"/>
                <w:sz w:val="18"/>
                <w:szCs w:val="18"/>
                <w:color w:val="auto"/>
              </w:rPr>
              <w:t>Risk-free interest rate (%)</w:t>
            </w:r>
          </w:p>
        </w:tc>
        <w:tc>
          <w:tcPr>
            <w:tcW w:w="18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1.5%</w:t>
            </w:r>
          </w:p>
        </w:tc>
        <w:tc>
          <w:tcPr>
            <w:tcW w:w="5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1.5%</w:t>
            </w:r>
          </w:p>
        </w:tc>
      </w:tr>
      <w:tr>
        <w:trPr>
          <w:trHeight w:val="216"/>
        </w:trPr>
        <w:tc>
          <w:tcPr>
            <w:tcW w:w="20" w:type="dxa"/>
            <w:vAlign w:val="bottom"/>
          </w:tcPr>
          <w:p>
            <w:pPr>
              <w:spacing w:after="0"/>
              <w:rPr>
                <w:sz w:val="18"/>
                <w:szCs w:val="18"/>
                <w:color w:val="auto"/>
              </w:rPr>
            </w:pPr>
          </w:p>
        </w:tc>
        <w:tc>
          <w:tcPr>
            <w:tcW w:w="2960" w:type="dxa"/>
            <w:vAlign w:val="bottom"/>
          </w:tcPr>
          <w:p>
            <w:pPr>
              <w:spacing w:after="0"/>
              <w:rPr>
                <w:sz w:val="20"/>
                <w:szCs w:val="20"/>
                <w:color w:val="auto"/>
              </w:rPr>
            </w:pPr>
            <w:r>
              <w:rPr>
                <w:rFonts w:ascii="Arial" w:cs="Arial" w:eastAsia="Arial" w:hAnsi="Arial"/>
                <w:sz w:val="18"/>
                <w:szCs w:val="18"/>
                <w:color w:val="auto"/>
              </w:rPr>
              <w:t>Expected life of option</w:t>
            </w:r>
          </w:p>
        </w:tc>
        <w:tc>
          <w:tcPr>
            <w:tcW w:w="1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3,650</w:t>
            </w:r>
          </w:p>
        </w:tc>
        <w:tc>
          <w:tcPr>
            <w:tcW w:w="6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3,650</w:t>
            </w:r>
          </w:p>
        </w:tc>
        <w:tc>
          <w:tcPr>
            <w:tcW w:w="2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2960" w:type="dxa"/>
            <w:vAlign w:val="bottom"/>
            <w:shd w:val="clear" w:color="auto" w:fill="CCEEFF"/>
          </w:tcPr>
          <w:p>
            <w:pPr>
              <w:spacing w:after="0"/>
              <w:rPr>
                <w:sz w:val="20"/>
                <w:szCs w:val="20"/>
                <w:color w:val="auto"/>
              </w:rPr>
            </w:pPr>
            <w:r>
              <w:rPr>
                <w:rFonts w:ascii="Arial" w:cs="Arial" w:eastAsia="Arial" w:hAnsi="Arial"/>
                <w:sz w:val="18"/>
                <w:szCs w:val="18"/>
                <w:color w:val="auto"/>
              </w:rPr>
              <w:t>Fair value at date of grant</w:t>
            </w:r>
          </w:p>
        </w:tc>
        <w:tc>
          <w:tcPr>
            <w:tcW w:w="2080" w:type="dxa"/>
            <w:vAlign w:val="bottom"/>
            <w:gridSpan w:val="2"/>
            <w:shd w:val="clear" w:color="auto" w:fill="CCEEFF"/>
          </w:tcPr>
          <w:p>
            <w:pPr>
              <w:ind w:left="1860"/>
              <w:spacing w:after="0"/>
              <w:rPr>
                <w:sz w:val="20"/>
                <w:szCs w:val="20"/>
                <w:color w:val="auto"/>
              </w:rPr>
            </w:pPr>
            <w:r>
              <w:rPr>
                <w:rFonts w:ascii="Arial" w:cs="Arial" w:eastAsia="Arial" w:hAnsi="Arial"/>
                <w:sz w:val="18"/>
                <w:szCs w:val="18"/>
                <w:color w:val="auto"/>
                <w:w w:val="90"/>
              </w:rPr>
              <w:t>A$</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0.062</w:t>
            </w:r>
          </w:p>
        </w:tc>
        <w:tc>
          <w:tcPr>
            <w:tcW w:w="6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ind w:left="540"/>
              <w:spacing w:after="0"/>
              <w:rPr>
                <w:sz w:val="20"/>
                <w:szCs w:val="20"/>
                <w:color w:val="auto"/>
              </w:rPr>
            </w:pPr>
            <w:r>
              <w:rPr>
                <w:rFonts w:ascii="Arial" w:cs="Arial" w:eastAsia="Arial" w:hAnsi="Arial"/>
                <w:sz w:val="18"/>
                <w:szCs w:val="18"/>
                <w:color w:val="auto"/>
                <w:w w:val="99"/>
              </w:rPr>
              <w:t>A$</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0.062</w:t>
            </w:r>
          </w:p>
        </w:tc>
        <w:tc>
          <w:tcPr>
            <w:tcW w:w="200" w:type="dxa"/>
            <w:vAlign w:val="bottom"/>
            <w:shd w:val="clear" w:color="auto" w:fill="CCEEFF"/>
          </w:tcPr>
          <w:p>
            <w:pPr>
              <w:spacing w:after="0"/>
              <w:rPr>
                <w:sz w:val="18"/>
                <w:szCs w:val="18"/>
                <w:color w:val="auto"/>
              </w:rPr>
            </w:pPr>
          </w:p>
        </w:tc>
      </w:tr>
      <w:tr>
        <w:trPr>
          <w:trHeight w:val="230"/>
        </w:trPr>
        <w:tc>
          <w:tcPr>
            <w:tcW w:w="20" w:type="dxa"/>
            <w:vAlign w:val="bottom"/>
          </w:tcPr>
          <w:p>
            <w:pPr>
              <w:spacing w:after="0"/>
              <w:rPr>
                <w:sz w:val="20"/>
                <w:szCs w:val="20"/>
                <w:color w:val="auto"/>
              </w:rPr>
            </w:pPr>
          </w:p>
        </w:tc>
        <w:tc>
          <w:tcPr>
            <w:tcW w:w="2960" w:type="dxa"/>
            <w:vAlign w:val="bottom"/>
          </w:tcPr>
          <w:p>
            <w:pPr>
              <w:spacing w:after="0"/>
              <w:rPr>
                <w:sz w:val="20"/>
                <w:szCs w:val="20"/>
                <w:color w:val="auto"/>
              </w:rPr>
            </w:pPr>
            <w:r>
              <w:rPr>
                <w:rFonts w:ascii="Arial" w:cs="Arial" w:eastAsia="Arial" w:hAnsi="Arial"/>
                <w:sz w:val="18"/>
                <w:szCs w:val="18"/>
                <w:color w:val="auto"/>
              </w:rPr>
              <w:t>Option exercise price (A$)</w:t>
            </w:r>
          </w:p>
        </w:tc>
        <w:tc>
          <w:tcPr>
            <w:tcW w:w="2080" w:type="dxa"/>
            <w:vAlign w:val="bottom"/>
            <w:gridSpan w:val="2"/>
          </w:tcPr>
          <w:p>
            <w:pPr>
              <w:ind w:left="1860"/>
              <w:spacing w:after="0"/>
              <w:rPr>
                <w:sz w:val="20"/>
                <w:szCs w:val="20"/>
                <w:color w:val="auto"/>
              </w:rPr>
            </w:pPr>
            <w:r>
              <w:rPr>
                <w:rFonts w:ascii="Arial" w:cs="Arial" w:eastAsia="Arial" w:hAnsi="Arial"/>
                <w:sz w:val="18"/>
                <w:szCs w:val="18"/>
                <w:color w:val="auto"/>
                <w:w w:val="90"/>
              </w:rPr>
              <w:t>A$</w:t>
            </w:r>
          </w:p>
        </w:tc>
        <w:tc>
          <w:tcPr>
            <w:tcW w:w="840" w:type="dxa"/>
            <w:vAlign w:val="bottom"/>
          </w:tcPr>
          <w:p>
            <w:pPr>
              <w:jc w:val="right"/>
              <w:spacing w:after="0"/>
              <w:rPr>
                <w:sz w:val="20"/>
                <w:szCs w:val="20"/>
                <w:color w:val="auto"/>
              </w:rPr>
            </w:pPr>
            <w:r>
              <w:rPr>
                <w:rFonts w:ascii="Arial" w:cs="Arial" w:eastAsia="Arial" w:hAnsi="Arial"/>
                <w:sz w:val="18"/>
                <w:szCs w:val="18"/>
                <w:color w:val="auto"/>
              </w:rPr>
              <w:t>0.08</w:t>
            </w:r>
          </w:p>
        </w:tc>
        <w:tc>
          <w:tcPr>
            <w:tcW w:w="680" w:type="dxa"/>
            <w:vAlign w:val="bottom"/>
          </w:tcPr>
          <w:p>
            <w:pPr>
              <w:spacing w:after="0"/>
              <w:rPr>
                <w:sz w:val="20"/>
                <w:szCs w:val="20"/>
                <w:color w:val="auto"/>
              </w:rPr>
            </w:pPr>
          </w:p>
        </w:tc>
        <w:tc>
          <w:tcPr>
            <w:tcW w:w="780" w:type="dxa"/>
            <w:vAlign w:val="bottom"/>
            <w:gridSpan w:val="2"/>
          </w:tcPr>
          <w:p>
            <w:pPr>
              <w:ind w:left="540"/>
              <w:spacing w:after="0"/>
              <w:rPr>
                <w:sz w:val="20"/>
                <w:szCs w:val="20"/>
                <w:color w:val="auto"/>
              </w:rPr>
            </w:pPr>
            <w:r>
              <w:rPr>
                <w:rFonts w:ascii="Arial" w:cs="Arial" w:eastAsia="Arial" w:hAnsi="Arial"/>
                <w:sz w:val="18"/>
                <w:szCs w:val="18"/>
                <w:color w:val="auto"/>
                <w:w w:val="99"/>
              </w:rPr>
              <w:t>A$</w:t>
            </w:r>
          </w:p>
        </w:tc>
        <w:tc>
          <w:tcPr>
            <w:tcW w:w="820" w:type="dxa"/>
            <w:vAlign w:val="bottom"/>
          </w:tcPr>
          <w:p>
            <w:pPr>
              <w:jc w:val="right"/>
              <w:spacing w:after="0"/>
              <w:rPr>
                <w:sz w:val="20"/>
                <w:szCs w:val="20"/>
                <w:color w:val="auto"/>
              </w:rPr>
            </w:pPr>
            <w:r>
              <w:rPr>
                <w:rFonts w:ascii="Arial" w:cs="Arial" w:eastAsia="Arial" w:hAnsi="Arial"/>
                <w:sz w:val="18"/>
                <w:szCs w:val="18"/>
                <w:color w:val="auto"/>
              </w:rPr>
              <w:t>0.08</w:t>
            </w:r>
          </w:p>
        </w:tc>
        <w:tc>
          <w:tcPr>
            <w:tcW w:w="200" w:type="dxa"/>
            <w:vAlign w:val="bottom"/>
          </w:tcPr>
          <w:p>
            <w:pPr>
              <w:spacing w:after="0"/>
              <w:rPr>
                <w:sz w:val="20"/>
                <w:szCs w:val="20"/>
                <w:color w:val="auto"/>
              </w:rPr>
            </w:pPr>
          </w:p>
        </w:tc>
      </w:tr>
      <w:tr>
        <w:trPr>
          <w:trHeight w:val="350"/>
        </w:trPr>
        <w:tc>
          <w:tcPr>
            <w:tcW w:w="20" w:type="dxa"/>
            <w:vAlign w:val="bottom"/>
          </w:tcPr>
          <w:p>
            <w:pPr>
              <w:spacing w:after="0"/>
              <w:rPr>
                <w:sz w:val="24"/>
                <w:szCs w:val="24"/>
                <w:color w:val="auto"/>
              </w:rPr>
            </w:pPr>
          </w:p>
        </w:tc>
        <w:tc>
          <w:tcPr>
            <w:tcW w:w="2960" w:type="dxa"/>
            <w:vAlign w:val="bottom"/>
          </w:tcPr>
          <w:p>
            <w:pPr>
              <w:spacing w:after="0"/>
              <w:rPr>
                <w:sz w:val="24"/>
                <w:szCs w:val="24"/>
                <w:color w:val="auto"/>
              </w:rPr>
            </w:pPr>
          </w:p>
        </w:tc>
        <w:tc>
          <w:tcPr>
            <w:tcW w:w="2080" w:type="dxa"/>
            <w:vAlign w:val="bottom"/>
            <w:gridSpan w:val="2"/>
          </w:tcPr>
          <w:p>
            <w:pPr>
              <w:ind w:left="1040"/>
              <w:spacing w:after="0"/>
              <w:rPr>
                <w:sz w:val="20"/>
                <w:szCs w:val="20"/>
                <w:color w:val="auto"/>
              </w:rPr>
            </w:pPr>
            <w:r>
              <w:rPr>
                <w:rFonts w:ascii="Arial" w:cs="Arial" w:eastAsia="Arial" w:hAnsi="Arial"/>
                <w:sz w:val="18"/>
                <w:szCs w:val="18"/>
                <w:color w:val="auto"/>
              </w:rPr>
              <w:t>F-38</w:t>
            </w:r>
          </w:p>
        </w:tc>
        <w:tc>
          <w:tcPr>
            <w:tcW w:w="8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00" w:type="dxa"/>
            <w:vAlign w:val="bottom"/>
          </w:tcPr>
          <w:p>
            <w:pPr>
              <w:spacing w:after="0"/>
              <w:rPr>
                <w:sz w:val="24"/>
                <w:szCs w:val="24"/>
                <w:color w:val="auto"/>
              </w:rPr>
            </w:pPr>
          </w:p>
        </w:tc>
      </w:tr>
    </w:tbl>
    <w:p>
      <w:pPr>
        <w:sectPr>
          <w:pgSz w:w="11900" w:h="16838" w:orient="portrait"/>
          <w:cols w:equalWidth="0" w:num="1">
            <w:col w:w="11140"/>
          </w:cols>
          <w:pgMar w:left="240" w:top="459" w:right="519" w:bottom="1440" w:gutter="0" w:footer="0" w:header="0"/>
        </w:sectPr>
      </w:pPr>
    </w:p>
    <w:bookmarkStart w:id="137" w:name="page138"/>
    <w:bookmarkEnd w:id="13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8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419"/>
        <w:spacing w:after="0"/>
        <w:rPr>
          <w:sz w:val="20"/>
          <w:szCs w:val="20"/>
          <w:color w:val="auto"/>
        </w:rPr>
      </w:pPr>
      <w:r>
        <w:rPr>
          <w:rFonts w:ascii="Arial" w:cs="Arial" w:eastAsia="Arial" w:hAnsi="Arial"/>
          <w:sz w:val="18"/>
          <w:szCs w:val="18"/>
          <w:b w:val="1"/>
          <w:bCs w:val="1"/>
          <w:color w:val="auto"/>
        </w:rPr>
        <w:t>AVITA MEDICAL LIMITED</w:t>
      </w:r>
    </w:p>
    <w:p>
      <w:pPr>
        <w:spacing w:after="0" w:line="27" w:lineRule="exact"/>
        <w:rPr>
          <w:sz w:val="20"/>
          <w:szCs w:val="20"/>
          <w:color w:val="auto"/>
        </w:rPr>
      </w:pPr>
    </w:p>
    <w:p>
      <w:pPr>
        <w:jc w:val="center"/>
        <w:ind w:right="-419"/>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9" w:lineRule="exact"/>
        <w:rPr>
          <w:sz w:val="20"/>
          <w:szCs w:val="20"/>
          <w:color w:val="auto"/>
        </w:rPr>
      </w:pPr>
    </w:p>
    <w:p>
      <w:pPr>
        <w:jc w:val="center"/>
        <w:ind w:right="-419"/>
        <w:spacing w:after="0"/>
        <w:rPr>
          <w:sz w:val="20"/>
          <w:szCs w:val="20"/>
          <w:color w:val="auto"/>
        </w:rPr>
      </w:pPr>
      <w:r>
        <w:rPr>
          <w:rFonts w:ascii="Arial" w:cs="Arial" w:eastAsia="Arial" w:hAnsi="Arial"/>
          <w:sz w:val="18"/>
          <w:szCs w:val="18"/>
          <w:b w:val="1"/>
          <w:bCs w:val="1"/>
          <w:color w:val="auto"/>
        </w:rPr>
        <w:t>(IN AUSTRALIAN DOLLARS)</w:t>
      </w:r>
    </w:p>
    <w:p>
      <w:pPr>
        <w:spacing w:after="0" w:line="234" w:lineRule="exact"/>
        <w:rPr>
          <w:sz w:val="20"/>
          <w:szCs w:val="20"/>
          <w:color w:val="auto"/>
        </w:rPr>
      </w:pPr>
    </w:p>
    <w:p>
      <w:pPr>
        <w:ind w:left="640" w:hanging="436"/>
        <w:spacing w:after="0"/>
        <w:tabs>
          <w:tab w:leader="none" w:pos="640" w:val="left"/>
        </w:tabs>
        <w:numPr>
          <w:ilvl w:val="0"/>
          <w:numId w:val="169"/>
        </w:numPr>
        <w:rPr>
          <w:rFonts w:ascii="Arial" w:cs="Arial" w:eastAsia="Arial" w:hAnsi="Arial"/>
          <w:sz w:val="18"/>
          <w:szCs w:val="18"/>
          <w:b w:val="1"/>
          <w:bCs w:val="1"/>
          <w:color w:val="auto"/>
        </w:rPr>
      </w:pPr>
      <w:r>
        <w:rPr>
          <w:rFonts w:ascii="Arial" w:cs="Arial" w:eastAsia="Arial" w:hAnsi="Arial"/>
          <w:sz w:val="18"/>
          <w:szCs w:val="18"/>
          <w:b w:val="1"/>
          <w:bCs w:val="1"/>
          <w:color w:val="auto"/>
        </w:rPr>
        <w:t>SHARE-BASED PAYMENT PLANS (CONTINUED)</w:t>
      </w:r>
    </w:p>
    <w:p>
      <w:pPr>
        <w:spacing w:after="0" w:line="131" w:lineRule="exact"/>
        <w:rPr>
          <w:sz w:val="20"/>
          <w:szCs w:val="20"/>
          <w:color w:val="auto"/>
        </w:rPr>
      </w:pPr>
    </w:p>
    <w:p>
      <w:pPr>
        <w:ind w:left="640" w:hanging="436"/>
        <w:spacing w:after="0"/>
        <w:tabs>
          <w:tab w:leader="none" w:pos="640" w:val="left"/>
        </w:tabs>
        <w:numPr>
          <w:ilvl w:val="0"/>
          <w:numId w:val="170"/>
        </w:numPr>
        <w:rPr>
          <w:rFonts w:ascii="Arial" w:cs="Arial" w:eastAsia="Arial" w:hAnsi="Arial"/>
          <w:sz w:val="18"/>
          <w:szCs w:val="18"/>
          <w:b w:val="1"/>
          <w:bCs w:val="1"/>
          <w:color w:val="auto"/>
        </w:rPr>
      </w:pPr>
      <w:r>
        <w:rPr>
          <w:rFonts w:ascii="Arial" w:cs="Arial" w:eastAsia="Arial" w:hAnsi="Arial"/>
          <w:sz w:val="18"/>
          <w:szCs w:val="18"/>
          <w:b w:val="1"/>
          <w:bCs w:val="1"/>
          <w:color w:val="auto"/>
        </w:rPr>
        <w:t>Option pricing model: ESOP and Investor (continued)</w:t>
      </w:r>
    </w:p>
    <w:p>
      <w:pPr>
        <w:spacing w:after="0" w:line="135" w:lineRule="exact"/>
        <w:rPr>
          <w:sz w:val="20"/>
          <w:szCs w:val="20"/>
          <w:color w:val="auto"/>
        </w:rPr>
      </w:pPr>
    </w:p>
    <w:p>
      <w:pPr>
        <w:ind w:left="200"/>
        <w:spacing w:after="0"/>
        <w:rPr>
          <w:sz w:val="20"/>
          <w:szCs w:val="20"/>
          <w:color w:val="auto"/>
        </w:rPr>
      </w:pPr>
      <w:r>
        <w:rPr>
          <w:rFonts w:ascii="Arial" w:cs="Arial" w:eastAsia="Arial" w:hAnsi="Arial"/>
          <w:sz w:val="18"/>
          <w:szCs w:val="18"/>
          <w:color w:val="auto"/>
        </w:rPr>
        <w:t>At year end, 623,000 options were unvested.</w:t>
      </w:r>
    </w:p>
    <w:p>
      <w:pPr>
        <w:spacing w:after="0" w:line="117" w:lineRule="exact"/>
        <w:rPr>
          <w:sz w:val="20"/>
          <w:szCs w:val="20"/>
          <w:color w:val="auto"/>
        </w:rPr>
      </w:pPr>
    </w:p>
    <w:p>
      <w:pPr>
        <w:ind w:left="200" w:right="100" w:firstLine="4"/>
        <w:spacing w:after="0" w:line="277" w:lineRule="auto"/>
        <w:tabs>
          <w:tab w:leader="none" w:pos="445" w:val="left"/>
        </w:tabs>
        <w:numPr>
          <w:ilvl w:val="0"/>
          <w:numId w:val="171"/>
        </w:numPr>
        <w:rPr>
          <w:rFonts w:ascii="Arial" w:cs="Arial" w:eastAsia="Arial" w:hAnsi="Arial"/>
          <w:sz w:val="18"/>
          <w:szCs w:val="18"/>
          <w:b w:val="1"/>
          <w:bCs w:val="1"/>
          <w:color w:val="auto"/>
        </w:rPr>
      </w:pPr>
      <w:r>
        <w:rPr>
          <w:rFonts w:ascii="Arial" w:cs="Arial" w:eastAsia="Arial" w:hAnsi="Arial"/>
          <w:sz w:val="18"/>
          <w:szCs w:val="18"/>
          <w:color w:val="auto"/>
        </w:rPr>
        <w:t>On July 1, 2017, 1,110,000 options were granted to employee at an exercise price of A$0.08 expiring on December 31, 2018. The following table lists the inputs to the models used for the options granted to employees each year:</w:t>
      </w:r>
    </w:p>
    <w:p>
      <w:pPr>
        <w:spacing w:after="0" w:line="189" w:lineRule="exact"/>
        <w:rPr>
          <w:sz w:val="20"/>
          <w:szCs w:val="20"/>
          <w:color w:val="auto"/>
        </w:rPr>
      </w:pPr>
    </w:p>
    <w:tbl>
      <w:tblPr>
        <w:tblLayout w:type="fixed"/>
        <w:tblInd w:w="152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4520" w:type="dxa"/>
            <w:vAlign w:val="bottom"/>
            <w:tcBorders>
              <w:bottom w:val="single" w:sz="8" w:color="CCEEFF"/>
            </w:tcBorders>
          </w:tcPr>
          <w:p>
            <w:pPr>
              <w:spacing w:after="0"/>
              <w:rPr>
                <w:sz w:val="14"/>
                <w:szCs w:val="14"/>
                <w:color w:val="auto"/>
              </w:rPr>
            </w:pPr>
          </w:p>
        </w:tc>
        <w:tc>
          <w:tcPr>
            <w:tcW w:w="2600" w:type="dxa"/>
            <w:vAlign w:val="bottom"/>
            <w:tcBorders>
              <w:bottom w:val="single" w:sz="8" w:color="CCEEFF"/>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right"/>
              <w:ind w:right="292"/>
              <w:spacing w:after="0"/>
              <w:rPr>
                <w:sz w:val="20"/>
                <w:szCs w:val="20"/>
                <w:color w:val="auto"/>
              </w:rPr>
            </w:pPr>
            <w:r>
              <w:rPr>
                <w:rFonts w:ascii="Arial" w:cs="Arial" w:eastAsia="Arial" w:hAnsi="Arial"/>
                <w:sz w:val="14"/>
                <w:szCs w:val="14"/>
                <w:b w:val="1"/>
                <w:bCs w:val="1"/>
                <w:color w:val="auto"/>
              </w:rPr>
              <w:t>2018</w:t>
            </w:r>
          </w:p>
        </w:tc>
        <w:tc>
          <w:tcPr>
            <w:tcW w:w="200" w:type="dxa"/>
            <w:vAlign w:val="bottom"/>
            <w:tcBorders>
              <w:bottom w:val="single" w:sz="8" w:color="CCEEFF"/>
            </w:tcBorders>
          </w:tcPr>
          <w:p>
            <w:pPr>
              <w:spacing w:after="0"/>
              <w:rPr>
                <w:sz w:val="14"/>
                <w:szCs w:val="14"/>
                <w:color w:val="auto"/>
              </w:rPr>
            </w:pPr>
          </w:p>
        </w:tc>
      </w:tr>
      <w:tr>
        <w:trPr>
          <w:trHeight w:val="210"/>
        </w:trPr>
        <w:tc>
          <w:tcPr>
            <w:tcW w:w="20" w:type="dxa"/>
            <w:vAlign w:val="bottom"/>
          </w:tcPr>
          <w:p>
            <w:pPr>
              <w:spacing w:after="0"/>
              <w:rPr>
                <w:sz w:val="18"/>
                <w:szCs w:val="18"/>
                <w:color w:val="auto"/>
              </w:rPr>
            </w:pPr>
          </w:p>
        </w:tc>
        <w:tc>
          <w:tcPr>
            <w:tcW w:w="4520" w:type="dxa"/>
            <w:vAlign w:val="bottom"/>
            <w:shd w:val="clear" w:color="auto" w:fill="CCEEFF"/>
          </w:tcPr>
          <w:p>
            <w:pPr>
              <w:spacing w:after="0"/>
              <w:rPr>
                <w:sz w:val="20"/>
                <w:szCs w:val="20"/>
                <w:color w:val="auto"/>
              </w:rPr>
            </w:pPr>
            <w:r>
              <w:rPr>
                <w:rFonts w:ascii="Arial" w:cs="Arial" w:eastAsia="Arial" w:hAnsi="Arial"/>
                <w:sz w:val="18"/>
                <w:szCs w:val="18"/>
                <w:color w:val="auto"/>
              </w:rPr>
              <w:t>Grant date</w:t>
            </w:r>
          </w:p>
        </w:tc>
        <w:tc>
          <w:tcPr>
            <w:tcW w:w="26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07/01/2017</w:t>
            </w:r>
          </w:p>
        </w:tc>
        <w:tc>
          <w:tcPr>
            <w:tcW w:w="2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520" w:type="dxa"/>
            <w:vAlign w:val="bottom"/>
          </w:tcPr>
          <w:p>
            <w:pPr>
              <w:spacing w:after="0"/>
              <w:rPr>
                <w:sz w:val="20"/>
                <w:szCs w:val="20"/>
                <w:color w:val="auto"/>
              </w:rPr>
            </w:pPr>
            <w:r>
              <w:rPr>
                <w:rFonts w:ascii="Arial" w:cs="Arial" w:eastAsia="Arial" w:hAnsi="Arial"/>
                <w:sz w:val="18"/>
                <w:szCs w:val="18"/>
                <w:color w:val="auto"/>
              </w:rPr>
              <w:t>Share price at date of grant</w:t>
            </w:r>
          </w:p>
        </w:tc>
        <w:tc>
          <w:tcPr>
            <w:tcW w:w="2820" w:type="dxa"/>
            <w:vAlign w:val="bottom"/>
            <w:gridSpan w:val="2"/>
          </w:tcPr>
          <w:p>
            <w:pPr>
              <w:ind w:left="2580"/>
              <w:spacing w:after="0"/>
              <w:rPr>
                <w:sz w:val="20"/>
                <w:szCs w:val="20"/>
                <w:color w:val="auto"/>
              </w:rPr>
            </w:pPr>
            <w:r>
              <w:rPr>
                <w:rFonts w:ascii="Arial" w:cs="Arial" w:eastAsia="Arial" w:hAnsi="Arial"/>
                <w:sz w:val="18"/>
                <w:szCs w:val="18"/>
                <w:color w:val="auto"/>
                <w:w w:val="99"/>
              </w:rPr>
              <w:t>A$</w:t>
            </w:r>
          </w:p>
        </w:tc>
        <w:tc>
          <w:tcPr>
            <w:tcW w:w="820" w:type="dxa"/>
            <w:vAlign w:val="bottom"/>
          </w:tcPr>
          <w:p>
            <w:pPr>
              <w:jc w:val="right"/>
              <w:spacing w:after="0"/>
              <w:rPr>
                <w:sz w:val="20"/>
                <w:szCs w:val="20"/>
                <w:color w:val="auto"/>
              </w:rPr>
            </w:pPr>
            <w:r>
              <w:rPr>
                <w:rFonts w:ascii="Arial" w:cs="Arial" w:eastAsia="Arial" w:hAnsi="Arial"/>
                <w:sz w:val="18"/>
                <w:szCs w:val="18"/>
                <w:color w:val="auto"/>
              </w:rPr>
              <w:t>0.069</w:t>
            </w:r>
          </w:p>
        </w:tc>
        <w:tc>
          <w:tcPr>
            <w:tcW w:w="2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520" w:type="dxa"/>
            <w:vAlign w:val="bottom"/>
            <w:shd w:val="clear" w:color="auto" w:fill="CCEEFF"/>
          </w:tcPr>
          <w:p>
            <w:pPr>
              <w:spacing w:after="0"/>
              <w:rPr>
                <w:sz w:val="20"/>
                <w:szCs w:val="20"/>
                <w:color w:val="auto"/>
              </w:rPr>
            </w:pPr>
            <w:r>
              <w:rPr>
                <w:rFonts w:ascii="Arial" w:cs="Arial" w:eastAsia="Arial" w:hAnsi="Arial"/>
                <w:sz w:val="18"/>
                <w:szCs w:val="18"/>
                <w:color w:val="auto"/>
              </w:rPr>
              <w:t>Dividend yield (%)</w:t>
            </w:r>
          </w:p>
        </w:tc>
        <w:tc>
          <w:tcPr>
            <w:tcW w:w="26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0%</w:t>
            </w:r>
          </w:p>
        </w:tc>
      </w:tr>
      <w:tr>
        <w:trPr>
          <w:trHeight w:val="216"/>
        </w:trPr>
        <w:tc>
          <w:tcPr>
            <w:tcW w:w="20" w:type="dxa"/>
            <w:vAlign w:val="bottom"/>
          </w:tcPr>
          <w:p>
            <w:pPr>
              <w:spacing w:after="0"/>
              <w:rPr>
                <w:sz w:val="18"/>
                <w:szCs w:val="18"/>
                <w:color w:val="auto"/>
              </w:rPr>
            </w:pPr>
          </w:p>
        </w:tc>
        <w:tc>
          <w:tcPr>
            <w:tcW w:w="4520" w:type="dxa"/>
            <w:vAlign w:val="bottom"/>
          </w:tcPr>
          <w:p>
            <w:pPr>
              <w:spacing w:after="0"/>
              <w:rPr>
                <w:sz w:val="20"/>
                <w:szCs w:val="20"/>
                <w:color w:val="auto"/>
              </w:rPr>
            </w:pPr>
            <w:r>
              <w:rPr>
                <w:rFonts w:ascii="Arial" w:cs="Arial" w:eastAsia="Arial" w:hAnsi="Arial"/>
                <w:sz w:val="18"/>
                <w:szCs w:val="18"/>
                <w:color w:val="auto"/>
              </w:rPr>
              <w:t>Expected volatility (%)</w:t>
            </w:r>
          </w:p>
        </w:tc>
        <w:tc>
          <w:tcPr>
            <w:tcW w:w="26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gridSpan w:val="2"/>
          </w:tcPr>
          <w:p>
            <w:pPr>
              <w:jc w:val="right"/>
              <w:ind w:right="60"/>
              <w:spacing w:after="0"/>
              <w:rPr>
                <w:sz w:val="20"/>
                <w:szCs w:val="20"/>
                <w:color w:val="auto"/>
              </w:rPr>
            </w:pPr>
            <w:r>
              <w:rPr>
                <w:rFonts w:ascii="Arial" w:cs="Arial" w:eastAsia="Arial" w:hAnsi="Arial"/>
                <w:sz w:val="18"/>
                <w:szCs w:val="18"/>
                <w:color w:val="auto"/>
              </w:rPr>
              <w:t>90%</w:t>
            </w:r>
          </w:p>
        </w:tc>
      </w:tr>
      <w:tr>
        <w:trPr>
          <w:trHeight w:val="216"/>
        </w:trPr>
        <w:tc>
          <w:tcPr>
            <w:tcW w:w="20" w:type="dxa"/>
            <w:vAlign w:val="bottom"/>
          </w:tcPr>
          <w:p>
            <w:pPr>
              <w:spacing w:after="0"/>
              <w:rPr>
                <w:sz w:val="18"/>
                <w:szCs w:val="18"/>
                <w:color w:val="auto"/>
              </w:rPr>
            </w:pPr>
          </w:p>
        </w:tc>
        <w:tc>
          <w:tcPr>
            <w:tcW w:w="4520" w:type="dxa"/>
            <w:vAlign w:val="bottom"/>
            <w:shd w:val="clear" w:color="auto" w:fill="CCEEFF"/>
          </w:tcPr>
          <w:p>
            <w:pPr>
              <w:spacing w:after="0"/>
              <w:rPr>
                <w:sz w:val="20"/>
                <w:szCs w:val="20"/>
                <w:color w:val="auto"/>
              </w:rPr>
            </w:pPr>
            <w:r>
              <w:rPr>
                <w:rFonts w:ascii="Arial" w:cs="Arial" w:eastAsia="Arial" w:hAnsi="Arial"/>
                <w:sz w:val="18"/>
                <w:szCs w:val="18"/>
                <w:color w:val="auto"/>
              </w:rPr>
              <w:t>Risk-free interest rate (%)</w:t>
            </w:r>
          </w:p>
        </w:tc>
        <w:tc>
          <w:tcPr>
            <w:tcW w:w="26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1.5%</w:t>
            </w:r>
          </w:p>
        </w:tc>
      </w:tr>
      <w:tr>
        <w:trPr>
          <w:trHeight w:val="216"/>
        </w:trPr>
        <w:tc>
          <w:tcPr>
            <w:tcW w:w="20" w:type="dxa"/>
            <w:vAlign w:val="bottom"/>
          </w:tcPr>
          <w:p>
            <w:pPr>
              <w:spacing w:after="0"/>
              <w:rPr>
                <w:sz w:val="18"/>
                <w:szCs w:val="18"/>
                <w:color w:val="auto"/>
              </w:rPr>
            </w:pPr>
          </w:p>
        </w:tc>
        <w:tc>
          <w:tcPr>
            <w:tcW w:w="4520" w:type="dxa"/>
            <w:vAlign w:val="bottom"/>
          </w:tcPr>
          <w:p>
            <w:pPr>
              <w:spacing w:after="0"/>
              <w:rPr>
                <w:sz w:val="20"/>
                <w:szCs w:val="20"/>
                <w:color w:val="auto"/>
              </w:rPr>
            </w:pPr>
            <w:r>
              <w:rPr>
                <w:rFonts w:ascii="Arial" w:cs="Arial" w:eastAsia="Arial" w:hAnsi="Arial"/>
                <w:sz w:val="18"/>
                <w:szCs w:val="18"/>
                <w:color w:val="auto"/>
              </w:rPr>
              <w:t>Expected life of option</w:t>
            </w:r>
          </w:p>
        </w:tc>
        <w:tc>
          <w:tcPr>
            <w:tcW w:w="26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552</w:t>
            </w:r>
          </w:p>
        </w:tc>
        <w:tc>
          <w:tcPr>
            <w:tcW w:w="2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520" w:type="dxa"/>
            <w:vAlign w:val="bottom"/>
            <w:shd w:val="clear" w:color="auto" w:fill="CCEEFF"/>
          </w:tcPr>
          <w:p>
            <w:pPr>
              <w:spacing w:after="0"/>
              <w:rPr>
                <w:sz w:val="20"/>
                <w:szCs w:val="20"/>
                <w:color w:val="auto"/>
              </w:rPr>
            </w:pPr>
            <w:r>
              <w:rPr>
                <w:rFonts w:ascii="Arial" w:cs="Arial" w:eastAsia="Arial" w:hAnsi="Arial"/>
                <w:sz w:val="18"/>
                <w:szCs w:val="18"/>
                <w:color w:val="auto"/>
              </w:rPr>
              <w:t>Fair value at date of grant</w:t>
            </w:r>
          </w:p>
        </w:tc>
        <w:tc>
          <w:tcPr>
            <w:tcW w:w="2820" w:type="dxa"/>
            <w:vAlign w:val="bottom"/>
            <w:gridSpan w:val="2"/>
            <w:shd w:val="clear" w:color="auto" w:fill="CCEEFF"/>
          </w:tcPr>
          <w:p>
            <w:pPr>
              <w:ind w:left="2580"/>
              <w:spacing w:after="0"/>
              <w:rPr>
                <w:sz w:val="20"/>
                <w:szCs w:val="20"/>
                <w:color w:val="auto"/>
              </w:rPr>
            </w:pPr>
            <w:r>
              <w:rPr>
                <w:rFonts w:ascii="Arial" w:cs="Arial" w:eastAsia="Arial" w:hAnsi="Arial"/>
                <w:sz w:val="18"/>
                <w:szCs w:val="18"/>
                <w:color w:val="auto"/>
                <w:w w:val="99"/>
              </w:rPr>
              <w:t>A$</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0.031</w:t>
            </w:r>
          </w:p>
        </w:tc>
        <w:tc>
          <w:tcPr>
            <w:tcW w:w="200" w:type="dxa"/>
            <w:vAlign w:val="bottom"/>
            <w:shd w:val="clear" w:color="auto" w:fill="CCEEFF"/>
          </w:tcPr>
          <w:p>
            <w:pPr>
              <w:spacing w:after="0"/>
              <w:rPr>
                <w:sz w:val="18"/>
                <w:szCs w:val="18"/>
                <w:color w:val="auto"/>
              </w:rPr>
            </w:pPr>
          </w:p>
        </w:tc>
      </w:tr>
      <w:tr>
        <w:trPr>
          <w:trHeight w:val="230"/>
        </w:trPr>
        <w:tc>
          <w:tcPr>
            <w:tcW w:w="20" w:type="dxa"/>
            <w:vAlign w:val="bottom"/>
          </w:tcPr>
          <w:p>
            <w:pPr>
              <w:spacing w:after="0"/>
              <w:rPr>
                <w:sz w:val="20"/>
                <w:szCs w:val="20"/>
                <w:color w:val="auto"/>
              </w:rPr>
            </w:pPr>
          </w:p>
        </w:tc>
        <w:tc>
          <w:tcPr>
            <w:tcW w:w="4520" w:type="dxa"/>
            <w:vAlign w:val="bottom"/>
          </w:tcPr>
          <w:p>
            <w:pPr>
              <w:spacing w:after="0"/>
              <w:rPr>
                <w:sz w:val="20"/>
                <w:szCs w:val="20"/>
                <w:color w:val="auto"/>
              </w:rPr>
            </w:pPr>
            <w:r>
              <w:rPr>
                <w:rFonts w:ascii="Arial" w:cs="Arial" w:eastAsia="Arial" w:hAnsi="Arial"/>
                <w:sz w:val="18"/>
                <w:szCs w:val="18"/>
                <w:color w:val="auto"/>
              </w:rPr>
              <w:t>Option exercise price (A$)</w:t>
            </w:r>
          </w:p>
        </w:tc>
        <w:tc>
          <w:tcPr>
            <w:tcW w:w="2820" w:type="dxa"/>
            <w:vAlign w:val="bottom"/>
            <w:gridSpan w:val="2"/>
          </w:tcPr>
          <w:p>
            <w:pPr>
              <w:ind w:left="2580"/>
              <w:spacing w:after="0"/>
              <w:rPr>
                <w:sz w:val="20"/>
                <w:szCs w:val="20"/>
                <w:color w:val="auto"/>
              </w:rPr>
            </w:pPr>
            <w:r>
              <w:rPr>
                <w:rFonts w:ascii="Arial" w:cs="Arial" w:eastAsia="Arial" w:hAnsi="Arial"/>
                <w:sz w:val="18"/>
                <w:szCs w:val="18"/>
                <w:color w:val="auto"/>
                <w:w w:val="99"/>
              </w:rPr>
              <w:t>A$</w:t>
            </w:r>
          </w:p>
        </w:tc>
        <w:tc>
          <w:tcPr>
            <w:tcW w:w="820" w:type="dxa"/>
            <w:vAlign w:val="bottom"/>
          </w:tcPr>
          <w:p>
            <w:pPr>
              <w:jc w:val="right"/>
              <w:spacing w:after="0"/>
              <w:rPr>
                <w:sz w:val="20"/>
                <w:szCs w:val="20"/>
                <w:color w:val="auto"/>
              </w:rPr>
            </w:pPr>
            <w:r>
              <w:rPr>
                <w:rFonts w:ascii="Arial" w:cs="Arial" w:eastAsia="Arial" w:hAnsi="Arial"/>
                <w:sz w:val="18"/>
                <w:szCs w:val="18"/>
                <w:color w:val="auto"/>
              </w:rPr>
              <w:t>0.08</w:t>
            </w:r>
          </w:p>
        </w:tc>
        <w:tc>
          <w:tcPr>
            <w:tcW w:w="200" w:type="dxa"/>
            <w:vAlign w:val="bottom"/>
          </w:tcPr>
          <w:p>
            <w:pPr>
              <w:spacing w:after="0"/>
              <w:rPr>
                <w:sz w:val="20"/>
                <w:szCs w:val="20"/>
                <w:color w:val="auto"/>
              </w:rPr>
            </w:pPr>
          </w:p>
        </w:tc>
      </w:tr>
    </w:tbl>
    <w:p>
      <w:pPr>
        <w:spacing w:after="0" w:line="187" w:lineRule="exact"/>
        <w:rPr>
          <w:sz w:val="20"/>
          <w:szCs w:val="20"/>
          <w:color w:val="auto"/>
        </w:rPr>
      </w:pPr>
    </w:p>
    <w:p>
      <w:pPr>
        <w:ind w:left="200"/>
        <w:spacing w:after="0"/>
        <w:rPr>
          <w:sz w:val="20"/>
          <w:szCs w:val="20"/>
          <w:color w:val="auto"/>
        </w:rPr>
      </w:pPr>
      <w:r>
        <w:rPr>
          <w:rFonts w:ascii="Arial" w:cs="Arial" w:eastAsia="Arial" w:hAnsi="Arial"/>
          <w:sz w:val="18"/>
          <w:szCs w:val="18"/>
          <w:color w:val="auto"/>
        </w:rPr>
        <w:t>At year end, 1,110,000 options were unvested.</w:t>
      </w:r>
    </w:p>
    <w:p>
      <w:pPr>
        <w:spacing w:after="0" w:line="225" w:lineRule="exact"/>
        <w:rPr>
          <w:sz w:val="20"/>
          <w:szCs w:val="20"/>
          <w:color w:val="auto"/>
        </w:rPr>
      </w:pPr>
    </w:p>
    <w:p>
      <w:pPr>
        <w:ind w:left="200" w:right="20" w:firstLine="4"/>
        <w:spacing w:after="0" w:line="277" w:lineRule="auto"/>
        <w:tabs>
          <w:tab w:leader="none" w:pos="395" w:val="left"/>
        </w:tabs>
        <w:numPr>
          <w:ilvl w:val="0"/>
          <w:numId w:val="172"/>
        </w:numPr>
        <w:rPr>
          <w:rFonts w:ascii="Arial" w:cs="Arial" w:eastAsia="Arial" w:hAnsi="Arial"/>
          <w:sz w:val="18"/>
          <w:szCs w:val="18"/>
          <w:color w:val="auto"/>
        </w:rPr>
      </w:pPr>
      <w:r>
        <w:rPr>
          <w:rFonts w:ascii="Arial" w:cs="Arial" w:eastAsia="Arial" w:hAnsi="Arial"/>
          <w:sz w:val="18"/>
          <w:szCs w:val="18"/>
          <w:color w:val="auto"/>
        </w:rPr>
        <w:t>On September 6, 2017, 4,000,000 options were granted to employee at an exercise price of A$0.063 expiring on September 6, 2027. The following table lists the inputs to the models used for the options granted to employees each year:</w:t>
      </w:r>
    </w:p>
    <w:p>
      <w:pPr>
        <w:spacing w:after="0" w:line="189" w:lineRule="exact"/>
        <w:rPr>
          <w:sz w:val="20"/>
          <w:szCs w:val="20"/>
          <w:color w:val="auto"/>
        </w:rPr>
      </w:pPr>
    </w:p>
    <w:tbl>
      <w:tblPr>
        <w:tblLayout w:type="fixed"/>
        <w:tblInd w:w="152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4520" w:type="dxa"/>
            <w:vAlign w:val="bottom"/>
            <w:tcBorders>
              <w:bottom w:val="single" w:sz="8" w:color="CCEEFF"/>
            </w:tcBorders>
          </w:tcPr>
          <w:p>
            <w:pPr>
              <w:spacing w:after="0"/>
              <w:rPr>
                <w:sz w:val="14"/>
                <w:szCs w:val="14"/>
                <w:color w:val="auto"/>
              </w:rPr>
            </w:pPr>
          </w:p>
        </w:tc>
        <w:tc>
          <w:tcPr>
            <w:tcW w:w="2600" w:type="dxa"/>
            <w:vAlign w:val="bottom"/>
            <w:tcBorders>
              <w:bottom w:val="single" w:sz="8" w:color="CCEEFF"/>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right"/>
              <w:ind w:right="292"/>
              <w:spacing w:after="0"/>
              <w:rPr>
                <w:sz w:val="20"/>
                <w:szCs w:val="20"/>
                <w:color w:val="auto"/>
              </w:rPr>
            </w:pPr>
            <w:r>
              <w:rPr>
                <w:rFonts w:ascii="Arial" w:cs="Arial" w:eastAsia="Arial" w:hAnsi="Arial"/>
                <w:sz w:val="14"/>
                <w:szCs w:val="14"/>
                <w:b w:val="1"/>
                <w:bCs w:val="1"/>
                <w:color w:val="auto"/>
              </w:rPr>
              <w:t>2018</w:t>
            </w:r>
          </w:p>
        </w:tc>
        <w:tc>
          <w:tcPr>
            <w:tcW w:w="200" w:type="dxa"/>
            <w:vAlign w:val="bottom"/>
            <w:tcBorders>
              <w:bottom w:val="single" w:sz="8" w:color="CCEEFF"/>
            </w:tcBorders>
          </w:tcPr>
          <w:p>
            <w:pPr>
              <w:spacing w:after="0"/>
              <w:rPr>
                <w:sz w:val="14"/>
                <w:szCs w:val="14"/>
                <w:color w:val="auto"/>
              </w:rPr>
            </w:pPr>
          </w:p>
        </w:tc>
      </w:tr>
      <w:tr>
        <w:trPr>
          <w:trHeight w:val="210"/>
        </w:trPr>
        <w:tc>
          <w:tcPr>
            <w:tcW w:w="20" w:type="dxa"/>
            <w:vAlign w:val="bottom"/>
          </w:tcPr>
          <w:p>
            <w:pPr>
              <w:spacing w:after="0"/>
              <w:rPr>
                <w:sz w:val="18"/>
                <w:szCs w:val="18"/>
                <w:color w:val="auto"/>
              </w:rPr>
            </w:pPr>
          </w:p>
        </w:tc>
        <w:tc>
          <w:tcPr>
            <w:tcW w:w="4520" w:type="dxa"/>
            <w:vAlign w:val="bottom"/>
            <w:shd w:val="clear" w:color="auto" w:fill="CCEEFF"/>
          </w:tcPr>
          <w:p>
            <w:pPr>
              <w:spacing w:after="0"/>
              <w:rPr>
                <w:sz w:val="20"/>
                <w:szCs w:val="20"/>
                <w:color w:val="auto"/>
              </w:rPr>
            </w:pPr>
            <w:r>
              <w:rPr>
                <w:rFonts w:ascii="Arial" w:cs="Arial" w:eastAsia="Arial" w:hAnsi="Arial"/>
                <w:sz w:val="18"/>
                <w:szCs w:val="18"/>
                <w:color w:val="auto"/>
              </w:rPr>
              <w:t>Grant date</w:t>
            </w:r>
          </w:p>
        </w:tc>
        <w:tc>
          <w:tcPr>
            <w:tcW w:w="26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09/06/2017</w:t>
            </w:r>
          </w:p>
        </w:tc>
        <w:tc>
          <w:tcPr>
            <w:tcW w:w="2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520" w:type="dxa"/>
            <w:vAlign w:val="bottom"/>
          </w:tcPr>
          <w:p>
            <w:pPr>
              <w:spacing w:after="0"/>
              <w:rPr>
                <w:sz w:val="20"/>
                <w:szCs w:val="20"/>
                <w:color w:val="auto"/>
              </w:rPr>
            </w:pPr>
            <w:r>
              <w:rPr>
                <w:rFonts w:ascii="Arial" w:cs="Arial" w:eastAsia="Arial" w:hAnsi="Arial"/>
                <w:sz w:val="18"/>
                <w:szCs w:val="18"/>
                <w:color w:val="auto"/>
              </w:rPr>
              <w:t>Share price at date of grant</w:t>
            </w:r>
          </w:p>
        </w:tc>
        <w:tc>
          <w:tcPr>
            <w:tcW w:w="2820" w:type="dxa"/>
            <w:vAlign w:val="bottom"/>
            <w:gridSpan w:val="2"/>
          </w:tcPr>
          <w:p>
            <w:pPr>
              <w:ind w:left="2580"/>
              <w:spacing w:after="0"/>
              <w:rPr>
                <w:sz w:val="20"/>
                <w:szCs w:val="20"/>
                <w:color w:val="auto"/>
              </w:rPr>
            </w:pPr>
            <w:r>
              <w:rPr>
                <w:rFonts w:ascii="Arial" w:cs="Arial" w:eastAsia="Arial" w:hAnsi="Arial"/>
                <w:sz w:val="18"/>
                <w:szCs w:val="18"/>
                <w:color w:val="auto"/>
                <w:w w:val="99"/>
              </w:rPr>
              <w:t>A$</w:t>
            </w:r>
          </w:p>
        </w:tc>
        <w:tc>
          <w:tcPr>
            <w:tcW w:w="820" w:type="dxa"/>
            <w:vAlign w:val="bottom"/>
          </w:tcPr>
          <w:p>
            <w:pPr>
              <w:jc w:val="right"/>
              <w:spacing w:after="0"/>
              <w:rPr>
                <w:sz w:val="20"/>
                <w:szCs w:val="20"/>
                <w:color w:val="auto"/>
              </w:rPr>
            </w:pPr>
            <w:r>
              <w:rPr>
                <w:rFonts w:ascii="Arial" w:cs="Arial" w:eastAsia="Arial" w:hAnsi="Arial"/>
                <w:sz w:val="18"/>
                <w:szCs w:val="18"/>
                <w:color w:val="auto"/>
              </w:rPr>
              <w:t>0.056</w:t>
            </w:r>
          </w:p>
        </w:tc>
        <w:tc>
          <w:tcPr>
            <w:tcW w:w="2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520" w:type="dxa"/>
            <w:vAlign w:val="bottom"/>
            <w:shd w:val="clear" w:color="auto" w:fill="CCEEFF"/>
          </w:tcPr>
          <w:p>
            <w:pPr>
              <w:spacing w:after="0"/>
              <w:rPr>
                <w:sz w:val="20"/>
                <w:szCs w:val="20"/>
                <w:color w:val="auto"/>
              </w:rPr>
            </w:pPr>
            <w:r>
              <w:rPr>
                <w:rFonts w:ascii="Arial" w:cs="Arial" w:eastAsia="Arial" w:hAnsi="Arial"/>
                <w:sz w:val="18"/>
                <w:szCs w:val="18"/>
                <w:color w:val="auto"/>
              </w:rPr>
              <w:t>Dividend yield (%)</w:t>
            </w:r>
          </w:p>
        </w:tc>
        <w:tc>
          <w:tcPr>
            <w:tcW w:w="26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0%</w:t>
            </w:r>
          </w:p>
        </w:tc>
      </w:tr>
      <w:tr>
        <w:trPr>
          <w:trHeight w:val="216"/>
        </w:trPr>
        <w:tc>
          <w:tcPr>
            <w:tcW w:w="20" w:type="dxa"/>
            <w:vAlign w:val="bottom"/>
          </w:tcPr>
          <w:p>
            <w:pPr>
              <w:spacing w:after="0"/>
              <w:rPr>
                <w:sz w:val="18"/>
                <w:szCs w:val="18"/>
                <w:color w:val="auto"/>
              </w:rPr>
            </w:pPr>
          </w:p>
        </w:tc>
        <w:tc>
          <w:tcPr>
            <w:tcW w:w="4520" w:type="dxa"/>
            <w:vAlign w:val="bottom"/>
          </w:tcPr>
          <w:p>
            <w:pPr>
              <w:spacing w:after="0"/>
              <w:rPr>
                <w:sz w:val="20"/>
                <w:szCs w:val="20"/>
                <w:color w:val="auto"/>
              </w:rPr>
            </w:pPr>
            <w:r>
              <w:rPr>
                <w:rFonts w:ascii="Arial" w:cs="Arial" w:eastAsia="Arial" w:hAnsi="Arial"/>
                <w:sz w:val="18"/>
                <w:szCs w:val="18"/>
                <w:color w:val="auto"/>
              </w:rPr>
              <w:t>Expected volatility (%)</w:t>
            </w:r>
          </w:p>
        </w:tc>
        <w:tc>
          <w:tcPr>
            <w:tcW w:w="26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gridSpan w:val="2"/>
          </w:tcPr>
          <w:p>
            <w:pPr>
              <w:jc w:val="right"/>
              <w:ind w:right="60"/>
              <w:spacing w:after="0"/>
              <w:rPr>
                <w:sz w:val="20"/>
                <w:szCs w:val="20"/>
                <w:color w:val="auto"/>
              </w:rPr>
            </w:pPr>
            <w:r>
              <w:rPr>
                <w:rFonts w:ascii="Arial" w:cs="Arial" w:eastAsia="Arial" w:hAnsi="Arial"/>
                <w:sz w:val="18"/>
                <w:szCs w:val="18"/>
                <w:color w:val="auto"/>
              </w:rPr>
              <w:t>90%</w:t>
            </w:r>
          </w:p>
        </w:tc>
      </w:tr>
      <w:tr>
        <w:trPr>
          <w:trHeight w:val="216"/>
        </w:trPr>
        <w:tc>
          <w:tcPr>
            <w:tcW w:w="20" w:type="dxa"/>
            <w:vAlign w:val="bottom"/>
          </w:tcPr>
          <w:p>
            <w:pPr>
              <w:spacing w:after="0"/>
              <w:rPr>
                <w:sz w:val="18"/>
                <w:szCs w:val="18"/>
                <w:color w:val="auto"/>
              </w:rPr>
            </w:pPr>
          </w:p>
        </w:tc>
        <w:tc>
          <w:tcPr>
            <w:tcW w:w="4520" w:type="dxa"/>
            <w:vAlign w:val="bottom"/>
            <w:shd w:val="clear" w:color="auto" w:fill="CCEEFF"/>
          </w:tcPr>
          <w:p>
            <w:pPr>
              <w:spacing w:after="0"/>
              <w:rPr>
                <w:sz w:val="20"/>
                <w:szCs w:val="20"/>
                <w:color w:val="auto"/>
              </w:rPr>
            </w:pPr>
            <w:r>
              <w:rPr>
                <w:rFonts w:ascii="Arial" w:cs="Arial" w:eastAsia="Arial" w:hAnsi="Arial"/>
                <w:sz w:val="18"/>
                <w:szCs w:val="18"/>
                <w:color w:val="auto"/>
              </w:rPr>
              <w:t>Risk-free interest rate (%)</w:t>
            </w:r>
          </w:p>
        </w:tc>
        <w:tc>
          <w:tcPr>
            <w:tcW w:w="26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1.5%</w:t>
            </w:r>
          </w:p>
        </w:tc>
      </w:tr>
      <w:tr>
        <w:trPr>
          <w:trHeight w:val="216"/>
        </w:trPr>
        <w:tc>
          <w:tcPr>
            <w:tcW w:w="20" w:type="dxa"/>
            <w:vAlign w:val="bottom"/>
          </w:tcPr>
          <w:p>
            <w:pPr>
              <w:spacing w:after="0"/>
              <w:rPr>
                <w:sz w:val="18"/>
                <w:szCs w:val="18"/>
                <w:color w:val="auto"/>
              </w:rPr>
            </w:pPr>
          </w:p>
        </w:tc>
        <w:tc>
          <w:tcPr>
            <w:tcW w:w="4520" w:type="dxa"/>
            <w:vAlign w:val="bottom"/>
          </w:tcPr>
          <w:p>
            <w:pPr>
              <w:spacing w:after="0"/>
              <w:rPr>
                <w:sz w:val="20"/>
                <w:szCs w:val="20"/>
                <w:color w:val="auto"/>
              </w:rPr>
            </w:pPr>
            <w:r>
              <w:rPr>
                <w:rFonts w:ascii="Arial" w:cs="Arial" w:eastAsia="Arial" w:hAnsi="Arial"/>
                <w:sz w:val="18"/>
                <w:szCs w:val="18"/>
                <w:color w:val="auto"/>
              </w:rPr>
              <w:t>Expected life of option</w:t>
            </w:r>
          </w:p>
        </w:tc>
        <w:tc>
          <w:tcPr>
            <w:tcW w:w="26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3,650</w:t>
            </w:r>
          </w:p>
        </w:tc>
        <w:tc>
          <w:tcPr>
            <w:tcW w:w="2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520" w:type="dxa"/>
            <w:vAlign w:val="bottom"/>
            <w:shd w:val="clear" w:color="auto" w:fill="CCEEFF"/>
          </w:tcPr>
          <w:p>
            <w:pPr>
              <w:spacing w:after="0"/>
              <w:rPr>
                <w:sz w:val="20"/>
                <w:szCs w:val="20"/>
                <w:color w:val="auto"/>
              </w:rPr>
            </w:pPr>
            <w:r>
              <w:rPr>
                <w:rFonts w:ascii="Arial" w:cs="Arial" w:eastAsia="Arial" w:hAnsi="Arial"/>
                <w:sz w:val="18"/>
                <w:szCs w:val="18"/>
                <w:color w:val="auto"/>
              </w:rPr>
              <w:t>Fair value at date of grant</w:t>
            </w:r>
          </w:p>
        </w:tc>
        <w:tc>
          <w:tcPr>
            <w:tcW w:w="2820" w:type="dxa"/>
            <w:vAlign w:val="bottom"/>
            <w:gridSpan w:val="2"/>
            <w:shd w:val="clear" w:color="auto" w:fill="CCEEFF"/>
          </w:tcPr>
          <w:p>
            <w:pPr>
              <w:ind w:left="2580"/>
              <w:spacing w:after="0"/>
              <w:rPr>
                <w:sz w:val="20"/>
                <w:szCs w:val="20"/>
                <w:color w:val="auto"/>
              </w:rPr>
            </w:pPr>
            <w:r>
              <w:rPr>
                <w:rFonts w:ascii="Arial" w:cs="Arial" w:eastAsia="Arial" w:hAnsi="Arial"/>
                <w:sz w:val="18"/>
                <w:szCs w:val="18"/>
                <w:color w:val="auto"/>
                <w:w w:val="99"/>
              </w:rPr>
              <w:t>A$</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0.052</w:t>
            </w:r>
          </w:p>
        </w:tc>
        <w:tc>
          <w:tcPr>
            <w:tcW w:w="200" w:type="dxa"/>
            <w:vAlign w:val="bottom"/>
            <w:shd w:val="clear" w:color="auto" w:fill="CCEEFF"/>
          </w:tcPr>
          <w:p>
            <w:pPr>
              <w:spacing w:after="0"/>
              <w:rPr>
                <w:sz w:val="18"/>
                <w:szCs w:val="18"/>
                <w:color w:val="auto"/>
              </w:rPr>
            </w:pPr>
          </w:p>
        </w:tc>
      </w:tr>
      <w:tr>
        <w:trPr>
          <w:trHeight w:val="230"/>
        </w:trPr>
        <w:tc>
          <w:tcPr>
            <w:tcW w:w="20" w:type="dxa"/>
            <w:vAlign w:val="bottom"/>
          </w:tcPr>
          <w:p>
            <w:pPr>
              <w:spacing w:after="0"/>
              <w:rPr>
                <w:sz w:val="20"/>
                <w:szCs w:val="20"/>
                <w:color w:val="auto"/>
              </w:rPr>
            </w:pPr>
          </w:p>
        </w:tc>
        <w:tc>
          <w:tcPr>
            <w:tcW w:w="4520" w:type="dxa"/>
            <w:vAlign w:val="bottom"/>
          </w:tcPr>
          <w:p>
            <w:pPr>
              <w:spacing w:after="0"/>
              <w:rPr>
                <w:sz w:val="20"/>
                <w:szCs w:val="20"/>
                <w:color w:val="auto"/>
              </w:rPr>
            </w:pPr>
            <w:r>
              <w:rPr>
                <w:rFonts w:ascii="Arial" w:cs="Arial" w:eastAsia="Arial" w:hAnsi="Arial"/>
                <w:sz w:val="18"/>
                <w:szCs w:val="18"/>
                <w:color w:val="auto"/>
              </w:rPr>
              <w:t>Option exercise price (A$)</w:t>
            </w:r>
          </w:p>
        </w:tc>
        <w:tc>
          <w:tcPr>
            <w:tcW w:w="2820" w:type="dxa"/>
            <w:vAlign w:val="bottom"/>
            <w:gridSpan w:val="2"/>
          </w:tcPr>
          <w:p>
            <w:pPr>
              <w:ind w:left="2580"/>
              <w:spacing w:after="0"/>
              <w:rPr>
                <w:sz w:val="20"/>
                <w:szCs w:val="20"/>
                <w:color w:val="auto"/>
              </w:rPr>
            </w:pPr>
            <w:r>
              <w:rPr>
                <w:rFonts w:ascii="Arial" w:cs="Arial" w:eastAsia="Arial" w:hAnsi="Arial"/>
                <w:sz w:val="18"/>
                <w:szCs w:val="18"/>
                <w:color w:val="auto"/>
                <w:w w:val="99"/>
              </w:rPr>
              <w:t>A$</w:t>
            </w:r>
          </w:p>
        </w:tc>
        <w:tc>
          <w:tcPr>
            <w:tcW w:w="820" w:type="dxa"/>
            <w:vAlign w:val="bottom"/>
          </w:tcPr>
          <w:p>
            <w:pPr>
              <w:jc w:val="right"/>
              <w:spacing w:after="0"/>
              <w:rPr>
                <w:sz w:val="20"/>
                <w:szCs w:val="20"/>
                <w:color w:val="auto"/>
              </w:rPr>
            </w:pPr>
            <w:r>
              <w:rPr>
                <w:rFonts w:ascii="Arial" w:cs="Arial" w:eastAsia="Arial" w:hAnsi="Arial"/>
                <w:sz w:val="18"/>
                <w:szCs w:val="18"/>
                <w:color w:val="auto"/>
              </w:rPr>
              <w:t>0.063</w:t>
            </w:r>
          </w:p>
        </w:tc>
        <w:tc>
          <w:tcPr>
            <w:tcW w:w="200" w:type="dxa"/>
            <w:vAlign w:val="bottom"/>
          </w:tcPr>
          <w:p>
            <w:pPr>
              <w:spacing w:after="0"/>
              <w:rPr>
                <w:sz w:val="20"/>
                <w:szCs w:val="20"/>
                <w:color w:val="auto"/>
              </w:rPr>
            </w:pPr>
          </w:p>
        </w:tc>
      </w:tr>
    </w:tbl>
    <w:p>
      <w:pPr>
        <w:spacing w:after="0" w:line="187" w:lineRule="exact"/>
        <w:rPr>
          <w:sz w:val="20"/>
          <w:szCs w:val="20"/>
          <w:color w:val="auto"/>
        </w:rPr>
      </w:pPr>
    </w:p>
    <w:p>
      <w:pPr>
        <w:ind w:left="200"/>
        <w:spacing w:after="0"/>
        <w:rPr>
          <w:sz w:val="20"/>
          <w:szCs w:val="20"/>
          <w:color w:val="auto"/>
        </w:rPr>
      </w:pPr>
      <w:r>
        <w:rPr>
          <w:rFonts w:ascii="Arial" w:cs="Arial" w:eastAsia="Arial" w:hAnsi="Arial"/>
          <w:sz w:val="18"/>
          <w:szCs w:val="18"/>
          <w:color w:val="auto"/>
        </w:rPr>
        <w:t>At year end, 4,000,000 options were unvested.</w:t>
      </w:r>
    </w:p>
    <w:p>
      <w:pPr>
        <w:spacing w:after="0" w:line="225" w:lineRule="exact"/>
        <w:rPr>
          <w:sz w:val="20"/>
          <w:szCs w:val="20"/>
          <w:color w:val="auto"/>
        </w:rPr>
      </w:pPr>
    </w:p>
    <w:p>
      <w:pPr>
        <w:ind w:left="200" w:firstLine="4"/>
        <w:spacing w:after="0" w:line="277" w:lineRule="auto"/>
        <w:tabs>
          <w:tab w:leader="none" w:pos="445" w:val="left"/>
        </w:tabs>
        <w:numPr>
          <w:ilvl w:val="0"/>
          <w:numId w:val="173"/>
        </w:numPr>
        <w:rPr>
          <w:rFonts w:ascii="Arial" w:cs="Arial" w:eastAsia="Arial" w:hAnsi="Arial"/>
          <w:sz w:val="18"/>
          <w:szCs w:val="18"/>
          <w:color w:val="auto"/>
        </w:rPr>
      </w:pPr>
      <w:r>
        <w:rPr>
          <w:rFonts w:ascii="Arial" w:cs="Arial" w:eastAsia="Arial" w:hAnsi="Arial"/>
          <w:sz w:val="18"/>
          <w:szCs w:val="18"/>
          <w:color w:val="auto"/>
        </w:rPr>
        <w:t>On January 3, 2018, 4,000,000 options were granted to employee at an exercise price of A$0.061 expiring on January 3, 2028. The following table lists the inputs to the models used for the options granted to employees each year:</w:t>
      </w:r>
    </w:p>
    <w:p>
      <w:pPr>
        <w:spacing w:after="0" w:line="189" w:lineRule="exact"/>
        <w:rPr>
          <w:sz w:val="20"/>
          <w:szCs w:val="20"/>
          <w:color w:val="auto"/>
        </w:rPr>
      </w:pPr>
    </w:p>
    <w:tbl>
      <w:tblPr>
        <w:tblLayout w:type="fixed"/>
        <w:tblInd w:w="152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2960" w:type="dxa"/>
            <w:vAlign w:val="bottom"/>
            <w:tcBorders>
              <w:bottom w:val="single" w:sz="8" w:color="CCEEFF"/>
            </w:tcBorders>
          </w:tcPr>
          <w:p>
            <w:pPr>
              <w:spacing w:after="0"/>
              <w:rPr>
                <w:sz w:val="14"/>
                <w:szCs w:val="14"/>
                <w:color w:val="auto"/>
              </w:rPr>
            </w:pPr>
          </w:p>
        </w:tc>
        <w:tc>
          <w:tcPr>
            <w:tcW w:w="4160" w:type="dxa"/>
            <w:vAlign w:val="bottom"/>
            <w:tcBorders>
              <w:bottom w:val="single" w:sz="8" w:color="CCEEFF"/>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right"/>
              <w:ind w:right="292"/>
              <w:spacing w:after="0"/>
              <w:rPr>
                <w:sz w:val="20"/>
                <w:szCs w:val="20"/>
                <w:color w:val="auto"/>
              </w:rPr>
            </w:pPr>
            <w:r>
              <w:rPr>
                <w:rFonts w:ascii="Arial" w:cs="Arial" w:eastAsia="Arial" w:hAnsi="Arial"/>
                <w:sz w:val="14"/>
                <w:szCs w:val="14"/>
                <w:b w:val="1"/>
                <w:bCs w:val="1"/>
                <w:color w:val="auto"/>
              </w:rPr>
              <w:t>2018</w:t>
            </w:r>
          </w:p>
        </w:tc>
        <w:tc>
          <w:tcPr>
            <w:tcW w:w="200" w:type="dxa"/>
            <w:vAlign w:val="bottom"/>
            <w:tcBorders>
              <w:bottom w:val="single" w:sz="8" w:color="CCEEFF"/>
            </w:tcBorders>
          </w:tcPr>
          <w:p>
            <w:pPr>
              <w:spacing w:after="0"/>
              <w:rPr>
                <w:sz w:val="14"/>
                <w:szCs w:val="14"/>
                <w:color w:val="auto"/>
              </w:rPr>
            </w:pPr>
          </w:p>
        </w:tc>
      </w:tr>
      <w:tr>
        <w:trPr>
          <w:trHeight w:val="210"/>
        </w:trPr>
        <w:tc>
          <w:tcPr>
            <w:tcW w:w="20" w:type="dxa"/>
            <w:vAlign w:val="bottom"/>
          </w:tcPr>
          <w:p>
            <w:pPr>
              <w:spacing w:after="0"/>
              <w:rPr>
                <w:sz w:val="18"/>
                <w:szCs w:val="18"/>
                <w:color w:val="auto"/>
              </w:rPr>
            </w:pPr>
          </w:p>
        </w:tc>
        <w:tc>
          <w:tcPr>
            <w:tcW w:w="2960" w:type="dxa"/>
            <w:vAlign w:val="bottom"/>
            <w:shd w:val="clear" w:color="auto" w:fill="CCEEFF"/>
          </w:tcPr>
          <w:p>
            <w:pPr>
              <w:spacing w:after="0"/>
              <w:rPr>
                <w:sz w:val="20"/>
                <w:szCs w:val="20"/>
                <w:color w:val="auto"/>
              </w:rPr>
            </w:pPr>
            <w:r>
              <w:rPr>
                <w:rFonts w:ascii="Arial" w:cs="Arial" w:eastAsia="Arial" w:hAnsi="Arial"/>
                <w:sz w:val="18"/>
                <w:szCs w:val="18"/>
                <w:color w:val="auto"/>
              </w:rPr>
              <w:t>Grant date</w:t>
            </w:r>
          </w:p>
        </w:tc>
        <w:tc>
          <w:tcPr>
            <w:tcW w:w="4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01/03/2018</w:t>
            </w:r>
          </w:p>
        </w:tc>
        <w:tc>
          <w:tcPr>
            <w:tcW w:w="2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2960" w:type="dxa"/>
            <w:vAlign w:val="bottom"/>
          </w:tcPr>
          <w:p>
            <w:pPr>
              <w:spacing w:after="0"/>
              <w:rPr>
                <w:sz w:val="20"/>
                <w:szCs w:val="20"/>
                <w:color w:val="auto"/>
              </w:rPr>
            </w:pPr>
            <w:r>
              <w:rPr>
                <w:rFonts w:ascii="Arial" w:cs="Arial" w:eastAsia="Arial" w:hAnsi="Arial"/>
                <w:sz w:val="18"/>
                <w:szCs w:val="18"/>
                <w:color w:val="auto"/>
              </w:rPr>
              <w:t>Share price at date of grant</w:t>
            </w:r>
          </w:p>
        </w:tc>
        <w:tc>
          <w:tcPr>
            <w:tcW w:w="4380" w:type="dxa"/>
            <w:vAlign w:val="bottom"/>
            <w:gridSpan w:val="2"/>
          </w:tcPr>
          <w:p>
            <w:pPr>
              <w:ind w:left="4140"/>
              <w:spacing w:after="0"/>
              <w:rPr>
                <w:sz w:val="20"/>
                <w:szCs w:val="20"/>
                <w:color w:val="auto"/>
              </w:rPr>
            </w:pPr>
            <w:r>
              <w:rPr>
                <w:rFonts w:ascii="Arial" w:cs="Arial" w:eastAsia="Arial" w:hAnsi="Arial"/>
                <w:sz w:val="18"/>
                <w:szCs w:val="18"/>
                <w:color w:val="auto"/>
                <w:w w:val="99"/>
              </w:rPr>
              <w:t>A$</w:t>
            </w:r>
          </w:p>
        </w:tc>
        <w:tc>
          <w:tcPr>
            <w:tcW w:w="820" w:type="dxa"/>
            <w:vAlign w:val="bottom"/>
          </w:tcPr>
          <w:p>
            <w:pPr>
              <w:jc w:val="right"/>
              <w:spacing w:after="0"/>
              <w:rPr>
                <w:sz w:val="20"/>
                <w:szCs w:val="20"/>
                <w:color w:val="auto"/>
              </w:rPr>
            </w:pPr>
            <w:r>
              <w:rPr>
                <w:rFonts w:ascii="Arial" w:cs="Arial" w:eastAsia="Arial" w:hAnsi="Arial"/>
                <w:sz w:val="18"/>
                <w:szCs w:val="18"/>
                <w:color w:val="auto"/>
              </w:rPr>
              <w:t>0.061</w:t>
            </w:r>
          </w:p>
        </w:tc>
        <w:tc>
          <w:tcPr>
            <w:tcW w:w="2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2960" w:type="dxa"/>
            <w:vAlign w:val="bottom"/>
            <w:shd w:val="clear" w:color="auto" w:fill="CCEEFF"/>
          </w:tcPr>
          <w:p>
            <w:pPr>
              <w:spacing w:after="0"/>
              <w:rPr>
                <w:sz w:val="20"/>
                <w:szCs w:val="20"/>
                <w:color w:val="auto"/>
              </w:rPr>
            </w:pPr>
            <w:r>
              <w:rPr>
                <w:rFonts w:ascii="Arial" w:cs="Arial" w:eastAsia="Arial" w:hAnsi="Arial"/>
                <w:sz w:val="18"/>
                <w:szCs w:val="18"/>
                <w:color w:val="auto"/>
              </w:rPr>
              <w:t>Dividend yield (%)</w:t>
            </w:r>
          </w:p>
        </w:tc>
        <w:tc>
          <w:tcPr>
            <w:tcW w:w="4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0%</w:t>
            </w:r>
          </w:p>
        </w:tc>
      </w:tr>
      <w:tr>
        <w:trPr>
          <w:trHeight w:val="216"/>
        </w:trPr>
        <w:tc>
          <w:tcPr>
            <w:tcW w:w="20" w:type="dxa"/>
            <w:vAlign w:val="bottom"/>
          </w:tcPr>
          <w:p>
            <w:pPr>
              <w:spacing w:after="0"/>
              <w:rPr>
                <w:sz w:val="18"/>
                <w:szCs w:val="18"/>
                <w:color w:val="auto"/>
              </w:rPr>
            </w:pPr>
          </w:p>
        </w:tc>
        <w:tc>
          <w:tcPr>
            <w:tcW w:w="2960" w:type="dxa"/>
            <w:vAlign w:val="bottom"/>
          </w:tcPr>
          <w:p>
            <w:pPr>
              <w:spacing w:after="0"/>
              <w:rPr>
                <w:sz w:val="20"/>
                <w:szCs w:val="20"/>
                <w:color w:val="auto"/>
              </w:rPr>
            </w:pPr>
            <w:r>
              <w:rPr>
                <w:rFonts w:ascii="Arial" w:cs="Arial" w:eastAsia="Arial" w:hAnsi="Arial"/>
                <w:sz w:val="18"/>
                <w:szCs w:val="18"/>
                <w:color w:val="auto"/>
              </w:rPr>
              <w:t>Expected volatility (%)</w:t>
            </w:r>
          </w:p>
        </w:tc>
        <w:tc>
          <w:tcPr>
            <w:tcW w:w="4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gridSpan w:val="2"/>
          </w:tcPr>
          <w:p>
            <w:pPr>
              <w:jc w:val="right"/>
              <w:ind w:right="60"/>
              <w:spacing w:after="0"/>
              <w:rPr>
                <w:sz w:val="20"/>
                <w:szCs w:val="20"/>
                <w:color w:val="auto"/>
              </w:rPr>
            </w:pPr>
            <w:r>
              <w:rPr>
                <w:rFonts w:ascii="Arial" w:cs="Arial" w:eastAsia="Arial" w:hAnsi="Arial"/>
                <w:sz w:val="18"/>
                <w:szCs w:val="18"/>
                <w:color w:val="auto"/>
              </w:rPr>
              <w:t>90%</w:t>
            </w:r>
          </w:p>
        </w:tc>
      </w:tr>
      <w:tr>
        <w:trPr>
          <w:trHeight w:val="216"/>
        </w:trPr>
        <w:tc>
          <w:tcPr>
            <w:tcW w:w="20" w:type="dxa"/>
            <w:vAlign w:val="bottom"/>
          </w:tcPr>
          <w:p>
            <w:pPr>
              <w:spacing w:after="0"/>
              <w:rPr>
                <w:sz w:val="18"/>
                <w:szCs w:val="18"/>
                <w:color w:val="auto"/>
              </w:rPr>
            </w:pPr>
          </w:p>
        </w:tc>
        <w:tc>
          <w:tcPr>
            <w:tcW w:w="2960" w:type="dxa"/>
            <w:vAlign w:val="bottom"/>
            <w:shd w:val="clear" w:color="auto" w:fill="CCEEFF"/>
          </w:tcPr>
          <w:p>
            <w:pPr>
              <w:spacing w:after="0"/>
              <w:rPr>
                <w:sz w:val="20"/>
                <w:szCs w:val="20"/>
                <w:color w:val="auto"/>
              </w:rPr>
            </w:pPr>
            <w:r>
              <w:rPr>
                <w:rFonts w:ascii="Arial" w:cs="Arial" w:eastAsia="Arial" w:hAnsi="Arial"/>
                <w:sz w:val="18"/>
                <w:szCs w:val="18"/>
                <w:color w:val="auto"/>
              </w:rPr>
              <w:t>Risk-free interest rate (%)</w:t>
            </w:r>
          </w:p>
        </w:tc>
        <w:tc>
          <w:tcPr>
            <w:tcW w:w="4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1.5%</w:t>
            </w:r>
          </w:p>
        </w:tc>
      </w:tr>
      <w:tr>
        <w:trPr>
          <w:trHeight w:val="216"/>
        </w:trPr>
        <w:tc>
          <w:tcPr>
            <w:tcW w:w="20" w:type="dxa"/>
            <w:vAlign w:val="bottom"/>
          </w:tcPr>
          <w:p>
            <w:pPr>
              <w:spacing w:after="0"/>
              <w:rPr>
                <w:sz w:val="18"/>
                <w:szCs w:val="18"/>
                <w:color w:val="auto"/>
              </w:rPr>
            </w:pPr>
          </w:p>
        </w:tc>
        <w:tc>
          <w:tcPr>
            <w:tcW w:w="2960" w:type="dxa"/>
            <w:vAlign w:val="bottom"/>
          </w:tcPr>
          <w:p>
            <w:pPr>
              <w:spacing w:after="0"/>
              <w:rPr>
                <w:sz w:val="20"/>
                <w:szCs w:val="20"/>
                <w:color w:val="auto"/>
              </w:rPr>
            </w:pPr>
            <w:r>
              <w:rPr>
                <w:rFonts w:ascii="Arial" w:cs="Arial" w:eastAsia="Arial" w:hAnsi="Arial"/>
                <w:sz w:val="18"/>
                <w:szCs w:val="18"/>
                <w:color w:val="auto"/>
              </w:rPr>
              <w:t>Expected life of option</w:t>
            </w:r>
          </w:p>
        </w:tc>
        <w:tc>
          <w:tcPr>
            <w:tcW w:w="4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3,650</w:t>
            </w:r>
          </w:p>
        </w:tc>
        <w:tc>
          <w:tcPr>
            <w:tcW w:w="2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2960" w:type="dxa"/>
            <w:vAlign w:val="bottom"/>
            <w:shd w:val="clear" w:color="auto" w:fill="CCEEFF"/>
          </w:tcPr>
          <w:p>
            <w:pPr>
              <w:spacing w:after="0"/>
              <w:rPr>
                <w:sz w:val="20"/>
                <w:szCs w:val="20"/>
                <w:color w:val="auto"/>
              </w:rPr>
            </w:pPr>
            <w:r>
              <w:rPr>
                <w:rFonts w:ascii="Arial" w:cs="Arial" w:eastAsia="Arial" w:hAnsi="Arial"/>
                <w:sz w:val="18"/>
                <w:szCs w:val="18"/>
                <w:color w:val="auto"/>
              </w:rPr>
              <w:t>Fair value at date of grant</w:t>
            </w:r>
          </w:p>
        </w:tc>
        <w:tc>
          <w:tcPr>
            <w:tcW w:w="4380" w:type="dxa"/>
            <w:vAlign w:val="bottom"/>
            <w:gridSpan w:val="2"/>
            <w:shd w:val="clear" w:color="auto" w:fill="CCEEFF"/>
          </w:tcPr>
          <w:p>
            <w:pPr>
              <w:ind w:left="4140"/>
              <w:spacing w:after="0"/>
              <w:rPr>
                <w:sz w:val="20"/>
                <w:szCs w:val="20"/>
                <w:color w:val="auto"/>
              </w:rPr>
            </w:pPr>
            <w:r>
              <w:rPr>
                <w:rFonts w:ascii="Arial" w:cs="Arial" w:eastAsia="Arial" w:hAnsi="Arial"/>
                <w:sz w:val="18"/>
                <w:szCs w:val="18"/>
                <w:color w:val="auto"/>
                <w:w w:val="99"/>
              </w:rPr>
              <w:t>A$</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0.049</w:t>
            </w:r>
          </w:p>
        </w:tc>
        <w:tc>
          <w:tcPr>
            <w:tcW w:w="200" w:type="dxa"/>
            <w:vAlign w:val="bottom"/>
            <w:shd w:val="clear" w:color="auto" w:fill="CCEEFF"/>
          </w:tcPr>
          <w:p>
            <w:pPr>
              <w:spacing w:after="0"/>
              <w:rPr>
                <w:sz w:val="18"/>
                <w:szCs w:val="18"/>
                <w:color w:val="auto"/>
              </w:rPr>
            </w:pPr>
          </w:p>
        </w:tc>
      </w:tr>
      <w:tr>
        <w:trPr>
          <w:trHeight w:val="230"/>
        </w:trPr>
        <w:tc>
          <w:tcPr>
            <w:tcW w:w="20" w:type="dxa"/>
            <w:vAlign w:val="bottom"/>
          </w:tcPr>
          <w:p>
            <w:pPr>
              <w:spacing w:after="0"/>
              <w:rPr>
                <w:sz w:val="20"/>
                <w:szCs w:val="20"/>
                <w:color w:val="auto"/>
              </w:rPr>
            </w:pPr>
          </w:p>
        </w:tc>
        <w:tc>
          <w:tcPr>
            <w:tcW w:w="2960" w:type="dxa"/>
            <w:vAlign w:val="bottom"/>
          </w:tcPr>
          <w:p>
            <w:pPr>
              <w:spacing w:after="0"/>
              <w:rPr>
                <w:sz w:val="20"/>
                <w:szCs w:val="20"/>
                <w:color w:val="auto"/>
              </w:rPr>
            </w:pPr>
            <w:r>
              <w:rPr>
                <w:rFonts w:ascii="Arial" w:cs="Arial" w:eastAsia="Arial" w:hAnsi="Arial"/>
                <w:sz w:val="18"/>
                <w:szCs w:val="18"/>
                <w:color w:val="auto"/>
              </w:rPr>
              <w:t>Option exercise price (A$)</w:t>
            </w:r>
          </w:p>
        </w:tc>
        <w:tc>
          <w:tcPr>
            <w:tcW w:w="4380" w:type="dxa"/>
            <w:vAlign w:val="bottom"/>
            <w:gridSpan w:val="2"/>
          </w:tcPr>
          <w:p>
            <w:pPr>
              <w:ind w:left="4140"/>
              <w:spacing w:after="0"/>
              <w:rPr>
                <w:sz w:val="20"/>
                <w:szCs w:val="20"/>
                <w:color w:val="auto"/>
              </w:rPr>
            </w:pPr>
            <w:r>
              <w:rPr>
                <w:rFonts w:ascii="Arial" w:cs="Arial" w:eastAsia="Arial" w:hAnsi="Arial"/>
                <w:sz w:val="18"/>
                <w:szCs w:val="18"/>
                <w:color w:val="auto"/>
                <w:w w:val="99"/>
              </w:rPr>
              <w:t>A$</w:t>
            </w:r>
          </w:p>
        </w:tc>
        <w:tc>
          <w:tcPr>
            <w:tcW w:w="820" w:type="dxa"/>
            <w:vAlign w:val="bottom"/>
          </w:tcPr>
          <w:p>
            <w:pPr>
              <w:jc w:val="right"/>
              <w:spacing w:after="0"/>
              <w:rPr>
                <w:sz w:val="20"/>
                <w:szCs w:val="20"/>
                <w:color w:val="auto"/>
              </w:rPr>
            </w:pPr>
            <w:r>
              <w:rPr>
                <w:rFonts w:ascii="Arial" w:cs="Arial" w:eastAsia="Arial" w:hAnsi="Arial"/>
                <w:sz w:val="18"/>
                <w:szCs w:val="18"/>
                <w:color w:val="auto"/>
              </w:rPr>
              <w:t>0.061</w:t>
            </w:r>
          </w:p>
        </w:tc>
        <w:tc>
          <w:tcPr>
            <w:tcW w:w="200" w:type="dxa"/>
            <w:vAlign w:val="bottom"/>
          </w:tcPr>
          <w:p>
            <w:pPr>
              <w:spacing w:after="0"/>
              <w:rPr>
                <w:sz w:val="20"/>
                <w:szCs w:val="20"/>
                <w:color w:val="auto"/>
              </w:rPr>
            </w:pPr>
          </w:p>
        </w:tc>
      </w:tr>
      <w:tr>
        <w:trPr>
          <w:trHeight w:val="350"/>
        </w:trPr>
        <w:tc>
          <w:tcPr>
            <w:tcW w:w="20" w:type="dxa"/>
            <w:vAlign w:val="bottom"/>
          </w:tcPr>
          <w:p>
            <w:pPr>
              <w:spacing w:after="0"/>
              <w:rPr>
                <w:sz w:val="24"/>
                <w:szCs w:val="24"/>
                <w:color w:val="auto"/>
              </w:rPr>
            </w:pPr>
          </w:p>
        </w:tc>
        <w:tc>
          <w:tcPr>
            <w:tcW w:w="2960" w:type="dxa"/>
            <w:vAlign w:val="bottom"/>
          </w:tcPr>
          <w:p>
            <w:pPr>
              <w:spacing w:after="0"/>
              <w:rPr>
                <w:sz w:val="24"/>
                <w:szCs w:val="24"/>
                <w:color w:val="auto"/>
              </w:rPr>
            </w:pPr>
          </w:p>
        </w:tc>
        <w:tc>
          <w:tcPr>
            <w:tcW w:w="4380" w:type="dxa"/>
            <w:vAlign w:val="bottom"/>
            <w:gridSpan w:val="2"/>
          </w:tcPr>
          <w:p>
            <w:pPr>
              <w:ind w:left="1040"/>
              <w:spacing w:after="0"/>
              <w:rPr>
                <w:sz w:val="20"/>
                <w:szCs w:val="20"/>
                <w:color w:val="auto"/>
              </w:rPr>
            </w:pPr>
            <w:r>
              <w:rPr>
                <w:rFonts w:ascii="Arial" w:cs="Arial" w:eastAsia="Arial" w:hAnsi="Arial"/>
                <w:sz w:val="18"/>
                <w:szCs w:val="18"/>
                <w:color w:val="auto"/>
              </w:rPr>
              <w:t>F-39</w:t>
            </w:r>
          </w:p>
        </w:tc>
        <w:tc>
          <w:tcPr>
            <w:tcW w:w="820" w:type="dxa"/>
            <w:vAlign w:val="bottom"/>
          </w:tcPr>
          <w:p>
            <w:pPr>
              <w:spacing w:after="0"/>
              <w:rPr>
                <w:sz w:val="24"/>
                <w:szCs w:val="24"/>
                <w:color w:val="auto"/>
              </w:rPr>
            </w:pPr>
          </w:p>
        </w:tc>
        <w:tc>
          <w:tcPr>
            <w:tcW w:w="200" w:type="dxa"/>
            <w:vAlign w:val="bottom"/>
          </w:tcPr>
          <w:p>
            <w:pPr>
              <w:spacing w:after="0"/>
              <w:rPr>
                <w:sz w:val="24"/>
                <w:szCs w:val="24"/>
                <w:color w:val="auto"/>
              </w:rPr>
            </w:pPr>
          </w:p>
        </w:tc>
      </w:tr>
    </w:tbl>
    <w:p>
      <w:pPr>
        <w:sectPr>
          <w:pgSz w:w="11900" w:h="16838" w:orient="portrait"/>
          <w:cols w:equalWidth="0" w:num="1">
            <w:col w:w="11020"/>
          </w:cols>
          <w:pgMar w:left="240" w:top="459" w:right="639" w:bottom="1440" w:gutter="0" w:footer="0" w:header="0"/>
        </w:sectPr>
      </w:pPr>
    </w:p>
    <w:bookmarkStart w:id="138" w:name="page139"/>
    <w:bookmarkEnd w:id="13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8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AVITA MEDICAL LIMITED</w:t>
      </w:r>
    </w:p>
    <w:p>
      <w:pPr>
        <w:spacing w:after="0" w:line="27"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9"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(IN AUSTRALIAN DOLLARS)</w:t>
      </w:r>
    </w:p>
    <w:p>
      <w:pPr>
        <w:spacing w:after="0" w:line="234" w:lineRule="exact"/>
        <w:rPr>
          <w:sz w:val="20"/>
          <w:szCs w:val="20"/>
          <w:color w:val="auto"/>
        </w:rPr>
      </w:pPr>
    </w:p>
    <w:p>
      <w:pPr>
        <w:ind w:left="640" w:hanging="436"/>
        <w:spacing w:after="0"/>
        <w:tabs>
          <w:tab w:leader="none" w:pos="640" w:val="left"/>
        </w:tabs>
        <w:numPr>
          <w:ilvl w:val="0"/>
          <w:numId w:val="174"/>
        </w:numPr>
        <w:rPr>
          <w:rFonts w:ascii="Arial" w:cs="Arial" w:eastAsia="Arial" w:hAnsi="Arial"/>
          <w:sz w:val="18"/>
          <w:szCs w:val="18"/>
          <w:b w:val="1"/>
          <w:bCs w:val="1"/>
          <w:color w:val="auto"/>
        </w:rPr>
      </w:pPr>
      <w:r>
        <w:rPr>
          <w:rFonts w:ascii="Arial" w:cs="Arial" w:eastAsia="Arial" w:hAnsi="Arial"/>
          <w:sz w:val="18"/>
          <w:szCs w:val="18"/>
          <w:b w:val="1"/>
          <w:bCs w:val="1"/>
          <w:color w:val="auto"/>
        </w:rPr>
        <w:t>SHARE-BASED PAYMENT PLANS (CONTINUED)</w:t>
      </w:r>
    </w:p>
    <w:p>
      <w:pPr>
        <w:spacing w:after="0" w:line="131" w:lineRule="exact"/>
        <w:rPr>
          <w:sz w:val="20"/>
          <w:szCs w:val="20"/>
          <w:color w:val="auto"/>
        </w:rPr>
      </w:pPr>
    </w:p>
    <w:p>
      <w:pPr>
        <w:ind w:left="640" w:hanging="436"/>
        <w:spacing w:after="0"/>
        <w:tabs>
          <w:tab w:leader="none" w:pos="640" w:val="left"/>
        </w:tabs>
        <w:numPr>
          <w:ilvl w:val="0"/>
          <w:numId w:val="175"/>
        </w:numPr>
        <w:rPr>
          <w:rFonts w:ascii="Arial" w:cs="Arial" w:eastAsia="Arial" w:hAnsi="Arial"/>
          <w:sz w:val="18"/>
          <w:szCs w:val="18"/>
          <w:b w:val="1"/>
          <w:bCs w:val="1"/>
          <w:color w:val="auto"/>
        </w:rPr>
      </w:pPr>
      <w:r>
        <w:rPr>
          <w:rFonts w:ascii="Arial" w:cs="Arial" w:eastAsia="Arial" w:hAnsi="Arial"/>
          <w:sz w:val="18"/>
          <w:szCs w:val="18"/>
          <w:b w:val="1"/>
          <w:bCs w:val="1"/>
          <w:color w:val="auto"/>
        </w:rPr>
        <w:t>Option pricing model: ESOP and Investor (continued)</w:t>
      </w:r>
    </w:p>
    <w:p>
      <w:pPr>
        <w:spacing w:after="0" w:line="135" w:lineRule="exact"/>
        <w:rPr>
          <w:sz w:val="20"/>
          <w:szCs w:val="20"/>
          <w:color w:val="auto"/>
        </w:rPr>
      </w:pPr>
    </w:p>
    <w:p>
      <w:pPr>
        <w:ind w:left="200"/>
        <w:spacing w:after="0"/>
        <w:rPr>
          <w:sz w:val="20"/>
          <w:szCs w:val="20"/>
          <w:color w:val="auto"/>
        </w:rPr>
      </w:pPr>
      <w:r>
        <w:rPr>
          <w:rFonts w:ascii="Arial" w:cs="Arial" w:eastAsia="Arial" w:hAnsi="Arial"/>
          <w:sz w:val="18"/>
          <w:szCs w:val="18"/>
          <w:color w:val="auto"/>
        </w:rPr>
        <w:t>At year end, 4,000,000 options were unvested.</w:t>
      </w:r>
    </w:p>
    <w:p>
      <w:pPr>
        <w:spacing w:after="0" w:line="370" w:lineRule="exact"/>
        <w:rPr>
          <w:sz w:val="20"/>
          <w:szCs w:val="20"/>
          <w:color w:val="auto"/>
        </w:rPr>
      </w:pPr>
    </w:p>
    <w:p>
      <w:pPr>
        <w:ind w:left="640" w:hanging="436"/>
        <w:spacing w:after="0"/>
        <w:tabs>
          <w:tab w:leader="none" w:pos="640" w:val="left"/>
        </w:tabs>
        <w:numPr>
          <w:ilvl w:val="0"/>
          <w:numId w:val="176"/>
        </w:numPr>
        <w:rPr>
          <w:rFonts w:ascii="Arial" w:cs="Arial" w:eastAsia="Arial" w:hAnsi="Arial"/>
          <w:sz w:val="18"/>
          <w:szCs w:val="18"/>
          <w:b w:val="1"/>
          <w:bCs w:val="1"/>
          <w:color w:val="auto"/>
        </w:rPr>
      </w:pPr>
      <w:r>
        <w:rPr>
          <w:rFonts w:ascii="Arial" w:cs="Arial" w:eastAsia="Arial" w:hAnsi="Arial"/>
          <w:sz w:val="18"/>
          <w:szCs w:val="18"/>
          <w:b w:val="1"/>
          <w:bCs w:val="1"/>
          <w:color w:val="auto"/>
        </w:rPr>
        <w:t>Long-term incentive rights</w:t>
      </w:r>
    </w:p>
    <w:p>
      <w:pPr>
        <w:spacing w:after="0" w:line="121" w:lineRule="exact"/>
        <w:rPr>
          <w:sz w:val="20"/>
          <w:szCs w:val="20"/>
          <w:color w:val="auto"/>
        </w:rPr>
      </w:pPr>
    </w:p>
    <w:p>
      <w:pPr>
        <w:ind w:left="200"/>
        <w:spacing w:after="0"/>
        <w:rPr>
          <w:sz w:val="20"/>
          <w:szCs w:val="20"/>
          <w:color w:val="auto"/>
        </w:rPr>
      </w:pPr>
      <w:r>
        <w:rPr>
          <w:rFonts w:ascii="Arial" w:cs="Arial" w:eastAsia="Arial" w:hAnsi="Arial"/>
          <w:sz w:val="18"/>
          <w:szCs w:val="18"/>
          <w:color w:val="auto"/>
        </w:rPr>
        <w:t>On November 30, 2017, 50,000,000 LTI’s were issued to Dr. Michael Perry based on the following milestones:</w:t>
      </w:r>
    </w:p>
    <w:p>
      <w:pPr>
        <w:spacing w:after="0" w:line="131" w:lineRule="exact"/>
        <w:rPr>
          <w:sz w:val="20"/>
          <w:szCs w:val="20"/>
          <w:color w:val="auto"/>
        </w:rPr>
      </w:pPr>
    </w:p>
    <w:p>
      <w:pPr>
        <w:ind w:left="1180" w:hanging="544"/>
        <w:spacing w:after="0"/>
        <w:tabs>
          <w:tab w:leader="none" w:pos="1180" w:val="left"/>
        </w:tabs>
        <w:numPr>
          <w:ilvl w:val="0"/>
          <w:numId w:val="177"/>
        </w:numPr>
        <w:rPr>
          <w:rFonts w:ascii="Arial" w:cs="Arial" w:eastAsia="Arial" w:hAnsi="Arial"/>
          <w:sz w:val="18"/>
          <w:szCs w:val="18"/>
          <w:color w:val="auto"/>
        </w:rPr>
      </w:pPr>
      <w:r>
        <w:rPr>
          <w:rFonts w:ascii="Arial" w:cs="Arial" w:eastAsia="Arial" w:hAnsi="Arial"/>
          <w:sz w:val="18"/>
          <w:szCs w:val="18"/>
          <w:color w:val="auto"/>
        </w:rPr>
        <w:t>Tenure – a total of 16,666,666 LTIs issued but to vest over the three-year period commencing July 1, 2017;</w:t>
      </w:r>
    </w:p>
    <w:p>
      <w:pPr>
        <w:spacing w:after="0" w:line="130" w:lineRule="exact"/>
        <w:rPr>
          <w:rFonts w:ascii="Arial" w:cs="Arial" w:eastAsia="Arial" w:hAnsi="Arial"/>
          <w:sz w:val="18"/>
          <w:szCs w:val="18"/>
          <w:color w:val="auto"/>
        </w:rPr>
      </w:pPr>
    </w:p>
    <w:p>
      <w:pPr>
        <w:ind w:left="1180" w:right="60" w:hanging="544"/>
        <w:spacing w:after="0" w:line="264" w:lineRule="auto"/>
        <w:tabs>
          <w:tab w:leader="none" w:pos="1180" w:val="left"/>
        </w:tabs>
        <w:numPr>
          <w:ilvl w:val="0"/>
          <w:numId w:val="177"/>
        </w:numPr>
        <w:rPr>
          <w:rFonts w:ascii="Arial" w:cs="Arial" w:eastAsia="Arial" w:hAnsi="Arial"/>
          <w:sz w:val="18"/>
          <w:szCs w:val="18"/>
          <w:color w:val="auto"/>
        </w:rPr>
      </w:pPr>
      <w:r>
        <w:rPr>
          <w:rFonts w:ascii="Arial" w:cs="Arial" w:eastAsia="Arial" w:hAnsi="Arial"/>
          <w:sz w:val="18"/>
          <w:szCs w:val="18"/>
          <w:color w:val="auto"/>
        </w:rPr>
        <w:t>Company Share Price – a total of 16,666,666 LTIs issued but to vest in three equal tranches subject to the Volume Weighted Average Price (VWAP) of Company share price (as at close of trade on the ASX on relevant date) achieving multiples of 2x, 3x and 4x the Company’s share price at the time of shareholder approval; and</w:t>
      </w:r>
    </w:p>
    <w:p>
      <w:pPr>
        <w:spacing w:after="0" w:line="86" w:lineRule="exact"/>
        <w:rPr>
          <w:rFonts w:ascii="Arial" w:cs="Arial" w:eastAsia="Arial" w:hAnsi="Arial"/>
          <w:sz w:val="18"/>
          <w:szCs w:val="18"/>
          <w:color w:val="auto"/>
        </w:rPr>
      </w:pPr>
    </w:p>
    <w:p>
      <w:pPr>
        <w:ind w:left="1180" w:hanging="544"/>
        <w:spacing w:after="0" w:line="277" w:lineRule="auto"/>
        <w:tabs>
          <w:tab w:leader="none" w:pos="1180" w:val="left"/>
        </w:tabs>
        <w:numPr>
          <w:ilvl w:val="0"/>
          <w:numId w:val="177"/>
        </w:numPr>
        <w:rPr>
          <w:rFonts w:ascii="Arial" w:cs="Arial" w:eastAsia="Arial" w:hAnsi="Arial"/>
          <w:sz w:val="18"/>
          <w:szCs w:val="18"/>
          <w:color w:val="auto"/>
        </w:rPr>
      </w:pPr>
      <w:r>
        <w:rPr>
          <w:rFonts w:ascii="Arial" w:cs="Arial" w:eastAsia="Arial" w:hAnsi="Arial"/>
          <w:sz w:val="18"/>
          <w:szCs w:val="18"/>
          <w:color w:val="auto"/>
        </w:rPr>
        <w:t>Milestone performance – a total of 16,666,668 LTIs issued, but to vest in two equal tranches with one tranche to vest upon the achievement of the following milestones:</w:t>
      </w:r>
    </w:p>
    <w:p>
      <w:pPr>
        <w:spacing w:after="0" w:line="75" w:lineRule="exact"/>
        <w:rPr>
          <w:rFonts w:ascii="Arial" w:cs="Arial" w:eastAsia="Arial" w:hAnsi="Arial"/>
          <w:sz w:val="18"/>
          <w:szCs w:val="18"/>
          <w:color w:val="auto"/>
        </w:rPr>
      </w:pPr>
    </w:p>
    <w:p>
      <w:pPr>
        <w:ind w:left="1620" w:hanging="430"/>
        <w:spacing w:after="0"/>
        <w:tabs>
          <w:tab w:leader="none" w:pos="1620" w:val="left"/>
        </w:tabs>
        <w:numPr>
          <w:ilvl w:val="1"/>
          <w:numId w:val="177"/>
        </w:numPr>
        <w:rPr>
          <w:rFonts w:ascii="Arial" w:cs="Arial" w:eastAsia="Arial" w:hAnsi="Arial"/>
          <w:sz w:val="18"/>
          <w:szCs w:val="18"/>
          <w:color w:val="auto"/>
        </w:rPr>
      </w:pPr>
      <w:r>
        <w:rPr>
          <w:rFonts w:ascii="Arial" w:cs="Arial" w:eastAsia="Arial" w:hAnsi="Arial"/>
          <w:sz w:val="18"/>
          <w:szCs w:val="18"/>
          <w:color w:val="auto"/>
        </w:rPr>
        <w:t>FDA PMA approval of RECELL for burns</w:t>
      </w:r>
    </w:p>
    <w:p>
      <w:pPr>
        <w:spacing w:after="0" w:line="130" w:lineRule="exact"/>
        <w:rPr>
          <w:rFonts w:ascii="Arial" w:cs="Arial" w:eastAsia="Arial" w:hAnsi="Arial"/>
          <w:sz w:val="18"/>
          <w:szCs w:val="18"/>
          <w:color w:val="auto"/>
        </w:rPr>
      </w:pPr>
    </w:p>
    <w:p>
      <w:pPr>
        <w:ind w:left="1620" w:hanging="430"/>
        <w:spacing w:after="0"/>
        <w:tabs>
          <w:tab w:leader="none" w:pos="1620" w:val="left"/>
        </w:tabs>
        <w:numPr>
          <w:ilvl w:val="1"/>
          <w:numId w:val="177"/>
        </w:numPr>
        <w:rPr>
          <w:rFonts w:ascii="Arial" w:cs="Arial" w:eastAsia="Arial" w:hAnsi="Arial"/>
          <w:sz w:val="18"/>
          <w:szCs w:val="18"/>
          <w:color w:val="auto"/>
        </w:rPr>
      </w:pPr>
      <w:r>
        <w:rPr>
          <w:rFonts w:ascii="Arial" w:cs="Arial" w:eastAsia="Arial" w:hAnsi="Arial"/>
          <w:sz w:val="18"/>
          <w:szCs w:val="18"/>
          <w:color w:val="auto"/>
        </w:rPr>
        <w:t>Initial BARDA procurement under CLIN2 of the BARDA Contract</w:t>
      </w:r>
    </w:p>
    <w:p>
      <w:pPr>
        <w:spacing w:after="0" w:line="244" w:lineRule="exact"/>
        <w:rPr>
          <w:sz w:val="20"/>
          <w:szCs w:val="20"/>
          <w:color w:val="auto"/>
        </w:rPr>
      </w:pPr>
    </w:p>
    <w:tbl>
      <w:tblPr>
        <w:tblLayout w:type="fixed"/>
        <w:tblInd w:w="64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24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360" w:type="dxa"/>
            <w:vAlign w:val="bottom"/>
            <w:gridSpan w:val="2"/>
          </w:tcPr>
          <w:p>
            <w:pPr>
              <w:jc w:val="right"/>
              <w:ind w:right="740"/>
              <w:spacing w:after="0"/>
              <w:rPr>
                <w:sz w:val="20"/>
                <w:szCs w:val="20"/>
                <w:color w:val="auto"/>
              </w:rPr>
            </w:pPr>
            <w:r>
              <w:rPr>
                <w:rFonts w:ascii="Arial" w:cs="Arial" w:eastAsia="Arial" w:hAnsi="Arial"/>
                <w:sz w:val="14"/>
                <w:szCs w:val="14"/>
                <w:b w:val="1"/>
                <w:bCs w:val="1"/>
                <w:color w:val="auto"/>
                <w:w w:val="90"/>
              </w:rPr>
              <w:t>Tranche 1</w:t>
            </w:r>
          </w:p>
        </w:tc>
        <w:tc>
          <w:tcPr>
            <w:tcW w:w="4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360" w:type="dxa"/>
            <w:vAlign w:val="bottom"/>
            <w:gridSpan w:val="2"/>
          </w:tcPr>
          <w:p>
            <w:pPr>
              <w:jc w:val="right"/>
              <w:ind w:right="760"/>
              <w:spacing w:after="0"/>
              <w:rPr>
                <w:sz w:val="20"/>
                <w:szCs w:val="20"/>
                <w:color w:val="auto"/>
              </w:rPr>
            </w:pPr>
            <w:r>
              <w:rPr>
                <w:rFonts w:ascii="Arial" w:cs="Arial" w:eastAsia="Arial" w:hAnsi="Arial"/>
                <w:sz w:val="14"/>
                <w:szCs w:val="14"/>
                <w:b w:val="1"/>
                <w:bCs w:val="1"/>
                <w:color w:val="auto"/>
                <w:w w:val="87"/>
              </w:rPr>
              <w:t>Tranche 2</w:t>
            </w:r>
          </w:p>
        </w:tc>
        <w:tc>
          <w:tcPr>
            <w:tcW w:w="4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380" w:type="dxa"/>
            <w:vAlign w:val="bottom"/>
            <w:gridSpan w:val="2"/>
          </w:tcPr>
          <w:p>
            <w:pPr>
              <w:jc w:val="right"/>
              <w:ind w:right="760"/>
              <w:spacing w:after="0"/>
              <w:rPr>
                <w:sz w:val="20"/>
                <w:szCs w:val="20"/>
                <w:color w:val="auto"/>
              </w:rPr>
            </w:pPr>
            <w:r>
              <w:rPr>
                <w:rFonts w:ascii="Arial" w:cs="Arial" w:eastAsia="Arial" w:hAnsi="Arial"/>
                <w:sz w:val="14"/>
                <w:szCs w:val="14"/>
                <w:b w:val="1"/>
                <w:bCs w:val="1"/>
                <w:color w:val="auto"/>
                <w:w w:val="90"/>
              </w:rPr>
              <w:t>Tranche 3</w:t>
            </w:r>
          </w:p>
        </w:tc>
        <w:tc>
          <w:tcPr>
            <w:tcW w:w="3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40" w:type="dxa"/>
            <w:vAlign w:val="bottom"/>
            <w:gridSpan w:val="2"/>
          </w:tcPr>
          <w:p>
            <w:pPr>
              <w:jc w:val="right"/>
              <w:ind w:right="420"/>
              <w:spacing w:after="0"/>
              <w:rPr>
                <w:sz w:val="20"/>
                <w:szCs w:val="20"/>
                <w:color w:val="auto"/>
              </w:rPr>
            </w:pPr>
            <w:r>
              <w:rPr>
                <w:rFonts w:ascii="Arial" w:cs="Arial" w:eastAsia="Arial" w:hAnsi="Arial"/>
                <w:sz w:val="14"/>
                <w:szCs w:val="14"/>
                <w:b w:val="1"/>
                <w:bCs w:val="1"/>
                <w:color w:val="auto"/>
                <w:w w:val="90"/>
              </w:rPr>
              <w:t>Tranche 4</w:t>
            </w:r>
          </w:p>
        </w:tc>
      </w:tr>
      <w:tr>
        <w:trPr>
          <w:trHeight w:val="210"/>
        </w:trPr>
        <w:tc>
          <w:tcPr>
            <w:tcW w:w="20" w:type="dxa"/>
            <w:vAlign w:val="bottom"/>
          </w:tcPr>
          <w:p>
            <w:pPr>
              <w:spacing w:after="0"/>
              <w:rPr>
                <w:sz w:val="18"/>
                <w:szCs w:val="18"/>
                <w:color w:val="auto"/>
              </w:rPr>
            </w:pPr>
          </w:p>
        </w:tc>
        <w:tc>
          <w:tcPr>
            <w:tcW w:w="24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Grant date</w:t>
            </w:r>
          </w:p>
        </w:tc>
        <w:tc>
          <w:tcPr>
            <w:tcW w:w="5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0"/>
              </w:rPr>
              <w:t>11/30/2017</w:t>
            </w:r>
          </w:p>
        </w:tc>
        <w:tc>
          <w:tcPr>
            <w:tcW w:w="520" w:type="dxa"/>
            <w:vAlign w:val="bottom"/>
            <w:tcBorders>
              <w:top w:val="single" w:sz="8" w:color="CCEEFF"/>
            </w:tcBorders>
            <w:shd w:val="clear" w:color="auto" w:fill="CCEEFF"/>
          </w:tcPr>
          <w:p>
            <w:pPr>
              <w:spacing w:after="0"/>
              <w:rPr>
                <w:sz w:val="18"/>
                <w:szCs w:val="18"/>
                <w:color w:val="auto"/>
              </w:rPr>
            </w:pPr>
          </w:p>
        </w:tc>
        <w:tc>
          <w:tcPr>
            <w:tcW w:w="4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8"/>
              </w:rPr>
              <w:t>11/30/2017</w:t>
            </w:r>
          </w:p>
        </w:tc>
        <w:tc>
          <w:tcPr>
            <w:tcW w:w="520" w:type="dxa"/>
            <w:vAlign w:val="bottom"/>
            <w:tcBorders>
              <w:top w:val="single" w:sz="8" w:color="CCEEFF"/>
            </w:tcBorders>
            <w:shd w:val="clear" w:color="auto" w:fill="CCEEFF"/>
          </w:tcPr>
          <w:p>
            <w:pPr>
              <w:spacing w:after="0"/>
              <w:rPr>
                <w:sz w:val="18"/>
                <w:szCs w:val="18"/>
                <w:color w:val="auto"/>
              </w:rPr>
            </w:pPr>
          </w:p>
        </w:tc>
        <w:tc>
          <w:tcPr>
            <w:tcW w:w="4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0"/>
              </w:rPr>
              <w:t>11/30/2017</w:t>
            </w:r>
          </w:p>
        </w:tc>
        <w:tc>
          <w:tcPr>
            <w:tcW w:w="540" w:type="dxa"/>
            <w:vAlign w:val="bottom"/>
            <w:tcBorders>
              <w:top w:val="single" w:sz="8" w:color="CCEEFF"/>
            </w:tcBorders>
            <w:shd w:val="clear" w:color="auto" w:fill="CCEEFF"/>
          </w:tcPr>
          <w:p>
            <w:pPr>
              <w:spacing w:after="0"/>
              <w:rPr>
                <w:sz w:val="18"/>
                <w:szCs w:val="18"/>
                <w:color w:val="auto"/>
              </w:rPr>
            </w:pPr>
          </w:p>
        </w:tc>
        <w:tc>
          <w:tcPr>
            <w:tcW w:w="38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0"/>
              </w:rPr>
              <w:t>11/30/2017</w:t>
            </w:r>
          </w:p>
        </w:tc>
        <w:tc>
          <w:tcPr>
            <w:tcW w:w="200" w:type="dxa"/>
            <w:vAlign w:val="bottom"/>
            <w:tcBorders>
              <w:top w:val="single" w:sz="8" w:color="CCEEFF"/>
            </w:tcBorders>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2420" w:type="dxa"/>
            <w:vAlign w:val="bottom"/>
          </w:tcPr>
          <w:p>
            <w:pPr>
              <w:spacing w:after="0"/>
              <w:rPr>
                <w:sz w:val="20"/>
                <w:szCs w:val="20"/>
                <w:color w:val="auto"/>
              </w:rPr>
            </w:pPr>
            <w:r>
              <w:rPr>
                <w:rFonts w:ascii="Arial" w:cs="Arial" w:eastAsia="Arial" w:hAnsi="Arial"/>
                <w:sz w:val="18"/>
                <w:szCs w:val="18"/>
                <w:color w:val="auto"/>
              </w:rPr>
              <w:t>Share price at date of grant</w:t>
            </w:r>
          </w:p>
        </w:tc>
        <w:tc>
          <w:tcPr>
            <w:tcW w:w="720" w:type="dxa"/>
            <w:vAlign w:val="bottom"/>
            <w:gridSpan w:val="2"/>
          </w:tcPr>
          <w:p>
            <w:pPr>
              <w:ind w:left="500"/>
              <w:spacing w:after="0"/>
              <w:rPr>
                <w:sz w:val="20"/>
                <w:szCs w:val="20"/>
                <w:color w:val="auto"/>
              </w:rPr>
            </w:pPr>
            <w:r>
              <w:rPr>
                <w:rFonts w:ascii="Arial" w:cs="Arial" w:eastAsia="Arial" w:hAnsi="Arial"/>
                <w:sz w:val="18"/>
                <w:szCs w:val="18"/>
                <w:color w:val="auto"/>
                <w:w w:val="90"/>
              </w:rPr>
              <w:t>A$</w:t>
            </w:r>
          </w:p>
        </w:tc>
        <w:tc>
          <w:tcPr>
            <w:tcW w:w="840" w:type="dxa"/>
            <w:vAlign w:val="bottom"/>
          </w:tcPr>
          <w:p>
            <w:pPr>
              <w:jc w:val="right"/>
              <w:spacing w:after="0"/>
              <w:rPr>
                <w:sz w:val="20"/>
                <w:szCs w:val="20"/>
                <w:color w:val="auto"/>
              </w:rPr>
            </w:pPr>
            <w:r>
              <w:rPr>
                <w:rFonts w:ascii="Arial" w:cs="Arial" w:eastAsia="Arial" w:hAnsi="Arial"/>
                <w:sz w:val="18"/>
                <w:szCs w:val="18"/>
                <w:color w:val="auto"/>
              </w:rPr>
              <w:t>0.061</w:t>
            </w:r>
          </w:p>
        </w:tc>
        <w:tc>
          <w:tcPr>
            <w:tcW w:w="520" w:type="dxa"/>
            <w:vAlign w:val="bottom"/>
          </w:tcPr>
          <w:p>
            <w:pPr>
              <w:spacing w:after="0"/>
              <w:rPr>
                <w:sz w:val="18"/>
                <w:szCs w:val="18"/>
                <w:color w:val="auto"/>
              </w:rPr>
            </w:pPr>
          </w:p>
        </w:tc>
        <w:tc>
          <w:tcPr>
            <w:tcW w:w="620" w:type="dxa"/>
            <w:vAlign w:val="bottom"/>
            <w:gridSpan w:val="2"/>
          </w:tcPr>
          <w:p>
            <w:pPr>
              <w:ind w:left="400"/>
              <w:spacing w:after="0"/>
              <w:rPr>
                <w:sz w:val="20"/>
                <w:szCs w:val="20"/>
                <w:color w:val="auto"/>
              </w:rPr>
            </w:pPr>
            <w:r>
              <w:rPr>
                <w:rFonts w:ascii="Arial" w:cs="Arial" w:eastAsia="Arial" w:hAnsi="Arial"/>
                <w:sz w:val="18"/>
                <w:szCs w:val="18"/>
                <w:color w:val="auto"/>
                <w:w w:val="90"/>
              </w:rPr>
              <w:t>A$</w:t>
            </w:r>
          </w:p>
        </w:tc>
        <w:tc>
          <w:tcPr>
            <w:tcW w:w="840" w:type="dxa"/>
            <w:vAlign w:val="bottom"/>
          </w:tcPr>
          <w:p>
            <w:pPr>
              <w:jc w:val="right"/>
              <w:spacing w:after="0"/>
              <w:rPr>
                <w:sz w:val="20"/>
                <w:szCs w:val="20"/>
                <w:color w:val="auto"/>
              </w:rPr>
            </w:pPr>
            <w:r>
              <w:rPr>
                <w:rFonts w:ascii="Arial" w:cs="Arial" w:eastAsia="Arial" w:hAnsi="Arial"/>
                <w:sz w:val="18"/>
                <w:szCs w:val="18"/>
                <w:color w:val="auto"/>
              </w:rPr>
              <w:t>0.061</w:t>
            </w:r>
          </w:p>
        </w:tc>
        <w:tc>
          <w:tcPr>
            <w:tcW w:w="520" w:type="dxa"/>
            <w:vAlign w:val="bottom"/>
          </w:tcPr>
          <w:p>
            <w:pPr>
              <w:spacing w:after="0"/>
              <w:rPr>
                <w:sz w:val="18"/>
                <w:szCs w:val="18"/>
                <w:color w:val="auto"/>
              </w:rPr>
            </w:pPr>
          </w:p>
        </w:tc>
        <w:tc>
          <w:tcPr>
            <w:tcW w:w="620" w:type="dxa"/>
            <w:vAlign w:val="bottom"/>
            <w:gridSpan w:val="2"/>
          </w:tcPr>
          <w:p>
            <w:pPr>
              <w:ind w:left="400"/>
              <w:spacing w:after="0"/>
              <w:rPr>
                <w:sz w:val="20"/>
                <w:szCs w:val="20"/>
                <w:color w:val="auto"/>
              </w:rPr>
            </w:pPr>
            <w:r>
              <w:rPr>
                <w:rFonts w:ascii="Arial" w:cs="Arial" w:eastAsia="Arial" w:hAnsi="Arial"/>
                <w:sz w:val="18"/>
                <w:szCs w:val="18"/>
                <w:color w:val="auto"/>
                <w:w w:val="90"/>
              </w:rPr>
              <w:t>A$</w:t>
            </w:r>
          </w:p>
        </w:tc>
        <w:tc>
          <w:tcPr>
            <w:tcW w:w="840" w:type="dxa"/>
            <w:vAlign w:val="bottom"/>
          </w:tcPr>
          <w:p>
            <w:pPr>
              <w:jc w:val="right"/>
              <w:spacing w:after="0"/>
              <w:rPr>
                <w:sz w:val="20"/>
                <w:szCs w:val="20"/>
                <w:color w:val="auto"/>
              </w:rPr>
            </w:pPr>
            <w:r>
              <w:rPr>
                <w:rFonts w:ascii="Arial" w:cs="Arial" w:eastAsia="Arial" w:hAnsi="Arial"/>
                <w:sz w:val="18"/>
                <w:szCs w:val="18"/>
                <w:color w:val="auto"/>
              </w:rPr>
              <w:t>0.061</w:t>
            </w:r>
          </w:p>
        </w:tc>
        <w:tc>
          <w:tcPr>
            <w:tcW w:w="540" w:type="dxa"/>
            <w:vAlign w:val="bottom"/>
          </w:tcPr>
          <w:p>
            <w:pPr>
              <w:spacing w:after="0"/>
              <w:rPr>
                <w:sz w:val="18"/>
                <w:szCs w:val="18"/>
                <w:color w:val="auto"/>
              </w:rPr>
            </w:pPr>
          </w:p>
        </w:tc>
        <w:tc>
          <w:tcPr>
            <w:tcW w:w="600" w:type="dxa"/>
            <w:vAlign w:val="bottom"/>
            <w:gridSpan w:val="2"/>
          </w:tcPr>
          <w:p>
            <w:pPr>
              <w:ind w:left="380"/>
              <w:spacing w:after="0"/>
              <w:rPr>
                <w:sz w:val="20"/>
                <w:szCs w:val="20"/>
                <w:color w:val="auto"/>
              </w:rPr>
            </w:pPr>
            <w:r>
              <w:rPr>
                <w:rFonts w:ascii="Arial" w:cs="Arial" w:eastAsia="Arial" w:hAnsi="Arial"/>
                <w:sz w:val="18"/>
                <w:szCs w:val="18"/>
                <w:color w:val="auto"/>
                <w:w w:val="90"/>
              </w:rPr>
              <w:t>A$</w:t>
            </w:r>
          </w:p>
        </w:tc>
        <w:tc>
          <w:tcPr>
            <w:tcW w:w="840" w:type="dxa"/>
            <w:vAlign w:val="bottom"/>
          </w:tcPr>
          <w:p>
            <w:pPr>
              <w:jc w:val="right"/>
              <w:spacing w:after="0"/>
              <w:rPr>
                <w:sz w:val="20"/>
                <w:szCs w:val="20"/>
                <w:color w:val="auto"/>
              </w:rPr>
            </w:pPr>
            <w:r>
              <w:rPr>
                <w:rFonts w:ascii="Arial" w:cs="Arial" w:eastAsia="Arial" w:hAnsi="Arial"/>
                <w:sz w:val="18"/>
                <w:szCs w:val="18"/>
                <w:color w:val="auto"/>
              </w:rPr>
              <w:t>0.061</w:t>
            </w:r>
          </w:p>
        </w:tc>
        <w:tc>
          <w:tcPr>
            <w:tcW w:w="2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2420" w:type="dxa"/>
            <w:vAlign w:val="bottom"/>
            <w:shd w:val="clear" w:color="auto" w:fill="CCEEFF"/>
          </w:tcPr>
          <w:p>
            <w:pPr>
              <w:spacing w:after="0"/>
              <w:rPr>
                <w:sz w:val="20"/>
                <w:szCs w:val="20"/>
                <w:color w:val="auto"/>
              </w:rPr>
            </w:pPr>
            <w:r>
              <w:rPr>
                <w:rFonts w:ascii="Arial" w:cs="Arial" w:eastAsia="Arial" w:hAnsi="Arial"/>
                <w:sz w:val="18"/>
                <w:szCs w:val="18"/>
                <w:color w:val="auto"/>
              </w:rPr>
              <w:t>Exercise price</w:t>
            </w:r>
          </w:p>
        </w:tc>
        <w:tc>
          <w:tcPr>
            <w:tcW w:w="720" w:type="dxa"/>
            <w:vAlign w:val="bottom"/>
            <w:gridSpan w:val="2"/>
            <w:shd w:val="clear" w:color="auto" w:fill="CCEEFF"/>
          </w:tcPr>
          <w:p>
            <w:pPr>
              <w:ind w:left="500"/>
              <w:spacing w:after="0"/>
              <w:rPr>
                <w:sz w:val="20"/>
                <w:szCs w:val="20"/>
                <w:color w:val="auto"/>
              </w:rPr>
            </w:pPr>
            <w:r>
              <w:rPr>
                <w:rFonts w:ascii="Arial" w:cs="Arial" w:eastAsia="Arial" w:hAnsi="Arial"/>
                <w:sz w:val="18"/>
                <w:szCs w:val="18"/>
                <w:color w:val="auto"/>
                <w:w w:val="90"/>
              </w:rPr>
              <w:t>A$</w:t>
            </w:r>
          </w:p>
        </w:tc>
        <w:tc>
          <w:tcPr>
            <w:tcW w:w="136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nil</w:t>
            </w:r>
          </w:p>
        </w:tc>
        <w:tc>
          <w:tcPr>
            <w:tcW w:w="62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w w:val="90"/>
              </w:rPr>
              <w:t>A$</w:t>
            </w:r>
          </w:p>
        </w:tc>
        <w:tc>
          <w:tcPr>
            <w:tcW w:w="136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nil</w:t>
            </w:r>
          </w:p>
        </w:tc>
        <w:tc>
          <w:tcPr>
            <w:tcW w:w="62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w w:val="90"/>
              </w:rPr>
              <w:t>A$</w:t>
            </w:r>
          </w:p>
        </w:tc>
        <w:tc>
          <w:tcPr>
            <w:tcW w:w="138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nil</w:t>
            </w:r>
          </w:p>
        </w:tc>
        <w:tc>
          <w:tcPr>
            <w:tcW w:w="600" w:type="dxa"/>
            <w:vAlign w:val="bottom"/>
            <w:gridSpan w:val="2"/>
            <w:shd w:val="clear" w:color="auto" w:fill="CCEEFF"/>
          </w:tcPr>
          <w:p>
            <w:pPr>
              <w:ind w:left="380"/>
              <w:spacing w:after="0"/>
              <w:rPr>
                <w:sz w:val="20"/>
                <w:szCs w:val="20"/>
                <w:color w:val="auto"/>
              </w:rPr>
            </w:pPr>
            <w:r>
              <w:rPr>
                <w:rFonts w:ascii="Arial" w:cs="Arial" w:eastAsia="Arial" w:hAnsi="Arial"/>
                <w:sz w:val="18"/>
                <w:szCs w:val="18"/>
                <w:color w:val="auto"/>
                <w:w w:val="90"/>
              </w:rPr>
              <w:t>A$</w:t>
            </w:r>
          </w:p>
        </w:tc>
        <w:tc>
          <w:tcPr>
            <w:tcW w:w="10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nil</w:t>
            </w:r>
          </w:p>
        </w:tc>
      </w:tr>
      <w:tr>
        <w:trPr>
          <w:trHeight w:val="216"/>
        </w:trPr>
        <w:tc>
          <w:tcPr>
            <w:tcW w:w="20" w:type="dxa"/>
            <w:vAlign w:val="bottom"/>
          </w:tcPr>
          <w:p>
            <w:pPr>
              <w:spacing w:after="0"/>
              <w:rPr>
                <w:sz w:val="18"/>
                <w:szCs w:val="18"/>
                <w:color w:val="auto"/>
              </w:rPr>
            </w:pPr>
          </w:p>
        </w:tc>
        <w:tc>
          <w:tcPr>
            <w:tcW w:w="2420" w:type="dxa"/>
            <w:vAlign w:val="bottom"/>
          </w:tcPr>
          <w:p>
            <w:pPr>
              <w:spacing w:after="0"/>
              <w:rPr>
                <w:sz w:val="20"/>
                <w:szCs w:val="20"/>
                <w:color w:val="auto"/>
              </w:rPr>
            </w:pPr>
            <w:r>
              <w:rPr>
                <w:rFonts w:ascii="Arial" w:cs="Arial" w:eastAsia="Arial" w:hAnsi="Arial"/>
                <w:sz w:val="18"/>
                <w:szCs w:val="18"/>
                <w:color w:val="auto"/>
              </w:rPr>
              <w:t>Vesting hurdle</w:t>
            </w:r>
          </w:p>
        </w:tc>
        <w:tc>
          <w:tcPr>
            <w:tcW w:w="5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60" w:type="dxa"/>
            <w:vAlign w:val="bottom"/>
            <w:gridSpan w:val="2"/>
          </w:tcPr>
          <w:p>
            <w:pPr>
              <w:jc w:val="right"/>
              <w:ind w:right="520"/>
              <w:spacing w:after="0"/>
              <w:rPr>
                <w:sz w:val="20"/>
                <w:szCs w:val="20"/>
                <w:color w:val="auto"/>
              </w:rPr>
            </w:pPr>
            <w:r>
              <w:rPr>
                <w:rFonts w:ascii="Arial" w:cs="Arial" w:eastAsia="Arial" w:hAnsi="Arial"/>
                <w:sz w:val="18"/>
                <w:szCs w:val="18"/>
                <w:color w:val="auto"/>
              </w:rPr>
              <w:t>n/a</w:t>
            </w:r>
          </w:p>
        </w:tc>
        <w:tc>
          <w:tcPr>
            <w:tcW w:w="4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60" w:type="dxa"/>
            <w:vAlign w:val="bottom"/>
            <w:gridSpan w:val="2"/>
          </w:tcPr>
          <w:p>
            <w:pPr>
              <w:jc w:val="right"/>
              <w:ind w:right="540"/>
              <w:spacing w:after="0"/>
              <w:rPr>
                <w:sz w:val="20"/>
                <w:szCs w:val="20"/>
                <w:color w:val="auto"/>
              </w:rPr>
            </w:pPr>
            <w:r>
              <w:rPr>
                <w:rFonts w:ascii="Arial" w:cs="Arial" w:eastAsia="Arial" w:hAnsi="Arial"/>
                <w:sz w:val="18"/>
                <w:szCs w:val="18"/>
                <w:color w:val="auto"/>
              </w:rPr>
              <w:t>n/a</w:t>
            </w:r>
          </w:p>
        </w:tc>
        <w:tc>
          <w:tcPr>
            <w:tcW w:w="4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80" w:type="dxa"/>
            <w:vAlign w:val="bottom"/>
            <w:gridSpan w:val="2"/>
          </w:tcPr>
          <w:p>
            <w:pPr>
              <w:jc w:val="right"/>
              <w:ind w:right="540"/>
              <w:spacing w:after="0"/>
              <w:rPr>
                <w:sz w:val="20"/>
                <w:szCs w:val="20"/>
                <w:color w:val="auto"/>
              </w:rPr>
            </w:pPr>
            <w:r>
              <w:rPr>
                <w:rFonts w:ascii="Arial" w:cs="Arial" w:eastAsia="Arial" w:hAnsi="Arial"/>
                <w:sz w:val="18"/>
                <w:szCs w:val="18"/>
                <w:color w:val="auto"/>
              </w:rPr>
              <w:t>n/a</w:t>
            </w:r>
          </w:p>
        </w:tc>
        <w:tc>
          <w:tcPr>
            <w:tcW w:w="600" w:type="dxa"/>
            <w:vAlign w:val="bottom"/>
            <w:gridSpan w:val="2"/>
          </w:tcPr>
          <w:p>
            <w:pPr>
              <w:ind w:left="380"/>
              <w:spacing w:after="0"/>
              <w:rPr>
                <w:sz w:val="20"/>
                <w:szCs w:val="20"/>
                <w:color w:val="auto"/>
              </w:rPr>
            </w:pPr>
            <w:r>
              <w:rPr>
                <w:rFonts w:ascii="Arial" w:cs="Arial" w:eastAsia="Arial" w:hAnsi="Arial"/>
                <w:sz w:val="18"/>
                <w:szCs w:val="18"/>
                <w:color w:val="auto"/>
                <w:w w:val="90"/>
              </w:rPr>
              <w:t>A$</w:t>
            </w:r>
          </w:p>
        </w:tc>
        <w:tc>
          <w:tcPr>
            <w:tcW w:w="840" w:type="dxa"/>
            <w:vAlign w:val="bottom"/>
          </w:tcPr>
          <w:p>
            <w:pPr>
              <w:jc w:val="right"/>
              <w:spacing w:after="0"/>
              <w:rPr>
                <w:sz w:val="20"/>
                <w:szCs w:val="20"/>
                <w:color w:val="auto"/>
              </w:rPr>
            </w:pPr>
            <w:r>
              <w:rPr>
                <w:rFonts w:ascii="Arial" w:cs="Arial" w:eastAsia="Arial" w:hAnsi="Arial"/>
                <w:sz w:val="18"/>
                <w:szCs w:val="18"/>
                <w:color w:val="auto"/>
              </w:rPr>
              <w:t>0.122</w:t>
            </w:r>
          </w:p>
        </w:tc>
        <w:tc>
          <w:tcPr>
            <w:tcW w:w="2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2420" w:type="dxa"/>
            <w:vAlign w:val="bottom"/>
            <w:shd w:val="clear" w:color="auto" w:fill="CCEEFF"/>
          </w:tcPr>
          <w:p>
            <w:pPr>
              <w:spacing w:after="0"/>
              <w:rPr>
                <w:sz w:val="20"/>
                <w:szCs w:val="20"/>
                <w:color w:val="auto"/>
              </w:rPr>
            </w:pPr>
            <w:r>
              <w:rPr>
                <w:rFonts w:ascii="Arial" w:cs="Arial" w:eastAsia="Arial" w:hAnsi="Arial"/>
                <w:sz w:val="18"/>
                <w:szCs w:val="18"/>
                <w:color w:val="auto"/>
              </w:rPr>
              <w:t>Expiry period</w:t>
            </w:r>
          </w:p>
        </w:tc>
        <w:tc>
          <w:tcPr>
            <w:tcW w:w="5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0"/>
              </w:rPr>
              <w:t>11/30/2027</w:t>
            </w:r>
          </w:p>
        </w:tc>
        <w:tc>
          <w:tcPr>
            <w:tcW w:w="5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11/30/2027</w:t>
            </w:r>
          </w:p>
        </w:tc>
        <w:tc>
          <w:tcPr>
            <w:tcW w:w="5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0"/>
              </w:rPr>
              <w:t>11/30/2027</w:t>
            </w:r>
          </w:p>
        </w:tc>
        <w:tc>
          <w:tcPr>
            <w:tcW w:w="5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0"/>
              </w:rPr>
              <w:t>11/30/2027</w:t>
            </w:r>
          </w:p>
        </w:tc>
        <w:tc>
          <w:tcPr>
            <w:tcW w:w="2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2420" w:type="dxa"/>
            <w:vAlign w:val="bottom"/>
          </w:tcPr>
          <w:p>
            <w:pPr>
              <w:spacing w:after="0"/>
              <w:rPr>
                <w:sz w:val="20"/>
                <w:szCs w:val="20"/>
                <w:color w:val="auto"/>
              </w:rPr>
            </w:pPr>
            <w:r>
              <w:rPr>
                <w:rFonts w:ascii="Arial" w:cs="Arial" w:eastAsia="Arial" w:hAnsi="Arial"/>
                <w:sz w:val="18"/>
                <w:szCs w:val="18"/>
                <w:color w:val="auto"/>
              </w:rPr>
              <w:t>Dividend yield (%)</w:t>
            </w:r>
          </w:p>
        </w:tc>
        <w:tc>
          <w:tcPr>
            <w:tcW w:w="5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60" w:type="dxa"/>
            <w:vAlign w:val="bottom"/>
            <w:gridSpan w:val="2"/>
          </w:tcPr>
          <w:p>
            <w:pPr>
              <w:jc w:val="right"/>
              <w:ind w:right="380"/>
              <w:spacing w:after="0"/>
              <w:rPr>
                <w:sz w:val="20"/>
                <w:szCs w:val="20"/>
                <w:color w:val="auto"/>
              </w:rPr>
            </w:pPr>
            <w:r>
              <w:rPr>
                <w:rFonts w:ascii="Arial" w:cs="Arial" w:eastAsia="Arial" w:hAnsi="Arial"/>
                <w:sz w:val="18"/>
                <w:szCs w:val="18"/>
                <w:color w:val="auto"/>
              </w:rPr>
              <w:t>0%</w:t>
            </w:r>
          </w:p>
        </w:tc>
        <w:tc>
          <w:tcPr>
            <w:tcW w:w="4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60" w:type="dxa"/>
            <w:vAlign w:val="bottom"/>
            <w:gridSpan w:val="2"/>
          </w:tcPr>
          <w:p>
            <w:pPr>
              <w:jc w:val="right"/>
              <w:ind w:right="380"/>
              <w:spacing w:after="0"/>
              <w:rPr>
                <w:sz w:val="20"/>
                <w:szCs w:val="20"/>
                <w:color w:val="auto"/>
              </w:rPr>
            </w:pPr>
            <w:r>
              <w:rPr>
                <w:rFonts w:ascii="Arial" w:cs="Arial" w:eastAsia="Arial" w:hAnsi="Arial"/>
                <w:sz w:val="18"/>
                <w:szCs w:val="18"/>
                <w:color w:val="auto"/>
              </w:rPr>
              <w:t>0%</w:t>
            </w:r>
          </w:p>
        </w:tc>
        <w:tc>
          <w:tcPr>
            <w:tcW w:w="4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80" w:type="dxa"/>
            <w:vAlign w:val="bottom"/>
            <w:gridSpan w:val="2"/>
          </w:tcPr>
          <w:p>
            <w:pPr>
              <w:jc w:val="right"/>
              <w:ind w:right="400"/>
              <w:spacing w:after="0"/>
              <w:rPr>
                <w:sz w:val="20"/>
                <w:szCs w:val="20"/>
                <w:color w:val="auto"/>
              </w:rPr>
            </w:pPr>
            <w:r>
              <w:rPr>
                <w:rFonts w:ascii="Arial" w:cs="Arial" w:eastAsia="Arial" w:hAnsi="Arial"/>
                <w:sz w:val="18"/>
                <w:szCs w:val="18"/>
                <w:color w:val="auto"/>
              </w:rPr>
              <w:t>0%</w:t>
            </w:r>
          </w:p>
        </w:tc>
        <w:tc>
          <w:tcPr>
            <w:tcW w:w="3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40" w:type="dxa"/>
            <w:vAlign w:val="bottom"/>
            <w:gridSpan w:val="2"/>
          </w:tcPr>
          <w:p>
            <w:pPr>
              <w:jc w:val="right"/>
              <w:ind w:right="60"/>
              <w:spacing w:after="0"/>
              <w:rPr>
                <w:sz w:val="20"/>
                <w:szCs w:val="20"/>
                <w:color w:val="auto"/>
              </w:rPr>
            </w:pPr>
            <w:r>
              <w:rPr>
                <w:rFonts w:ascii="Arial" w:cs="Arial" w:eastAsia="Arial" w:hAnsi="Arial"/>
                <w:sz w:val="18"/>
                <w:szCs w:val="18"/>
                <w:color w:val="auto"/>
              </w:rPr>
              <w:t>0%</w:t>
            </w:r>
          </w:p>
        </w:tc>
      </w:tr>
      <w:tr>
        <w:trPr>
          <w:trHeight w:val="216"/>
        </w:trPr>
        <w:tc>
          <w:tcPr>
            <w:tcW w:w="20" w:type="dxa"/>
            <w:vAlign w:val="bottom"/>
          </w:tcPr>
          <w:p>
            <w:pPr>
              <w:spacing w:after="0"/>
              <w:rPr>
                <w:sz w:val="18"/>
                <w:szCs w:val="18"/>
                <w:color w:val="auto"/>
              </w:rPr>
            </w:pPr>
          </w:p>
        </w:tc>
        <w:tc>
          <w:tcPr>
            <w:tcW w:w="2420" w:type="dxa"/>
            <w:vAlign w:val="bottom"/>
            <w:shd w:val="clear" w:color="auto" w:fill="CCEEFF"/>
          </w:tcPr>
          <w:p>
            <w:pPr>
              <w:spacing w:after="0"/>
              <w:rPr>
                <w:sz w:val="20"/>
                <w:szCs w:val="20"/>
                <w:color w:val="auto"/>
              </w:rPr>
            </w:pPr>
            <w:r>
              <w:rPr>
                <w:rFonts w:ascii="Arial" w:cs="Arial" w:eastAsia="Arial" w:hAnsi="Arial"/>
                <w:sz w:val="18"/>
                <w:szCs w:val="18"/>
                <w:color w:val="auto"/>
              </w:rPr>
              <w:t>Expected volatility (%)</w:t>
            </w:r>
          </w:p>
        </w:tc>
        <w:tc>
          <w:tcPr>
            <w:tcW w:w="5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70%</w:t>
            </w:r>
          </w:p>
        </w:tc>
        <w:tc>
          <w:tcPr>
            <w:tcW w:w="4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70%</w:t>
            </w:r>
          </w:p>
        </w:tc>
        <w:tc>
          <w:tcPr>
            <w:tcW w:w="4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70%</w:t>
            </w:r>
          </w:p>
        </w:tc>
        <w:tc>
          <w:tcPr>
            <w:tcW w:w="3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70%</w:t>
            </w:r>
          </w:p>
        </w:tc>
      </w:tr>
      <w:tr>
        <w:trPr>
          <w:trHeight w:val="230"/>
        </w:trPr>
        <w:tc>
          <w:tcPr>
            <w:tcW w:w="20" w:type="dxa"/>
            <w:vAlign w:val="bottom"/>
          </w:tcPr>
          <w:p>
            <w:pPr>
              <w:spacing w:after="0"/>
              <w:rPr>
                <w:sz w:val="20"/>
                <w:szCs w:val="20"/>
                <w:color w:val="auto"/>
              </w:rPr>
            </w:pPr>
          </w:p>
        </w:tc>
        <w:tc>
          <w:tcPr>
            <w:tcW w:w="2420" w:type="dxa"/>
            <w:vAlign w:val="bottom"/>
          </w:tcPr>
          <w:p>
            <w:pPr>
              <w:spacing w:after="0"/>
              <w:rPr>
                <w:sz w:val="20"/>
                <w:szCs w:val="20"/>
                <w:color w:val="auto"/>
              </w:rPr>
            </w:pPr>
            <w:r>
              <w:rPr>
                <w:rFonts w:ascii="Arial" w:cs="Arial" w:eastAsia="Arial" w:hAnsi="Arial"/>
                <w:sz w:val="18"/>
                <w:szCs w:val="18"/>
                <w:color w:val="auto"/>
              </w:rPr>
              <w:t>Risk-free interest rate (%)</w:t>
            </w:r>
          </w:p>
        </w:tc>
        <w:tc>
          <w:tcPr>
            <w:tcW w:w="5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60" w:type="dxa"/>
            <w:vAlign w:val="bottom"/>
            <w:gridSpan w:val="2"/>
          </w:tcPr>
          <w:p>
            <w:pPr>
              <w:jc w:val="right"/>
              <w:ind w:right="380"/>
              <w:spacing w:after="0"/>
              <w:rPr>
                <w:sz w:val="20"/>
                <w:szCs w:val="20"/>
                <w:color w:val="auto"/>
              </w:rPr>
            </w:pPr>
            <w:r>
              <w:rPr>
                <w:rFonts w:ascii="Arial" w:cs="Arial" w:eastAsia="Arial" w:hAnsi="Arial"/>
                <w:sz w:val="18"/>
                <w:szCs w:val="18"/>
                <w:color w:val="auto"/>
              </w:rPr>
              <w:t>2.47%</w:t>
            </w:r>
          </w:p>
        </w:tc>
        <w:tc>
          <w:tcPr>
            <w:tcW w:w="4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60" w:type="dxa"/>
            <w:vAlign w:val="bottom"/>
            <w:gridSpan w:val="2"/>
          </w:tcPr>
          <w:p>
            <w:pPr>
              <w:jc w:val="right"/>
              <w:ind w:right="380"/>
              <w:spacing w:after="0"/>
              <w:rPr>
                <w:sz w:val="20"/>
                <w:szCs w:val="20"/>
                <w:color w:val="auto"/>
              </w:rPr>
            </w:pPr>
            <w:r>
              <w:rPr>
                <w:rFonts w:ascii="Arial" w:cs="Arial" w:eastAsia="Arial" w:hAnsi="Arial"/>
                <w:sz w:val="18"/>
                <w:szCs w:val="18"/>
                <w:color w:val="auto"/>
              </w:rPr>
              <w:t>2.47%</w:t>
            </w:r>
          </w:p>
        </w:tc>
        <w:tc>
          <w:tcPr>
            <w:tcW w:w="4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80" w:type="dxa"/>
            <w:vAlign w:val="bottom"/>
            <w:gridSpan w:val="2"/>
          </w:tcPr>
          <w:p>
            <w:pPr>
              <w:jc w:val="right"/>
              <w:ind w:right="400"/>
              <w:spacing w:after="0"/>
              <w:rPr>
                <w:sz w:val="20"/>
                <w:szCs w:val="20"/>
                <w:color w:val="auto"/>
              </w:rPr>
            </w:pPr>
            <w:r>
              <w:rPr>
                <w:rFonts w:ascii="Arial" w:cs="Arial" w:eastAsia="Arial" w:hAnsi="Arial"/>
                <w:sz w:val="18"/>
                <w:szCs w:val="18"/>
                <w:color w:val="auto"/>
              </w:rPr>
              <w:t>2.47%</w:t>
            </w:r>
          </w:p>
        </w:tc>
        <w:tc>
          <w:tcPr>
            <w:tcW w:w="3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40" w:type="dxa"/>
            <w:vAlign w:val="bottom"/>
            <w:gridSpan w:val="2"/>
          </w:tcPr>
          <w:p>
            <w:pPr>
              <w:jc w:val="right"/>
              <w:ind w:right="60"/>
              <w:spacing w:after="0"/>
              <w:rPr>
                <w:sz w:val="20"/>
                <w:szCs w:val="20"/>
                <w:color w:val="auto"/>
              </w:rPr>
            </w:pPr>
            <w:r>
              <w:rPr>
                <w:rFonts w:ascii="Arial" w:cs="Arial" w:eastAsia="Arial" w:hAnsi="Arial"/>
                <w:sz w:val="18"/>
                <w:szCs w:val="18"/>
                <w:color w:val="auto"/>
              </w:rPr>
              <w:t>2.47%</w:t>
            </w:r>
          </w:p>
        </w:tc>
      </w:tr>
      <w:tr>
        <w:trPr>
          <w:trHeight w:val="377"/>
        </w:trPr>
        <w:tc>
          <w:tcPr>
            <w:tcW w:w="20" w:type="dxa"/>
            <w:vAlign w:val="bottom"/>
          </w:tcPr>
          <w:p>
            <w:pPr>
              <w:spacing w:after="0"/>
              <w:rPr>
                <w:sz w:val="24"/>
                <w:szCs w:val="24"/>
                <w:color w:val="auto"/>
              </w:rPr>
            </w:pPr>
          </w:p>
        </w:tc>
        <w:tc>
          <w:tcPr>
            <w:tcW w:w="24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60" w:type="dxa"/>
            <w:vAlign w:val="bottom"/>
            <w:gridSpan w:val="2"/>
          </w:tcPr>
          <w:p>
            <w:pPr>
              <w:jc w:val="right"/>
              <w:ind w:right="740"/>
              <w:spacing w:after="0"/>
              <w:rPr>
                <w:sz w:val="20"/>
                <w:szCs w:val="20"/>
                <w:color w:val="auto"/>
              </w:rPr>
            </w:pPr>
            <w:r>
              <w:rPr>
                <w:rFonts w:ascii="Arial" w:cs="Arial" w:eastAsia="Arial" w:hAnsi="Arial"/>
                <w:sz w:val="14"/>
                <w:szCs w:val="14"/>
                <w:b w:val="1"/>
                <w:bCs w:val="1"/>
                <w:color w:val="auto"/>
                <w:w w:val="90"/>
              </w:rPr>
              <w:t>Tranche 5</w:t>
            </w:r>
          </w:p>
        </w:tc>
        <w:tc>
          <w:tcPr>
            <w:tcW w:w="4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60" w:type="dxa"/>
            <w:vAlign w:val="bottom"/>
            <w:gridSpan w:val="2"/>
          </w:tcPr>
          <w:p>
            <w:pPr>
              <w:jc w:val="right"/>
              <w:ind w:right="760"/>
              <w:spacing w:after="0"/>
              <w:rPr>
                <w:sz w:val="20"/>
                <w:szCs w:val="20"/>
                <w:color w:val="auto"/>
              </w:rPr>
            </w:pPr>
            <w:r>
              <w:rPr>
                <w:rFonts w:ascii="Arial" w:cs="Arial" w:eastAsia="Arial" w:hAnsi="Arial"/>
                <w:sz w:val="14"/>
                <w:szCs w:val="14"/>
                <w:b w:val="1"/>
                <w:bCs w:val="1"/>
                <w:color w:val="auto"/>
                <w:w w:val="87"/>
              </w:rPr>
              <w:t>Tranche 6</w:t>
            </w:r>
          </w:p>
        </w:tc>
        <w:tc>
          <w:tcPr>
            <w:tcW w:w="4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80" w:type="dxa"/>
            <w:vAlign w:val="bottom"/>
            <w:gridSpan w:val="2"/>
          </w:tcPr>
          <w:p>
            <w:pPr>
              <w:jc w:val="right"/>
              <w:ind w:right="760"/>
              <w:spacing w:after="0"/>
              <w:rPr>
                <w:sz w:val="20"/>
                <w:szCs w:val="20"/>
                <w:color w:val="auto"/>
              </w:rPr>
            </w:pPr>
            <w:r>
              <w:rPr>
                <w:rFonts w:ascii="Arial" w:cs="Arial" w:eastAsia="Arial" w:hAnsi="Arial"/>
                <w:sz w:val="14"/>
                <w:szCs w:val="14"/>
                <w:b w:val="1"/>
                <w:bCs w:val="1"/>
                <w:color w:val="auto"/>
                <w:w w:val="90"/>
              </w:rPr>
              <w:t>Tranche 7</w:t>
            </w:r>
          </w:p>
        </w:tc>
        <w:tc>
          <w:tcPr>
            <w:tcW w:w="3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40" w:type="dxa"/>
            <w:vAlign w:val="bottom"/>
            <w:gridSpan w:val="2"/>
          </w:tcPr>
          <w:p>
            <w:pPr>
              <w:jc w:val="right"/>
              <w:ind w:right="420"/>
              <w:spacing w:after="0"/>
              <w:rPr>
                <w:sz w:val="20"/>
                <w:szCs w:val="20"/>
                <w:color w:val="auto"/>
              </w:rPr>
            </w:pPr>
            <w:r>
              <w:rPr>
                <w:rFonts w:ascii="Arial" w:cs="Arial" w:eastAsia="Arial" w:hAnsi="Arial"/>
                <w:sz w:val="14"/>
                <w:szCs w:val="14"/>
                <w:b w:val="1"/>
                <w:bCs w:val="1"/>
                <w:color w:val="auto"/>
                <w:w w:val="90"/>
              </w:rPr>
              <w:t>Tranche 8</w:t>
            </w:r>
          </w:p>
        </w:tc>
      </w:tr>
      <w:tr>
        <w:trPr>
          <w:trHeight w:val="210"/>
        </w:trPr>
        <w:tc>
          <w:tcPr>
            <w:tcW w:w="20" w:type="dxa"/>
            <w:vAlign w:val="bottom"/>
          </w:tcPr>
          <w:p>
            <w:pPr>
              <w:spacing w:after="0"/>
              <w:rPr>
                <w:sz w:val="18"/>
                <w:szCs w:val="18"/>
                <w:color w:val="auto"/>
              </w:rPr>
            </w:pPr>
          </w:p>
        </w:tc>
        <w:tc>
          <w:tcPr>
            <w:tcW w:w="24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Grant date</w:t>
            </w:r>
          </w:p>
        </w:tc>
        <w:tc>
          <w:tcPr>
            <w:tcW w:w="5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0"/>
              </w:rPr>
              <w:t>11/30/2017</w:t>
            </w:r>
          </w:p>
        </w:tc>
        <w:tc>
          <w:tcPr>
            <w:tcW w:w="520" w:type="dxa"/>
            <w:vAlign w:val="bottom"/>
            <w:tcBorders>
              <w:top w:val="single" w:sz="8" w:color="CCEEFF"/>
            </w:tcBorders>
            <w:shd w:val="clear" w:color="auto" w:fill="CCEEFF"/>
          </w:tcPr>
          <w:p>
            <w:pPr>
              <w:spacing w:after="0"/>
              <w:rPr>
                <w:sz w:val="18"/>
                <w:szCs w:val="18"/>
                <w:color w:val="auto"/>
              </w:rPr>
            </w:pPr>
          </w:p>
        </w:tc>
        <w:tc>
          <w:tcPr>
            <w:tcW w:w="4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8"/>
              </w:rPr>
              <w:t>11/30/2017</w:t>
            </w:r>
          </w:p>
        </w:tc>
        <w:tc>
          <w:tcPr>
            <w:tcW w:w="520" w:type="dxa"/>
            <w:vAlign w:val="bottom"/>
            <w:tcBorders>
              <w:top w:val="single" w:sz="8" w:color="CCEEFF"/>
            </w:tcBorders>
            <w:shd w:val="clear" w:color="auto" w:fill="CCEEFF"/>
          </w:tcPr>
          <w:p>
            <w:pPr>
              <w:spacing w:after="0"/>
              <w:rPr>
                <w:sz w:val="18"/>
                <w:szCs w:val="18"/>
                <w:color w:val="auto"/>
              </w:rPr>
            </w:pPr>
          </w:p>
        </w:tc>
        <w:tc>
          <w:tcPr>
            <w:tcW w:w="4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0"/>
              </w:rPr>
              <w:t>11/30/2017</w:t>
            </w:r>
          </w:p>
        </w:tc>
        <w:tc>
          <w:tcPr>
            <w:tcW w:w="540" w:type="dxa"/>
            <w:vAlign w:val="bottom"/>
            <w:tcBorders>
              <w:top w:val="single" w:sz="8" w:color="CCEEFF"/>
            </w:tcBorders>
            <w:shd w:val="clear" w:color="auto" w:fill="CCEEFF"/>
          </w:tcPr>
          <w:p>
            <w:pPr>
              <w:spacing w:after="0"/>
              <w:rPr>
                <w:sz w:val="18"/>
                <w:szCs w:val="18"/>
                <w:color w:val="auto"/>
              </w:rPr>
            </w:pPr>
          </w:p>
        </w:tc>
        <w:tc>
          <w:tcPr>
            <w:tcW w:w="38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0"/>
              </w:rPr>
              <w:t>11/30/2017</w:t>
            </w:r>
          </w:p>
        </w:tc>
        <w:tc>
          <w:tcPr>
            <w:tcW w:w="200" w:type="dxa"/>
            <w:vAlign w:val="bottom"/>
            <w:tcBorders>
              <w:top w:val="single" w:sz="8" w:color="CCEEFF"/>
            </w:tcBorders>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2420" w:type="dxa"/>
            <w:vAlign w:val="bottom"/>
          </w:tcPr>
          <w:p>
            <w:pPr>
              <w:spacing w:after="0"/>
              <w:rPr>
                <w:sz w:val="20"/>
                <w:szCs w:val="20"/>
                <w:color w:val="auto"/>
              </w:rPr>
            </w:pPr>
            <w:r>
              <w:rPr>
                <w:rFonts w:ascii="Arial" w:cs="Arial" w:eastAsia="Arial" w:hAnsi="Arial"/>
                <w:sz w:val="18"/>
                <w:szCs w:val="18"/>
                <w:color w:val="auto"/>
              </w:rPr>
              <w:t>Share price at date of grant</w:t>
            </w:r>
          </w:p>
        </w:tc>
        <w:tc>
          <w:tcPr>
            <w:tcW w:w="720" w:type="dxa"/>
            <w:vAlign w:val="bottom"/>
            <w:gridSpan w:val="2"/>
          </w:tcPr>
          <w:p>
            <w:pPr>
              <w:ind w:left="500"/>
              <w:spacing w:after="0"/>
              <w:rPr>
                <w:sz w:val="20"/>
                <w:szCs w:val="20"/>
                <w:color w:val="auto"/>
              </w:rPr>
            </w:pPr>
            <w:r>
              <w:rPr>
                <w:rFonts w:ascii="Arial" w:cs="Arial" w:eastAsia="Arial" w:hAnsi="Arial"/>
                <w:sz w:val="18"/>
                <w:szCs w:val="18"/>
                <w:color w:val="auto"/>
                <w:w w:val="90"/>
              </w:rPr>
              <w:t>A$</w:t>
            </w:r>
          </w:p>
        </w:tc>
        <w:tc>
          <w:tcPr>
            <w:tcW w:w="840" w:type="dxa"/>
            <w:vAlign w:val="bottom"/>
          </w:tcPr>
          <w:p>
            <w:pPr>
              <w:jc w:val="right"/>
              <w:spacing w:after="0"/>
              <w:rPr>
                <w:sz w:val="20"/>
                <w:szCs w:val="20"/>
                <w:color w:val="auto"/>
              </w:rPr>
            </w:pPr>
            <w:r>
              <w:rPr>
                <w:rFonts w:ascii="Arial" w:cs="Arial" w:eastAsia="Arial" w:hAnsi="Arial"/>
                <w:sz w:val="18"/>
                <w:szCs w:val="18"/>
                <w:color w:val="auto"/>
              </w:rPr>
              <w:t>0.061</w:t>
            </w:r>
          </w:p>
        </w:tc>
        <w:tc>
          <w:tcPr>
            <w:tcW w:w="520" w:type="dxa"/>
            <w:vAlign w:val="bottom"/>
          </w:tcPr>
          <w:p>
            <w:pPr>
              <w:spacing w:after="0"/>
              <w:rPr>
                <w:sz w:val="18"/>
                <w:szCs w:val="18"/>
                <w:color w:val="auto"/>
              </w:rPr>
            </w:pPr>
          </w:p>
        </w:tc>
        <w:tc>
          <w:tcPr>
            <w:tcW w:w="620" w:type="dxa"/>
            <w:vAlign w:val="bottom"/>
            <w:gridSpan w:val="2"/>
          </w:tcPr>
          <w:p>
            <w:pPr>
              <w:ind w:left="400"/>
              <w:spacing w:after="0"/>
              <w:rPr>
                <w:sz w:val="20"/>
                <w:szCs w:val="20"/>
                <w:color w:val="auto"/>
              </w:rPr>
            </w:pPr>
            <w:r>
              <w:rPr>
                <w:rFonts w:ascii="Arial" w:cs="Arial" w:eastAsia="Arial" w:hAnsi="Arial"/>
                <w:sz w:val="18"/>
                <w:szCs w:val="18"/>
                <w:color w:val="auto"/>
                <w:w w:val="90"/>
              </w:rPr>
              <w:t>A$</w:t>
            </w:r>
          </w:p>
        </w:tc>
        <w:tc>
          <w:tcPr>
            <w:tcW w:w="840" w:type="dxa"/>
            <w:vAlign w:val="bottom"/>
          </w:tcPr>
          <w:p>
            <w:pPr>
              <w:jc w:val="right"/>
              <w:spacing w:after="0"/>
              <w:rPr>
                <w:sz w:val="20"/>
                <w:szCs w:val="20"/>
                <w:color w:val="auto"/>
              </w:rPr>
            </w:pPr>
            <w:r>
              <w:rPr>
                <w:rFonts w:ascii="Arial" w:cs="Arial" w:eastAsia="Arial" w:hAnsi="Arial"/>
                <w:sz w:val="18"/>
                <w:szCs w:val="18"/>
                <w:color w:val="auto"/>
              </w:rPr>
              <w:t>0.061</w:t>
            </w:r>
          </w:p>
        </w:tc>
        <w:tc>
          <w:tcPr>
            <w:tcW w:w="520" w:type="dxa"/>
            <w:vAlign w:val="bottom"/>
          </w:tcPr>
          <w:p>
            <w:pPr>
              <w:spacing w:after="0"/>
              <w:rPr>
                <w:sz w:val="18"/>
                <w:szCs w:val="18"/>
                <w:color w:val="auto"/>
              </w:rPr>
            </w:pPr>
          </w:p>
        </w:tc>
        <w:tc>
          <w:tcPr>
            <w:tcW w:w="620" w:type="dxa"/>
            <w:vAlign w:val="bottom"/>
            <w:gridSpan w:val="2"/>
          </w:tcPr>
          <w:p>
            <w:pPr>
              <w:ind w:left="400"/>
              <w:spacing w:after="0"/>
              <w:rPr>
                <w:sz w:val="20"/>
                <w:szCs w:val="20"/>
                <w:color w:val="auto"/>
              </w:rPr>
            </w:pPr>
            <w:r>
              <w:rPr>
                <w:rFonts w:ascii="Arial" w:cs="Arial" w:eastAsia="Arial" w:hAnsi="Arial"/>
                <w:sz w:val="18"/>
                <w:szCs w:val="18"/>
                <w:color w:val="auto"/>
                <w:w w:val="90"/>
              </w:rPr>
              <w:t>A$</w:t>
            </w:r>
          </w:p>
        </w:tc>
        <w:tc>
          <w:tcPr>
            <w:tcW w:w="840" w:type="dxa"/>
            <w:vAlign w:val="bottom"/>
          </w:tcPr>
          <w:p>
            <w:pPr>
              <w:jc w:val="right"/>
              <w:spacing w:after="0"/>
              <w:rPr>
                <w:sz w:val="20"/>
                <w:szCs w:val="20"/>
                <w:color w:val="auto"/>
              </w:rPr>
            </w:pPr>
            <w:r>
              <w:rPr>
                <w:rFonts w:ascii="Arial" w:cs="Arial" w:eastAsia="Arial" w:hAnsi="Arial"/>
                <w:sz w:val="18"/>
                <w:szCs w:val="18"/>
                <w:color w:val="auto"/>
              </w:rPr>
              <w:t>0.061</w:t>
            </w:r>
          </w:p>
        </w:tc>
        <w:tc>
          <w:tcPr>
            <w:tcW w:w="540" w:type="dxa"/>
            <w:vAlign w:val="bottom"/>
          </w:tcPr>
          <w:p>
            <w:pPr>
              <w:spacing w:after="0"/>
              <w:rPr>
                <w:sz w:val="18"/>
                <w:szCs w:val="18"/>
                <w:color w:val="auto"/>
              </w:rPr>
            </w:pPr>
          </w:p>
        </w:tc>
        <w:tc>
          <w:tcPr>
            <w:tcW w:w="600" w:type="dxa"/>
            <w:vAlign w:val="bottom"/>
            <w:gridSpan w:val="2"/>
          </w:tcPr>
          <w:p>
            <w:pPr>
              <w:ind w:left="380"/>
              <w:spacing w:after="0"/>
              <w:rPr>
                <w:sz w:val="20"/>
                <w:szCs w:val="20"/>
                <w:color w:val="auto"/>
              </w:rPr>
            </w:pPr>
            <w:r>
              <w:rPr>
                <w:rFonts w:ascii="Arial" w:cs="Arial" w:eastAsia="Arial" w:hAnsi="Arial"/>
                <w:sz w:val="18"/>
                <w:szCs w:val="18"/>
                <w:color w:val="auto"/>
                <w:w w:val="90"/>
              </w:rPr>
              <w:t>A$</w:t>
            </w:r>
          </w:p>
        </w:tc>
        <w:tc>
          <w:tcPr>
            <w:tcW w:w="840" w:type="dxa"/>
            <w:vAlign w:val="bottom"/>
          </w:tcPr>
          <w:p>
            <w:pPr>
              <w:jc w:val="right"/>
              <w:spacing w:after="0"/>
              <w:rPr>
                <w:sz w:val="20"/>
                <w:szCs w:val="20"/>
                <w:color w:val="auto"/>
              </w:rPr>
            </w:pPr>
            <w:r>
              <w:rPr>
                <w:rFonts w:ascii="Arial" w:cs="Arial" w:eastAsia="Arial" w:hAnsi="Arial"/>
                <w:sz w:val="18"/>
                <w:szCs w:val="18"/>
                <w:color w:val="auto"/>
              </w:rPr>
              <w:t>0.061</w:t>
            </w:r>
          </w:p>
        </w:tc>
        <w:tc>
          <w:tcPr>
            <w:tcW w:w="2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2420" w:type="dxa"/>
            <w:vAlign w:val="bottom"/>
            <w:shd w:val="clear" w:color="auto" w:fill="CCEEFF"/>
          </w:tcPr>
          <w:p>
            <w:pPr>
              <w:spacing w:after="0"/>
              <w:rPr>
                <w:sz w:val="20"/>
                <w:szCs w:val="20"/>
                <w:color w:val="auto"/>
              </w:rPr>
            </w:pPr>
            <w:r>
              <w:rPr>
                <w:rFonts w:ascii="Arial" w:cs="Arial" w:eastAsia="Arial" w:hAnsi="Arial"/>
                <w:sz w:val="18"/>
                <w:szCs w:val="18"/>
                <w:color w:val="auto"/>
              </w:rPr>
              <w:t>Exercise price</w:t>
            </w:r>
          </w:p>
        </w:tc>
        <w:tc>
          <w:tcPr>
            <w:tcW w:w="720" w:type="dxa"/>
            <w:vAlign w:val="bottom"/>
            <w:gridSpan w:val="2"/>
            <w:shd w:val="clear" w:color="auto" w:fill="CCEEFF"/>
          </w:tcPr>
          <w:p>
            <w:pPr>
              <w:ind w:left="500"/>
              <w:spacing w:after="0"/>
              <w:rPr>
                <w:sz w:val="20"/>
                <w:szCs w:val="20"/>
                <w:color w:val="auto"/>
              </w:rPr>
            </w:pPr>
            <w:r>
              <w:rPr>
                <w:rFonts w:ascii="Arial" w:cs="Arial" w:eastAsia="Arial" w:hAnsi="Arial"/>
                <w:sz w:val="18"/>
                <w:szCs w:val="18"/>
                <w:color w:val="auto"/>
                <w:w w:val="90"/>
              </w:rPr>
              <w:t>A$</w:t>
            </w:r>
          </w:p>
        </w:tc>
        <w:tc>
          <w:tcPr>
            <w:tcW w:w="136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nil</w:t>
            </w:r>
          </w:p>
        </w:tc>
        <w:tc>
          <w:tcPr>
            <w:tcW w:w="62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w w:val="90"/>
              </w:rPr>
              <w:t>A$</w:t>
            </w:r>
          </w:p>
        </w:tc>
        <w:tc>
          <w:tcPr>
            <w:tcW w:w="136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nil</w:t>
            </w:r>
          </w:p>
        </w:tc>
        <w:tc>
          <w:tcPr>
            <w:tcW w:w="62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w w:val="90"/>
              </w:rPr>
              <w:t>A$</w:t>
            </w:r>
          </w:p>
        </w:tc>
        <w:tc>
          <w:tcPr>
            <w:tcW w:w="138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nil</w:t>
            </w:r>
          </w:p>
        </w:tc>
        <w:tc>
          <w:tcPr>
            <w:tcW w:w="600" w:type="dxa"/>
            <w:vAlign w:val="bottom"/>
            <w:gridSpan w:val="2"/>
            <w:shd w:val="clear" w:color="auto" w:fill="CCEEFF"/>
          </w:tcPr>
          <w:p>
            <w:pPr>
              <w:ind w:left="380"/>
              <w:spacing w:after="0"/>
              <w:rPr>
                <w:sz w:val="20"/>
                <w:szCs w:val="20"/>
                <w:color w:val="auto"/>
              </w:rPr>
            </w:pPr>
            <w:r>
              <w:rPr>
                <w:rFonts w:ascii="Arial" w:cs="Arial" w:eastAsia="Arial" w:hAnsi="Arial"/>
                <w:sz w:val="18"/>
                <w:szCs w:val="18"/>
                <w:color w:val="auto"/>
                <w:w w:val="90"/>
              </w:rPr>
              <w:t>A$</w:t>
            </w:r>
          </w:p>
        </w:tc>
        <w:tc>
          <w:tcPr>
            <w:tcW w:w="10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nil</w:t>
            </w:r>
          </w:p>
        </w:tc>
      </w:tr>
      <w:tr>
        <w:trPr>
          <w:trHeight w:val="216"/>
        </w:trPr>
        <w:tc>
          <w:tcPr>
            <w:tcW w:w="20" w:type="dxa"/>
            <w:vAlign w:val="bottom"/>
          </w:tcPr>
          <w:p>
            <w:pPr>
              <w:spacing w:after="0"/>
              <w:rPr>
                <w:sz w:val="18"/>
                <w:szCs w:val="18"/>
                <w:color w:val="auto"/>
              </w:rPr>
            </w:pPr>
          </w:p>
        </w:tc>
        <w:tc>
          <w:tcPr>
            <w:tcW w:w="2420" w:type="dxa"/>
            <w:vAlign w:val="bottom"/>
          </w:tcPr>
          <w:p>
            <w:pPr>
              <w:spacing w:after="0"/>
              <w:rPr>
                <w:sz w:val="20"/>
                <w:szCs w:val="20"/>
                <w:color w:val="auto"/>
              </w:rPr>
            </w:pPr>
            <w:r>
              <w:rPr>
                <w:rFonts w:ascii="Arial" w:cs="Arial" w:eastAsia="Arial" w:hAnsi="Arial"/>
                <w:sz w:val="18"/>
                <w:szCs w:val="18"/>
                <w:color w:val="auto"/>
              </w:rPr>
              <w:t>Vesting hurdle</w:t>
            </w:r>
          </w:p>
        </w:tc>
        <w:tc>
          <w:tcPr>
            <w:tcW w:w="720" w:type="dxa"/>
            <w:vAlign w:val="bottom"/>
            <w:gridSpan w:val="2"/>
          </w:tcPr>
          <w:p>
            <w:pPr>
              <w:ind w:left="500"/>
              <w:spacing w:after="0"/>
              <w:rPr>
                <w:sz w:val="20"/>
                <w:szCs w:val="20"/>
                <w:color w:val="auto"/>
              </w:rPr>
            </w:pPr>
            <w:r>
              <w:rPr>
                <w:rFonts w:ascii="Arial" w:cs="Arial" w:eastAsia="Arial" w:hAnsi="Arial"/>
                <w:sz w:val="18"/>
                <w:szCs w:val="18"/>
                <w:color w:val="auto"/>
                <w:w w:val="90"/>
              </w:rPr>
              <w:t>A$</w:t>
            </w:r>
          </w:p>
        </w:tc>
        <w:tc>
          <w:tcPr>
            <w:tcW w:w="840" w:type="dxa"/>
            <w:vAlign w:val="bottom"/>
          </w:tcPr>
          <w:p>
            <w:pPr>
              <w:jc w:val="right"/>
              <w:spacing w:after="0"/>
              <w:rPr>
                <w:sz w:val="20"/>
                <w:szCs w:val="20"/>
                <w:color w:val="auto"/>
              </w:rPr>
            </w:pPr>
            <w:r>
              <w:rPr>
                <w:rFonts w:ascii="Arial" w:cs="Arial" w:eastAsia="Arial" w:hAnsi="Arial"/>
                <w:sz w:val="18"/>
                <w:szCs w:val="18"/>
                <w:color w:val="auto"/>
              </w:rPr>
              <w:t>0.183</w:t>
            </w:r>
          </w:p>
        </w:tc>
        <w:tc>
          <w:tcPr>
            <w:tcW w:w="520" w:type="dxa"/>
            <w:vAlign w:val="bottom"/>
          </w:tcPr>
          <w:p>
            <w:pPr>
              <w:spacing w:after="0"/>
              <w:rPr>
                <w:sz w:val="18"/>
                <w:szCs w:val="18"/>
                <w:color w:val="auto"/>
              </w:rPr>
            </w:pPr>
          </w:p>
        </w:tc>
        <w:tc>
          <w:tcPr>
            <w:tcW w:w="620" w:type="dxa"/>
            <w:vAlign w:val="bottom"/>
            <w:gridSpan w:val="2"/>
          </w:tcPr>
          <w:p>
            <w:pPr>
              <w:ind w:left="400"/>
              <w:spacing w:after="0"/>
              <w:rPr>
                <w:sz w:val="20"/>
                <w:szCs w:val="20"/>
                <w:color w:val="auto"/>
              </w:rPr>
            </w:pPr>
            <w:r>
              <w:rPr>
                <w:rFonts w:ascii="Arial" w:cs="Arial" w:eastAsia="Arial" w:hAnsi="Arial"/>
                <w:sz w:val="18"/>
                <w:szCs w:val="18"/>
                <w:color w:val="auto"/>
                <w:w w:val="90"/>
              </w:rPr>
              <w:t>A$</w:t>
            </w:r>
          </w:p>
        </w:tc>
        <w:tc>
          <w:tcPr>
            <w:tcW w:w="840" w:type="dxa"/>
            <w:vAlign w:val="bottom"/>
          </w:tcPr>
          <w:p>
            <w:pPr>
              <w:jc w:val="right"/>
              <w:spacing w:after="0"/>
              <w:rPr>
                <w:sz w:val="20"/>
                <w:szCs w:val="20"/>
                <w:color w:val="auto"/>
              </w:rPr>
            </w:pPr>
            <w:r>
              <w:rPr>
                <w:rFonts w:ascii="Arial" w:cs="Arial" w:eastAsia="Arial" w:hAnsi="Arial"/>
                <w:sz w:val="18"/>
                <w:szCs w:val="18"/>
                <w:color w:val="auto"/>
              </w:rPr>
              <w:t>0.244</w:t>
            </w:r>
          </w:p>
        </w:tc>
        <w:tc>
          <w:tcPr>
            <w:tcW w:w="5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80" w:type="dxa"/>
            <w:vAlign w:val="bottom"/>
            <w:gridSpan w:val="2"/>
          </w:tcPr>
          <w:p>
            <w:pPr>
              <w:jc w:val="right"/>
              <w:ind w:right="540"/>
              <w:spacing w:after="0"/>
              <w:rPr>
                <w:sz w:val="20"/>
                <w:szCs w:val="20"/>
                <w:color w:val="auto"/>
              </w:rPr>
            </w:pPr>
            <w:r>
              <w:rPr>
                <w:rFonts w:ascii="Arial" w:cs="Arial" w:eastAsia="Arial" w:hAnsi="Arial"/>
                <w:sz w:val="18"/>
                <w:szCs w:val="18"/>
                <w:color w:val="auto"/>
              </w:rPr>
              <w:t>n/a</w:t>
            </w:r>
          </w:p>
        </w:tc>
        <w:tc>
          <w:tcPr>
            <w:tcW w:w="3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40" w:type="dxa"/>
            <w:vAlign w:val="bottom"/>
            <w:gridSpan w:val="2"/>
          </w:tcPr>
          <w:p>
            <w:pPr>
              <w:jc w:val="right"/>
              <w:ind w:right="200"/>
              <w:spacing w:after="0"/>
              <w:rPr>
                <w:sz w:val="20"/>
                <w:szCs w:val="20"/>
                <w:color w:val="auto"/>
              </w:rPr>
            </w:pPr>
            <w:r>
              <w:rPr>
                <w:rFonts w:ascii="Arial" w:cs="Arial" w:eastAsia="Arial" w:hAnsi="Arial"/>
                <w:sz w:val="18"/>
                <w:szCs w:val="18"/>
                <w:color w:val="auto"/>
              </w:rPr>
              <w:t>n/a</w:t>
            </w:r>
          </w:p>
        </w:tc>
      </w:tr>
      <w:tr>
        <w:trPr>
          <w:trHeight w:val="216"/>
        </w:trPr>
        <w:tc>
          <w:tcPr>
            <w:tcW w:w="20" w:type="dxa"/>
            <w:vAlign w:val="bottom"/>
          </w:tcPr>
          <w:p>
            <w:pPr>
              <w:spacing w:after="0"/>
              <w:rPr>
                <w:sz w:val="18"/>
                <w:szCs w:val="18"/>
                <w:color w:val="auto"/>
              </w:rPr>
            </w:pPr>
          </w:p>
        </w:tc>
        <w:tc>
          <w:tcPr>
            <w:tcW w:w="2420" w:type="dxa"/>
            <w:vAlign w:val="bottom"/>
            <w:shd w:val="clear" w:color="auto" w:fill="CCEEFF"/>
          </w:tcPr>
          <w:p>
            <w:pPr>
              <w:spacing w:after="0"/>
              <w:rPr>
                <w:sz w:val="20"/>
                <w:szCs w:val="20"/>
                <w:color w:val="auto"/>
              </w:rPr>
            </w:pPr>
            <w:r>
              <w:rPr>
                <w:rFonts w:ascii="Arial" w:cs="Arial" w:eastAsia="Arial" w:hAnsi="Arial"/>
                <w:sz w:val="18"/>
                <w:szCs w:val="18"/>
                <w:color w:val="auto"/>
              </w:rPr>
              <w:t>Expiry period</w:t>
            </w:r>
          </w:p>
        </w:tc>
        <w:tc>
          <w:tcPr>
            <w:tcW w:w="5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0"/>
              </w:rPr>
              <w:t>11/30/2027</w:t>
            </w:r>
          </w:p>
        </w:tc>
        <w:tc>
          <w:tcPr>
            <w:tcW w:w="5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11/30/2027</w:t>
            </w:r>
          </w:p>
        </w:tc>
        <w:tc>
          <w:tcPr>
            <w:tcW w:w="5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0"/>
              </w:rPr>
              <w:t>11/30/2027</w:t>
            </w:r>
          </w:p>
        </w:tc>
        <w:tc>
          <w:tcPr>
            <w:tcW w:w="5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0"/>
              </w:rPr>
              <w:t>11/30/2027</w:t>
            </w:r>
          </w:p>
        </w:tc>
        <w:tc>
          <w:tcPr>
            <w:tcW w:w="2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2420" w:type="dxa"/>
            <w:vAlign w:val="bottom"/>
          </w:tcPr>
          <w:p>
            <w:pPr>
              <w:spacing w:after="0"/>
              <w:rPr>
                <w:sz w:val="20"/>
                <w:szCs w:val="20"/>
                <w:color w:val="auto"/>
              </w:rPr>
            </w:pPr>
            <w:r>
              <w:rPr>
                <w:rFonts w:ascii="Arial" w:cs="Arial" w:eastAsia="Arial" w:hAnsi="Arial"/>
                <w:sz w:val="18"/>
                <w:szCs w:val="18"/>
                <w:color w:val="auto"/>
              </w:rPr>
              <w:t>Dividend yield (%)</w:t>
            </w:r>
          </w:p>
        </w:tc>
        <w:tc>
          <w:tcPr>
            <w:tcW w:w="5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60" w:type="dxa"/>
            <w:vAlign w:val="bottom"/>
            <w:gridSpan w:val="2"/>
          </w:tcPr>
          <w:p>
            <w:pPr>
              <w:jc w:val="right"/>
              <w:ind w:right="380"/>
              <w:spacing w:after="0"/>
              <w:rPr>
                <w:sz w:val="20"/>
                <w:szCs w:val="20"/>
                <w:color w:val="auto"/>
              </w:rPr>
            </w:pPr>
            <w:r>
              <w:rPr>
                <w:rFonts w:ascii="Arial" w:cs="Arial" w:eastAsia="Arial" w:hAnsi="Arial"/>
                <w:sz w:val="18"/>
                <w:szCs w:val="18"/>
                <w:color w:val="auto"/>
              </w:rPr>
              <w:t>0%</w:t>
            </w:r>
          </w:p>
        </w:tc>
        <w:tc>
          <w:tcPr>
            <w:tcW w:w="4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60" w:type="dxa"/>
            <w:vAlign w:val="bottom"/>
            <w:gridSpan w:val="2"/>
          </w:tcPr>
          <w:p>
            <w:pPr>
              <w:jc w:val="right"/>
              <w:ind w:right="380"/>
              <w:spacing w:after="0"/>
              <w:rPr>
                <w:sz w:val="20"/>
                <w:szCs w:val="20"/>
                <w:color w:val="auto"/>
              </w:rPr>
            </w:pPr>
            <w:r>
              <w:rPr>
                <w:rFonts w:ascii="Arial" w:cs="Arial" w:eastAsia="Arial" w:hAnsi="Arial"/>
                <w:sz w:val="18"/>
                <w:szCs w:val="18"/>
                <w:color w:val="auto"/>
              </w:rPr>
              <w:t>0%</w:t>
            </w:r>
          </w:p>
        </w:tc>
        <w:tc>
          <w:tcPr>
            <w:tcW w:w="4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80" w:type="dxa"/>
            <w:vAlign w:val="bottom"/>
            <w:gridSpan w:val="2"/>
          </w:tcPr>
          <w:p>
            <w:pPr>
              <w:jc w:val="right"/>
              <w:ind w:right="400"/>
              <w:spacing w:after="0"/>
              <w:rPr>
                <w:sz w:val="20"/>
                <w:szCs w:val="20"/>
                <w:color w:val="auto"/>
              </w:rPr>
            </w:pPr>
            <w:r>
              <w:rPr>
                <w:rFonts w:ascii="Arial" w:cs="Arial" w:eastAsia="Arial" w:hAnsi="Arial"/>
                <w:sz w:val="18"/>
                <w:szCs w:val="18"/>
                <w:color w:val="auto"/>
              </w:rPr>
              <w:t>0%</w:t>
            </w:r>
          </w:p>
        </w:tc>
        <w:tc>
          <w:tcPr>
            <w:tcW w:w="3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40" w:type="dxa"/>
            <w:vAlign w:val="bottom"/>
            <w:gridSpan w:val="2"/>
          </w:tcPr>
          <w:p>
            <w:pPr>
              <w:jc w:val="right"/>
              <w:ind w:right="60"/>
              <w:spacing w:after="0"/>
              <w:rPr>
                <w:sz w:val="20"/>
                <w:szCs w:val="20"/>
                <w:color w:val="auto"/>
              </w:rPr>
            </w:pPr>
            <w:r>
              <w:rPr>
                <w:rFonts w:ascii="Arial" w:cs="Arial" w:eastAsia="Arial" w:hAnsi="Arial"/>
                <w:sz w:val="18"/>
                <w:szCs w:val="18"/>
                <w:color w:val="auto"/>
              </w:rPr>
              <w:t>0%</w:t>
            </w:r>
          </w:p>
        </w:tc>
      </w:tr>
      <w:tr>
        <w:trPr>
          <w:trHeight w:val="216"/>
        </w:trPr>
        <w:tc>
          <w:tcPr>
            <w:tcW w:w="20" w:type="dxa"/>
            <w:vAlign w:val="bottom"/>
          </w:tcPr>
          <w:p>
            <w:pPr>
              <w:spacing w:after="0"/>
              <w:rPr>
                <w:sz w:val="18"/>
                <w:szCs w:val="18"/>
                <w:color w:val="auto"/>
              </w:rPr>
            </w:pPr>
          </w:p>
        </w:tc>
        <w:tc>
          <w:tcPr>
            <w:tcW w:w="2420" w:type="dxa"/>
            <w:vAlign w:val="bottom"/>
            <w:shd w:val="clear" w:color="auto" w:fill="CCEEFF"/>
          </w:tcPr>
          <w:p>
            <w:pPr>
              <w:spacing w:after="0"/>
              <w:rPr>
                <w:sz w:val="20"/>
                <w:szCs w:val="20"/>
                <w:color w:val="auto"/>
              </w:rPr>
            </w:pPr>
            <w:r>
              <w:rPr>
                <w:rFonts w:ascii="Arial" w:cs="Arial" w:eastAsia="Arial" w:hAnsi="Arial"/>
                <w:sz w:val="18"/>
                <w:szCs w:val="18"/>
                <w:color w:val="auto"/>
              </w:rPr>
              <w:t>Expected volatility (%)</w:t>
            </w:r>
          </w:p>
        </w:tc>
        <w:tc>
          <w:tcPr>
            <w:tcW w:w="5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70%</w:t>
            </w:r>
          </w:p>
        </w:tc>
        <w:tc>
          <w:tcPr>
            <w:tcW w:w="4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70%</w:t>
            </w:r>
          </w:p>
        </w:tc>
        <w:tc>
          <w:tcPr>
            <w:tcW w:w="4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70%</w:t>
            </w:r>
          </w:p>
        </w:tc>
        <w:tc>
          <w:tcPr>
            <w:tcW w:w="3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70%</w:t>
            </w:r>
          </w:p>
        </w:tc>
      </w:tr>
      <w:tr>
        <w:trPr>
          <w:trHeight w:val="230"/>
        </w:trPr>
        <w:tc>
          <w:tcPr>
            <w:tcW w:w="20" w:type="dxa"/>
            <w:vAlign w:val="bottom"/>
          </w:tcPr>
          <w:p>
            <w:pPr>
              <w:spacing w:after="0"/>
              <w:rPr>
                <w:sz w:val="20"/>
                <w:szCs w:val="20"/>
                <w:color w:val="auto"/>
              </w:rPr>
            </w:pPr>
          </w:p>
        </w:tc>
        <w:tc>
          <w:tcPr>
            <w:tcW w:w="2420" w:type="dxa"/>
            <w:vAlign w:val="bottom"/>
          </w:tcPr>
          <w:p>
            <w:pPr>
              <w:spacing w:after="0"/>
              <w:rPr>
                <w:sz w:val="20"/>
                <w:szCs w:val="20"/>
                <w:color w:val="auto"/>
              </w:rPr>
            </w:pPr>
            <w:r>
              <w:rPr>
                <w:rFonts w:ascii="Arial" w:cs="Arial" w:eastAsia="Arial" w:hAnsi="Arial"/>
                <w:sz w:val="18"/>
                <w:szCs w:val="18"/>
                <w:color w:val="auto"/>
              </w:rPr>
              <w:t>Risk-free interest rate (%)</w:t>
            </w:r>
          </w:p>
        </w:tc>
        <w:tc>
          <w:tcPr>
            <w:tcW w:w="5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60" w:type="dxa"/>
            <w:vAlign w:val="bottom"/>
            <w:gridSpan w:val="2"/>
          </w:tcPr>
          <w:p>
            <w:pPr>
              <w:jc w:val="right"/>
              <w:ind w:right="380"/>
              <w:spacing w:after="0"/>
              <w:rPr>
                <w:sz w:val="20"/>
                <w:szCs w:val="20"/>
                <w:color w:val="auto"/>
              </w:rPr>
            </w:pPr>
            <w:r>
              <w:rPr>
                <w:rFonts w:ascii="Arial" w:cs="Arial" w:eastAsia="Arial" w:hAnsi="Arial"/>
                <w:sz w:val="18"/>
                <w:szCs w:val="18"/>
                <w:color w:val="auto"/>
              </w:rPr>
              <w:t>2.47%</w:t>
            </w:r>
          </w:p>
        </w:tc>
        <w:tc>
          <w:tcPr>
            <w:tcW w:w="4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60" w:type="dxa"/>
            <w:vAlign w:val="bottom"/>
            <w:gridSpan w:val="2"/>
          </w:tcPr>
          <w:p>
            <w:pPr>
              <w:jc w:val="right"/>
              <w:ind w:right="380"/>
              <w:spacing w:after="0"/>
              <w:rPr>
                <w:sz w:val="20"/>
                <w:szCs w:val="20"/>
                <w:color w:val="auto"/>
              </w:rPr>
            </w:pPr>
            <w:r>
              <w:rPr>
                <w:rFonts w:ascii="Arial" w:cs="Arial" w:eastAsia="Arial" w:hAnsi="Arial"/>
                <w:sz w:val="18"/>
                <w:szCs w:val="18"/>
                <w:color w:val="auto"/>
              </w:rPr>
              <w:t>2.47%</w:t>
            </w:r>
          </w:p>
        </w:tc>
        <w:tc>
          <w:tcPr>
            <w:tcW w:w="4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80" w:type="dxa"/>
            <w:vAlign w:val="bottom"/>
            <w:gridSpan w:val="2"/>
          </w:tcPr>
          <w:p>
            <w:pPr>
              <w:jc w:val="right"/>
              <w:ind w:right="400"/>
              <w:spacing w:after="0"/>
              <w:rPr>
                <w:sz w:val="20"/>
                <w:szCs w:val="20"/>
                <w:color w:val="auto"/>
              </w:rPr>
            </w:pPr>
            <w:r>
              <w:rPr>
                <w:rFonts w:ascii="Arial" w:cs="Arial" w:eastAsia="Arial" w:hAnsi="Arial"/>
                <w:sz w:val="18"/>
                <w:szCs w:val="18"/>
                <w:color w:val="auto"/>
              </w:rPr>
              <w:t>2.47%</w:t>
            </w:r>
          </w:p>
        </w:tc>
        <w:tc>
          <w:tcPr>
            <w:tcW w:w="3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40" w:type="dxa"/>
            <w:vAlign w:val="bottom"/>
            <w:gridSpan w:val="2"/>
          </w:tcPr>
          <w:p>
            <w:pPr>
              <w:jc w:val="right"/>
              <w:ind w:right="60"/>
              <w:spacing w:after="0"/>
              <w:rPr>
                <w:sz w:val="20"/>
                <w:szCs w:val="20"/>
                <w:color w:val="auto"/>
              </w:rPr>
            </w:pPr>
            <w:r>
              <w:rPr>
                <w:rFonts w:ascii="Arial" w:cs="Arial" w:eastAsia="Arial" w:hAnsi="Arial"/>
                <w:sz w:val="18"/>
                <w:szCs w:val="18"/>
                <w:color w:val="auto"/>
              </w:rPr>
              <w:t>2.47%</w:t>
            </w:r>
          </w:p>
        </w:tc>
      </w:tr>
    </w:tbl>
    <w:p>
      <w:pPr>
        <w:spacing w:after="0" w:line="332" w:lineRule="exact"/>
        <w:rPr>
          <w:sz w:val="20"/>
          <w:szCs w:val="20"/>
          <w:color w:val="auto"/>
        </w:rPr>
      </w:pPr>
    </w:p>
    <w:p>
      <w:pPr>
        <w:ind w:left="640" w:hanging="436"/>
        <w:spacing w:after="0"/>
        <w:tabs>
          <w:tab w:leader="none" w:pos="640" w:val="left"/>
        </w:tabs>
        <w:numPr>
          <w:ilvl w:val="0"/>
          <w:numId w:val="178"/>
        </w:numPr>
        <w:rPr>
          <w:rFonts w:ascii="Arial" w:cs="Arial" w:eastAsia="Arial" w:hAnsi="Arial"/>
          <w:sz w:val="18"/>
          <w:szCs w:val="18"/>
          <w:b w:val="1"/>
          <w:bCs w:val="1"/>
          <w:color w:val="auto"/>
        </w:rPr>
      </w:pPr>
      <w:r>
        <w:rPr>
          <w:rFonts w:ascii="Arial" w:cs="Arial" w:eastAsia="Arial" w:hAnsi="Arial"/>
          <w:sz w:val="18"/>
          <w:szCs w:val="18"/>
          <w:b w:val="1"/>
          <w:bCs w:val="1"/>
          <w:color w:val="auto"/>
        </w:rPr>
        <w:t>SEGMENT INFORMATION</w:t>
      </w:r>
    </w:p>
    <w:p>
      <w:pPr>
        <w:spacing w:after="0" w:line="121" w:lineRule="exact"/>
        <w:rPr>
          <w:sz w:val="20"/>
          <w:szCs w:val="20"/>
          <w:color w:val="auto"/>
        </w:rPr>
      </w:pPr>
    </w:p>
    <w:p>
      <w:pPr>
        <w:ind w:left="200" w:right="40"/>
        <w:spacing w:after="0" w:line="264" w:lineRule="auto"/>
        <w:rPr>
          <w:sz w:val="20"/>
          <w:szCs w:val="20"/>
          <w:color w:val="auto"/>
        </w:rPr>
      </w:pPr>
      <w:r>
        <w:rPr>
          <w:rFonts w:ascii="Arial" w:cs="Arial" w:eastAsia="Arial" w:hAnsi="Arial"/>
          <w:sz w:val="18"/>
          <w:szCs w:val="18"/>
          <w:color w:val="auto"/>
        </w:rPr>
        <w:t>Operating segments are identified on the basis of internal reports about components of the Company that are regularly reviewed by the chief operating decision maker to allocate resources to the segment and to assess its performance. The Company’s chief operating decision maker has been identified as the Chief Executive Officer.</w:t>
      </w:r>
    </w:p>
    <w:p>
      <w:pPr>
        <w:spacing w:after="0" w:line="114"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F-40</w:t>
      </w:r>
    </w:p>
    <w:p>
      <w:pPr>
        <w:sectPr>
          <w:pgSz w:w="11900" w:h="16838" w:orient="portrait"/>
          <w:cols w:equalWidth="0" w:num="1">
            <w:col w:w="11200"/>
          </w:cols>
          <w:pgMar w:left="240" w:top="459" w:right="459" w:bottom="1440" w:gutter="0" w:footer="0" w:header="0"/>
        </w:sectPr>
      </w:pPr>
    </w:p>
    <w:bookmarkStart w:id="139" w:name="page140"/>
    <w:bookmarkEnd w:id="13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8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AVITA MEDICAL LIMITED</w:t>
      </w:r>
    </w:p>
    <w:p>
      <w:pPr>
        <w:spacing w:after="0" w:line="27"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9"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(IN AUSTRALIAN DOLLARS)</w:t>
      </w:r>
    </w:p>
    <w:p>
      <w:pPr>
        <w:spacing w:after="0" w:line="234" w:lineRule="exact"/>
        <w:rPr>
          <w:sz w:val="20"/>
          <w:szCs w:val="20"/>
          <w:color w:val="auto"/>
        </w:rPr>
      </w:pPr>
    </w:p>
    <w:p>
      <w:pPr>
        <w:ind w:left="640" w:hanging="436"/>
        <w:spacing w:after="0"/>
        <w:tabs>
          <w:tab w:leader="none" w:pos="640" w:val="left"/>
        </w:tabs>
        <w:numPr>
          <w:ilvl w:val="0"/>
          <w:numId w:val="179"/>
        </w:numPr>
        <w:rPr>
          <w:rFonts w:ascii="Arial" w:cs="Arial" w:eastAsia="Arial" w:hAnsi="Arial"/>
          <w:sz w:val="18"/>
          <w:szCs w:val="18"/>
          <w:b w:val="1"/>
          <w:bCs w:val="1"/>
          <w:color w:val="auto"/>
        </w:rPr>
      </w:pPr>
      <w:r>
        <w:rPr>
          <w:rFonts w:ascii="Arial" w:cs="Arial" w:eastAsia="Arial" w:hAnsi="Arial"/>
          <w:sz w:val="18"/>
          <w:szCs w:val="18"/>
          <w:b w:val="1"/>
          <w:bCs w:val="1"/>
          <w:color w:val="auto"/>
        </w:rPr>
        <w:t>SEGMENT INFORMATION (CONTINUED)</w:t>
      </w:r>
    </w:p>
    <w:p>
      <w:pPr>
        <w:spacing w:after="0" w:line="135" w:lineRule="exact"/>
        <w:rPr>
          <w:sz w:val="20"/>
          <w:szCs w:val="20"/>
          <w:color w:val="auto"/>
        </w:rPr>
      </w:pPr>
    </w:p>
    <w:p>
      <w:pPr>
        <w:ind w:left="200" w:right="220"/>
        <w:spacing w:after="0" w:line="312" w:lineRule="auto"/>
        <w:rPr>
          <w:sz w:val="20"/>
          <w:szCs w:val="20"/>
          <w:color w:val="auto"/>
        </w:rPr>
      </w:pPr>
      <w:r>
        <w:rPr>
          <w:rFonts w:ascii="Arial" w:cs="Arial" w:eastAsia="Arial" w:hAnsi="Arial"/>
          <w:sz w:val="16"/>
          <w:szCs w:val="16"/>
          <w:color w:val="auto"/>
        </w:rPr>
        <w:t>The Chief Executive Officer reviews the financial and operating performance of the business primarily from a geographic perspective. On this basis, management have identified three reportable operating segments being the Asia Pacific, Europe and Americas including Canada. The Chief Executive Officer monitors the performance of all these segments separately. The Company does not operate in any other geographic segment.</w:t>
      </w:r>
    </w:p>
    <w:p>
      <w:pPr>
        <w:spacing w:after="0" w:line="147" w:lineRule="exact"/>
        <w:rPr>
          <w:sz w:val="20"/>
          <w:szCs w:val="20"/>
          <w:color w:val="auto"/>
        </w:rPr>
      </w:pPr>
    </w:p>
    <w:p>
      <w:pPr>
        <w:ind w:left="200"/>
        <w:spacing w:after="0"/>
        <w:rPr>
          <w:sz w:val="20"/>
          <w:szCs w:val="20"/>
          <w:color w:val="auto"/>
        </w:rPr>
      </w:pPr>
      <w:r>
        <w:rPr>
          <w:rFonts w:ascii="Arial" w:cs="Arial" w:eastAsia="Arial" w:hAnsi="Arial"/>
          <w:sz w:val="18"/>
          <w:szCs w:val="18"/>
          <w:color w:val="auto"/>
        </w:rPr>
        <w:t>The Asia Pacific operating segment derives its revenues from the sale of the RECELL System.</w:t>
      </w:r>
    </w:p>
    <w:p>
      <w:pPr>
        <w:spacing w:after="0" w:line="225" w:lineRule="exact"/>
        <w:rPr>
          <w:sz w:val="20"/>
          <w:szCs w:val="20"/>
          <w:color w:val="auto"/>
        </w:rPr>
      </w:pPr>
    </w:p>
    <w:p>
      <w:pPr>
        <w:ind w:left="200"/>
        <w:spacing w:after="0"/>
        <w:rPr>
          <w:sz w:val="20"/>
          <w:szCs w:val="20"/>
          <w:color w:val="auto"/>
        </w:rPr>
      </w:pPr>
      <w:r>
        <w:rPr>
          <w:rFonts w:ascii="Arial" w:cs="Arial" w:eastAsia="Arial" w:hAnsi="Arial"/>
          <w:sz w:val="18"/>
          <w:szCs w:val="18"/>
          <w:color w:val="auto"/>
        </w:rPr>
        <w:t>The Europe operating segment derives its revenues from the sale of the RECELL System.</w:t>
      </w:r>
    </w:p>
    <w:p>
      <w:pPr>
        <w:spacing w:after="0" w:line="225" w:lineRule="exact"/>
        <w:rPr>
          <w:sz w:val="20"/>
          <w:szCs w:val="20"/>
          <w:color w:val="auto"/>
        </w:rPr>
      </w:pPr>
    </w:p>
    <w:p>
      <w:pPr>
        <w:ind w:left="200" w:right="480"/>
        <w:spacing w:after="0" w:line="277" w:lineRule="auto"/>
        <w:rPr>
          <w:sz w:val="20"/>
          <w:szCs w:val="20"/>
          <w:color w:val="auto"/>
        </w:rPr>
      </w:pPr>
      <w:r>
        <w:rPr>
          <w:rFonts w:ascii="Arial" w:cs="Arial" w:eastAsia="Arial" w:hAnsi="Arial"/>
          <w:sz w:val="18"/>
          <w:szCs w:val="18"/>
          <w:color w:val="auto"/>
        </w:rPr>
        <w:t>The America operating segment derives its revenues primarily from fees received under its contracts with BARDA. The RECELL System was not approved for sale within the U.S. until subsequent to June 30, 2018, on September 20, 2018.</w:t>
      </w:r>
    </w:p>
    <w:p>
      <w:pPr>
        <w:spacing w:after="0" w:line="170" w:lineRule="exact"/>
        <w:rPr>
          <w:sz w:val="20"/>
          <w:szCs w:val="20"/>
          <w:color w:val="auto"/>
        </w:rPr>
      </w:pPr>
    </w:p>
    <w:p>
      <w:pPr>
        <w:ind w:left="200"/>
        <w:spacing w:after="0"/>
        <w:rPr>
          <w:sz w:val="20"/>
          <w:szCs w:val="20"/>
          <w:color w:val="auto"/>
        </w:rPr>
      </w:pPr>
      <w:r>
        <w:rPr>
          <w:rFonts w:ascii="Arial" w:cs="Arial" w:eastAsia="Arial" w:hAnsi="Arial"/>
          <w:sz w:val="17"/>
          <w:szCs w:val="17"/>
          <w:color w:val="auto"/>
        </w:rPr>
        <w:t>The Chief Executive Officer assesses the performance of the operating segments based on a measure of gross margin and net profit before tax.</w:t>
      </w:r>
    </w:p>
    <w:p>
      <w:pPr>
        <w:spacing w:after="0" w:line="345" w:lineRule="exact"/>
        <w:rPr>
          <w:sz w:val="20"/>
          <w:szCs w:val="20"/>
          <w:color w:val="auto"/>
        </w:rPr>
      </w:pPr>
    </w:p>
    <w:p>
      <w:pPr>
        <w:ind w:left="200"/>
        <w:spacing w:after="0"/>
        <w:rPr>
          <w:sz w:val="20"/>
          <w:szCs w:val="20"/>
          <w:color w:val="auto"/>
        </w:rPr>
      </w:pPr>
      <w:r>
        <w:rPr>
          <w:rFonts w:ascii="Arial" w:cs="Arial" w:eastAsia="Arial" w:hAnsi="Arial"/>
          <w:sz w:val="18"/>
          <w:szCs w:val="18"/>
          <w:i w:val="1"/>
          <w:iCs w:val="1"/>
          <w:color w:val="auto"/>
        </w:rPr>
        <w:t>Unallocated</w:t>
      </w:r>
    </w:p>
    <w:p>
      <w:pPr>
        <w:spacing w:after="0" w:line="117" w:lineRule="exact"/>
        <w:rPr>
          <w:sz w:val="20"/>
          <w:szCs w:val="20"/>
          <w:color w:val="auto"/>
        </w:rPr>
      </w:pPr>
    </w:p>
    <w:p>
      <w:pPr>
        <w:ind w:left="200" w:right="400"/>
        <w:spacing w:after="0" w:line="277" w:lineRule="auto"/>
        <w:rPr>
          <w:sz w:val="20"/>
          <w:szCs w:val="20"/>
          <w:color w:val="auto"/>
        </w:rPr>
      </w:pPr>
      <w:r>
        <w:rPr>
          <w:rFonts w:ascii="Arial" w:cs="Arial" w:eastAsia="Arial" w:hAnsi="Arial"/>
          <w:sz w:val="18"/>
          <w:szCs w:val="18"/>
          <w:color w:val="auto"/>
        </w:rPr>
        <w:t>The following items of income and expense and associated assets are not allocated to operating segments as they are not considered part of the core operations of any segment:</w:t>
      </w:r>
    </w:p>
    <w:p>
      <w:pPr>
        <w:spacing w:after="0" w:line="76" w:lineRule="exact"/>
        <w:rPr>
          <w:sz w:val="20"/>
          <w:szCs w:val="20"/>
          <w:color w:val="auto"/>
        </w:rPr>
      </w:pPr>
    </w:p>
    <w:p>
      <w:pPr>
        <w:ind w:left="1180" w:hanging="436"/>
        <w:spacing w:after="0"/>
        <w:tabs>
          <w:tab w:leader="none" w:pos="1180" w:val="left"/>
        </w:tabs>
        <w:numPr>
          <w:ilvl w:val="0"/>
          <w:numId w:val="180"/>
        </w:numPr>
        <w:rPr>
          <w:rFonts w:ascii="Arial" w:cs="Arial" w:eastAsia="Arial" w:hAnsi="Arial"/>
          <w:sz w:val="18"/>
          <w:szCs w:val="18"/>
          <w:color w:val="auto"/>
        </w:rPr>
      </w:pPr>
      <w:r>
        <w:rPr>
          <w:rFonts w:ascii="Arial" w:cs="Arial" w:eastAsia="Arial" w:hAnsi="Arial"/>
          <w:sz w:val="18"/>
          <w:szCs w:val="18"/>
          <w:color w:val="auto"/>
        </w:rPr>
        <w:t>Corporate revenue</w:t>
      </w:r>
    </w:p>
    <w:p>
      <w:pPr>
        <w:spacing w:after="0" w:line="130" w:lineRule="exact"/>
        <w:rPr>
          <w:rFonts w:ascii="Arial" w:cs="Arial" w:eastAsia="Arial" w:hAnsi="Arial"/>
          <w:sz w:val="18"/>
          <w:szCs w:val="18"/>
          <w:color w:val="auto"/>
        </w:rPr>
      </w:pPr>
    </w:p>
    <w:p>
      <w:pPr>
        <w:ind w:left="1180" w:hanging="436"/>
        <w:spacing w:after="0"/>
        <w:tabs>
          <w:tab w:leader="none" w:pos="1180" w:val="left"/>
        </w:tabs>
        <w:numPr>
          <w:ilvl w:val="0"/>
          <w:numId w:val="180"/>
        </w:numPr>
        <w:rPr>
          <w:rFonts w:ascii="Arial" w:cs="Arial" w:eastAsia="Arial" w:hAnsi="Arial"/>
          <w:sz w:val="18"/>
          <w:szCs w:val="18"/>
          <w:color w:val="auto"/>
        </w:rPr>
      </w:pPr>
      <w:r>
        <w:rPr>
          <w:rFonts w:ascii="Arial" w:cs="Arial" w:eastAsia="Arial" w:hAnsi="Arial"/>
          <w:sz w:val="18"/>
          <w:szCs w:val="18"/>
          <w:color w:val="auto"/>
        </w:rPr>
        <w:t>Corporate charges</w:t>
      </w:r>
    </w:p>
    <w:p>
      <w:pPr>
        <w:spacing w:after="0" w:line="130" w:lineRule="exact"/>
        <w:rPr>
          <w:rFonts w:ascii="Arial" w:cs="Arial" w:eastAsia="Arial" w:hAnsi="Arial"/>
          <w:sz w:val="18"/>
          <w:szCs w:val="18"/>
          <w:color w:val="auto"/>
        </w:rPr>
      </w:pPr>
    </w:p>
    <w:p>
      <w:pPr>
        <w:ind w:left="1180" w:hanging="436"/>
        <w:spacing w:after="0"/>
        <w:tabs>
          <w:tab w:leader="none" w:pos="1180" w:val="left"/>
        </w:tabs>
        <w:numPr>
          <w:ilvl w:val="0"/>
          <w:numId w:val="180"/>
        </w:numPr>
        <w:rPr>
          <w:rFonts w:ascii="Arial" w:cs="Arial" w:eastAsia="Arial" w:hAnsi="Arial"/>
          <w:sz w:val="18"/>
          <w:szCs w:val="18"/>
          <w:color w:val="auto"/>
        </w:rPr>
      </w:pPr>
      <w:r>
        <w:rPr>
          <w:rFonts w:ascii="Arial" w:cs="Arial" w:eastAsia="Arial" w:hAnsi="Arial"/>
          <w:sz w:val="18"/>
          <w:szCs w:val="18"/>
          <w:color w:val="auto"/>
        </w:rPr>
        <w:t>Amortization of intellectual property</w:t>
      </w:r>
    </w:p>
    <w:p>
      <w:pPr>
        <w:spacing w:after="0" w:line="225" w:lineRule="exact"/>
        <w:rPr>
          <w:sz w:val="20"/>
          <w:szCs w:val="20"/>
          <w:color w:val="auto"/>
        </w:rPr>
      </w:pPr>
    </w:p>
    <w:p>
      <w:pPr>
        <w:ind w:left="200"/>
        <w:spacing w:after="0"/>
        <w:rPr>
          <w:sz w:val="20"/>
          <w:szCs w:val="20"/>
          <w:color w:val="auto"/>
        </w:rPr>
      </w:pPr>
      <w:r>
        <w:rPr>
          <w:rFonts w:ascii="Arial" w:cs="Arial" w:eastAsia="Arial" w:hAnsi="Arial"/>
          <w:sz w:val="17"/>
          <w:szCs w:val="17"/>
          <w:color w:val="auto"/>
        </w:rPr>
        <w:t>The segment information provided to the Chief Executive Officer for the reportable segments for the year ended June 30, 2018 is as follows:</w:t>
      </w:r>
    </w:p>
    <w:p>
      <w:pPr>
        <w:spacing w:after="0" w:line="259" w:lineRule="exact"/>
        <w:rPr>
          <w:sz w:val="20"/>
          <w:szCs w:val="20"/>
          <w:color w:val="auto"/>
        </w:rPr>
      </w:pPr>
    </w:p>
    <w:tbl>
      <w:tblPr>
        <w:tblLayout w:type="fixed"/>
        <w:tblInd w:w="200" w:type="dxa"/>
        <w:tblCellMar>
          <w:top w:w="0" w:type="dxa"/>
          <w:left w:w="0" w:type="dxa"/>
          <w:bottom w:w="0" w:type="dxa"/>
          <w:right w:w="0" w:type="dxa"/>
        </w:tblCellMar>
      </w:tblPr>
      <w:tr>
        <w:trPr>
          <w:trHeight w:val="167"/>
        </w:trPr>
        <w:tc>
          <w:tcPr>
            <w:tcW w:w="20" w:type="dxa"/>
            <w:vAlign w:val="bottom"/>
          </w:tcPr>
          <w:p>
            <w:pPr>
              <w:spacing w:after="0"/>
              <w:rPr>
                <w:sz w:val="14"/>
                <w:szCs w:val="14"/>
                <w:color w:val="auto"/>
              </w:rPr>
            </w:pPr>
          </w:p>
        </w:tc>
        <w:tc>
          <w:tcPr>
            <w:tcW w:w="45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340" w:type="dxa"/>
            <w:vAlign w:val="bottom"/>
            <w:gridSpan w:val="3"/>
          </w:tcPr>
          <w:p>
            <w:pPr>
              <w:ind w:left="140"/>
              <w:spacing w:after="0"/>
              <w:rPr>
                <w:sz w:val="20"/>
                <w:szCs w:val="20"/>
                <w:color w:val="auto"/>
              </w:rPr>
            </w:pPr>
            <w:r>
              <w:rPr>
                <w:rFonts w:ascii="Arial" w:cs="Arial" w:eastAsia="Arial" w:hAnsi="Arial"/>
                <w:sz w:val="14"/>
                <w:szCs w:val="14"/>
                <w:b w:val="1"/>
                <w:bCs w:val="1"/>
                <w:i w:val="1"/>
                <w:iCs w:val="1"/>
                <w:color w:val="auto"/>
              </w:rPr>
              <w:t>Asia Pacific</w:t>
            </w:r>
          </w:p>
        </w:tc>
        <w:tc>
          <w:tcPr>
            <w:tcW w:w="2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00" w:type="dxa"/>
            <w:vAlign w:val="bottom"/>
            <w:gridSpan w:val="2"/>
          </w:tcPr>
          <w:p>
            <w:pPr>
              <w:jc w:val="right"/>
              <w:ind w:right="620"/>
              <w:spacing w:after="0"/>
              <w:rPr>
                <w:sz w:val="20"/>
                <w:szCs w:val="20"/>
                <w:color w:val="auto"/>
              </w:rPr>
            </w:pPr>
            <w:r>
              <w:rPr>
                <w:rFonts w:ascii="Arial" w:cs="Arial" w:eastAsia="Arial" w:hAnsi="Arial"/>
                <w:sz w:val="14"/>
                <w:szCs w:val="14"/>
                <w:b w:val="1"/>
                <w:bCs w:val="1"/>
                <w:i w:val="1"/>
                <w:iCs w:val="1"/>
                <w:color w:val="auto"/>
              </w:rPr>
              <w:t>EMEA</w:t>
            </w:r>
          </w:p>
        </w:tc>
        <w:tc>
          <w:tcPr>
            <w:tcW w:w="2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380" w:type="dxa"/>
            <w:vAlign w:val="bottom"/>
            <w:gridSpan w:val="2"/>
          </w:tcPr>
          <w:p>
            <w:pPr>
              <w:jc w:val="right"/>
              <w:ind w:right="820"/>
              <w:spacing w:after="0"/>
              <w:rPr>
                <w:sz w:val="20"/>
                <w:szCs w:val="20"/>
                <w:color w:val="auto"/>
              </w:rPr>
            </w:pPr>
            <w:r>
              <w:rPr>
                <w:rFonts w:ascii="Arial" w:cs="Arial" w:eastAsia="Arial" w:hAnsi="Arial"/>
                <w:sz w:val="14"/>
                <w:szCs w:val="14"/>
                <w:b w:val="1"/>
                <w:bCs w:val="1"/>
                <w:i w:val="1"/>
                <w:iCs w:val="1"/>
                <w:color w:val="auto"/>
                <w:w w:val="85"/>
              </w:rPr>
              <w:t>Americas</w:t>
            </w:r>
          </w:p>
        </w:tc>
        <w:tc>
          <w:tcPr>
            <w:tcW w:w="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0" w:type="dxa"/>
            <w:vAlign w:val="bottom"/>
            <w:gridSpan w:val="2"/>
          </w:tcPr>
          <w:p>
            <w:pPr>
              <w:jc w:val="right"/>
              <w:ind w:right="440"/>
              <w:spacing w:after="0"/>
              <w:rPr>
                <w:sz w:val="20"/>
                <w:szCs w:val="20"/>
                <w:color w:val="auto"/>
              </w:rPr>
            </w:pPr>
            <w:r>
              <w:rPr>
                <w:rFonts w:ascii="Arial" w:cs="Arial" w:eastAsia="Arial" w:hAnsi="Arial"/>
                <w:sz w:val="14"/>
                <w:szCs w:val="14"/>
                <w:b w:val="1"/>
                <w:bCs w:val="1"/>
                <w:i w:val="1"/>
                <w:iCs w:val="1"/>
                <w:color w:val="auto"/>
              </w:rPr>
              <w:t>Total</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Year ended June 30, 2018</w:t>
            </w:r>
          </w:p>
        </w:tc>
        <w:tc>
          <w:tcPr>
            <w:tcW w:w="4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40" w:type="dxa"/>
            <w:vAlign w:val="bottom"/>
          </w:tcPr>
          <w:p>
            <w:pPr>
              <w:spacing w:after="0"/>
              <w:rPr>
                <w:sz w:val="20"/>
                <w:szCs w:val="20"/>
                <w:color w:val="auto"/>
              </w:rPr>
            </w:pPr>
            <w:r>
              <w:rPr>
                <w:rFonts w:ascii="Arial" w:cs="Arial" w:eastAsia="Arial" w:hAnsi="Arial"/>
                <w:sz w:val="18"/>
                <w:szCs w:val="18"/>
                <w:b w:val="1"/>
                <w:bCs w:val="1"/>
                <w:color w:val="auto"/>
              </w:rPr>
              <w:t>Revenue</w:t>
            </w:r>
          </w:p>
        </w:tc>
        <w:tc>
          <w:tcPr>
            <w:tcW w:w="4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40" w:type="dxa"/>
            <w:vAlign w:val="bottom"/>
            <w:shd w:val="clear" w:color="auto" w:fill="CCEEFF"/>
          </w:tcPr>
          <w:p>
            <w:pPr>
              <w:spacing w:after="0"/>
              <w:rPr>
                <w:sz w:val="20"/>
                <w:szCs w:val="20"/>
                <w:color w:val="auto"/>
              </w:rPr>
            </w:pPr>
            <w:r>
              <w:rPr>
                <w:rFonts w:ascii="Arial" w:cs="Arial" w:eastAsia="Arial" w:hAnsi="Arial"/>
                <w:sz w:val="18"/>
                <w:szCs w:val="18"/>
                <w:color w:val="auto"/>
              </w:rPr>
              <w:t>Sale of goods</w:t>
            </w:r>
          </w:p>
        </w:tc>
        <w:tc>
          <w:tcPr>
            <w:tcW w:w="66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w w:val="90"/>
              </w:rPr>
              <w:t>A$</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709,907</w:t>
            </w:r>
          </w:p>
        </w:tc>
        <w:tc>
          <w:tcPr>
            <w:tcW w:w="320" w:type="dxa"/>
            <w:vAlign w:val="bottom"/>
            <w:shd w:val="clear" w:color="auto" w:fill="CCEEFF"/>
          </w:tcPr>
          <w:p>
            <w:pPr>
              <w:spacing w:after="0"/>
              <w:rPr>
                <w:sz w:val="18"/>
                <w:szCs w:val="18"/>
                <w:color w:val="auto"/>
              </w:rPr>
            </w:pPr>
          </w:p>
        </w:tc>
        <w:tc>
          <w:tcPr>
            <w:tcW w:w="48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w w:val="90"/>
              </w:rPr>
              <w:t>A$</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488,955</w:t>
            </w:r>
          </w:p>
        </w:tc>
        <w:tc>
          <w:tcPr>
            <w:tcW w:w="300" w:type="dxa"/>
            <w:vAlign w:val="bottom"/>
            <w:shd w:val="clear" w:color="auto" w:fill="CCEEFF"/>
          </w:tcPr>
          <w:p>
            <w:pPr>
              <w:spacing w:after="0"/>
              <w:rPr>
                <w:sz w:val="18"/>
                <w:szCs w:val="18"/>
                <w:color w:val="auto"/>
              </w:rPr>
            </w:pPr>
          </w:p>
        </w:tc>
        <w:tc>
          <w:tcPr>
            <w:tcW w:w="50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w w:val="99"/>
              </w:rPr>
              <w:t>A$</w:t>
            </w:r>
          </w:p>
        </w:tc>
        <w:tc>
          <w:tcPr>
            <w:tcW w:w="138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0"/>
              </w:rPr>
              <w:t>A$</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1,198,862</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40" w:type="dxa"/>
            <w:vAlign w:val="bottom"/>
          </w:tcPr>
          <w:p>
            <w:pPr>
              <w:spacing w:after="0"/>
              <w:rPr>
                <w:sz w:val="20"/>
                <w:szCs w:val="20"/>
                <w:color w:val="auto"/>
              </w:rPr>
            </w:pPr>
            <w:r>
              <w:rPr>
                <w:rFonts w:ascii="Arial" w:cs="Arial" w:eastAsia="Arial" w:hAnsi="Arial"/>
                <w:sz w:val="18"/>
                <w:szCs w:val="18"/>
                <w:color w:val="auto"/>
              </w:rPr>
              <w:t>Other income from external customers</w:t>
            </w:r>
          </w:p>
        </w:tc>
        <w:tc>
          <w:tcPr>
            <w:tcW w:w="4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gridSpan w:val="2"/>
          </w:tcPr>
          <w:p>
            <w:pPr>
              <w:jc w:val="right"/>
              <w:ind w:right="4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2,961</w:t>
            </w:r>
          </w:p>
        </w:tc>
        <w:tc>
          <w:tcPr>
            <w:tcW w:w="3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w w:val="86"/>
              </w:rPr>
              <w:t>10,104,082</w:t>
            </w:r>
          </w:p>
        </w:tc>
        <w:tc>
          <w:tcPr>
            <w:tcW w:w="5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w w:val="95"/>
              </w:rPr>
              <w:t>10,107,043</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40" w:type="dxa"/>
            <w:vAlign w:val="bottom"/>
            <w:shd w:val="clear" w:color="auto" w:fill="CCEEFF"/>
          </w:tcPr>
          <w:p>
            <w:pPr>
              <w:spacing w:after="0"/>
              <w:rPr>
                <w:sz w:val="20"/>
                <w:szCs w:val="20"/>
                <w:color w:val="auto"/>
              </w:rPr>
            </w:pPr>
            <w:r>
              <w:rPr>
                <w:rFonts w:ascii="Arial" w:cs="Arial" w:eastAsia="Arial" w:hAnsi="Arial"/>
                <w:sz w:val="18"/>
                <w:szCs w:val="18"/>
                <w:color w:val="auto"/>
              </w:rPr>
              <w:t>Interest received</w:t>
            </w:r>
          </w:p>
        </w:tc>
        <w:tc>
          <w:tcPr>
            <w:tcW w:w="44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59,552</w:t>
            </w:r>
          </w:p>
        </w:tc>
        <w:tc>
          <w:tcPr>
            <w:tcW w:w="3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438</w:t>
            </w:r>
          </w:p>
        </w:tc>
        <w:tc>
          <w:tcPr>
            <w:tcW w:w="3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5,667</w:t>
            </w:r>
          </w:p>
        </w:tc>
        <w:tc>
          <w:tcPr>
            <w:tcW w:w="5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65,657</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5"/>
        </w:trPr>
        <w:tc>
          <w:tcPr>
            <w:tcW w:w="4560" w:type="dxa"/>
            <w:vAlign w:val="bottom"/>
            <w:gridSpan w:val="2"/>
          </w:tcPr>
          <w:p>
            <w:pPr>
              <w:spacing w:after="0" w:line="205" w:lineRule="exact"/>
              <w:rPr>
                <w:sz w:val="20"/>
                <w:szCs w:val="20"/>
                <w:color w:val="auto"/>
              </w:rPr>
            </w:pPr>
            <w:r>
              <w:rPr>
                <w:rFonts w:ascii="Arial" w:cs="Arial" w:eastAsia="Arial" w:hAnsi="Arial"/>
                <w:sz w:val="18"/>
                <w:szCs w:val="18"/>
                <w:b w:val="1"/>
                <w:bCs w:val="1"/>
                <w:color w:val="auto"/>
              </w:rPr>
              <w:t>Total revenue and other income per consolidated</w:t>
            </w:r>
          </w:p>
        </w:tc>
        <w:tc>
          <w:tcPr>
            <w:tcW w:w="4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40" w:type="dxa"/>
            <w:vAlign w:val="bottom"/>
          </w:tcPr>
          <w:p>
            <w:pPr>
              <w:ind w:left="160"/>
              <w:spacing w:after="0"/>
              <w:rPr>
                <w:sz w:val="20"/>
                <w:szCs w:val="20"/>
                <w:color w:val="auto"/>
              </w:rPr>
            </w:pPr>
            <w:r>
              <w:rPr>
                <w:rFonts w:ascii="Arial" w:cs="Arial" w:eastAsia="Arial" w:hAnsi="Arial"/>
                <w:sz w:val="18"/>
                <w:szCs w:val="18"/>
                <w:b w:val="1"/>
                <w:bCs w:val="1"/>
                <w:color w:val="auto"/>
                <w:w w:val="97"/>
              </w:rPr>
              <w:t>statement of profit or loss and other comprehensive</w:t>
            </w:r>
          </w:p>
        </w:tc>
        <w:tc>
          <w:tcPr>
            <w:tcW w:w="4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4540" w:type="dxa"/>
            <w:vAlign w:val="bottom"/>
          </w:tcPr>
          <w:p>
            <w:pPr>
              <w:ind w:left="160"/>
              <w:spacing w:after="0"/>
              <w:rPr>
                <w:sz w:val="20"/>
                <w:szCs w:val="20"/>
                <w:color w:val="auto"/>
              </w:rPr>
            </w:pPr>
            <w:r>
              <w:rPr>
                <w:rFonts w:ascii="Arial" w:cs="Arial" w:eastAsia="Arial" w:hAnsi="Arial"/>
                <w:sz w:val="18"/>
                <w:szCs w:val="18"/>
                <w:b w:val="1"/>
                <w:bCs w:val="1"/>
                <w:color w:val="auto"/>
              </w:rPr>
              <w:t>income</w:t>
            </w:r>
          </w:p>
        </w:tc>
        <w:tc>
          <w:tcPr>
            <w:tcW w:w="440" w:type="dxa"/>
            <w:vAlign w:val="bottom"/>
          </w:tcPr>
          <w:p>
            <w:pPr>
              <w:spacing w:after="0"/>
              <w:rPr>
                <w:sz w:val="20"/>
                <w:szCs w:val="20"/>
                <w:color w:val="auto"/>
              </w:rPr>
            </w:pPr>
          </w:p>
        </w:tc>
        <w:tc>
          <w:tcPr>
            <w:tcW w:w="220" w:type="dxa"/>
            <w:vAlign w:val="bottom"/>
          </w:tcPr>
          <w:p>
            <w:pPr>
              <w:spacing w:after="0"/>
              <w:rPr>
                <w:sz w:val="20"/>
                <w:szCs w:val="20"/>
                <w:color w:val="auto"/>
              </w:rPr>
            </w:pPr>
            <w:r>
              <w:rPr>
                <w:rFonts w:ascii="Arial" w:cs="Arial" w:eastAsia="Arial" w:hAnsi="Arial"/>
                <w:sz w:val="18"/>
                <w:szCs w:val="18"/>
                <w:b w:val="1"/>
                <w:bCs w:val="1"/>
                <w:u w:val="single" w:color="auto"/>
                <w:color w:val="auto"/>
                <w:w w:val="86"/>
              </w:rPr>
              <w:t>A</w:t>
            </w:r>
            <w:r>
              <w:rPr>
                <w:rFonts w:ascii="Arial" w:cs="Arial" w:eastAsia="Arial" w:hAnsi="Arial"/>
                <w:sz w:val="18"/>
                <w:szCs w:val="18"/>
                <w:b w:val="1"/>
                <w:bCs w:val="1"/>
                <w:color w:val="auto"/>
                <w:w w:val="86"/>
              </w:rPr>
              <w:t>$</w:t>
            </w:r>
          </w:p>
        </w:tc>
        <w:tc>
          <w:tcPr>
            <w:tcW w:w="800" w:type="dxa"/>
            <w:vAlign w:val="bottom"/>
          </w:tcPr>
          <w:p>
            <w:pPr>
              <w:jc w:val="right"/>
              <w:spacing w:after="0"/>
              <w:rPr>
                <w:sz w:val="20"/>
                <w:szCs w:val="20"/>
                <w:color w:val="auto"/>
              </w:rPr>
            </w:pPr>
            <w:r>
              <w:rPr>
                <w:rFonts w:ascii="Arial" w:cs="Arial" w:eastAsia="Arial" w:hAnsi="Arial"/>
                <w:sz w:val="18"/>
                <w:szCs w:val="18"/>
                <w:b w:val="1"/>
                <w:bCs w:val="1"/>
                <w:color w:val="auto"/>
              </w:rPr>
              <w:t>769,459</w:t>
            </w:r>
          </w:p>
        </w:tc>
        <w:tc>
          <w:tcPr>
            <w:tcW w:w="320" w:type="dxa"/>
            <w:vAlign w:val="bottom"/>
          </w:tcPr>
          <w:p>
            <w:pPr>
              <w:spacing w:after="0"/>
              <w:rPr>
                <w:sz w:val="20"/>
                <w:szCs w:val="20"/>
                <w:color w:val="auto"/>
              </w:rPr>
            </w:pPr>
          </w:p>
        </w:tc>
        <w:tc>
          <w:tcPr>
            <w:tcW w:w="480" w:type="dxa"/>
            <w:vAlign w:val="bottom"/>
            <w:gridSpan w:val="2"/>
          </w:tcPr>
          <w:p>
            <w:pPr>
              <w:ind w:left="260"/>
              <w:spacing w:after="0"/>
              <w:rPr>
                <w:sz w:val="20"/>
                <w:szCs w:val="20"/>
                <w:color w:val="auto"/>
              </w:rPr>
            </w:pPr>
            <w:r>
              <w:rPr>
                <w:rFonts w:ascii="Arial" w:cs="Arial" w:eastAsia="Arial" w:hAnsi="Arial"/>
                <w:sz w:val="18"/>
                <w:szCs w:val="18"/>
                <w:b w:val="1"/>
                <w:bCs w:val="1"/>
                <w:u w:val="single" w:color="auto"/>
                <w:color w:val="auto"/>
                <w:w w:val="86"/>
              </w:rPr>
              <w:t>A</w:t>
            </w:r>
            <w:r>
              <w:rPr>
                <w:rFonts w:ascii="Arial" w:cs="Arial" w:eastAsia="Arial" w:hAnsi="Arial"/>
                <w:sz w:val="18"/>
                <w:szCs w:val="18"/>
                <w:b w:val="1"/>
                <w:bCs w:val="1"/>
                <w:color w:val="auto"/>
                <w:w w:val="86"/>
              </w:rPr>
              <w:t>$</w:t>
            </w:r>
          </w:p>
        </w:tc>
        <w:tc>
          <w:tcPr>
            <w:tcW w:w="800" w:type="dxa"/>
            <w:vAlign w:val="bottom"/>
          </w:tcPr>
          <w:p>
            <w:pPr>
              <w:jc w:val="right"/>
              <w:spacing w:after="0"/>
              <w:rPr>
                <w:sz w:val="20"/>
                <w:szCs w:val="20"/>
                <w:color w:val="auto"/>
              </w:rPr>
            </w:pPr>
            <w:r>
              <w:rPr>
                <w:rFonts w:ascii="Arial" w:cs="Arial" w:eastAsia="Arial" w:hAnsi="Arial"/>
                <w:sz w:val="18"/>
                <w:szCs w:val="18"/>
                <w:b w:val="1"/>
                <w:bCs w:val="1"/>
                <w:color w:val="auto"/>
              </w:rPr>
              <w:t>492,354</w:t>
            </w:r>
          </w:p>
        </w:tc>
        <w:tc>
          <w:tcPr>
            <w:tcW w:w="300" w:type="dxa"/>
            <w:vAlign w:val="bottom"/>
          </w:tcPr>
          <w:p>
            <w:pPr>
              <w:spacing w:after="0"/>
              <w:rPr>
                <w:sz w:val="20"/>
                <w:szCs w:val="20"/>
                <w:color w:val="auto"/>
              </w:rPr>
            </w:pPr>
          </w:p>
        </w:tc>
        <w:tc>
          <w:tcPr>
            <w:tcW w:w="500" w:type="dxa"/>
            <w:vAlign w:val="bottom"/>
            <w:gridSpan w:val="2"/>
          </w:tcPr>
          <w:p>
            <w:pPr>
              <w:ind w:left="260"/>
              <w:spacing w:after="0"/>
              <w:rPr>
                <w:sz w:val="20"/>
                <w:szCs w:val="20"/>
                <w:color w:val="auto"/>
              </w:rPr>
            </w:pPr>
            <w:r>
              <w:rPr>
                <w:rFonts w:ascii="Arial" w:cs="Arial" w:eastAsia="Arial" w:hAnsi="Arial"/>
                <w:sz w:val="18"/>
                <w:szCs w:val="18"/>
                <w:b w:val="1"/>
                <w:bCs w:val="1"/>
                <w:u w:val="single" w:color="auto"/>
                <w:color w:val="auto"/>
                <w:w w:val="95"/>
              </w:rPr>
              <w:t>A$</w:t>
            </w:r>
          </w:p>
        </w:tc>
        <w:tc>
          <w:tcPr>
            <w:tcW w:w="820" w:type="dxa"/>
            <w:vAlign w:val="bottom"/>
          </w:tcPr>
          <w:p>
            <w:pPr>
              <w:jc w:val="right"/>
              <w:spacing w:after="0"/>
              <w:rPr>
                <w:sz w:val="20"/>
                <w:szCs w:val="20"/>
                <w:color w:val="auto"/>
              </w:rPr>
            </w:pPr>
            <w:r>
              <w:rPr>
                <w:rFonts w:ascii="Arial" w:cs="Arial" w:eastAsia="Arial" w:hAnsi="Arial"/>
                <w:sz w:val="18"/>
                <w:szCs w:val="18"/>
                <w:b w:val="1"/>
                <w:bCs w:val="1"/>
                <w:color w:val="auto"/>
                <w:w w:val="86"/>
              </w:rPr>
              <w:t>10,109,749</w:t>
            </w:r>
          </w:p>
        </w:tc>
        <w:tc>
          <w:tcPr>
            <w:tcW w:w="560" w:type="dxa"/>
            <w:vAlign w:val="bottom"/>
          </w:tcPr>
          <w:p>
            <w:pPr>
              <w:spacing w:after="0"/>
              <w:rPr>
                <w:sz w:val="20"/>
                <w:szCs w:val="20"/>
                <w:color w:val="auto"/>
              </w:rPr>
            </w:pPr>
          </w:p>
        </w:tc>
        <w:tc>
          <w:tcPr>
            <w:tcW w:w="240" w:type="dxa"/>
            <w:vAlign w:val="bottom"/>
            <w:gridSpan w:val="2"/>
          </w:tcPr>
          <w:p>
            <w:pPr>
              <w:jc w:val="right"/>
              <w:spacing w:after="0"/>
              <w:rPr>
                <w:sz w:val="20"/>
                <w:szCs w:val="20"/>
                <w:color w:val="auto"/>
              </w:rPr>
            </w:pPr>
            <w:r>
              <w:rPr>
                <w:rFonts w:ascii="Arial" w:cs="Arial" w:eastAsia="Arial" w:hAnsi="Arial"/>
                <w:sz w:val="18"/>
                <w:szCs w:val="18"/>
                <w:b w:val="1"/>
                <w:bCs w:val="1"/>
                <w:u w:val="single" w:color="auto"/>
                <w:color w:val="auto"/>
                <w:w w:val="86"/>
              </w:rPr>
              <w:t>A</w:t>
            </w:r>
            <w:r>
              <w:rPr>
                <w:rFonts w:ascii="Arial" w:cs="Arial" w:eastAsia="Arial" w:hAnsi="Arial"/>
                <w:sz w:val="18"/>
                <w:szCs w:val="18"/>
                <w:b w:val="1"/>
                <w:bCs w:val="1"/>
                <w:color w:val="auto"/>
                <w:w w:val="86"/>
              </w:rPr>
              <w:t>$</w:t>
            </w:r>
          </w:p>
        </w:tc>
        <w:tc>
          <w:tcPr>
            <w:tcW w:w="880" w:type="dxa"/>
            <w:vAlign w:val="bottom"/>
          </w:tcPr>
          <w:p>
            <w:pPr>
              <w:jc w:val="right"/>
              <w:spacing w:after="0"/>
              <w:rPr>
                <w:sz w:val="20"/>
                <w:szCs w:val="20"/>
                <w:color w:val="auto"/>
              </w:rPr>
            </w:pPr>
            <w:r>
              <w:rPr>
                <w:rFonts w:ascii="Arial" w:cs="Arial" w:eastAsia="Arial" w:hAnsi="Arial"/>
                <w:sz w:val="18"/>
                <w:szCs w:val="18"/>
                <w:b w:val="1"/>
                <w:bCs w:val="1"/>
                <w:color w:val="auto"/>
                <w:w w:val="95"/>
              </w:rPr>
              <w:t>11,371,562</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540" w:type="dxa"/>
            <w:vAlign w:val="bottom"/>
          </w:tcPr>
          <w:p>
            <w:pPr>
              <w:spacing w:after="0"/>
              <w:rPr>
                <w:sz w:val="2"/>
                <w:szCs w:val="2"/>
                <w:color w:val="auto"/>
              </w:rPr>
            </w:pPr>
          </w:p>
        </w:tc>
        <w:tc>
          <w:tcPr>
            <w:tcW w:w="44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26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28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560" w:type="dxa"/>
            <w:vAlign w:val="bottom"/>
          </w:tcPr>
          <w:p>
            <w:pPr>
              <w:spacing w:after="0"/>
              <w:rPr>
                <w:sz w:val="2"/>
                <w:szCs w:val="2"/>
                <w:color w:val="auto"/>
              </w:rPr>
            </w:pPr>
          </w:p>
        </w:tc>
        <w:tc>
          <w:tcPr>
            <w:tcW w:w="2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540" w:type="dxa"/>
            <w:vAlign w:val="bottom"/>
            <w:shd w:val="clear" w:color="auto" w:fill="CCEEFF"/>
          </w:tcPr>
          <w:p>
            <w:pPr>
              <w:spacing w:after="0"/>
              <w:rPr>
                <w:sz w:val="20"/>
                <w:szCs w:val="20"/>
                <w:color w:val="auto"/>
              </w:rPr>
            </w:pPr>
            <w:r>
              <w:rPr>
                <w:rFonts w:ascii="Arial" w:cs="Arial" w:eastAsia="Arial" w:hAnsi="Arial"/>
                <w:sz w:val="18"/>
                <w:szCs w:val="18"/>
                <w:color w:val="auto"/>
              </w:rPr>
              <w:t>Segment net loss before tax benefit</w:t>
            </w:r>
          </w:p>
        </w:tc>
        <w:tc>
          <w:tcPr>
            <w:tcW w:w="4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20"/>
                <w:szCs w:val="20"/>
                <w:color w:val="auto"/>
              </w:rPr>
            </w:pPr>
            <w:r>
              <w:rPr>
                <w:rFonts w:ascii="Arial" w:cs="Arial" w:eastAsia="Arial" w:hAnsi="Arial"/>
                <w:sz w:val="18"/>
                <w:szCs w:val="18"/>
                <w:color w:val="auto"/>
                <w:w w:val="90"/>
              </w:rPr>
              <w:t>A$</w:t>
            </w:r>
          </w:p>
        </w:tc>
        <w:tc>
          <w:tcPr>
            <w:tcW w:w="11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w w:val="91"/>
              </w:rPr>
              <w:t>(1,341,200)</w:t>
            </w:r>
          </w:p>
        </w:tc>
        <w:tc>
          <w:tcPr>
            <w:tcW w:w="48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w w:val="90"/>
              </w:rPr>
              <w:t>A$</w:t>
            </w:r>
          </w:p>
        </w:tc>
        <w:tc>
          <w:tcPr>
            <w:tcW w:w="11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w w:val="89"/>
              </w:rPr>
              <w:t>(2,181,622)</w:t>
            </w:r>
          </w:p>
        </w:tc>
        <w:tc>
          <w:tcPr>
            <w:tcW w:w="50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w w:val="99"/>
              </w:rPr>
              <w:t>A$</w:t>
            </w:r>
          </w:p>
        </w:tc>
        <w:tc>
          <w:tcPr>
            <w:tcW w:w="138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w w:val="91"/>
              </w:rPr>
              <w:t>(9,539,296)</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0"/>
              </w:rPr>
              <w:t>A$</w:t>
            </w: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0"/>
              </w:rPr>
              <w:t>(13,062,118)</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4540" w:type="dxa"/>
            <w:vAlign w:val="bottom"/>
          </w:tcPr>
          <w:p>
            <w:pPr>
              <w:spacing w:after="0" w:line="198" w:lineRule="exact"/>
              <w:rPr>
                <w:sz w:val="20"/>
                <w:szCs w:val="20"/>
                <w:color w:val="auto"/>
              </w:rPr>
            </w:pPr>
            <w:r>
              <w:rPr>
                <w:rFonts w:ascii="Arial" w:cs="Arial" w:eastAsia="Arial" w:hAnsi="Arial"/>
                <w:sz w:val="18"/>
                <w:szCs w:val="18"/>
                <w:b w:val="1"/>
                <w:bCs w:val="1"/>
                <w:color w:val="auto"/>
                <w:w w:val="97"/>
              </w:rPr>
              <w:t>Reconciliation of segment net result before tax to loss</w:t>
            </w:r>
          </w:p>
        </w:tc>
        <w:tc>
          <w:tcPr>
            <w:tcW w:w="4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4540" w:type="dxa"/>
            <w:vAlign w:val="bottom"/>
          </w:tcPr>
          <w:p>
            <w:pPr>
              <w:ind w:left="160"/>
              <w:spacing w:after="0"/>
              <w:rPr>
                <w:sz w:val="20"/>
                <w:szCs w:val="20"/>
                <w:color w:val="auto"/>
              </w:rPr>
            </w:pPr>
            <w:r>
              <w:rPr>
                <w:rFonts w:ascii="Arial" w:cs="Arial" w:eastAsia="Arial" w:hAnsi="Arial"/>
                <w:sz w:val="18"/>
                <w:szCs w:val="18"/>
                <w:b w:val="1"/>
                <w:bCs w:val="1"/>
                <w:color w:val="auto"/>
              </w:rPr>
              <w:t>before income tax:</w:t>
            </w:r>
          </w:p>
        </w:tc>
        <w:tc>
          <w:tcPr>
            <w:tcW w:w="4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40" w:type="dxa"/>
            <w:vAlign w:val="bottom"/>
            <w:shd w:val="clear" w:color="auto" w:fill="CCEEFF"/>
          </w:tcPr>
          <w:p>
            <w:pPr>
              <w:spacing w:after="0"/>
              <w:rPr>
                <w:sz w:val="20"/>
                <w:szCs w:val="20"/>
                <w:color w:val="auto"/>
              </w:rPr>
            </w:pPr>
            <w:r>
              <w:rPr>
                <w:rFonts w:ascii="Arial" w:cs="Arial" w:eastAsia="Arial" w:hAnsi="Arial"/>
                <w:sz w:val="18"/>
                <w:szCs w:val="18"/>
                <w:color w:val="auto"/>
              </w:rPr>
              <w:t>Corporate charges including share-based expenses</w:t>
            </w:r>
          </w:p>
        </w:tc>
        <w:tc>
          <w:tcPr>
            <w:tcW w:w="4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9"/>
              </w:rPr>
              <w:t>(4,842,833)</w:t>
            </w:r>
          </w:p>
        </w:tc>
        <w:tc>
          <w:tcPr>
            <w:tcW w:w="0" w:type="dxa"/>
            <w:vAlign w:val="bottom"/>
          </w:tcPr>
          <w:p>
            <w:pPr>
              <w:spacing w:after="0"/>
              <w:rPr>
                <w:sz w:val="1"/>
                <w:szCs w:val="1"/>
                <w:color w:val="auto"/>
              </w:rPr>
            </w:pPr>
          </w:p>
        </w:tc>
      </w:tr>
      <w:tr>
        <w:trPr>
          <w:trHeight w:val="223"/>
        </w:trPr>
        <w:tc>
          <w:tcPr>
            <w:tcW w:w="4560" w:type="dxa"/>
            <w:vAlign w:val="bottom"/>
            <w:gridSpan w:val="2"/>
          </w:tcPr>
          <w:p>
            <w:pPr>
              <w:spacing w:after="0"/>
              <w:rPr>
                <w:sz w:val="20"/>
                <w:szCs w:val="20"/>
                <w:color w:val="auto"/>
              </w:rPr>
            </w:pPr>
            <w:r>
              <w:rPr>
                <w:rFonts w:ascii="Arial" w:cs="Arial" w:eastAsia="Arial" w:hAnsi="Arial"/>
                <w:sz w:val="18"/>
                <w:szCs w:val="18"/>
                <w:b w:val="1"/>
                <w:bCs w:val="1"/>
                <w:color w:val="auto"/>
              </w:rPr>
              <w:t>Loss before income tax benefit</w:t>
            </w:r>
          </w:p>
        </w:tc>
        <w:tc>
          <w:tcPr>
            <w:tcW w:w="4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u w:val="single" w:color="auto"/>
                <w:color w:val="auto"/>
                <w:w w:val="78"/>
              </w:rPr>
              <w:t>A$</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89"/>
              </w:rPr>
              <w:t>(17,904,951</w:t>
            </w:r>
          </w:p>
        </w:tc>
        <w:tc>
          <w:tcPr>
            <w:tcW w:w="120" w:type="dxa"/>
            <w:vAlign w:val="bottom"/>
          </w:tcPr>
          <w:p>
            <w:pPr>
              <w:jc w:val="right"/>
              <w:spacing w:after="0"/>
              <w:rPr>
                <w:sz w:val="20"/>
                <w:szCs w:val="20"/>
                <w:color w:val="auto"/>
              </w:rPr>
            </w:pPr>
            <w:r>
              <w:rPr>
                <w:rFonts w:ascii="Arial" w:cs="Arial" w:eastAsia="Arial" w:hAnsi="Arial"/>
                <w:sz w:val="16"/>
                <w:szCs w:val="16"/>
                <w:b w:val="1"/>
                <w:bCs w:val="1"/>
                <w:color w:val="auto"/>
                <w:w w:val="74"/>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5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07" w:lineRule="exact"/>
        <w:rPr>
          <w:sz w:val="20"/>
          <w:szCs w:val="20"/>
          <w:color w:val="auto"/>
        </w:rPr>
      </w:pPr>
    </w:p>
    <w:p>
      <w:pPr>
        <w:ind w:left="200"/>
        <w:spacing w:after="0"/>
        <w:rPr>
          <w:sz w:val="20"/>
          <w:szCs w:val="20"/>
          <w:color w:val="auto"/>
        </w:rPr>
      </w:pPr>
      <w:r>
        <w:rPr>
          <w:rFonts w:ascii="Arial" w:cs="Arial" w:eastAsia="Arial" w:hAnsi="Arial"/>
          <w:sz w:val="18"/>
          <w:szCs w:val="18"/>
          <w:color w:val="auto"/>
        </w:rPr>
        <w:t>The Company’s revenue in its Americas including Canada operating segment includes A$9,650,783 from BARDA, representing 85%.</w:t>
      </w:r>
    </w:p>
    <w:p>
      <w:pPr>
        <w:spacing w:after="0" w:line="158" w:lineRule="exact"/>
        <w:rPr>
          <w:sz w:val="20"/>
          <w:szCs w:val="20"/>
          <w:color w:val="auto"/>
        </w:rPr>
      </w:pPr>
    </w:p>
    <w:p>
      <w:pPr>
        <w:ind w:left="5540"/>
        <w:spacing w:after="0"/>
        <w:rPr>
          <w:sz w:val="20"/>
          <w:szCs w:val="20"/>
          <w:color w:val="auto"/>
        </w:rPr>
      </w:pPr>
      <w:r>
        <w:rPr>
          <w:rFonts w:ascii="Arial" w:cs="Arial" w:eastAsia="Arial" w:hAnsi="Arial"/>
          <w:sz w:val="18"/>
          <w:szCs w:val="18"/>
          <w:color w:val="auto"/>
        </w:rPr>
        <w:t>F-41</w:t>
      </w:r>
    </w:p>
    <w:p>
      <w:pPr>
        <w:sectPr>
          <w:pgSz w:w="11900" w:h="16838" w:orient="portrait"/>
          <w:cols w:equalWidth="0" w:num="1">
            <w:col w:w="11240"/>
          </w:cols>
          <w:pgMar w:left="240" w:top="459" w:right="419" w:bottom="1440" w:gutter="0" w:footer="0" w:header="0"/>
        </w:sectPr>
      </w:pPr>
    </w:p>
    <w:bookmarkStart w:id="140" w:name="page141"/>
    <w:bookmarkEnd w:id="14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8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AVITA MEDICAL LIMITED</w:t>
      </w:r>
    </w:p>
    <w:p>
      <w:pPr>
        <w:spacing w:after="0" w:line="27"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9"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(IN AUSTRALIAN DOLLARS)</w:t>
      </w:r>
    </w:p>
    <w:p>
      <w:pPr>
        <w:spacing w:after="0" w:line="234" w:lineRule="exact"/>
        <w:rPr>
          <w:sz w:val="20"/>
          <w:szCs w:val="20"/>
          <w:color w:val="auto"/>
        </w:rPr>
      </w:pPr>
    </w:p>
    <w:p>
      <w:pPr>
        <w:ind w:left="640" w:hanging="436"/>
        <w:spacing w:after="0"/>
        <w:tabs>
          <w:tab w:leader="none" w:pos="640" w:val="left"/>
        </w:tabs>
        <w:numPr>
          <w:ilvl w:val="0"/>
          <w:numId w:val="181"/>
        </w:numPr>
        <w:rPr>
          <w:rFonts w:ascii="Arial" w:cs="Arial" w:eastAsia="Arial" w:hAnsi="Arial"/>
          <w:sz w:val="18"/>
          <w:szCs w:val="18"/>
          <w:b w:val="1"/>
          <w:bCs w:val="1"/>
          <w:color w:val="auto"/>
        </w:rPr>
      </w:pPr>
      <w:r>
        <w:rPr>
          <w:rFonts w:ascii="Arial" w:cs="Arial" w:eastAsia="Arial" w:hAnsi="Arial"/>
          <w:sz w:val="18"/>
          <w:szCs w:val="18"/>
          <w:b w:val="1"/>
          <w:bCs w:val="1"/>
          <w:color w:val="auto"/>
        </w:rPr>
        <w:t>SEGMENT INFORMATION (CONTINUED)</w:t>
      </w:r>
    </w:p>
    <w:p>
      <w:pPr>
        <w:spacing w:after="0" w:line="135" w:lineRule="exact"/>
        <w:rPr>
          <w:sz w:val="20"/>
          <w:szCs w:val="20"/>
          <w:color w:val="auto"/>
        </w:rPr>
      </w:pPr>
    </w:p>
    <w:p>
      <w:pPr>
        <w:ind w:left="200" w:right="160"/>
        <w:spacing w:after="0" w:line="277" w:lineRule="auto"/>
        <w:rPr>
          <w:sz w:val="20"/>
          <w:szCs w:val="20"/>
          <w:color w:val="auto"/>
        </w:rPr>
      </w:pPr>
      <w:r>
        <w:rPr>
          <w:rFonts w:ascii="Arial" w:cs="Arial" w:eastAsia="Arial" w:hAnsi="Arial"/>
          <w:sz w:val="18"/>
          <w:szCs w:val="18"/>
          <w:color w:val="auto"/>
        </w:rPr>
        <w:t>Revenue is attributed to geographic location based on the location of the customers. The percentages of external revenues from external customers that are attributable to foreign countries are as shown below:</w:t>
      </w:r>
    </w:p>
    <w:p>
      <w:pPr>
        <w:spacing w:after="0" w:line="189" w:lineRule="exact"/>
        <w:rPr>
          <w:sz w:val="20"/>
          <w:szCs w:val="20"/>
          <w:color w:val="auto"/>
        </w:rPr>
      </w:pPr>
    </w:p>
    <w:tbl>
      <w:tblPr>
        <w:tblLayout w:type="fixed"/>
        <w:tblInd w:w="20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4060" w:type="dxa"/>
            <w:vAlign w:val="bottom"/>
            <w:tcBorders>
              <w:bottom w:val="single" w:sz="8" w:color="CCEEFF"/>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260" w:type="dxa"/>
            <w:vAlign w:val="bottom"/>
            <w:tcBorders>
              <w:bottom w:val="single" w:sz="8" w:color="CCEEFF"/>
            </w:tcBorders>
          </w:tcPr>
          <w:p>
            <w:pPr>
              <w:spacing w:after="0"/>
              <w:rPr>
                <w:sz w:val="14"/>
                <w:szCs w:val="14"/>
                <w:color w:val="auto"/>
              </w:rPr>
            </w:pPr>
          </w:p>
        </w:tc>
        <w:tc>
          <w:tcPr>
            <w:tcW w:w="460" w:type="dxa"/>
            <w:vAlign w:val="bottom"/>
            <w:tcBorders>
              <w:bottom w:val="single" w:sz="8" w:color="CCEEFF"/>
            </w:tcBorders>
          </w:tcPr>
          <w:p>
            <w:pPr>
              <w:spacing w:after="0"/>
              <w:rPr>
                <w:sz w:val="14"/>
                <w:szCs w:val="14"/>
                <w:color w:val="auto"/>
              </w:rPr>
            </w:pPr>
          </w:p>
        </w:tc>
        <w:tc>
          <w:tcPr>
            <w:tcW w:w="280" w:type="dxa"/>
            <w:vAlign w:val="bottom"/>
            <w:tcBorders>
              <w:bottom w:val="single" w:sz="8" w:color="CCEEFF"/>
            </w:tcBorders>
          </w:tcPr>
          <w:p>
            <w:pPr>
              <w:spacing w:after="0"/>
              <w:rPr>
                <w:sz w:val="14"/>
                <w:szCs w:val="14"/>
                <w:color w:val="auto"/>
              </w:rPr>
            </w:pPr>
          </w:p>
        </w:tc>
        <w:tc>
          <w:tcPr>
            <w:tcW w:w="540" w:type="dxa"/>
            <w:vAlign w:val="bottom"/>
            <w:tcBorders>
              <w:bottom w:val="single" w:sz="8" w:color="CCEEFF"/>
            </w:tcBorders>
          </w:tcPr>
          <w:p>
            <w:pPr>
              <w:spacing w:after="0"/>
              <w:rPr>
                <w:sz w:val="14"/>
                <w:szCs w:val="14"/>
                <w:color w:val="auto"/>
              </w:rPr>
            </w:pPr>
          </w:p>
        </w:tc>
        <w:tc>
          <w:tcPr>
            <w:tcW w:w="40" w:type="dxa"/>
            <w:vAlign w:val="bottom"/>
            <w:tcBorders>
              <w:bottom w:val="single" w:sz="8" w:color="CCEEFF"/>
            </w:tcBorders>
          </w:tcPr>
          <w:p>
            <w:pPr>
              <w:spacing w:after="0"/>
              <w:rPr>
                <w:sz w:val="14"/>
                <w:szCs w:val="14"/>
                <w:color w:val="auto"/>
              </w:rPr>
            </w:pPr>
          </w:p>
        </w:tc>
        <w:tc>
          <w:tcPr>
            <w:tcW w:w="260" w:type="dxa"/>
            <w:vAlign w:val="bottom"/>
            <w:tcBorders>
              <w:bottom w:val="single" w:sz="8" w:color="CCEEFF"/>
            </w:tcBorders>
          </w:tcPr>
          <w:p>
            <w:pPr>
              <w:spacing w:after="0"/>
              <w:rPr>
                <w:sz w:val="14"/>
                <w:szCs w:val="14"/>
                <w:color w:val="auto"/>
              </w:rPr>
            </w:pPr>
          </w:p>
        </w:tc>
        <w:tc>
          <w:tcPr>
            <w:tcW w:w="540" w:type="dxa"/>
            <w:vAlign w:val="bottom"/>
            <w:tcBorders>
              <w:bottom w:val="single" w:sz="8" w:color="CCEEFF"/>
            </w:tcBorders>
            <w:gridSpan w:val="2"/>
          </w:tcPr>
          <w:p>
            <w:pPr>
              <w:spacing w:after="0"/>
              <w:rPr>
                <w:sz w:val="14"/>
                <w:szCs w:val="14"/>
                <w:color w:val="auto"/>
              </w:rPr>
            </w:pPr>
          </w:p>
        </w:tc>
        <w:tc>
          <w:tcPr>
            <w:tcW w:w="46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2018</w:t>
            </w:r>
          </w:p>
        </w:tc>
        <w:tc>
          <w:tcPr>
            <w:tcW w:w="40" w:type="dxa"/>
            <w:vAlign w:val="bottom"/>
            <w:tcBorders>
              <w:bottom w:val="single" w:sz="8" w:color="CCEEFF"/>
            </w:tcBorders>
          </w:tcPr>
          <w:p>
            <w:pPr>
              <w:spacing w:after="0"/>
              <w:rPr>
                <w:sz w:val="14"/>
                <w:szCs w:val="14"/>
                <w:color w:val="auto"/>
              </w:rPr>
            </w:pPr>
          </w:p>
        </w:tc>
        <w:tc>
          <w:tcPr>
            <w:tcW w:w="220" w:type="dxa"/>
            <w:vAlign w:val="bottom"/>
            <w:tcBorders>
              <w:bottom w:val="single" w:sz="8" w:color="CCEEFF"/>
            </w:tcBorders>
          </w:tcPr>
          <w:p>
            <w:pPr>
              <w:spacing w:after="0"/>
              <w:rPr>
                <w:sz w:val="14"/>
                <w:szCs w:val="14"/>
                <w:color w:val="auto"/>
              </w:rPr>
            </w:pPr>
          </w:p>
        </w:tc>
        <w:tc>
          <w:tcPr>
            <w:tcW w:w="80" w:type="dxa"/>
            <w:vAlign w:val="bottom"/>
            <w:tcBorders>
              <w:bottom w:val="single" w:sz="8" w:color="CCEEFF"/>
            </w:tcBorders>
          </w:tcPr>
          <w:p>
            <w:pPr>
              <w:spacing w:after="0"/>
              <w:rPr>
                <w:sz w:val="14"/>
                <w:szCs w:val="14"/>
                <w:color w:val="auto"/>
              </w:rPr>
            </w:pPr>
          </w:p>
        </w:tc>
        <w:tc>
          <w:tcPr>
            <w:tcW w:w="240" w:type="dxa"/>
            <w:vAlign w:val="bottom"/>
            <w:tcBorders>
              <w:bottom w:val="single" w:sz="8" w:color="CCEEFF"/>
            </w:tcBorders>
          </w:tcPr>
          <w:p>
            <w:pPr>
              <w:spacing w:after="0"/>
              <w:rPr>
                <w:sz w:val="14"/>
                <w:szCs w:val="14"/>
                <w:color w:val="auto"/>
              </w:rPr>
            </w:pP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2017</w:t>
            </w:r>
          </w:p>
        </w:tc>
        <w:tc>
          <w:tcPr>
            <w:tcW w:w="340" w:type="dxa"/>
            <w:vAlign w:val="bottom"/>
            <w:tcBorders>
              <w:bottom w:val="single" w:sz="8" w:color="CCEEFF"/>
            </w:tcBorders>
          </w:tcPr>
          <w:p>
            <w:pPr>
              <w:spacing w:after="0"/>
              <w:rPr>
                <w:sz w:val="14"/>
                <w:szCs w:val="14"/>
                <w:color w:val="auto"/>
              </w:rPr>
            </w:pPr>
          </w:p>
        </w:tc>
        <w:tc>
          <w:tcPr>
            <w:tcW w:w="180" w:type="dxa"/>
            <w:vAlign w:val="bottom"/>
            <w:tcBorders>
              <w:bottom w:val="single" w:sz="8" w:color="CCEEFF"/>
            </w:tcBorders>
          </w:tcPr>
          <w:p>
            <w:pPr>
              <w:spacing w:after="0"/>
              <w:rPr>
                <w:sz w:val="14"/>
                <w:szCs w:val="14"/>
                <w:color w:val="auto"/>
              </w:rPr>
            </w:pPr>
          </w:p>
        </w:tc>
        <w:tc>
          <w:tcPr>
            <w:tcW w:w="40" w:type="dxa"/>
            <w:vAlign w:val="bottom"/>
            <w:tcBorders>
              <w:bottom w:val="single" w:sz="8" w:color="CCEEFF"/>
            </w:tcBorders>
          </w:tcPr>
          <w:p>
            <w:pPr>
              <w:spacing w:after="0"/>
              <w:rPr>
                <w:sz w:val="14"/>
                <w:szCs w:val="14"/>
                <w:color w:val="auto"/>
              </w:rPr>
            </w:pPr>
          </w:p>
        </w:tc>
        <w:tc>
          <w:tcPr>
            <w:tcW w:w="44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2016</w:t>
            </w:r>
          </w:p>
        </w:tc>
        <w:tc>
          <w:tcPr>
            <w:tcW w:w="40" w:type="dxa"/>
            <w:vAlign w:val="bottom"/>
            <w:tcBorders>
              <w:bottom w:val="single" w:sz="8" w:color="CCEEFF"/>
            </w:tcBorders>
          </w:tcPr>
          <w:p>
            <w:pPr>
              <w:spacing w:after="0"/>
              <w:rPr>
                <w:sz w:val="14"/>
                <w:szCs w:val="14"/>
                <w:color w:val="auto"/>
              </w:rPr>
            </w:pPr>
          </w:p>
        </w:tc>
        <w:tc>
          <w:tcPr>
            <w:tcW w:w="200" w:type="dxa"/>
            <w:vAlign w:val="bottom"/>
            <w:tcBorders>
              <w:bottom w:val="single" w:sz="8" w:color="CCEEFF"/>
            </w:tcBorders>
          </w:tcPr>
          <w:p>
            <w:pPr>
              <w:spacing w:after="0"/>
              <w:rPr>
                <w:sz w:val="14"/>
                <w:szCs w:val="14"/>
                <w:color w:val="auto"/>
              </w:rPr>
            </w:pPr>
          </w:p>
        </w:tc>
        <w:tc>
          <w:tcPr>
            <w:tcW w:w="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4060" w:type="dxa"/>
            <w:vAlign w:val="bottom"/>
            <w:shd w:val="clear" w:color="auto" w:fill="CCEEFF"/>
          </w:tcPr>
          <w:p>
            <w:pPr>
              <w:spacing w:after="0"/>
              <w:rPr>
                <w:sz w:val="20"/>
                <w:szCs w:val="20"/>
                <w:color w:val="auto"/>
              </w:rPr>
            </w:pPr>
            <w:r>
              <w:rPr>
                <w:rFonts w:ascii="Arial" w:cs="Arial" w:eastAsia="Arial" w:hAnsi="Arial"/>
                <w:sz w:val="18"/>
                <w:szCs w:val="18"/>
                <w:color w:val="auto"/>
              </w:rPr>
              <w:t>Australia</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720" w:type="dxa"/>
            <w:vAlign w:val="bottom"/>
            <w:gridSpan w:val="4"/>
            <w:shd w:val="clear" w:color="auto" w:fill="CCEEFF"/>
          </w:tcPr>
          <w:p>
            <w:pPr>
              <w:jc w:val="right"/>
              <w:ind w:right="100"/>
              <w:spacing w:after="0"/>
              <w:rPr>
                <w:sz w:val="20"/>
                <w:szCs w:val="20"/>
                <w:color w:val="auto"/>
              </w:rPr>
            </w:pPr>
            <w:r>
              <w:rPr>
                <w:rFonts w:ascii="Arial" w:cs="Arial" w:eastAsia="Arial" w:hAnsi="Arial"/>
                <w:sz w:val="18"/>
                <w:szCs w:val="18"/>
                <w:color w:val="auto"/>
              </w:rPr>
              <w:t>6.8%</w:t>
            </w:r>
          </w:p>
        </w:tc>
        <w:tc>
          <w:tcPr>
            <w:tcW w:w="80" w:type="dxa"/>
            <w:vAlign w:val="bottom"/>
            <w:shd w:val="clear" w:color="auto" w:fill="CCEEFF"/>
          </w:tcPr>
          <w:p>
            <w:pPr>
              <w:spacing w:after="0"/>
              <w:rPr>
                <w:sz w:val="18"/>
                <w:szCs w:val="18"/>
                <w:color w:val="auto"/>
              </w:rPr>
            </w:pPr>
          </w:p>
        </w:tc>
        <w:tc>
          <w:tcPr>
            <w:tcW w:w="240" w:type="dxa"/>
            <w:vAlign w:val="bottom"/>
            <w:tcBorders>
              <w:right w:val="single" w:sz="8" w:color="CCEEFF"/>
            </w:tcBorders>
            <w:shd w:val="clear" w:color="auto" w:fill="CCEEFF"/>
          </w:tcPr>
          <w:p>
            <w:pPr>
              <w:spacing w:after="0"/>
              <w:rPr>
                <w:sz w:val="18"/>
                <w:szCs w:val="18"/>
                <w:color w:val="auto"/>
              </w:rPr>
            </w:pPr>
          </w:p>
        </w:tc>
        <w:tc>
          <w:tcPr>
            <w:tcW w:w="780" w:type="dxa"/>
            <w:vAlign w:val="bottom"/>
            <w:gridSpan w:val="2"/>
            <w:shd w:val="clear" w:color="auto" w:fill="CCEEFF"/>
          </w:tcPr>
          <w:p>
            <w:pPr>
              <w:jc w:val="right"/>
              <w:ind w:right="110"/>
              <w:spacing w:after="0"/>
              <w:rPr>
                <w:sz w:val="20"/>
                <w:szCs w:val="20"/>
                <w:color w:val="auto"/>
              </w:rPr>
            </w:pPr>
            <w:r>
              <w:rPr>
                <w:rFonts w:ascii="Arial" w:cs="Arial" w:eastAsia="Arial" w:hAnsi="Arial"/>
                <w:sz w:val="18"/>
                <w:szCs w:val="18"/>
                <w:color w:val="auto"/>
              </w:rPr>
              <w:t>9.4%</w:t>
            </w:r>
          </w:p>
        </w:tc>
        <w:tc>
          <w:tcPr>
            <w:tcW w:w="1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8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15.4%</w:t>
            </w:r>
          </w:p>
        </w:tc>
        <w:tc>
          <w:tcPr>
            <w:tcW w:w="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4060" w:type="dxa"/>
            <w:vAlign w:val="bottom"/>
          </w:tcPr>
          <w:p>
            <w:pPr>
              <w:spacing w:after="0"/>
              <w:rPr>
                <w:sz w:val="20"/>
                <w:szCs w:val="20"/>
                <w:color w:val="auto"/>
              </w:rPr>
            </w:pPr>
            <w:r>
              <w:rPr>
                <w:rFonts w:ascii="Arial" w:cs="Arial" w:eastAsia="Arial" w:hAnsi="Arial"/>
                <w:sz w:val="18"/>
                <w:szCs w:val="18"/>
                <w:color w:val="auto"/>
              </w:rPr>
              <w:t>Other</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540" w:type="dxa"/>
            <w:vAlign w:val="bottom"/>
            <w:gridSpan w:val="2"/>
          </w:tcPr>
          <w:p>
            <w:pPr>
              <w:spacing w:after="0"/>
              <w:rPr>
                <w:sz w:val="18"/>
                <w:szCs w:val="18"/>
                <w:color w:val="auto"/>
              </w:rPr>
            </w:pPr>
          </w:p>
        </w:tc>
        <w:tc>
          <w:tcPr>
            <w:tcW w:w="720" w:type="dxa"/>
            <w:vAlign w:val="bottom"/>
            <w:gridSpan w:val="4"/>
          </w:tcPr>
          <w:p>
            <w:pPr>
              <w:jc w:val="right"/>
              <w:ind w:right="100"/>
              <w:spacing w:after="0"/>
              <w:rPr>
                <w:sz w:val="20"/>
                <w:szCs w:val="20"/>
                <w:color w:val="auto"/>
              </w:rPr>
            </w:pPr>
            <w:r>
              <w:rPr>
                <w:rFonts w:ascii="Arial" w:cs="Arial" w:eastAsia="Arial" w:hAnsi="Arial"/>
                <w:sz w:val="18"/>
                <w:szCs w:val="18"/>
                <w:color w:val="auto"/>
              </w:rPr>
              <w:t>93.2%</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80" w:type="dxa"/>
            <w:vAlign w:val="bottom"/>
            <w:gridSpan w:val="2"/>
          </w:tcPr>
          <w:p>
            <w:pPr>
              <w:jc w:val="right"/>
              <w:ind w:right="110"/>
              <w:spacing w:after="0"/>
              <w:rPr>
                <w:sz w:val="20"/>
                <w:szCs w:val="20"/>
                <w:color w:val="auto"/>
              </w:rPr>
            </w:pPr>
            <w:r>
              <w:rPr>
                <w:rFonts w:ascii="Arial" w:cs="Arial" w:eastAsia="Arial" w:hAnsi="Arial"/>
                <w:sz w:val="18"/>
                <w:szCs w:val="18"/>
                <w:color w:val="auto"/>
              </w:rPr>
              <w:t>90.6%</w:t>
            </w:r>
          </w:p>
        </w:tc>
        <w:tc>
          <w:tcPr>
            <w:tcW w:w="1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80" w:type="dxa"/>
            <w:vAlign w:val="bottom"/>
            <w:gridSpan w:val="4"/>
          </w:tcPr>
          <w:p>
            <w:pPr>
              <w:jc w:val="right"/>
              <w:spacing w:after="0"/>
              <w:rPr>
                <w:sz w:val="20"/>
                <w:szCs w:val="20"/>
                <w:color w:val="auto"/>
              </w:rPr>
            </w:pPr>
            <w:r>
              <w:rPr>
                <w:rFonts w:ascii="Arial" w:cs="Arial" w:eastAsia="Arial" w:hAnsi="Arial"/>
                <w:sz w:val="18"/>
                <w:szCs w:val="18"/>
                <w:color w:val="auto"/>
              </w:rPr>
              <w:t>84.6%</w:t>
            </w:r>
          </w:p>
        </w:tc>
        <w:tc>
          <w:tcPr>
            <w:tcW w:w="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860" w:type="dxa"/>
            <w:vAlign w:val="bottom"/>
            <w:vMerge w:val="restart"/>
          </w:tcPr>
          <w:p>
            <w:pPr>
              <w:spacing w:after="0"/>
              <w:rPr>
                <w:sz w:val="2"/>
                <w:szCs w:val="2"/>
                <w:color w:val="auto"/>
              </w:rPr>
            </w:pPr>
          </w:p>
        </w:tc>
        <w:tc>
          <w:tcPr>
            <w:tcW w:w="4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460" w:type="dxa"/>
            <w:vAlign w:val="bottom"/>
          </w:tcPr>
          <w:p>
            <w:pPr>
              <w:spacing w:after="0"/>
              <w:rPr>
                <w:sz w:val="2"/>
                <w:szCs w:val="2"/>
                <w:color w:val="auto"/>
              </w:rPr>
            </w:pPr>
          </w:p>
        </w:tc>
        <w:tc>
          <w:tcPr>
            <w:tcW w:w="280" w:type="dxa"/>
            <w:vAlign w:val="bottom"/>
          </w:tcPr>
          <w:p>
            <w:pPr>
              <w:spacing w:after="0"/>
              <w:rPr>
                <w:sz w:val="2"/>
                <w:szCs w:val="2"/>
                <w:color w:val="auto"/>
              </w:rPr>
            </w:pPr>
          </w:p>
        </w:tc>
        <w:tc>
          <w:tcPr>
            <w:tcW w:w="540" w:type="dxa"/>
            <w:vAlign w:val="bottom"/>
          </w:tcPr>
          <w:p>
            <w:pPr>
              <w:spacing w:after="0"/>
              <w:rPr>
                <w:sz w:val="2"/>
                <w:szCs w:val="2"/>
                <w:color w:val="auto"/>
              </w:rPr>
            </w:pPr>
          </w:p>
        </w:tc>
        <w:tc>
          <w:tcPr>
            <w:tcW w:w="40" w:type="dxa"/>
            <w:vAlign w:val="bottom"/>
          </w:tcPr>
          <w:p>
            <w:pPr>
              <w:spacing w:after="0"/>
              <w:rPr>
                <w:sz w:val="2"/>
                <w:szCs w:val="2"/>
                <w:color w:val="auto"/>
              </w:rPr>
            </w:pPr>
          </w:p>
        </w:tc>
        <w:tc>
          <w:tcPr>
            <w:tcW w:w="260" w:type="dxa"/>
            <w:vAlign w:val="bottom"/>
          </w:tcPr>
          <w:p>
            <w:pPr>
              <w:spacing w:after="0"/>
              <w:rPr>
                <w:sz w:val="2"/>
                <w:szCs w:val="2"/>
                <w:color w:val="auto"/>
              </w:rPr>
            </w:pPr>
          </w:p>
        </w:tc>
        <w:tc>
          <w:tcPr>
            <w:tcW w:w="220" w:type="dxa"/>
            <w:vAlign w:val="bottom"/>
          </w:tcPr>
          <w:p>
            <w:pPr>
              <w:spacing w:after="0"/>
              <w:rPr>
                <w:sz w:val="2"/>
                <w:szCs w:val="2"/>
                <w:color w:val="auto"/>
              </w:rPr>
            </w:pPr>
          </w:p>
        </w:tc>
        <w:tc>
          <w:tcPr>
            <w:tcW w:w="32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4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Borders>
              <w:right w:val="single" w:sz="8" w:color="auto"/>
            </w:tcBorders>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180" w:type="dxa"/>
            <w:vAlign w:val="bottom"/>
          </w:tcPr>
          <w:p>
            <w:pPr>
              <w:spacing w:after="0"/>
              <w:rPr>
                <w:sz w:val="2"/>
                <w:szCs w:val="2"/>
                <w:color w:val="auto"/>
              </w:rPr>
            </w:pPr>
          </w:p>
        </w:tc>
        <w:tc>
          <w:tcPr>
            <w:tcW w:w="40" w:type="dxa"/>
            <w:vAlign w:val="bottom"/>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0" w:type="dxa"/>
            <w:vAlign w:val="bottom"/>
          </w:tcPr>
          <w:p>
            <w:pPr>
              <w:spacing w:after="0"/>
              <w:rPr>
                <w:sz w:val="2"/>
                <w:szCs w:val="2"/>
                <w:color w:val="auto"/>
              </w:rPr>
            </w:pPr>
          </w:p>
        </w:tc>
        <w:tc>
          <w:tcPr>
            <w:tcW w:w="200" w:type="dxa"/>
            <w:vAlign w:val="bottom"/>
          </w:tcPr>
          <w:p>
            <w:pPr>
              <w:spacing w:after="0"/>
              <w:rPr>
                <w:sz w:val="2"/>
                <w:szCs w:val="2"/>
                <w:color w:val="auto"/>
              </w:rPr>
            </w:pPr>
          </w:p>
        </w:tc>
        <w:tc>
          <w:tcPr>
            <w:tcW w:w="40" w:type="dxa"/>
            <w:vAlign w:val="bottom"/>
          </w:tcPr>
          <w:p>
            <w:pPr>
              <w:spacing w:after="0"/>
              <w:rPr>
                <w:sz w:val="2"/>
                <w:szCs w:val="2"/>
                <w:color w:val="auto"/>
              </w:rPr>
            </w:pPr>
          </w:p>
        </w:tc>
        <w:tc>
          <w:tcPr>
            <w:tcW w:w="740" w:type="dxa"/>
            <w:vAlign w:val="bottom"/>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860" w:type="dxa"/>
            <w:vAlign w:val="bottom"/>
            <w:vMerge w:val="continue"/>
          </w:tcPr>
          <w:p>
            <w:pPr>
              <w:spacing w:after="0"/>
              <w:rPr>
                <w:sz w:val="18"/>
                <w:szCs w:val="18"/>
                <w:color w:val="auto"/>
              </w:rPr>
            </w:pPr>
          </w:p>
        </w:tc>
        <w:tc>
          <w:tcPr>
            <w:tcW w:w="40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 revenue</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540" w:type="dxa"/>
            <w:vAlign w:val="bottom"/>
            <w:gridSpan w:val="2"/>
            <w:shd w:val="clear" w:color="auto" w:fill="CCEEFF"/>
          </w:tcPr>
          <w:p>
            <w:pPr>
              <w:spacing w:after="0"/>
              <w:rPr>
                <w:sz w:val="18"/>
                <w:szCs w:val="18"/>
                <w:color w:val="auto"/>
              </w:rPr>
            </w:pPr>
          </w:p>
        </w:tc>
        <w:tc>
          <w:tcPr>
            <w:tcW w:w="720" w:type="dxa"/>
            <w:vAlign w:val="bottom"/>
            <w:gridSpan w:val="4"/>
            <w:shd w:val="clear" w:color="auto" w:fill="CCEEFF"/>
          </w:tcPr>
          <w:p>
            <w:pPr>
              <w:jc w:val="right"/>
              <w:ind w:right="80"/>
              <w:spacing w:after="0"/>
              <w:rPr>
                <w:sz w:val="20"/>
                <w:szCs w:val="20"/>
                <w:color w:val="auto"/>
              </w:rPr>
            </w:pPr>
            <w:r>
              <w:rPr>
                <w:rFonts w:ascii="Arial" w:cs="Arial" w:eastAsia="Arial" w:hAnsi="Arial"/>
                <w:sz w:val="18"/>
                <w:szCs w:val="18"/>
                <w:b w:val="1"/>
                <w:bCs w:val="1"/>
                <w:color w:val="auto"/>
              </w:rPr>
              <w:t>100.0%</w:t>
            </w:r>
          </w:p>
        </w:tc>
        <w:tc>
          <w:tcPr>
            <w:tcW w:w="80" w:type="dxa"/>
            <w:vAlign w:val="bottom"/>
            <w:shd w:val="clear" w:color="auto" w:fill="CCEEFF"/>
          </w:tcPr>
          <w:p>
            <w:pPr>
              <w:spacing w:after="0"/>
              <w:rPr>
                <w:sz w:val="18"/>
                <w:szCs w:val="18"/>
                <w:color w:val="auto"/>
              </w:rPr>
            </w:pPr>
          </w:p>
        </w:tc>
        <w:tc>
          <w:tcPr>
            <w:tcW w:w="240" w:type="dxa"/>
            <w:vAlign w:val="bottom"/>
            <w:tcBorders>
              <w:right w:val="single" w:sz="8" w:color="CCEEFF"/>
            </w:tcBorders>
            <w:shd w:val="clear" w:color="auto" w:fill="CCEEFF"/>
          </w:tcPr>
          <w:p>
            <w:pPr>
              <w:spacing w:after="0"/>
              <w:rPr>
                <w:sz w:val="18"/>
                <w:szCs w:val="18"/>
                <w:color w:val="auto"/>
              </w:rPr>
            </w:pPr>
          </w:p>
        </w:tc>
        <w:tc>
          <w:tcPr>
            <w:tcW w:w="780" w:type="dxa"/>
            <w:vAlign w:val="bottom"/>
            <w:gridSpan w:val="2"/>
            <w:shd w:val="clear" w:color="auto" w:fill="CCEEFF"/>
          </w:tcPr>
          <w:p>
            <w:pPr>
              <w:jc w:val="right"/>
              <w:ind w:right="70"/>
              <w:spacing w:after="0"/>
              <w:rPr>
                <w:sz w:val="20"/>
                <w:szCs w:val="20"/>
                <w:color w:val="auto"/>
              </w:rPr>
            </w:pPr>
            <w:r>
              <w:rPr>
                <w:rFonts w:ascii="Arial" w:cs="Arial" w:eastAsia="Arial" w:hAnsi="Arial"/>
                <w:sz w:val="18"/>
                <w:szCs w:val="18"/>
                <w:b w:val="1"/>
                <w:bCs w:val="1"/>
                <w:color w:val="auto"/>
                <w:w w:val="98"/>
              </w:rPr>
              <w:t>100.0%</w:t>
            </w:r>
          </w:p>
        </w:tc>
        <w:tc>
          <w:tcPr>
            <w:tcW w:w="1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80" w:type="dxa"/>
            <w:vAlign w:val="bottom"/>
            <w:gridSpan w:val="4"/>
            <w:shd w:val="clear" w:color="auto" w:fill="CCEEFF"/>
          </w:tcPr>
          <w:p>
            <w:pPr>
              <w:jc w:val="right"/>
              <w:spacing w:after="0"/>
              <w:rPr>
                <w:sz w:val="20"/>
                <w:szCs w:val="20"/>
                <w:color w:val="auto"/>
              </w:rPr>
            </w:pPr>
            <w:r>
              <w:rPr>
                <w:rFonts w:ascii="Arial" w:cs="Arial" w:eastAsia="Arial" w:hAnsi="Arial"/>
                <w:sz w:val="18"/>
                <w:szCs w:val="18"/>
                <w:b w:val="1"/>
                <w:bCs w:val="1"/>
                <w:color w:val="auto"/>
              </w:rPr>
              <w:t>100.0%</w:t>
            </w:r>
          </w:p>
        </w:tc>
        <w:tc>
          <w:tcPr>
            <w:tcW w:w="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40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6"/>
        </w:trPr>
        <w:tc>
          <w:tcPr>
            <w:tcW w:w="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20" w:type="dxa"/>
            <w:vAlign w:val="bottom"/>
            <w:gridSpan w:val="2"/>
          </w:tcPr>
          <w:p>
            <w:pPr>
              <w:jc w:val="right"/>
              <w:spacing w:after="0"/>
              <w:rPr>
                <w:sz w:val="20"/>
                <w:szCs w:val="20"/>
                <w:color w:val="auto"/>
              </w:rPr>
            </w:pPr>
            <w:r>
              <w:rPr>
                <w:rFonts w:ascii="Arial" w:cs="Arial" w:eastAsia="Arial" w:hAnsi="Arial"/>
                <w:sz w:val="14"/>
                <w:szCs w:val="14"/>
                <w:b w:val="1"/>
                <w:bCs w:val="1"/>
                <w:i w:val="1"/>
                <w:iCs w:val="1"/>
                <w:color w:val="auto"/>
                <w:w w:val="94"/>
              </w:rPr>
              <w:t>Asia Pacific</w:t>
            </w:r>
          </w:p>
        </w:tc>
        <w:tc>
          <w:tcPr>
            <w:tcW w:w="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40" w:type="dxa"/>
            <w:vAlign w:val="bottom"/>
            <w:gridSpan w:val="5"/>
          </w:tcPr>
          <w:p>
            <w:pPr>
              <w:jc w:val="right"/>
              <w:ind w:right="420"/>
              <w:spacing w:after="0"/>
              <w:rPr>
                <w:sz w:val="20"/>
                <w:szCs w:val="20"/>
                <w:color w:val="auto"/>
              </w:rPr>
            </w:pPr>
            <w:r>
              <w:rPr>
                <w:rFonts w:ascii="Arial" w:cs="Arial" w:eastAsia="Arial" w:hAnsi="Arial"/>
                <w:sz w:val="14"/>
                <w:szCs w:val="14"/>
                <w:b w:val="1"/>
                <w:bCs w:val="1"/>
                <w:i w:val="1"/>
                <w:iCs w:val="1"/>
                <w:color w:val="auto"/>
              </w:rPr>
              <w:t>EMEA</w:t>
            </w: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0" w:type="dxa"/>
            <w:vAlign w:val="bottom"/>
            <w:gridSpan w:val="4"/>
          </w:tcPr>
          <w:p>
            <w:pPr>
              <w:ind w:left="180"/>
              <w:spacing w:after="0"/>
              <w:rPr>
                <w:sz w:val="20"/>
                <w:szCs w:val="20"/>
                <w:color w:val="auto"/>
              </w:rPr>
            </w:pPr>
            <w:r>
              <w:rPr>
                <w:rFonts w:ascii="Arial" w:cs="Arial" w:eastAsia="Arial" w:hAnsi="Arial"/>
                <w:sz w:val="14"/>
                <w:szCs w:val="14"/>
                <w:b w:val="1"/>
                <w:bCs w:val="1"/>
                <w:i w:val="1"/>
                <w:iCs w:val="1"/>
                <w:color w:val="auto"/>
              </w:rPr>
              <w:t>Americas</w:t>
            </w:r>
          </w:p>
        </w:tc>
        <w:tc>
          <w:tcPr>
            <w:tcW w:w="3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60" w:type="dxa"/>
            <w:vAlign w:val="bottom"/>
            <w:gridSpan w:val="3"/>
          </w:tcPr>
          <w:p>
            <w:pPr>
              <w:ind w:left="120"/>
              <w:spacing w:after="0"/>
              <w:rPr>
                <w:sz w:val="20"/>
                <w:szCs w:val="20"/>
                <w:color w:val="auto"/>
              </w:rPr>
            </w:pPr>
            <w:r>
              <w:rPr>
                <w:rFonts w:ascii="Arial" w:cs="Arial" w:eastAsia="Arial" w:hAnsi="Arial"/>
                <w:sz w:val="14"/>
                <w:szCs w:val="14"/>
                <w:b w:val="1"/>
                <w:bCs w:val="1"/>
                <w:i w:val="1"/>
                <w:iCs w:val="1"/>
                <w:color w:val="auto"/>
              </w:rPr>
              <w:t>Total</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2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Year ended June 30, 2018</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tcBorders>
              <w:right w:val="single" w:sz="8" w:color="CCEEFF"/>
            </w:tcBorders>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20" w:type="dxa"/>
            <w:vAlign w:val="bottom"/>
            <w:gridSpan w:val="2"/>
          </w:tcPr>
          <w:p>
            <w:pPr>
              <w:spacing w:after="0"/>
              <w:rPr>
                <w:sz w:val="20"/>
                <w:szCs w:val="20"/>
                <w:color w:val="auto"/>
              </w:rPr>
            </w:pPr>
            <w:r>
              <w:rPr>
                <w:rFonts w:ascii="Arial" w:cs="Arial" w:eastAsia="Arial" w:hAnsi="Arial"/>
                <w:sz w:val="18"/>
                <w:szCs w:val="18"/>
                <w:b w:val="1"/>
                <w:bCs w:val="1"/>
                <w:color w:val="auto"/>
              </w:rPr>
              <w:t>Segment assets</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Segment operating assets</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A$532,926</w:t>
            </w:r>
          </w:p>
        </w:tc>
        <w:tc>
          <w:tcPr>
            <w:tcW w:w="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60" w:type="dxa"/>
            <w:vAlign w:val="bottom"/>
            <w:gridSpan w:val="6"/>
            <w:shd w:val="clear" w:color="auto" w:fill="CCEEFF"/>
          </w:tcPr>
          <w:p>
            <w:pPr>
              <w:jc w:val="right"/>
              <w:ind w:right="220"/>
              <w:spacing w:after="0"/>
              <w:rPr>
                <w:sz w:val="20"/>
                <w:szCs w:val="20"/>
                <w:color w:val="auto"/>
              </w:rPr>
            </w:pPr>
            <w:r>
              <w:rPr>
                <w:rFonts w:ascii="Arial" w:cs="Arial" w:eastAsia="Arial" w:hAnsi="Arial"/>
                <w:sz w:val="18"/>
                <w:szCs w:val="18"/>
                <w:color w:val="auto"/>
              </w:rPr>
              <w:t>A$579,081</w:t>
            </w:r>
          </w:p>
        </w:tc>
        <w:tc>
          <w:tcPr>
            <w:tcW w:w="80" w:type="dxa"/>
            <w:vAlign w:val="bottom"/>
            <w:shd w:val="clear" w:color="auto" w:fill="CCEEFF"/>
          </w:tcPr>
          <w:p>
            <w:pPr>
              <w:spacing w:after="0"/>
              <w:rPr>
                <w:sz w:val="18"/>
                <w:szCs w:val="18"/>
                <w:color w:val="auto"/>
              </w:rPr>
            </w:pPr>
          </w:p>
        </w:tc>
        <w:tc>
          <w:tcPr>
            <w:tcW w:w="240" w:type="dxa"/>
            <w:vAlign w:val="bottom"/>
            <w:tcBorders>
              <w:right w:val="single" w:sz="8" w:color="CCEEFF"/>
            </w:tcBorders>
            <w:shd w:val="clear" w:color="auto" w:fill="CCEEFF"/>
          </w:tcPr>
          <w:p>
            <w:pPr>
              <w:spacing w:after="0"/>
              <w:rPr>
                <w:sz w:val="18"/>
                <w:szCs w:val="18"/>
                <w:color w:val="auto"/>
              </w:rPr>
            </w:pPr>
          </w:p>
        </w:tc>
        <w:tc>
          <w:tcPr>
            <w:tcW w:w="1000" w:type="dxa"/>
            <w:vAlign w:val="bottom"/>
            <w:gridSpan w:val="4"/>
            <w:shd w:val="clear" w:color="auto" w:fill="CCEEFF"/>
          </w:tcPr>
          <w:p>
            <w:pPr>
              <w:spacing w:after="0"/>
              <w:rPr>
                <w:sz w:val="20"/>
                <w:szCs w:val="20"/>
                <w:color w:val="auto"/>
              </w:rPr>
            </w:pPr>
            <w:r>
              <w:rPr>
                <w:rFonts w:ascii="Arial" w:cs="Arial" w:eastAsia="Arial" w:hAnsi="Arial"/>
                <w:sz w:val="18"/>
                <w:szCs w:val="18"/>
                <w:color w:val="auto"/>
                <w:w w:val="95"/>
              </w:rPr>
              <w:t>A$7,079,653</w:t>
            </w:r>
          </w:p>
        </w:tc>
        <w:tc>
          <w:tcPr>
            <w:tcW w:w="3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40" w:type="dxa"/>
            <w:vAlign w:val="bottom"/>
            <w:gridSpan w:val="6"/>
            <w:shd w:val="clear" w:color="auto" w:fill="CCEEFF"/>
          </w:tcPr>
          <w:p>
            <w:pPr>
              <w:ind w:left="40"/>
              <w:spacing w:after="0"/>
              <w:rPr>
                <w:sz w:val="20"/>
                <w:szCs w:val="20"/>
                <w:color w:val="auto"/>
              </w:rPr>
            </w:pPr>
            <w:r>
              <w:rPr>
                <w:rFonts w:ascii="Arial" w:cs="Arial" w:eastAsia="Arial" w:hAnsi="Arial"/>
                <w:sz w:val="18"/>
                <w:szCs w:val="18"/>
                <w:color w:val="auto"/>
                <w:w w:val="96"/>
              </w:rPr>
              <w:t>A$18,191,660</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920" w:type="dxa"/>
            <w:vAlign w:val="bottom"/>
            <w:gridSpan w:val="2"/>
          </w:tcPr>
          <w:p>
            <w:pPr>
              <w:spacing w:after="0"/>
              <w:rPr>
                <w:sz w:val="20"/>
                <w:szCs w:val="20"/>
                <w:color w:val="auto"/>
              </w:rPr>
            </w:pPr>
            <w:r>
              <w:rPr>
                <w:rFonts w:ascii="Arial" w:cs="Arial" w:eastAsia="Arial" w:hAnsi="Arial"/>
                <w:sz w:val="18"/>
                <w:szCs w:val="18"/>
                <w:color w:val="auto"/>
              </w:rPr>
              <w:t>Segment non-current assets</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82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5,662</w:t>
            </w:r>
          </w:p>
        </w:tc>
        <w:tc>
          <w:tcPr>
            <w:tcW w:w="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20" w:type="dxa"/>
            <w:vAlign w:val="bottom"/>
            <w:tcBorders>
              <w:bottom w:val="single" w:sz="8" w:color="auto"/>
            </w:tcBorders>
            <w:gridSpan w:val="4"/>
          </w:tcPr>
          <w:p>
            <w:pPr>
              <w:jc w:val="right"/>
              <w:spacing w:after="0"/>
              <w:rPr>
                <w:sz w:val="20"/>
                <w:szCs w:val="20"/>
                <w:color w:val="auto"/>
              </w:rPr>
            </w:pPr>
            <w:r>
              <w:rPr>
                <w:rFonts w:ascii="Arial" w:cs="Arial" w:eastAsia="Arial" w:hAnsi="Arial"/>
                <w:sz w:val="18"/>
                <w:szCs w:val="18"/>
                <w:color w:val="auto"/>
              </w:rPr>
              <w:t>18,215</w:t>
            </w:r>
          </w:p>
        </w:tc>
        <w:tc>
          <w:tcPr>
            <w:tcW w:w="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60" w:type="dxa"/>
            <w:vAlign w:val="bottom"/>
            <w:tcBorders>
              <w:bottom w:val="single" w:sz="8" w:color="auto"/>
            </w:tcBorders>
            <w:gridSpan w:val="3"/>
          </w:tcPr>
          <w:p>
            <w:pPr>
              <w:jc w:val="right"/>
              <w:ind w:right="20"/>
              <w:spacing w:after="0"/>
              <w:rPr>
                <w:sz w:val="20"/>
                <w:szCs w:val="20"/>
                <w:color w:val="auto"/>
              </w:rPr>
            </w:pPr>
            <w:r>
              <w:rPr>
                <w:rFonts w:ascii="Arial" w:cs="Arial" w:eastAsia="Arial" w:hAnsi="Arial"/>
                <w:sz w:val="18"/>
                <w:szCs w:val="18"/>
                <w:color w:val="auto"/>
              </w:rPr>
              <w:t>703,100</w:t>
            </w:r>
          </w:p>
        </w:tc>
        <w:tc>
          <w:tcPr>
            <w:tcW w:w="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726,977</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Unallocated assets</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5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00" w:type="dxa"/>
            <w:vAlign w:val="bottom"/>
            <w:gridSpan w:val="3"/>
            <w:shd w:val="clear" w:color="auto" w:fill="CCEEFF"/>
          </w:tcPr>
          <w:p>
            <w:pPr>
              <w:jc w:val="right"/>
              <w:ind w:right="320"/>
              <w:spacing w:after="0"/>
              <w:rPr>
                <w:sz w:val="20"/>
                <w:szCs w:val="20"/>
                <w:color w:val="auto"/>
              </w:rPr>
            </w:pPr>
            <w:r>
              <w:rPr>
                <w:rFonts w:ascii="Arial" w:cs="Arial" w:eastAsia="Arial" w:hAnsi="Arial"/>
                <w:sz w:val="18"/>
                <w:szCs w:val="18"/>
                <w:color w:val="auto"/>
                <w:w w:val="88"/>
              </w:rPr>
              <w:t>—</w:t>
            </w:r>
          </w:p>
        </w:tc>
        <w:tc>
          <w:tcPr>
            <w:tcW w:w="80" w:type="dxa"/>
            <w:vAlign w:val="bottom"/>
            <w:shd w:val="clear" w:color="auto" w:fill="CCEEFF"/>
          </w:tcPr>
          <w:p>
            <w:pPr>
              <w:spacing w:after="0"/>
              <w:rPr>
                <w:sz w:val="18"/>
                <w:szCs w:val="18"/>
                <w:color w:val="auto"/>
              </w:rPr>
            </w:pPr>
          </w:p>
        </w:tc>
        <w:tc>
          <w:tcPr>
            <w:tcW w:w="240" w:type="dxa"/>
            <w:vAlign w:val="bottom"/>
            <w:tcBorders>
              <w:right w:val="single" w:sz="8" w:color="CCEEFF"/>
            </w:tcBorders>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560" w:type="dxa"/>
            <w:vAlign w:val="bottom"/>
            <w:gridSpan w:val="3"/>
            <w:shd w:val="clear" w:color="auto" w:fill="CCEEFF"/>
          </w:tcPr>
          <w:p>
            <w:pPr>
              <w:ind w:left="240"/>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7"/>
              </w:rPr>
              <w:t>4,098,377</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4940" w:type="dxa"/>
            <w:vAlign w:val="bottom"/>
            <w:gridSpan w:val="3"/>
          </w:tcPr>
          <w:p>
            <w:pPr>
              <w:spacing w:after="0"/>
              <w:rPr>
                <w:sz w:val="20"/>
                <w:szCs w:val="20"/>
                <w:color w:val="auto"/>
              </w:rPr>
            </w:pPr>
            <w:r>
              <w:rPr>
                <w:rFonts w:ascii="Arial" w:cs="Arial" w:eastAsia="Arial" w:hAnsi="Arial"/>
                <w:sz w:val="18"/>
                <w:szCs w:val="18"/>
                <w:b w:val="1"/>
                <w:bCs w:val="1"/>
                <w:color w:val="auto"/>
                <w:w w:val="89"/>
              </w:rPr>
              <w:t>Total assets per the consolidated statement of financial position</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280" w:type="dxa"/>
            <w:vAlign w:val="bottom"/>
            <w:tcBorders>
              <w:top w:val="single" w:sz="8" w:color="auto"/>
            </w:tcBorders>
          </w:tcPr>
          <w:p>
            <w:pPr>
              <w:spacing w:after="0"/>
              <w:rPr>
                <w:sz w:val="19"/>
                <w:szCs w:val="19"/>
                <w:color w:val="auto"/>
              </w:rPr>
            </w:pPr>
          </w:p>
        </w:tc>
        <w:tc>
          <w:tcPr>
            <w:tcW w:w="540" w:type="dxa"/>
            <w:vAlign w:val="bottom"/>
            <w:tcBorders>
              <w:top w:val="single" w:sz="8" w:color="auto"/>
            </w:tcBorders>
          </w:tcPr>
          <w:p>
            <w:pPr>
              <w:spacing w:after="0"/>
              <w:rPr>
                <w:sz w:val="19"/>
                <w:szCs w:val="19"/>
                <w:color w:val="auto"/>
              </w:rPr>
            </w:pPr>
          </w:p>
        </w:tc>
        <w:tc>
          <w:tcPr>
            <w:tcW w:w="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320" w:type="dxa"/>
            <w:vAlign w:val="bottom"/>
            <w:tcBorders>
              <w:top w:val="single" w:sz="8" w:color="auto"/>
            </w:tcBorders>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40" w:type="dxa"/>
            <w:vAlign w:val="bottom"/>
            <w:tcBorders>
              <w:top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440" w:type="dxa"/>
            <w:vAlign w:val="bottom"/>
            <w:tcBorders>
              <w:top w:val="single" w:sz="8" w:color="auto"/>
            </w:tcBorders>
          </w:tcPr>
          <w:p>
            <w:pPr>
              <w:spacing w:after="0"/>
              <w:rPr>
                <w:sz w:val="19"/>
                <w:szCs w:val="19"/>
                <w:color w:val="auto"/>
              </w:rPr>
            </w:pPr>
          </w:p>
        </w:tc>
        <w:tc>
          <w:tcPr>
            <w:tcW w:w="340" w:type="dxa"/>
            <w:vAlign w:val="bottom"/>
            <w:tcBorders>
              <w:top w:val="single" w:sz="8" w:color="auto"/>
            </w:tcBorders>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40" w:type="dxa"/>
            <w:vAlign w:val="bottom"/>
            <w:tcBorders>
              <w:top w:val="single" w:sz="8" w:color="auto"/>
              <w:bottom w:val="single" w:sz="8" w:color="auto"/>
            </w:tcBorders>
            <w:gridSpan w:val="4"/>
          </w:tcPr>
          <w:p>
            <w:pPr>
              <w:spacing w:after="0"/>
              <w:rPr>
                <w:sz w:val="20"/>
                <w:szCs w:val="20"/>
                <w:color w:val="auto"/>
              </w:rPr>
            </w:pPr>
            <w:r>
              <w:rPr>
                <w:rFonts w:ascii="Arial" w:cs="Arial" w:eastAsia="Arial" w:hAnsi="Arial"/>
                <w:sz w:val="18"/>
                <w:szCs w:val="18"/>
                <w:b w:val="1"/>
                <w:bCs w:val="1"/>
                <w:u w:val="single" w:color="auto"/>
                <w:color w:val="auto"/>
                <w:w w:val="90"/>
              </w:rPr>
              <w:t>A$</w:t>
            </w:r>
            <w:r>
              <w:rPr>
                <w:rFonts w:ascii="Arial" w:cs="Arial" w:eastAsia="Arial" w:hAnsi="Arial"/>
                <w:sz w:val="18"/>
                <w:szCs w:val="18"/>
                <w:b w:val="1"/>
                <w:bCs w:val="1"/>
                <w:color w:val="auto"/>
                <w:w w:val="90"/>
              </w:rPr>
              <w:t>23,017,014</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40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492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Segment liabilities</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tcBorders>
              <w:right w:val="single" w:sz="8" w:color="CCEEFF"/>
            </w:tcBorders>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20" w:type="dxa"/>
            <w:vAlign w:val="bottom"/>
            <w:gridSpan w:val="2"/>
          </w:tcPr>
          <w:p>
            <w:pPr>
              <w:spacing w:after="0"/>
              <w:rPr>
                <w:sz w:val="20"/>
                <w:szCs w:val="20"/>
                <w:color w:val="auto"/>
              </w:rPr>
            </w:pPr>
            <w:r>
              <w:rPr>
                <w:rFonts w:ascii="Arial" w:cs="Arial" w:eastAsia="Arial" w:hAnsi="Arial"/>
                <w:sz w:val="18"/>
                <w:szCs w:val="18"/>
                <w:color w:val="auto"/>
              </w:rPr>
              <w:t>Segment operating liabilities</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80" w:type="dxa"/>
            <w:vAlign w:val="bottom"/>
            <w:gridSpan w:val="3"/>
          </w:tcPr>
          <w:p>
            <w:pPr>
              <w:jc w:val="right"/>
              <w:spacing w:after="0"/>
              <w:rPr>
                <w:sz w:val="20"/>
                <w:szCs w:val="20"/>
                <w:color w:val="auto"/>
              </w:rPr>
            </w:pPr>
            <w:r>
              <w:rPr>
                <w:rFonts w:ascii="Arial" w:cs="Arial" w:eastAsia="Arial" w:hAnsi="Arial"/>
                <w:sz w:val="18"/>
                <w:szCs w:val="18"/>
                <w:color w:val="auto"/>
              </w:rPr>
              <w:t>A$189,531</w:t>
            </w:r>
          </w:p>
        </w:tc>
        <w:tc>
          <w:tcPr>
            <w:tcW w:w="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60" w:type="dxa"/>
            <w:vAlign w:val="bottom"/>
            <w:gridSpan w:val="6"/>
          </w:tcPr>
          <w:p>
            <w:pPr>
              <w:jc w:val="right"/>
              <w:ind w:right="220"/>
              <w:spacing w:after="0"/>
              <w:rPr>
                <w:sz w:val="20"/>
                <w:szCs w:val="20"/>
                <w:color w:val="auto"/>
              </w:rPr>
            </w:pPr>
            <w:r>
              <w:rPr>
                <w:rFonts w:ascii="Arial" w:cs="Arial" w:eastAsia="Arial" w:hAnsi="Arial"/>
                <w:sz w:val="18"/>
                <w:szCs w:val="18"/>
                <w:color w:val="auto"/>
              </w:rPr>
              <w:t>A$176,461</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4"/>
          </w:tcPr>
          <w:p>
            <w:pPr>
              <w:spacing w:after="0"/>
              <w:rPr>
                <w:sz w:val="20"/>
                <w:szCs w:val="20"/>
                <w:color w:val="auto"/>
              </w:rPr>
            </w:pPr>
            <w:r>
              <w:rPr>
                <w:rFonts w:ascii="Arial" w:cs="Arial" w:eastAsia="Arial" w:hAnsi="Arial"/>
                <w:sz w:val="18"/>
                <w:szCs w:val="18"/>
                <w:color w:val="auto"/>
                <w:w w:val="95"/>
              </w:rPr>
              <w:t>A$3,314,423</w:t>
            </w:r>
          </w:p>
        </w:tc>
        <w:tc>
          <w:tcPr>
            <w:tcW w:w="3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gridSpan w:val="3"/>
          </w:tcPr>
          <w:p>
            <w:pPr>
              <w:ind w:left="40"/>
              <w:spacing w:after="0"/>
              <w:rPr>
                <w:sz w:val="20"/>
                <w:szCs w:val="20"/>
                <w:color w:val="auto"/>
              </w:rPr>
            </w:pPr>
            <w:r>
              <w:rPr>
                <w:rFonts w:ascii="Arial" w:cs="Arial" w:eastAsia="Arial" w:hAnsi="Arial"/>
                <w:sz w:val="18"/>
                <w:szCs w:val="18"/>
                <w:color w:val="auto"/>
                <w:w w:val="99"/>
              </w:rPr>
              <w:t>A$</w:t>
            </w:r>
          </w:p>
        </w:tc>
        <w:tc>
          <w:tcPr>
            <w:tcW w:w="800" w:type="dxa"/>
            <w:vAlign w:val="bottom"/>
            <w:gridSpan w:val="2"/>
          </w:tcPr>
          <w:p>
            <w:pPr>
              <w:jc w:val="right"/>
              <w:spacing w:after="0"/>
              <w:rPr>
                <w:sz w:val="20"/>
                <w:szCs w:val="20"/>
                <w:color w:val="auto"/>
              </w:rPr>
            </w:pPr>
            <w:r>
              <w:rPr>
                <w:rFonts w:ascii="Arial" w:cs="Arial" w:eastAsia="Arial" w:hAnsi="Arial"/>
                <w:sz w:val="18"/>
                <w:szCs w:val="18"/>
                <w:color w:val="auto"/>
                <w:w w:val="97"/>
              </w:rPr>
              <w:t>3,680,415</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Unallocated liabilities</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5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00" w:type="dxa"/>
            <w:vAlign w:val="bottom"/>
            <w:gridSpan w:val="3"/>
            <w:shd w:val="clear" w:color="auto" w:fill="CCEEFF"/>
          </w:tcPr>
          <w:p>
            <w:pPr>
              <w:jc w:val="right"/>
              <w:ind w:right="320"/>
              <w:spacing w:after="0"/>
              <w:rPr>
                <w:sz w:val="20"/>
                <w:szCs w:val="20"/>
                <w:color w:val="auto"/>
              </w:rPr>
            </w:pPr>
            <w:r>
              <w:rPr>
                <w:rFonts w:ascii="Arial" w:cs="Arial" w:eastAsia="Arial" w:hAnsi="Arial"/>
                <w:sz w:val="18"/>
                <w:szCs w:val="18"/>
                <w:color w:val="auto"/>
                <w:w w:val="88"/>
              </w:rPr>
              <w:t>—</w:t>
            </w:r>
          </w:p>
        </w:tc>
        <w:tc>
          <w:tcPr>
            <w:tcW w:w="80" w:type="dxa"/>
            <w:vAlign w:val="bottom"/>
            <w:shd w:val="clear" w:color="auto" w:fill="CCEEFF"/>
          </w:tcPr>
          <w:p>
            <w:pPr>
              <w:spacing w:after="0"/>
              <w:rPr>
                <w:sz w:val="18"/>
                <w:szCs w:val="18"/>
                <w:color w:val="auto"/>
              </w:rPr>
            </w:pPr>
          </w:p>
        </w:tc>
        <w:tc>
          <w:tcPr>
            <w:tcW w:w="240" w:type="dxa"/>
            <w:vAlign w:val="bottom"/>
            <w:tcBorders>
              <w:right w:val="single" w:sz="8" w:color="CCEEFF"/>
            </w:tcBorders>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560" w:type="dxa"/>
            <w:vAlign w:val="bottom"/>
            <w:gridSpan w:val="3"/>
            <w:shd w:val="clear" w:color="auto" w:fill="CCEEFF"/>
          </w:tcPr>
          <w:p>
            <w:pPr>
              <w:ind w:left="240"/>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337,040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5300" w:type="dxa"/>
            <w:vAlign w:val="bottom"/>
            <w:gridSpan w:val="5"/>
          </w:tcPr>
          <w:p>
            <w:pPr>
              <w:spacing w:after="0"/>
              <w:rPr>
                <w:sz w:val="20"/>
                <w:szCs w:val="20"/>
                <w:color w:val="auto"/>
              </w:rPr>
            </w:pPr>
            <w:r>
              <w:rPr>
                <w:rFonts w:ascii="Arial" w:cs="Arial" w:eastAsia="Arial" w:hAnsi="Arial"/>
                <w:sz w:val="18"/>
                <w:szCs w:val="18"/>
                <w:b w:val="1"/>
                <w:bCs w:val="1"/>
                <w:color w:val="auto"/>
                <w:w w:val="92"/>
              </w:rPr>
              <w:t>Total liabilities per the consolidated statement of financial position</w:t>
            </w:r>
          </w:p>
        </w:tc>
        <w:tc>
          <w:tcPr>
            <w:tcW w:w="460" w:type="dxa"/>
            <w:vAlign w:val="bottom"/>
          </w:tcPr>
          <w:p>
            <w:pPr>
              <w:spacing w:after="0"/>
              <w:rPr>
                <w:sz w:val="19"/>
                <w:szCs w:val="19"/>
                <w:color w:val="auto"/>
              </w:rPr>
            </w:pPr>
          </w:p>
        </w:tc>
        <w:tc>
          <w:tcPr>
            <w:tcW w:w="280" w:type="dxa"/>
            <w:vAlign w:val="bottom"/>
            <w:tcBorders>
              <w:top w:val="single" w:sz="8" w:color="auto"/>
            </w:tcBorders>
          </w:tcPr>
          <w:p>
            <w:pPr>
              <w:spacing w:after="0"/>
              <w:rPr>
                <w:sz w:val="19"/>
                <w:szCs w:val="19"/>
                <w:color w:val="auto"/>
              </w:rPr>
            </w:pPr>
          </w:p>
        </w:tc>
        <w:tc>
          <w:tcPr>
            <w:tcW w:w="540" w:type="dxa"/>
            <w:vAlign w:val="bottom"/>
            <w:tcBorders>
              <w:top w:val="single" w:sz="8" w:color="auto"/>
            </w:tcBorders>
          </w:tcPr>
          <w:p>
            <w:pPr>
              <w:spacing w:after="0"/>
              <w:rPr>
                <w:sz w:val="19"/>
                <w:szCs w:val="19"/>
                <w:color w:val="auto"/>
              </w:rPr>
            </w:pPr>
          </w:p>
        </w:tc>
        <w:tc>
          <w:tcPr>
            <w:tcW w:w="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320" w:type="dxa"/>
            <w:vAlign w:val="bottom"/>
            <w:tcBorders>
              <w:top w:val="single" w:sz="8" w:color="auto"/>
            </w:tcBorders>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40" w:type="dxa"/>
            <w:vAlign w:val="bottom"/>
            <w:tcBorders>
              <w:top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440" w:type="dxa"/>
            <w:vAlign w:val="bottom"/>
            <w:tcBorders>
              <w:top w:val="single" w:sz="8" w:color="auto"/>
            </w:tcBorders>
          </w:tcPr>
          <w:p>
            <w:pPr>
              <w:spacing w:after="0"/>
              <w:rPr>
                <w:sz w:val="19"/>
                <w:szCs w:val="19"/>
                <w:color w:val="auto"/>
              </w:rPr>
            </w:pPr>
          </w:p>
        </w:tc>
        <w:tc>
          <w:tcPr>
            <w:tcW w:w="340" w:type="dxa"/>
            <w:vAlign w:val="bottom"/>
            <w:tcBorders>
              <w:top w:val="single" w:sz="8" w:color="auto"/>
            </w:tcBorders>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40" w:type="dxa"/>
            <w:vAlign w:val="bottom"/>
            <w:tcBorders>
              <w:top w:val="single" w:sz="8" w:color="auto"/>
              <w:bottom w:val="single" w:sz="8" w:color="auto"/>
            </w:tcBorders>
            <w:gridSpan w:val="2"/>
          </w:tcPr>
          <w:p>
            <w:pPr>
              <w:spacing w:after="0"/>
              <w:rPr>
                <w:sz w:val="20"/>
                <w:szCs w:val="20"/>
                <w:color w:val="auto"/>
              </w:rPr>
            </w:pPr>
            <w:r>
              <w:rPr>
                <w:rFonts w:ascii="Arial" w:cs="Arial" w:eastAsia="Arial" w:hAnsi="Arial"/>
                <w:sz w:val="18"/>
                <w:szCs w:val="18"/>
                <w:b w:val="1"/>
                <w:bCs w:val="1"/>
                <w:u w:val="single" w:color="auto"/>
                <w:color w:val="auto"/>
                <w:w w:val="95"/>
              </w:rPr>
              <w:t>A</w:t>
            </w:r>
            <w:r>
              <w:rPr>
                <w:rFonts w:ascii="Arial" w:cs="Arial" w:eastAsia="Arial" w:hAnsi="Arial"/>
                <w:sz w:val="18"/>
                <w:szCs w:val="18"/>
                <w:b w:val="1"/>
                <w:bCs w:val="1"/>
                <w:color w:val="auto"/>
                <w:w w:val="95"/>
              </w:rPr>
              <w:t>$</w:t>
            </w:r>
          </w:p>
        </w:tc>
        <w:tc>
          <w:tcPr>
            <w:tcW w:w="80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w w:val="97"/>
              </w:rPr>
              <w:t>4,017,455</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40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0" w:type="dxa"/>
            <w:vAlign w:val="bottom"/>
            <w:gridSpan w:val="3"/>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60" w:type="dxa"/>
            <w:vAlign w:val="bottom"/>
            <w:gridSpan w:val="3"/>
          </w:tcPr>
          <w:p>
            <w:pPr>
              <w:spacing w:after="0" w:line="20" w:lineRule="exact"/>
              <w:rPr>
                <w:sz w:val="1"/>
                <w:szCs w:val="1"/>
                <w:color w:val="auto"/>
              </w:rPr>
            </w:pPr>
          </w:p>
        </w:tc>
        <w:tc>
          <w:tcPr>
            <w:tcW w:w="500" w:type="dxa"/>
            <w:vAlign w:val="bottom"/>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80" w:type="dxa"/>
            <w:vAlign w:val="bottom"/>
            <w:gridSpan w:val="2"/>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6"/>
        </w:trPr>
        <w:tc>
          <w:tcPr>
            <w:tcW w:w="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540" w:type="dxa"/>
            <w:vAlign w:val="bottom"/>
            <w:gridSpan w:val="4"/>
          </w:tcPr>
          <w:p>
            <w:pPr>
              <w:jc w:val="right"/>
              <w:ind w:right="590"/>
              <w:spacing w:after="0"/>
              <w:rPr>
                <w:sz w:val="20"/>
                <w:szCs w:val="20"/>
                <w:color w:val="auto"/>
              </w:rPr>
            </w:pPr>
            <w:r>
              <w:rPr>
                <w:rFonts w:ascii="Arial" w:cs="Arial" w:eastAsia="Arial" w:hAnsi="Arial"/>
                <w:sz w:val="14"/>
                <w:szCs w:val="14"/>
                <w:b w:val="1"/>
                <w:bCs w:val="1"/>
                <w:i w:val="1"/>
                <w:iCs w:val="1"/>
                <w:color w:val="auto"/>
              </w:rPr>
              <w:t>Asia Pacific</w:t>
            </w:r>
          </w:p>
        </w:tc>
        <w:tc>
          <w:tcPr>
            <w:tcW w:w="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60" w:type="dxa"/>
            <w:vAlign w:val="bottom"/>
            <w:gridSpan w:val="6"/>
          </w:tcPr>
          <w:p>
            <w:pPr>
              <w:jc w:val="right"/>
              <w:ind w:right="800"/>
              <w:spacing w:after="0"/>
              <w:rPr>
                <w:sz w:val="20"/>
                <w:szCs w:val="20"/>
                <w:color w:val="auto"/>
              </w:rPr>
            </w:pPr>
            <w:r>
              <w:rPr>
                <w:rFonts w:ascii="Arial" w:cs="Arial" w:eastAsia="Arial" w:hAnsi="Arial"/>
                <w:sz w:val="14"/>
                <w:szCs w:val="14"/>
                <w:b w:val="1"/>
                <w:bCs w:val="1"/>
                <w:i w:val="1"/>
                <w:iCs w:val="1"/>
                <w:color w:val="auto"/>
              </w:rPr>
              <w:t>EMEA</w:t>
            </w: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0" w:type="dxa"/>
            <w:vAlign w:val="bottom"/>
            <w:gridSpan w:val="4"/>
          </w:tcPr>
          <w:p>
            <w:pPr>
              <w:spacing w:after="0"/>
              <w:rPr>
                <w:sz w:val="20"/>
                <w:szCs w:val="20"/>
                <w:color w:val="auto"/>
              </w:rPr>
            </w:pPr>
            <w:r>
              <w:rPr>
                <w:rFonts w:ascii="Arial" w:cs="Arial" w:eastAsia="Arial" w:hAnsi="Arial"/>
                <w:sz w:val="14"/>
                <w:szCs w:val="14"/>
                <w:b w:val="1"/>
                <w:bCs w:val="1"/>
                <w:i w:val="1"/>
                <w:iCs w:val="1"/>
                <w:color w:val="auto"/>
              </w:rPr>
              <w:t>Americas</w:t>
            </w:r>
          </w:p>
        </w:tc>
        <w:tc>
          <w:tcPr>
            <w:tcW w:w="3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60" w:type="dxa"/>
            <w:vAlign w:val="bottom"/>
            <w:gridSpan w:val="3"/>
          </w:tcPr>
          <w:p>
            <w:pPr>
              <w:ind w:left="40"/>
              <w:spacing w:after="0"/>
              <w:rPr>
                <w:sz w:val="20"/>
                <w:szCs w:val="20"/>
                <w:color w:val="auto"/>
              </w:rPr>
            </w:pPr>
            <w:r>
              <w:rPr>
                <w:rFonts w:ascii="Arial" w:cs="Arial" w:eastAsia="Arial" w:hAnsi="Arial"/>
                <w:sz w:val="14"/>
                <w:szCs w:val="14"/>
                <w:b w:val="1"/>
                <w:bCs w:val="1"/>
                <w:i w:val="1"/>
                <w:iCs w:val="1"/>
                <w:color w:val="auto"/>
              </w:rPr>
              <w:t>Total</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2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Year ended June 30, 2017</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tcBorders>
              <w:right w:val="single" w:sz="8" w:color="CCEEFF"/>
            </w:tcBorders>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20" w:type="dxa"/>
            <w:vAlign w:val="bottom"/>
            <w:gridSpan w:val="2"/>
          </w:tcPr>
          <w:p>
            <w:pPr>
              <w:spacing w:after="0"/>
              <w:rPr>
                <w:sz w:val="20"/>
                <w:szCs w:val="20"/>
                <w:color w:val="auto"/>
              </w:rPr>
            </w:pPr>
            <w:r>
              <w:rPr>
                <w:rFonts w:ascii="Arial" w:cs="Arial" w:eastAsia="Arial" w:hAnsi="Arial"/>
                <w:sz w:val="18"/>
                <w:szCs w:val="18"/>
                <w:b w:val="1"/>
                <w:bCs w:val="1"/>
                <w:color w:val="auto"/>
              </w:rPr>
              <w:t>Revenue</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Sale of goods</w:t>
            </w:r>
          </w:p>
        </w:tc>
        <w:tc>
          <w:tcPr>
            <w:tcW w:w="36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A$</w:t>
            </w: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452,662</w:t>
            </w:r>
          </w:p>
        </w:tc>
        <w:tc>
          <w:tcPr>
            <w:tcW w:w="540" w:type="dxa"/>
            <w:vAlign w:val="bottom"/>
            <w:shd w:val="clear" w:color="auto" w:fill="CCEEFF"/>
          </w:tcPr>
          <w:p>
            <w:pPr>
              <w:spacing w:after="0"/>
              <w:rPr>
                <w:sz w:val="18"/>
                <w:szCs w:val="18"/>
                <w:color w:val="auto"/>
              </w:rPr>
            </w:pPr>
          </w:p>
        </w:tc>
        <w:tc>
          <w:tcPr>
            <w:tcW w:w="30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A$</w:t>
            </w:r>
          </w:p>
        </w:tc>
        <w:tc>
          <w:tcPr>
            <w:tcW w:w="7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448,714</w:t>
            </w:r>
          </w:p>
        </w:tc>
        <w:tc>
          <w:tcPr>
            <w:tcW w:w="2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20" w:type="dxa"/>
            <w:vAlign w:val="bottom"/>
            <w:tcBorders>
              <w:right w:val="single" w:sz="8" w:color="CCEEFF"/>
            </w:tcBorders>
            <w:gridSpan w:val="2"/>
            <w:shd w:val="clear" w:color="auto" w:fill="CCEEFF"/>
          </w:tcPr>
          <w:p>
            <w:pPr>
              <w:ind w:left="80"/>
              <w:spacing w:after="0"/>
              <w:rPr>
                <w:sz w:val="20"/>
                <w:szCs w:val="20"/>
                <w:color w:val="auto"/>
              </w:rPr>
            </w:pPr>
            <w:r>
              <w:rPr>
                <w:rFonts w:ascii="Arial" w:cs="Arial" w:eastAsia="Arial" w:hAnsi="Arial"/>
                <w:sz w:val="18"/>
                <w:szCs w:val="18"/>
                <w:color w:val="auto"/>
                <w:w w:val="90"/>
              </w:rPr>
              <w:t>A$</w:t>
            </w:r>
          </w:p>
        </w:tc>
        <w:tc>
          <w:tcPr>
            <w:tcW w:w="440" w:type="dxa"/>
            <w:vAlign w:val="bottom"/>
            <w:shd w:val="clear" w:color="auto" w:fill="CCEEFF"/>
          </w:tcPr>
          <w:p>
            <w:pPr>
              <w:spacing w:after="0"/>
              <w:rPr>
                <w:sz w:val="18"/>
                <w:szCs w:val="18"/>
                <w:color w:val="auto"/>
              </w:rPr>
            </w:pPr>
          </w:p>
        </w:tc>
        <w:tc>
          <w:tcPr>
            <w:tcW w:w="560" w:type="dxa"/>
            <w:vAlign w:val="bottom"/>
            <w:gridSpan w:val="3"/>
            <w:shd w:val="clear" w:color="auto" w:fill="CCEEFF"/>
          </w:tcPr>
          <w:p>
            <w:pPr>
              <w:ind w:left="60"/>
              <w:spacing w:after="0"/>
              <w:rPr>
                <w:sz w:val="20"/>
                <w:szCs w:val="20"/>
                <w:color w:val="auto"/>
              </w:rPr>
            </w:pPr>
            <w:r>
              <w:rPr>
                <w:rFonts w:ascii="Arial" w:cs="Arial" w:eastAsia="Arial" w:hAnsi="Arial"/>
                <w:sz w:val="18"/>
                <w:szCs w:val="18"/>
                <w:color w:val="auto"/>
              </w:rPr>
              <w:t>—</w:t>
            </w:r>
          </w:p>
        </w:tc>
        <w:tc>
          <w:tcPr>
            <w:tcW w:w="720" w:type="dxa"/>
            <w:vAlign w:val="bottom"/>
            <w:gridSpan w:val="5"/>
            <w:shd w:val="clear" w:color="auto" w:fill="CCEEFF"/>
          </w:tcPr>
          <w:p>
            <w:pPr>
              <w:ind w:left="340"/>
              <w:spacing w:after="0"/>
              <w:rPr>
                <w:sz w:val="20"/>
                <w:szCs w:val="20"/>
                <w:color w:val="auto"/>
              </w:rPr>
            </w:pPr>
            <w:r>
              <w:rPr>
                <w:rFonts w:ascii="Arial" w:cs="Arial" w:eastAsia="Arial" w:hAnsi="Arial"/>
                <w:sz w:val="18"/>
                <w:szCs w:val="18"/>
                <w:color w:val="auto"/>
              </w:rPr>
              <w:t>A$</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901,376</w:t>
            </w:r>
          </w:p>
        </w:tc>
        <w:tc>
          <w:tcPr>
            <w:tcW w:w="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20" w:type="dxa"/>
            <w:vAlign w:val="bottom"/>
            <w:gridSpan w:val="2"/>
          </w:tcPr>
          <w:p>
            <w:pPr>
              <w:spacing w:after="0"/>
              <w:rPr>
                <w:sz w:val="20"/>
                <w:szCs w:val="20"/>
                <w:color w:val="auto"/>
              </w:rPr>
            </w:pPr>
            <w:r>
              <w:rPr>
                <w:rFonts w:ascii="Arial" w:cs="Arial" w:eastAsia="Arial" w:hAnsi="Arial"/>
                <w:sz w:val="18"/>
                <w:szCs w:val="18"/>
                <w:color w:val="auto"/>
              </w:rPr>
              <w:t>Other revenues from external customers</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40" w:type="dxa"/>
            <w:vAlign w:val="bottom"/>
            <w:gridSpan w:val="2"/>
          </w:tcPr>
          <w:p>
            <w:pPr>
              <w:jc w:val="right"/>
              <w:spacing w:after="0"/>
              <w:rPr>
                <w:sz w:val="20"/>
                <w:szCs w:val="20"/>
                <w:color w:val="auto"/>
              </w:rPr>
            </w:pPr>
            <w:r>
              <w:rPr>
                <w:rFonts w:ascii="Arial" w:cs="Arial" w:eastAsia="Arial" w:hAnsi="Arial"/>
                <w:sz w:val="18"/>
                <w:szCs w:val="18"/>
                <w:color w:val="auto"/>
              </w:rPr>
              <w:t>197,488</w:t>
            </w:r>
          </w:p>
        </w:tc>
        <w:tc>
          <w:tcPr>
            <w:tcW w:w="5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60" w:type="dxa"/>
            <w:vAlign w:val="bottom"/>
            <w:gridSpan w:val="3"/>
          </w:tcPr>
          <w:p>
            <w:pPr>
              <w:jc w:val="right"/>
              <w:spacing w:after="0"/>
              <w:rPr>
                <w:sz w:val="20"/>
                <w:szCs w:val="20"/>
                <w:color w:val="auto"/>
              </w:rPr>
            </w:pPr>
            <w:r>
              <w:rPr>
                <w:rFonts w:ascii="Arial" w:cs="Arial" w:eastAsia="Arial" w:hAnsi="Arial"/>
                <w:sz w:val="18"/>
                <w:szCs w:val="18"/>
                <w:color w:val="auto"/>
              </w:rPr>
              <w:t>23,537</w:t>
            </w:r>
          </w:p>
        </w:tc>
        <w:tc>
          <w:tcPr>
            <w:tcW w:w="2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80" w:type="dxa"/>
            <w:vAlign w:val="bottom"/>
            <w:gridSpan w:val="2"/>
          </w:tcPr>
          <w:p>
            <w:pPr>
              <w:jc w:val="right"/>
              <w:spacing w:after="0"/>
              <w:rPr>
                <w:sz w:val="20"/>
                <w:szCs w:val="20"/>
                <w:color w:val="auto"/>
              </w:rPr>
            </w:pPr>
            <w:r>
              <w:rPr>
                <w:rFonts w:ascii="Arial" w:cs="Arial" w:eastAsia="Arial" w:hAnsi="Arial"/>
                <w:sz w:val="18"/>
                <w:szCs w:val="18"/>
                <w:color w:val="auto"/>
                <w:w w:val="92"/>
              </w:rPr>
              <w:t>6,886,236</w:t>
            </w:r>
          </w:p>
        </w:tc>
        <w:tc>
          <w:tcPr>
            <w:tcW w:w="1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w w:val="89"/>
              </w:rPr>
              <w:t>7,107,261</w:t>
            </w: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Interest received</w:t>
            </w:r>
          </w:p>
        </w:tc>
        <w:tc>
          <w:tcPr>
            <w:tcW w:w="10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116,559</w:t>
            </w:r>
          </w:p>
        </w:tc>
        <w:tc>
          <w:tcPr>
            <w:tcW w:w="5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gridSpan w:val="3"/>
            <w:shd w:val="clear" w:color="auto" w:fill="CCEEFF"/>
          </w:tcPr>
          <w:p>
            <w:pPr>
              <w:jc w:val="right"/>
              <w:spacing w:after="0"/>
              <w:rPr>
                <w:sz w:val="20"/>
                <w:szCs w:val="20"/>
                <w:color w:val="auto"/>
              </w:rPr>
            </w:pPr>
            <w:r>
              <w:rPr>
                <w:rFonts w:ascii="Arial" w:cs="Arial" w:eastAsia="Arial" w:hAnsi="Arial"/>
                <w:sz w:val="18"/>
                <w:szCs w:val="18"/>
                <w:color w:val="auto"/>
              </w:rPr>
              <w:t>1,218</w:t>
            </w:r>
          </w:p>
        </w:tc>
        <w:tc>
          <w:tcPr>
            <w:tcW w:w="2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tcBorders>
              <w:bottom w:val="single" w:sz="8" w:color="auto"/>
              <w:right w:val="single" w:sz="8" w:color="CCEEFF"/>
            </w:tcBorders>
            <w:shd w:val="clear" w:color="auto" w:fill="CCEEFF"/>
          </w:tcPr>
          <w:p>
            <w:pPr>
              <w:spacing w:after="0"/>
              <w:rPr>
                <w:sz w:val="18"/>
                <w:szCs w:val="18"/>
                <w:color w:val="auto"/>
              </w:rPr>
            </w:pPr>
          </w:p>
        </w:tc>
        <w:tc>
          <w:tcPr>
            <w:tcW w:w="78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5,932</w:t>
            </w:r>
          </w:p>
        </w:tc>
        <w:tc>
          <w:tcPr>
            <w:tcW w:w="1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40" w:type="dxa"/>
            <w:vAlign w:val="bottom"/>
            <w:tcBorders>
              <w:bottom w:val="single" w:sz="8" w:color="auto"/>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4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123,709</w:t>
            </w:r>
          </w:p>
        </w:tc>
        <w:tc>
          <w:tcPr>
            <w:tcW w:w="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5"/>
        </w:trPr>
        <w:tc>
          <w:tcPr>
            <w:tcW w:w="4940" w:type="dxa"/>
            <w:vAlign w:val="bottom"/>
            <w:gridSpan w:val="3"/>
          </w:tcPr>
          <w:p>
            <w:pPr>
              <w:spacing w:after="0" w:line="205" w:lineRule="exact"/>
              <w:rPr>
                <w:sz w:val="20"/>
                <w:szCs w:val="20"/>
                <w:color w:val="auto"/>
              </w:rPr>
            </w:pPr>
            <w:r>
              <w:rPr>
                <w:rFonts w:ascii="Arial" w:cs="Arial" w:eastAsia="Arial" w:hAnsi="Arial"/>
                <w:sz w:val="18"/>
                <w:szCs w:val="18"/>
                <w:b w:val="1"/>
                <w:bCs w:val="1"/>
                <w:color w:val="auto"/>
                <w:w w:val="96"/>
              </w:rPr>
              <w:t>Total revenue and other income per consolidated statement</w:t>
            </w: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4920" w:type="dxa"/>
            <w:vAlign w:val="bottom"/>
            <w:gridSpan w:val="2"/>
          </w:tcPr>
          <w:p>
            <w:pPr>
              <w:ind w:left="160"/>
              <w:spacing w:after="0"/>
              <w:rPr>
                <w:sz w:val="20"/>
                <w:szCs w:val="20"/>
                <w:color w:val="auto"/>
              </w:rPr>
            </w:pPr>
            <w:r>
              <w:rPr>
                <w:rFonts w:ascii="Arial" w:cs="Arial" w:eastAsia="Arial" w:hAnsi="Arial"/>
                <w:sz w:val="18"/>
                <w:szCs w:val="18"/>
                <w:b w:val="1"/>
                <w:bCs w:val="1"/>
                <w:color w:val="auto"/>
              </w:rPr>
              <w:t>of profit or loss and other comprehensive income</w:t>
            </w:r>
          </w:p>
        </w:tc>
        <w:tc>
          <w:tcPr>
            <w:tcW w:w="360" w:type="dxa"/>
            <w:vAlign w:val="bottom"/>
            <w:gridSpan w:val="2"/>
          </w:tcPr>
          <w:p>
            <w:pPr>
              <w:ind w:left="80"/>
              <w:spacing w:after="0"/>
              <w:rPr>
                <w:sz w:val="20"/>
                <w:szCs w:val="20"/>
                <w:color w:val="auto"/>
              </w:rPr>
            </w:pPr>
            <w:r>
              <w:rPr>
                <w:rFonts w:ascii="Arial" w:cs="Arial" w:eastAsia="Arial" w:hAnsi="Arial"/>
                <w:sz w:val="18"/>
                <w:szCs w:val="18"/>
                <w:b w:val="1"/>
                <w:bCs w:val="1"/>
                <w:u w:val="single" w:color="auto"/>
                <w:color w:val="auto"/>
              </w:rPr>
              <w:t>A</w:t>
            </w:r>
            <w:r>
              <w:rPr>
                <w:rFonts w:ascii="Arial" w:cs="Arial" w:eastAsia="Arial" w:hAnsi="Arial"/>
                <w:sz w:val="18"/>
                <w:szCs w:val="18"/>
                <w:b w:val="1"/>
                <w:bCs w:val="1"/>
                <w:color w:val="auto"/>
              </w:rPr>
              <w:t>$</w:t>
            </w:r>
          </w:p>
        </w:tc>
        <w:tc>
          <w:tcPr>
            <w:tcW w:w="740" w:type="dxa"/>
            <w:vAlign w:val="bottom"/>
            <w:gridSpan w:val="2"/>
          </w:tcPr>
          <w:p>
            <w:pPr>
              <w:jc w:val="right"/>
              <w:spacing w:after="0"/>
              <w:rPr>
                <w:sz w:val="20"/>
                <w:szCs w:val="20"/>
                <w:color w:val="auto"/>
              </w:rPr>
            </w:pPr>
            <w:r>
              <w:rPr>
                <w:rFonts w:ascii="Arial" w:cs="Arial" w:eastAsia="Arial" w:hAnsi="Arial"/>
                <w:sz w:val="18"/>
                <w:szCs w:val="18"/>
                <w:b w:val="1"/>
                <w:bCs w:val="1"/>
                <w:color w:val="auto"/>
              </w:rPr>
              <w:t>766,709</w:t>
            </w:r>
          </w:p>
        </w:tc>
        <w:tc>
          <w:tcPr>
            <w:tcW w:w="540" w:type="dxa"/>
            <w:vAlign w:val="bottom"/>
          </w:tcPr>
          <w:p>
            <w:pPr>
              <w:spacing w:after="0"/>
              <w:rPr>
                <w:sz w:val="20"/>
                <w:szCs w:val="20"/>
                <w:color w:val="auto"/>
              </w:rPr>
            </w:pPr>
          </w:p>
        </w:tc>
        <w:tc>
          <w:tcPr>
            <w:tcW w:w="300" w:type="dxa"/>
            <w:vAlign w:val="bottom"/>
            <w:gridSpan w:val="2"/>
          </w:tcPr>
          <w:p>
            <w:pPr>
              <w:ind w:left="40"/>
              <w:spacing w:after="0"/>
              <w:rPr>
                <w:sz w:val="20"/>
                <w:szCs w:val="20"/>
                <w:color w:val="auto"/>
              </w:rPr>
            </w:pPr>
            <w:r>
              <w:rPr>
                <w:rFonts w:ascii="Arial" w:cs="Arial" w:eastAsia="Arial" w:hAnsi="Arial"/>
                <w:sz w:val="18"/>
                <w:szCs w:val="18"/>
                <w:b w:val="1"/>
                <w:bCs w:val="1"/>
                <w:u w:val="single" w:color="auto"/>
                <w:color w:val="auto"/>
              </w:rPr>
              <w:t>A</w:t>
            </w:r>
            <w:r>
              <w:rPr>
                <w:rFonts w:ascii="Arial" w:cs="Arial" w:eastAsia="Arial" w:hAnsi="Arial"/>
                <w:sz w:val="18"/>
                <w:szCs w:val="18"/>
                <w:b w:val="1"/>
                <w:bCs w:val="1"/>
                <w:color w:val="auto"/>
              </w:rPr>
              <w:t>$</w:t>
            </w:r>
          </w:p>
        </w:tc>
        <w:tc>
          <w:tcPr>
            <w:tcW w:w="760" w:type="dxa"/>
            <w:vAlign w:val="bottom"/>
            <w:gridSpan w:val="3"/>
          </w:tcPr>
          <w:p>
            <w:pPr>
              <w:jc w:val="right"/>
              <w:spacing w:after="0"/>
              <w:rPr>
                <w:sz w:val="20"/>
                <w:szCs w:val="20"/>
                <w:color w:val="auto"/>
              </w:rPr>
            </w:pPr>
            <w:r>
              <w:rPr>
                <w:rFonts w:ascii="Arial" w:cs="Arial" w:eastAsia="Arial" w:hAnsi="Arial"/>
                <w:sz w:val="18"/>
                <w:szCs w:val="18"/>
                <w:b w:val="1"/>
                <w:bCs w:val="1"/>
                <w:color w:val="auto"/>
              </w:rPr>
              <w:t>473,469</w:t>
            </w:r>
          </w:p>
        </w:tc>
        <w:tc>
          <w:tcPr>
            <w:tcW w:w="2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20" w:type="dxa"/>
            <w:vAlign w:val="bottom"/>
            <w:gridSpan w:val="6"/>
          </w:tcPr>
          <w:p>
            <w:pPr>
              <w:ind w:left="80"/>
              <w:spacing w:after="0"/>
              <w:rPr>
                <w:sz w:val="20"/>
                <w:szCs w:val="20"/>
                <w:color w:val="auto"/>
              </w:rPr>
            </w:pPr>
            <w:r>
              <w:rPr>
                <w:rFonts w:ascii="Arial" w:cs="Arial" w:eastAsia="Arial" w:hAnsi="Arial"/>
                <w:sz w:val="18"/>
                <w:szCs w:val="18"/>
                <w:b w:val="1"/>
                <w:bCs w:val="1"/>
                <w:u w:val="single" w:color="auto"/>
                <w:color w:val="auto"/>
              </w:rPr>
              <w:t>A</w:t>
            </w:r>
            <w:r>
              <w:rPr>
                <w:rFonts w:ascii="Arial" w:cs="Arial" w:eastAsia="Arial" w:hAnsi="Arial"/>
                <w:sz w:val="18"/>
                <w:szCs w:val="18"/>
                <w:b w:val="1"/>
                <w:bCs w:val="1"/>
                <w:color w:val="auto"/>
              </w:rPr>
              <w:t>$ 6,892,168</w:t>
            </w:r>
          </w:p>
        </w:tc>
        <w:tc>
          <w:tcPr>
            <w:tcW w:w="720" w:type="dxa"/>
            <w:vAlign w:val="bottom"/>
            <w:gridSpan w:val="5"/>
          </w:tcPr>
          <w:p>
            <w:pPr>
              <w:ind w:left="340"/>
              <w:spacing w:after="0"/>
              <w:rPr>
                <w:sz w:val="20"/>
                <w:szCs w:val="20"/>
                <w:color w:val="auto"/>
              </w:rPr>
            </w:pPr>
            <w:r>
              <w:rPr>
                <w:rFonts w:ascii="Arial" w:cs="Arial" w:eastAsia="Arial" w:hAnsi="Arial"/>
                <w:sz w:val="18"/>
                <w:szCs w:val="18"/>
                <w:b w:val="1"/>
                <w:bCs w:val="1"/>
                <w:u w:val="single" w:color="auto"/>
                <w:color w:val="auto"/>
              </w:rPr>
              <w:t>A</w:t>
            </w:r>
            <w:r>
              <w:rPr>
                <w:rFonts w:ascii="Arial" w:cs="Arial" w:eastAsia="Arial" w:hAnsi="Arial"/>
                <w:sz w:val="18"/>
                <w:szCs w:val="18"/>
                <w:b w:val="1"/>
                <w:bCs w:val="1"/>
                <w:color w:val="auto"/>
              </w:rPr>
              <w:t>$</w:t>
            </w:r>
          </w:p>
        </w:tc>
        <w:tc>
          <w:tcPr>
            <w:tcW w:w="740" w:type="dxa"/>
            <w:vAlign w:val="bottom"/>
          </w:tcPr>
          <w:p>
            <w:pPr>
              <w:jc w:val="right"/>
              <w:spacing w:after="0"/>
              <w:rPr>
                <w:sz w:val="20"/>
                <w:szCs w:val="20"/>
                <w:color w:val="auto"/>
              </w:rPr>
            </w:pPr>
            <w:r>
              <w:rPr>
                <w:rFonts w:ascii="Arial" w:cs="Arial" w:eastAsia="Arial" w:hAnsi="Arial"/>
                <w:sz w:val="18"/>
                <w:szCs w:val="18"/>
                <w:b w:val="1"/>
                <w:bCs w:val="1"/>
                <w:color w:val="auto"/>
                <w:w w:val="89"/>
              </w:rPr>
              <w:t>8,132,346</w:t>
            </w:r>
          </w:p>
        </w:tc>
        <w:tc>
          <w:tcPr>
            <w:tcW w:w="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860" w:type="dxa"/>
            <w:vAlign w:val="bottom"/>
          </w:tcPr>
          <w:p>
            <w:pPr>
              <w:spacing w:after="0"/>
              <w:rPr>
                <w:sz w:val="2"/>
                <w:szCs w:val="2"/>
                <w:color w:val="auto"/>
              </w:rPr>
            </w:pPr>
          </w:p>
        </w:tc>
        <w:tc>
          <w:tcPr>
            <w:tcW w:w="4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540" w:type="dxa"/>
            <w:vAlign w:val="bottom"/>
          </w:tcPr>
          <w:p>
            <w:pPr>
              <w:spacing w:after="0"/>
              <w:rPr>
                <w:sz w:val="2"/>
                <w:szCs w:val="2"/>
                <w:color w:val="auto"/>
              </w:rPr>
            </w:pPr>
          </w:p>
        </w:tc>
        <w:tc>
          <w:tcPr>
            <w:tcW w:w="40" w:type="dxa"/>
            <w:vAlign w:val="bottom"/>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4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Borders>
              <w:right w:val="single" w:sz="8" w:color="auto"/>
            </w:tcBorders>
            <w:shd w:val="clear" w:color="auto" w:fill="000000"/>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40" w:type="dxa"/>
            <w:vAlign w:val="bottom"/>
          </w:tcPr>
          <w:p>
            <w:pPr>
              <w:spacing w:after="0"/>
              <w:rPr>
                <w:sz w:val="2"/>
                <w:szCs w:val="2"/>
                <w:color w:val="auto"/>
              </w:rPr>
            </w:pPr>
          </w:p>
        </w:tc>
        <w:tc>
          <w:tcPr>
            <w:tcW w:w="36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0" w:type="dxa"/>
            <w:vAlign w:val="bottom"/>
            <w:shd w:val="clear" w:color="auto" w:fill="000000"/>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4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9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Segment net operating loss before tax</w:t>
            </w:r>
          </w:p>
        </w:tc>
        <w:tc>
          <w:tcPr>
            <w:tcW w:w="1640" w:type="dxa"/>
            <w:vAlign w:val="bottom"/>
            <w:gridSpan w:val="5"/>
            <w:shd w:val="clear" w:color="auto" w:fill="CCEEFF"/>
          </w:tcPr>
          <w:p>
            <w:pPr>
              <w:ind w:left="80"/>
              <w:spacing w:after="0"/>
              <w:rPr>
                <w:sz w:val="20"/>
                <w:szCs w:val="20"/>
                <w:color w:val="auto"/>
              </w:rPr>
            </w:pPr>
            <w:r>
              <w:rPr>
                <w:rFonts w:ascii="Arial" w:cs="Arial" w:eastAsia="Arial" w:hAnsi="Arial"/>
                <w:sz w:val="18"/>
                <w:szCs w:val="18"/>
                <w:color w:val="auto"/>
              </w:rPr>
              <w:t>A$(1,559,592)</w:t>
            </w:r>
          </w:p>
        </w:tc>
        <w:tc>
          <w:tcPr>
            <w:tcW w:w="1560" w:type="dxa"/>
            <w:vAlign w:val="bottom"/>
            <w:gridSpan w:val="8"/>
            <w:shd w:val="clear" w:color="auto" w:fill="CCEEFF"/>
          </w:tcPr>
          <w:p>
            <w:pPr>
              <w:ind w:left="40"/>
              <w:spacing w:after="0"/>
              <w:rPr>
                <w:sz w:val="20"/>
                <w:szCs w:val="20"/>
                <w:color w:val="auto"/>
              </w:rPr>
            </w:pPr>
            <w:r>
              <w:rPr>
                <w:rFonts w:ascii="Arial" w:cs="Arial" w:eastAsia="Arial" w:hAnsi="Arial"/>
                <w:sz w:val="18"/>
                <w:szCs w:val="18"/>
                <w:color w:val="auto"/>
              </w:rPr>
              <w:t>A$(2,836,165)</w:t>
            </w:r>
          </w:p>
        </w:tc>
        <w:tc>
          <w:tcPr>
            <w:tcW w:w="1320" w:type="dxa"/>
            <w:vAlign w:val="bottom"/>
            <w:gridSpan w:val="6"/>
            <w:shd w:val="clear" w:color="auto" w:fill="CCEEFF"/>
          </w:tcPr>
          <w:p>
            <w:pPr>
              <w:ind w:left="80"/>
              <w:spacing w:after="0"/>
              <w:rPr>
                <w:sz w:val="20"/>
                <w:szCs w:val="20"/>
                <w:color w:val="auto"/>
              </w:rPr>
            </w:pPr>
            <w:r>
              <w:rPr>
                <w:rFonts w:ascii="Arial" w:cs="Arial" w:eastAsia="Arial" w:hAnsi="Arial"/>
                <w:sz w:val="18"/>
                <w:szCs w:val="18"/>
                <w:color w:val="auto"/>
              </w:rPr>
              <w:t>A$(2,373,062)</w:t>
            </w:r>
          </w:p>
        </w:tc>
        <w:tc>
          <w:tcPr>
            <w:tcW w:w="1580" w:type="dxa"/>
            <w:vAlign w:val="bottom"/>
            <w:gridSpan w:val="8"/>
            <w:shd w:val="clear" w:color="auto" w:fill="CCEEFF"/>
          </w:tcPr>
          <w:p>
            <w:pPr>
              <w:ind w:left="340"/>
              <w:spacing w:after="0"/>
              <w:rPr>
                <w:sz w:val="20"/>
                <w:szCs w:val="20"/>
                <w:color w:val="auto"/>
              </w:rPr>
            </w:pPr>
            <w:r>
              <w:rPr>
                <w:rFonts w:ascii="Arial" w:cs="Arial" w:eastAsia="Arial" w:hAnsi="Arial"/>
                <w:sz w:val="18"/>
                <w:szCs w:val="18"/>
                <w:color w:val="auto"/>
              </w:rPr>
              <w:t>A$ (6,768,819)</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4920" w:type="dxa"/>
            <w:vAlign w:val="bottom"/>
            <w:gridSpan w:val="2"/>
          </w:tcPr>
          <w:p>
            <w:pPr>
              <w:spacing w:after="0" w:line="198" w:lineRule="exact"/>
              <w:rPr>
                <w:sz w:val="20"/>
                <w:szCs w:val="20"/>
                <w:color w:val="auto"/>
              </w:rPr>
            </w:pPr>
            <w:r>
              <w:rPr>
                <w:rFonts w:ascii="Arial" w:cs="Arial" w:eastAsia="Arial" w:hAnsi="Arial"/>
                <w:sz w:val="18"/>
                <w:szCs w:val="18"/>
                <w:b w:val="1"/>
                <w:bCs w:val="1"/>
                <w:color w:val="auto"/>
              </w:rPr>
              <w:t>Reconciliation of segment net result before tax to loss</w:t>
            </w: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4920" w:type="dxa"/>
            <w:vAlign w:val="bottom"/>
            <w:gridSpan w:val="2"/>
          </w:tcPr>
          <w:p>
            <w:pPr>
              <w:ind w:left="160"/>
              <w:spacing w:after="0"/>
              <w:rPr>
                <w:sz w:val="20"/>
                <w:szCs w:val="20"/>
                <w:color w:val="auto"/>
              </w:rPr>
            </w:pPr>
            <w:r>
              <w:rPr>
                <w:rFonts w:ascii="Arial" w:cs="Arial" w:eastAsia="Arial" w:hAnsi="Arial"/>
                <w:sz w:val="18"/>
                <w:szCs w:val="18"/>
                <w:b w:val="1"/>
                <w:bCs w:val="1"/>
                <w:color w:val="auto"/>
              </w:rPr>
              <w:t>before income tax:</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Corporate charges including share-based expenses</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tcBorders>
              <w:right w:val="single" w:sz="8" w:color="CCEEFF"/>
            </w:tcBorders>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520" w:type="dxa"/>
            <w:vAlign w:val="bottom"/>
            <w:gridSpan w:val="7"/>
            <w:shd w:val="clear" w:color="auto" w:fill="CCEEFF"/>
          </w:tcPr>
          <w:p>
            <w:pPr>
              <w:jc w:val="right"/>
              <w:spacing w:after="0"/>
              <w:rPr>
                <w:sz w:val="20"/>
                <w:szCs w:val="20"/>
                <w:color w:val="auto"/>
              </w:rPr>
            </w:pPr>
            <w:r>
              <w:rPr>
                <w:rFonts w:ascii="Arial" w:cs="Arial" w:eastAsia="Arial" w:hAnsi="Arial"/>
                <w:sz w:val="18"/>
                <w:szCs w:val="18"/>
                <w:color w:val="auto"/>
              </w:rPr>
              <w:t>(5,790,442)</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4940" w:type="dxa"/>
            <w:vAlign w:val="bottom"/>
            <w:gridSpan w:val="3"/>
          </w:tcPr>
          <w:p>
            <w:pPr>
              <w:spacing w:after="0"/>
              <w:rPr>
                <w:sz w:val="20"/>
                <w:szCs w:val="20"/>
                <w:color w:val="auto"/>
              </w:rPr>
            </w:pPr>
            <w:r>
              <w:rPr>
                <w:rFonts w:ascii="Arial" w:cs="Arial" w:eastAsia="Arial" w:hAnsi="Arial"/>
                <w:sz w:val="18"/>
                <w:szCs w:val="18"/>
                <w:b w:val="1"/>
                <w:bCs w:val="1"/>
                <w:color w:val="auto"/>
              </w:rPr>
              <w:t>Loss before income tax</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00" w:type="dxa"/>
            <w:vAlign w:val="bottom"/>
            <w:tcBorders>
              <w:top w:val="single" w:sz="8" w:color="auto"/>
              <w:bottom w:val="single" w:sz="8" w:color="auto"/>
            </w:tcBorders>
            <w:gridSpan w:val="5"/>
          </w:tcPr>
          <w:p>
            <w:pPr>
              <w:spacing w:after="0"/>
              <w:rPr>
                <w:sz w:val="20"/>
                <w:szCs w:val="20"/>
                <w:color w:val="auto"/>
              </w:rPr>
            </w:pPr>
            <w:r>
              <w:rPr>
                <w:rFonts w:ascii="Arial" w:cs="Arial" w:eastAsia="Arial" w:hAnsi="Arial"/>
                <w:sz w:val="18"/>
                <w:szCs w:val="18"/>
                <w:b w:val="1"/>
                <w:bCs w:val="1"/>
                <w:u w:val="single" w:color="auto"/>
                <w:color w:val="auto"/>
                <w:w w:val="90"/>
              </w:rPr>
              <w:t>A$</w:t>
            </w:r>
            <w:r>
              <w:rPr>
                <w:rFonts w:ascii="Arial" w:cs="Arial" w:eastAsia="Arial" w:hAnsi="Arial"/>
                <w:sz w:val="18"/>
                <w:szCs w:val="18"/>
                <w:b w:val="1"/>
                <w:bCs w:val="1"/>
                <w:color w:val="auto"/>
                <w:w w:val="90"/>
              </w:rPr>
              <w:t>(12,559,261</w:t>
            </w:r>
          </w:p>
        </w:tc>
        <w:tc>
          <w:tcPr>
            <w:tcW w:w="120" w:type="dxa"/>
            <w:vAlign w:val="bottom"/>
            <w:gridSpan w:val="2"/>
          </w:tcPr>
          <w:p>
            <w:pPr>
              <w:jc w:val="right"/>
              <w:ind w:right="60"/>
              <w:spacing w:after="0"/>
              <w:rPr>
                <w:sz w:val="20"/>
                <w:szCs w:val="20"/>
                <w:color w:val="auto"/>
              </w:rPr>
            </w:pPr>
            <w:r>
              <w:rPr>
                <w:rFonts w:ascii="Arial" w:cs="Arial" w:eastAsia="Arial" w:hAnsi="Arial"/>
                <w:sz w:val="16"/>
                <w:szCs w:val="16"/>
                <w:b w:val="1"/>
                <w:bCs w:val="1"/>
                <w:color w:val="auto"/>
                <w:w w:val="74"/>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40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80" w:type="dxa"/>
            <w:vAlign w:val="bottom"/>
            <w:gridSpan w:val="3"/>
            <w:vMerge w:val="restart"/>
          </w:tcPr>
          <w:p>
            <w:pPr>
              <w:jc w:val="right"/>
              <w:ind w:right="810"/>
              <w:spacing w:after="0"/>
              <w:rPr>
                <w:sz w:val="20"/>
                <w:szCs w:val="20"/>
                <w:color w:val="auto"/>
              </w:rPr>
            </w:pPr>
            <w:r>
              <w:rPr>
                <w:rFonts w:ascii="Arial" w:cs="Arial" w:eastAsia="Arial" w:hAnsi="Arial"/>
                <w:sz w:val="18"/>
                <w:szCs w:val="18"/>
                <w:color w:val="auto"/>
                <w:w w:val="97"/>
              </w:rPr>
              <w:t>F-42</w:t>
            </w:r>
          </w:p>
        </w:tc>
        <w:tc>
          <w:tcPr>
            <w:tcW w:w="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80" w:type="dxa"/>
            <w:vAlign w:val="bottom"/>
            <w:gridSpan w:val="3"/>
            <w:vMerge w:val="continue"/>
          </w:tcPr>
          <w:p>
            <w:pPr>
              <w:spacing w:after="0"/>
              <w:rPr>
                <w:sz w:val="24"/>
                <w:szCs w:val="24"/>
                <w:color w:val="auto"/>
              </w:rPr>
            </w:pPr>
          </w:p>
        </w:tc>
        <w:tc>
          <w:tcPr>
            <w:tcW w:w="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240" w:top="459" w:right="419" w:bottom="1440" w:gutter="0" w:footer="0" w:header="0"/>
        </w:sectPr>
      </w:pPr>
    </w:p>
    <w:bookmarkStart w:id="141" w:name="page142"/>
    <w:bookmarkEnd w:id="14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9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AVITA MEDICAL LIMITED</w:t>
      </w:r>
    </w:p>
    <w:p>
      <w:pPr>
        <w:spacing w:after="0" w:line="27"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9"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(IN AUSTRALIAN DOLLARS)</w:t>
      </w:r>
    </w:p>
    <w:p>
      <w:pPr>
        <w:spacing w:after="0" w:line="234" w:lineRule="exact"/>
        <w:rPr>
          <w:sz w:val="20"/>
          <w:szCs w:val="20"/>
          <w:color w:val="auto"/>
        </w:rPr>
      </w:pPr>
    </w:p>
    <w:p>
      <w:pPr>
        <w:ind w:left="200"/>
        <w:spacing w:after="0"/>
        <w:tabs>
          <w:tab w:leader="none" w:pos="620" w:val="left"/>
        </w:tabs>
        <w:rPr>
          <w:sz w:val="20"/>
          <w:szCs w:val="20"/>
          <w:color w:val="auto"/>
        </w:rPr>
      </w:pPr>
      <w:r>
        <w:rPr>
          <w:rFonts w:ascii="Arial" w:cs="Arial" w:eastAsia="Arial" w:hAnsi="Arial"/>
          <w:sz w:val="18"/>
          <w:szCs w:val="18"/>
          <w:b w:val="1"/>
          <w:bCs w:val="1"/>
          <w:color w:val="auto"/>
        </w:rPr>
        <w:t>18.</w:t>
        <w:tab/>
        <w:t>SEGMENT INFORMATION (CONTINUED)</w:t>
      </w:r>
    </w:p>
    <w:p>
      <w:pPr>
        <w:spacing w:after="0" w:line="130" w:lineRule="exact"/>
        <w:rPr>
          <w:sz w:val="20"/>
          <w:szCs w:val="20"/>
          <w:color w:val="auto"/>
        </w:rPr>
      </w:pPr>
    </w:p>
    <w:tbl>
      <w:tblPr>
        <w:tblLayout w:type="fixed"/>
        <w:tblInd w:w="200" w:type="dxa"/>
        <w:tblCellMar>
          <w:top w:w="0" w:type="dxa"/>
          <w:left w:w="0" w:type="dxa"/>
          <w:bottom w:w="0" w:type="dxa"/>
          <w:right w:w="0" w:type="dxa"/>
        </w:tblCellMar>
      </w:tblPr>
      <w:tr>
        <w:trPr>
          <w:trHeight w:val="167"/>
        </w:trPr>
        <w:tc>
          <w:tcPr>
            <w:tcW w:w="20" w:type="dxa"/>
            <w:vAlign w:val="bottom"/>
          </w:tcPr>
          <w:p>
            <w:pPr>
              <w:spacing w:after="0"/>
              <w:rPr>
                <w:sz w:val="14"/>
                <w:szCs w:val="14"/>
                <w:color w:val="auto"/>
              </w:rPr>
            </w:pPr>
          </w:p>
        </w:tc>
        <w:tc>
          <w:tcPr>
            <w:tcW w:w="47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60" w:type="dxa"/>
            <w:vAlign w:val="bottom"/>
            <w:gridSpan w:val="4"/>
          </w:tcPr>
          <w:p>
            <w:pPr>
              <w:jc w:val="center"/>
              <w:ind w:right="420"/>
              <w:spacing w:after="0"/>
              <w:rPr>
                <w:sz w:val="20"/>
                <w:szCs w:val="20"/>
                <w:color w:val="auto"/>
              </w:rPr>
            </w:pPr>
            <w:r>
              <w:rPr>
                <w:rFonts w:ascii="Arial" w:cs="Arial" w:eastAsia="Arial" w:hAnsi="Arial"/>
                <w:sz w:val="14"/>
                <w:szCs w:val="14"/>
                <w:b w:val="1"/>
                <w:bCs w:val="1"/>
                <w:i w:val="1"/>
                <w:iCs w:val="1"/>
                <w:color w:val="auto"/>
                <w:w w:val="91"/>
              </w:rPr>
              <w:t>Asia Pacific</w:t>
            </w:r>
          </w:p>
        </w:tc>
        <w:tc>
          <w:tcPr>
            <w:tcW w:w="2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60" w:type="dxa"/>
            <w:vAlign w:val="bottom"/>
            <w:gridSpan w:val="2"/>
          </w:tcPr>
          <w:p>
            <w:pPr>
              <w:jc w:val="center"/>
              <w:ind w:right="580"/>
              <w:spacing w:after="0"/>
              <w:rPr>
                <w:sz w:val="20"/>
                <w:szCs w:val="20"/>
                <w:color w:val="auto"/>
              </w:rPr>
            </w:pPr>
            <w:r>
              <w:rPr>
                <w:rFonts w:ascii="Arial" w:cs="Arial" w:eastAsia="Arial" w:hAnsi="Arial"/>
                <w:sz w:val="14"/>
                <w:szCs w:val="14"/>
                <w:b w:val="1"/>
                <w:bCs w:val="1"/>
                <w:i w:val="1"/>
                <w:iCs w:val="1"/>
                <w:color w:val="auto"/>
                <w:w w:val="98"/>
              </w:rPr>
              <w:t>EMEA</w:t>
            </w:r>
          </w:p>
        </w:tc>
        <w:tc>
          <w:tcPr>
            <w:tcW w:w="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60" w:type="dxa"/>
            <w:vAlign w:val="bottom"/>
            <w:gridSpan w:val="3"/>
          </w:tcPr>
          <w:p>
            <w:pPr>
              <w:jc w:val="right"/>
              <w:ind w:right="200"/>
              <w:spacing w:after="0"/>
              <w:rPr>
                <w:sz w:val="20"/>
                <w:szCs w:val="20"/>
                <w:color w:val="auto"/>
              </w:rPr>
            </w:pPr>
            <w:r>
              <w:rPr>
                <w:rFonts w:ascii="Arial" w:cs="Arial" w:eastAsia="Arial" w:hAnsi="Arial"/>
                <w:sz w:val="14"/>
                <w:szCs w:val="14"/>
                <w:b w:val="1"/>
                <w:bCs w:val="1"/>
                <w:i w:val="1"/>
                <w:iCs w:val="1"/>
                <w:color w:val="auto"/>
              </w:rPr>
              <w:t>Americas</w:t>
            </w:r>
          </w:p>
        </w:tc>
        <w:tc>
          <w:tcPr>
            <w:tcW w:w="5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960" w:type="dxa"/>
            <w:vAlign w:val="bottom"/>
            <w:gridSpan w:val="3"/>
          </w:tcPr>
          <w:p>
            <w:pPr>
              <w:jc w:val="center"/>
              <w:ind w:right="140"/>
              <w:spacing w:after="0"/>
              <w:rPr>
                <w:sz w:val="20"/>
                <w:szCs w:val="20"/>
                <w:color w:val="auto"/>
              </w:rPr>
            </w:pPr>
            <w:r>
              <w:rPr>
                <w:rFonts w:ascii="Arial" w:cs="Arial" w:eastAsia="Arial" w:hAnsi="Arial"/>
                <w:sz w:val="14"/>
                <w:szCs w:val="14"/>
                <w:b w:val="1"/>
                <w:bCs w:val="1"/>
                <w:i w:val="1"/>
                <w:iCs w:val="1"/>
                <w:color w:val="auto"/>
                <w:w w:val="89"/>
              </w:rPr>
              <w:t>Total</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Year ended June 30, 2017</w:t>
            </w:r>
          </w:p>
        </w:tc>
        <w:tc>
          <w:tcPr>
            <w:tcW w:w="2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80" w:type="dxa"/>
            <w:vAlign w:val="bottom"/>
            <w:tcBorders>
              <w:right w:val="single" w:sz="8" w:color="CCEEFF"/>
            </w:tcBorders>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60" w:type="dxa"/>
            <w:vAlign w:val="bottom"/>
            <w:tcBorders>
              <w:right w:val="single" w:sz="8" w:color="CCEEFF"/>
            </w:tcBorders>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60" w:type="dxa"/>
            <w:vAlign w:val="bottom"/>
          </w:tcPr>
          <w:p>
            <w:pPr>
              <w:spacing w:after="0"/>
              <w:rPr>
                <w:sz w:val="20"/>
                <w:szCs w:val="20"/>
                <w:color w:val="auto"/>
              </w:rPr>
            </w:pPr>
            <w:r>
              <w:rPr>
                <w:rFonts w:ascii="Arial" w:cs="Arial" w:eastAsia="Arial" w:hAnsi="Arial"/>
                <w:sz w:val="18"/>
                <w:szCs w:val="18"/>
                <w:b w:val="1"/>
                <w:bCs w:val="1"/>
                <w:color w:val="auto"/>
              </w:rPr>
              <w:t>Segment assets</w:t>
            </w:r>
          </w:p>
        </w:tc>
        <w:tc>
          <w:tcPr>
            <w:tcW w:w="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60" w:type="dxa"/>
            <w:vAlign w:val="bottom"/>
            <w:shd w:val="clear" w:color="auto" w:fill="CCEEFF"/>
          </w:tcPr>
          <w:p>
            <w:pPr>
              <w:spacing w:after="0"/>
              <w:rPr>
                <w:sz w:val="20"/>
                <w:szCs w:val="20"/>
                <w:color w:val="auto"/>
              </w:rPr>
            </w:pPr>
            <w:r>
              <w:rPr>
                <w:rFonts w:ascii="Arial" w:cs="Arial" w:eastAsia="Arial" w:hAnsi="Arial"/>
                <w:sz w:val="18"/>
                <w:szCs w:val="18"/>
                <w:color w:val="auto"/>
              </w:rPr>
              <w:t>Segment operating assets</w:t>
            </w:r>
          </w:p>
        </w:tc>
        <w:tc>
          <w:tcPr>
            <w:tcW w:w="260" w:type="dxa"/>
            <w:vAlign w:val="bottom"/>
            <w:shd w:val="clear" w:color="auto" w:fill="CCEEFF"/>
          </w:tcPr>
          <w:p>
            <w:pPr>
              <w:spacing w:after="0"/>
              <w:rPr>
                <w:sz w:val="18"/>
                <w:szCs w:val="18"/>
                <w:color w:val="auto"/>
              </w:rPr>
            </w:pPr>
          </w:p>
        </w:tc>
        <w:tc>
          <w:tcPr>
            <w:tcW w:w="1340" w:type="dxa"/>
            <w:vAlign w:val="bottom"/>
            <w:gridSpan w:val="5"/>
            <w:shd w:val="clear" w:color="auto" w:fill="CCEEFF"/>
          </w:tcPr>
          <w:p>
            <w:pPr>
              <w:jc w:val="center"/>
              <w:ind w:right="360"/>
              <w:spacing w:after="0"/>
              <w:rPr>
                <w:sz w:val="20"/>
                <w:szCs w:val="20"/>
                <w:color w:val="auto"/>
              </w:rPr>
            </w:pPr>
            <w:r>
              <w:rPr>
                <w:rFonts w:ascii="Arial" w:cs="Arial" w:eastAsia="Arial" w:hAnsi="Arial"/>
                <w:sz w:val="18"/>
                <w:szCs w:val="18"/>
                <w:color w:val="auto"/>
                <w:w w:val="94"/>
              </w:rPr>
              <w:t>A$227,359</w:t>
            </w:r>
          </w:p>
        </w:tc>
        <w:tc>
          <w:tcPr>
            <w:tcW w:w="280" w:type="dxa"/>
            <w:vAlign w:val="bottom"/>
            <w:tcBorders>
              <w:right w:val="single" w:sz="8" w:color="CCEEFF"/>
            </w:tcBorders>
            <w:shd w:val="clear" w:color="auto" w:fill="CCEEFF"/>
          </w:tcPr>
          <w:p>
            <w:pPr>
              <w:spacing w:after="0"/>
              <w:rPr>
                <w:sz w:val="18"/>
                <w:szCs w:val="18"/>
                <w:color w:val="auto"/>
              </w:rPr>
            </w:pPr>
          </w:p>
        </w:tc>
        <w:tc>
          <w:tcPr>
            <w:tcW w:w="1300" w:type="dxa"/>
            <w:vAlign w:val="bottom"/>
            <w:gridSpan w:val="3"/>
            <w:shd w:val="clear" w:color="auto" w:fill="CCEEFF"/>
          </w:tcPr>
          <w:p>
            <w:pPr>
              <w:jc w:val="center"/>
              <w:ind w:right="340"/>
              <w:spacing w:after="0"/>
              <w:rPr>
                <w:sz w:val="20"/>
                <w:szCs w:val="20"/>
                <w:color w:val="auto"/>
              </w:rPr>
            </w:pPr>
            <w:r>
              <w:rPr>
                <w:rFonts w:ascii="Arial" w:cs="Arial" w:eastAsia="Arial" w:hAnsi="Arial"/>
                <w:sz w:val="18"/>
                <w:szCs w:val="18"/>
                <w:color w:val="auto"/>
                <w:w w:val="93"/>
              </w:rPr>
              <w:t>A$1,166,946</w:t>
            </w:r>
          </w:p>
        </w:tc>
        <w:tc>
          <w:tcPr>
            <w:tcW w:w="280" w:type="dxa"/>
            <w:vAlign w:val="bottom"/>
            <w:shd w:val="clear" w:color="auto" w:fill="CCEEFF"/>
          </w:tcPr>
          <w:p>
            <w:pPr>
              <w:spacing w:after="0"/>
              <w:rPr>
                <w:sz w:val="18"/>
                <w:szCs w:val="18"/>
                <w:color w:val="auto"/>
              </w:rPr>
            </w:pPr>
          </w:p>
        </w:tc>
        <w:tc>
          <w:tcPr>
            <w:tcW w:w="106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A$2,342,846</w:t>
            </w:r>
          </w:p>
        </w:tc>
        <w:tc>
          <w:tcPr>
            <w:tcW w:w="520" w:type="dxa"/>
            <w:vAlign w:val="bottom"/>
            <w:shd w:val="clear" w:color="auto" w:fill="CCEEFF"/>
          </w:tcPr>
          <w:p>
            <w:pPr>
              <w:spacing w:after="0"/>
              <w:rPr>
                <w:sz w:val="18"/>
                <w:szCs w:val="18"/>
                <w:color w:val="auto"/>
              </w:rPr>
            </w:pPr>
          </w:p>
        </w:tc>
        <w:tc>
          <w:tcPr>
            <w:tcW w:w="1220" w:type="dxa"/>
            <w:vAlign w:val="bottom"/>
            <w:gridSpan w:val="5"/>
            <w:shd w:val="clear" w:color="auto" w:fill="CCEEFF"/>
          </w:tcPr>
          <w:p>
            <w:pPr>
              <w:jc w:val="center"/>
              <w:ind w:left="50"/>
              <w:spacing w:after="0"/>
              <w:rPr>
                <w:sz w:val="20"/>
                <w:szCs w:val="20"/>
                <w:color w:val="auto"/>
              </w:rPr>
            </w:pPr>
            <w:r>
              <w:rPr>
                <w:rFonts w:ascii="Arial" w:cs="Arial" w:eastAsia="Arial" w:hAnsi="Arial"/>
                <w:sz w:val="18"/>
                <w:szCs w:val="18"/>
                <w:color w:val="auto"/>
                <w:w w:val="93"/>
              </w:rPr>
              <w:t>A$3,737,150</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760" w:type="dxa"/>
            <w:vAlign w:val="bottom"/>
          </w:tcPr>
          <w:p>
            <w:pPr>
              <w:spacing w:after="0"/>
              <w:rPr>
                <w:sz w:val="20"/>
                <w:szCs w:val="20"/>
                <w:color w:val="auto"/>
              </w:rPr>
            </w:pPr>
            <w:r>
              <w:rPr>
                <w:rFonts w:ascii="Arial" w:cs="Arial" w:eastAsia="Arial" w:hAnsi="Arial"/>
                <w:sz w:val="18"/>
                <w:szCs w:val="18"/>
                <w:color w:val="auto"/>
              </w:rPr>
              <w:t>Segment non-current assets</w:t>
            </w:r>
          </w:p>
        </w:tc>
        <w:tc>
          <w:tcPr>
            <w:tcW w:w="2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center"/>
              <w:ind w:left="130"/>
              <w:spacing w:after="0"/>
              <w:rPr>
                <w:sz w:val="20"/>
                <w:szCs w:val="20"/>
                <w:color w:val="auto"/>
              </w:rPr>
            </w:pPr>
            <w:r>
              <w:rPr>
                <w:rFonts w:ascii="Arial" w:cs="Arial" w:eastAsia="Arial" w:hAnsi="Arial"/>
                <w:sz w:val="18"/>
                <w:szCs w:val="18"/>
                <w:color w:val="auto"/>
                <w:w w:val="88"/>
              </w:rPr>
              <w:t>6,624</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20,375</w:t>
            </w:r>
          </w:p>
        </w:tc>
        <w:tc>
          <w:tcPr>
            <w:tcW w:w="3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w w:val="98"/>
              </w:rPr>
              <w:t>360,380</w:t>
            </w:r>
          </w:p>
        </w:tc>
        <w:tc>
          <w:tcPr>
            <w:tcW w:w="5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387,380</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60" w:type="dxa"/>
            <w:vAlign w:val="bottom"/>
            <w:shd w:val="clear" w:color="auto" w:fill="CCEEFF"/>
          </w:tcPr>
          <w:p>
            <w:pPr>
              <w:spacing w:after="0"/>
              <w:rPr>
                <w:sz w:val="20"/>
                <w:szCs w:val="20"/>
                <w:color w:val="auto"/>
              </w:rPr>
            </w:pPr>
            <w:r>
              <w:rPr>
                <w:rFonts w:ascii="Arial" w:cs="Arial" w:eastAsia="Arial" w:hAnsi="Arial"/>
                <w:sz w:val="18"/>
                <w:szCs w:val="18"/>
                <w:color w:val="auto"/>
              </w:rPr>
              <w:t>Unallocated assets</w:t>
            </w:r>
          </w:p>
        </w:tc>
        <w:tc>
          <w:tcPr>
            <w:tcW w:w="2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80" w:type="dxa"/>
            <w:vAlign w:val="bottom"/>
            <w:gridSpan w:val="3"/>
            <w:shd w:val="clear" w:color="auto" w:fill="CCEEFF"/>
          </w:tcPr>
          <w:p>
            <w:pPr>
              <w:jc w:val="center"/>
              <w:ind w:right="140"/>
              <w:spacing w:after="0"/>
              <w:rPr>
                <w:sz w:val="20"/>
                <w:szCs w:val="20"/>
                <w:color w:val="auto"/>
              </w:rPr>
            </w:pPr>
            <w:r>
              <w:rPr>
                <w:rFonts w:ascii="Arial" w:cs="Arial" w:eastAsia="Arial" w:hAnsi="Arial"/>
                <w:sz w:val="18"/>
                <w:szCs w:val="18"/>
                <w:color w:val="auto"/>
                <w:w w:val="99"/>
              </w:rPr>
              <w:t>—</w:t>
            </w:r>
          </w:p>
        </w:tc>
        <w:tc>
          <w:tcPr>
            <w:tcW w:w="280" w:type="dxa"/>
            <w:vAlign w:val="bottom"/>
            <w:tcBorders>
              <w:right w:val="single" w:sz="8" w:color="CCEEFF"/>
            </w:tcBorders>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ind w:left="46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5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3,156,011</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5"/>
        </w:trPr>
        <w:tc>
          <w:tcPr>
            <w:tcW w:w="4780" w:type="dxa"/>
            <w:vAlign w:val="bottom"/>
            <w:gridSpan w:val="2"/>
          </w:tcPr>
          <w:p>
            <w:pPr>
              <w:spacing w:after="0" w:line="205" w:lineRule="exact"/>
              <w:rPr>
                <w:sz w:val="20"/>
                <w:szCs w:val="20"/>
                <w:color w:val="auto"/>
              </w:rPr>
            </w:pPr>
            <w:r>
              <w:rPr>
                <w:rFonts w:ascii="Arial" w:cs="Arial" w:eastAsia="Arial" w:hAnsi="Arial"/>
                <w:sz w:val="18"/>
                <w:szCs w:val="18"/>
                <w:b w:val="1"/>
                <w:bCs w:val="1"/>
                <w:color w:val="auto"/>
              </w:rPr>
              <w:t>Total assets per the consolidated statement of financial</w:t>
            </w:r>
          </w:p>
        </w:tc>
        <w:tc>
          <w:tcPr>
            <w:tcW w:w="2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66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760" w:type="dxa"/>
            <w:vAlign w:val="bottom"/>
            <w:tcBorders>
              <w:top w:val="single" w:sz="8" w:color="auto"/>
            </w:tcBorders>
          </w:tcPr>
          <w:p>
            <w:pPr>
              <w:spacing w:after="0"/>
              <w:rPr>
                <w:sz w:val="17"/>
                <w:szCs w:val="17"/>
                <w:color w:val="auto"/>
              </w:rPr>
            </w:pPr>
          </w:p>
        </w:tc>
        <w:tc>
          <w:tcPr>
            <w:tcW w:w="3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Borders>
              <w:top w:val="single" w:sz="8" w:color="auto"/>
            </w:tcBorders>
          </w:tcPr>
          <w:p>
            <w:pPr>
              <w:spacing w:after="0"/>
              <w:rPr>
                <w:sz w:val="17"/>
                <w:szCs w:val="17"/>
                <w:color w:val="auto"/>
              </w:rPr>
            </w:pPr>
          </w:p>
        </w:tc>
        <w:tc>
          <w:tcPr>
            <w:tcW w:w="600" w:type="dxa"/>
            <w:vAlign w:val="bottom"/>
            <w:tcBorders>
              <w:top w:val="single" w:sz="8" w:color="auto"/>
            </w:tcBorders>
          </w:tcPr>
          <w:p>
            <w:pPr>
              <w:spacing w:after="0"/>
              <w:rPr>
                <w:sz w:val="17"/>
                <w:szCs w:val="17"/>
                <w:color w:val="auto"/>
              </w:rPr>
            </w:pPr>
          </w:p>
        </w:tc>
        <w:tc>
          <w:tcPr>
            <w:tcW w:w="60" w:type="dxa"/>
            <w:vAlign w:val="bottom"/>
            <w:tcBorders>
              <w:top w:val="single" w:sz="8" w:color="auto"/>
            </w:tcBorders>
          </w:tcPr>
          <w:p>
            <w:pPr>
              <w:spacing w:after="0"/>
              <w:rPr>
                <w:sz w:val="17"/>
                <w:szCs w:val="17"/>
                <w:color w:val="auto"/>
              </w:rPr>
            </w:pPr>
          </w:p>
        </w:tc>
        <w:tc>
          <w:tcPr>
            <w:tcW w:w="5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0" w:type="dxa"/>
            <w:vAlign w:val="bottom"/>
            <w:tcBorders>
              <w:top w:val="single" w:sz="8" w:color="auto"/>
            </w:tcBorders>
          </w:tcPr>
          <w:p>
            <w:pPr>
              <w:spacing w:after="0"/>
              <w:rPr>
                <w:sz w:val="17"/>
                <w:szCs w:val="17"/>
                <w:color w:val="auto"/>
              </w:rPr>
            </w:pPr>
          </w:p>
        </w:tc>
        <w:tc>
          <w:tcPr>
            <w:tcW w:w="840" w:type="dxa"/>
            <w:vAlign w:val="bottom"/>
            <w:tcBorders>
              <w:top w:val="single" w:sz="8" w:color="auto"/>
            </w:tcBorders>
          </w:tcPr>
          <w:p>
            <w:pPr>
              <w:spacing w:after="0"/>
              <w:rPr>
                <w:sz w:val="17"/>
                <w:szCs w:val="17"/>
                <w:color w:val="auto"/>
              </w:rPr>
            </w:pPr>
          </w:p>
        </w:tc>
        <w:tc>
          <w:tcPr>
            <w:tcW w:w="60" w:type="dxa"/>
            <w:vAlign w:val="bottom"/>
            <w:tcBorders>
              <w:top w:val="single" w:sz="8" w:color="auto"/>
            </w:tcBorders>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4760" w:type="dxa"/>
            <w:vAlign w:val="bottom"/>
          </w:tcPr>
          <w:p>
            <w:pPr>
              <w:ind w:left="160"/>
              <w:spacing w:after="0"/>
              <w:rPr>
                <w:sz w:val="20"/>
                <w:szCs w:val="20"/>
                <w:color w:val="auto"/>
              </w:rPr>
            </w:pPr>
            <w:r>
              <w:rPr>
                <w:rFonts w:ascii="Arial" w:cs="Arial" w:eastAsia="Arial" w:hAnsi="Arial"/>
                <w:sz w:val="18"/>
                <w:szCs w:val="18"/>
                <w:b w:val="1"/>
                <w:bCs w:val="1"/>
                <w:color w:val="auto"/>
              </w:rPr>
              <w:t>position</w:t>
            </w:r>
          </w:p>
        </w:tc>
        <w:tc>
          <w:tcPr>
            <w:tcW w:w="2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220" w:type="dxa"/>
            <w:vAlign w:val="bottom"/>
            <w:gridSpan w:val="5"/>
          </w:tcPr>
          <w:p>
            <w:pPr>
              <w:jc w:val="center"/>
              <w:ind w:left="50"/>
              <w:spacing w:after="0"/>
              <w:rPr>
                <w:sz w:val="20"/>
                <w:szCs w:val="20"/>
                <w:color w:val="auto"/>
              </w:rPr>
            </w:pPr>
            <w:r>
              <w:rPr>
                <w:rFonts w:ascii="Arial" w:cs="Arial" w:eastAsia="Arial" w:hAnsi="Arial"/>
                <w:sz w:val="18"/>
                <w:szCs w:val="18"/>
                <w:b w:val="1"/>
                <w:bCs w:val="1"/>
                <w:u w:val="single" w:color="auto"/>
                <w:color w:val="auto"/>
                <w:w w:val="93"/>
              </w:rPr>
              <w:t>A$</w:t>
            </w:r>
            <w:r>
              <w:rPr>
                <w:rFonts w:ascii="Arial" w:cs="Arial" w:eastAsia="Arial" w:hAnsi="Arial"/>
                <w:sz w:val="18"/>
                <w:szCs w:val="18"/>
                <w:b w:val="1"/>
                <w:bCs w:val="1"/>
                <w:color w:val="auto"/>
                <w:w w:val="93"/>
              </w:rPr>
              <w:t>7,280,541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7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47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Segment liabilities</w:t>
            </w:r>
          </w:p>
        </w:tc>
        <w:tc>
          <w:tcPr>
            <w:tcW w:w="2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80" w:type="dxa"/>
            <w:vAlign w:val="bottom"/>
            <w:tcBorders>
              <w:right w:val="single" w:sz="8" w:color="CCEEFF"/>
            </w:tcBorders>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60" w:type="dxa"/>
            <w:vAlign w:val="bottom"/>
            <w:tcBorders>
              <w:right w:val="single" w:sz="8" w:color="CCEEFF"/>
            </w:tcBorders>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60" w:type="dxa"/>
            <w:vAlign w:val="bottom"/>
          </w:tcPr>
          <w:p>
            <w:pPr>
              <w:spacing w:after="0"/>
              <w:rPr>
                <w:sz w:val="20"/>
                <w:szCs w:val="20"/>
                <w:color w:val="auto"/>
              </w:rPr>
            </w:pPr>
            <w:r>
              <w:rPr>
                <w:rFonts w:ascii="Arial" w:cs="Arial" w:eastAsia="Arial" w:hAnsi="Arial"/>
                <w:sz w:val="18"/>
                <w:szCs w:val="18"/>
                <w:color w:val="auto"/>
              </w:rPr>
              <w:t>Segment operating liabilities</w:t>
            </w:r>
          </w:p>
        </w:tc>
        <w:tc>
          <w:tcPr>
            <w:tcW w:w="260" w:type="dxa"/>
            <w:vAlign w:val="bottom"/>
          </w:tcPr>
          <w:p>
            <w:pPr>
              <w:spacing w:after="0"/>
              <w:rPr>
                <w:sz w:val="18"/>
                <w:szCs w:val="18"/>
                <w:color w:val="auto"/>
              </w:rPr>
            </w:pPr>
          </w:p>
        </w:tc>
        <w:tc>
          <w:tcPr>
            <w:tcW w:w="1340" w:type="dxa"/>
            <w:vAlign w:val="bottom"/>
            <w:gridSpan w:val="5"/>
          </w:tcPr>
          <w:p>
            <w:pPr>
              <w:jc w:val="center"/>
              <w:ind w:right="360"/>
              <w:spacing w:after="0"/>
              <w:rPr>
                <w:sz w:val="20"/>
                <w:szCs w:val="20"/>
                <w:color w:val="auto"/>
              </w:rPr>
            </w:pPr>
            <w:r>
              <w:rPr>
                <w:rFonts w:ascii="Arial" w:cs="Arial" w:eastAsia="Arial" w:hAnsi="Arial"/>
                <w:sz w:val="18"/>
                <w:szCs w:val="18"/>
                <w:color w:val="auto"/>
                <w:w w:val="94"/>
              </w:rPr>
              <w:t>A$153,502</w:t>
            </w:r>
          </w:p>
        </w:tc>
        <w:tc>
          <w:tcPr>
            <w:tcW w:w="280" w:type="dxa"/>
            <w:vAlign w:val="bottom"/>
          </w:tcPr>
          <w:p>
            <w:pPr>
              <w:spacing w:after="0"/>
              <w:rPr>
                <w:sz w:val="18"/>
                <w:szCs w:val="18"/>
                <w:color w:val="auto"/>
              </w:rPr>
            </w:pPr>
          </w:p>
        </w:tc>
        <w:tc>
          <w:tcPr>
            <w:tcW w:w="240" w:type="dxa"/>
            <w:vAlign w:val="bottom"/>
          </w:tcPr>
          <w:p>
            <w:pPr>
              <w:spacing w:after="0"/>
              <w:rPr>
                <w:sz w:val="20"/>
                <w:szCs w:val="20"/>
                <w:color w:val="auto"/>
              </w:rPr>
            </w:pPr>
            <w:r>
              <w:rPr>
                <w:rFonts w:ascii="Arial" w:cs="Arial" w:eastAsia="Arial" w:hAnsi="Arial"/>
                <w:sz w:val="18"/>
                <w:szCs w:val="18"/>
                <w:color w:val="auto"/>
                <w:w w:val="99"/>
              </w:rPr>
              <w:t>A$</w:t>
            </w:r>
          </w:p>
        </w:tc>
        <w:tc>
          <w:tcPr>
            <w:tcW w:w="760" w:type="dxa"/>
            <w:vAlign w:val="bottom"/>
          </w:tcPr>
          <w:p>
            <w:pPr>
              <w:jc w:val="right"/>
              <w:spacing w:after="0"/>
              <w:rPr>
                <w:sz w:val="20"/>
                <w:szCs w:val="20"/>
                <w:color w:val="auto"/>
              </w:rPr>
            </w:pPr>
            <w:r>
              <w:rPr>
                <w:rFonts w:ascii="Arial" w:cs="Arial" w:eastAsia="Arial" w:hAnsi="Arial"/>
                <w:sz w:val="18"/>
                <w:szCs w:val="18"/>
                <w:color w:val="auto"/>
              </w:rPr>
              <w:t>468,996</w:t>
            </w:r>
          </w:p>
        </w:tc>
        <w:tc>
          <w:tcPr>
            <w:tcW w:w="3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60" w:type="dxa"/>
            <w:vAlign w:val="bottom"/>
            <w:gridSpan w:val="4"/>
          </w:tcPr>
          <w:p>
            <w:pPr>
              <w:jc w:val="right"/>
              <w:spacing w:after="0"/>
              <w:rPr>
                <w:sz w:val="20"/>
                <w:szCs w:val="20"/>
                <w:color w:val="auto"/>
              </w:rPr>
            </w:pPr>
            <w:r>
              <w:rPr>
                <w:rFonts w:ascii="Arial" w:cs="Arial" w:eastAsia="Arial" w:hAnsi="Arial"/>
                <w:sz w:val="18"/>
                <w:szCs w:val="18"/>
                <w:color w:val="auto"/>
              </w:rPr>
              <w:t>A$1,743,657</w:t>
            </w:r>
          </w:p>
        </w:tc>
        <w:tc>
          <w:tcPr>
            <w:tcW w:w="520" w:type="dxa"/>
            <w:vAlign w:val="bottom"/>
          </w:tcPr>
          <w:p>
            <w:pPr>
              <w:spacing w:after="0"/>
              <w:rPr>
                <w:sz w:val="18"/>
                <w:szCs w:val="18"/>
                <w:color w:val="auto"/>
              </w:rPr>
            </w:pPr>
          </w:p>
        </w:tc>
        <w:tc>
          <w:tcPr>
            <w:tcW w:w="1220" w:type="dxa"/>
            <w:vAlign w:val="bottom"/>
            <w:gridSpan w:val="5"/>
          </w:tcPr>
          <w:p>
            <w:pPr>
              <w:jc w:val="center"/>
              <w:ind w:left="50"/>
              <w:spacing w:after="0"/>
              <w:rPr>
                <w:sz w:val="20"/>
                <w:szCs w:val="20"/>
                <w:color w:val="auto"/>
              </w:rPr>
            </w:pPr>
            <w:r>
              <w:rPr>
                <w:rFonts w:ascii="Arial" w:cs="Arial" w:eastAsia="Arial" w:hAnsi="Arial"/>
                <w:sz w:val="18"/>
                <w:szCs w:val="18"/>
                <w:color w:val="auto"/>
                <w:w w:val="93"/>
              </w:rPr>
              <w:t>A$2,366,155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60" w:type="dxa"/>
            <w:vAlign w:val="bottom"/>
            <w:shd w:val="clear" w:color="auto" w:fill="CCEEFF"/>
          </w:tcPr>
          <w:p>
            <w:pPr>
              <w:spacing w:after="0"/>
              <w:rPr>
                <w:sz w:val="20"/>
                <w:szCs w:val="20"/>
                <w:color w:val="auto"/>
              </w:rPr>
            </w:pPr>
            <w:r>
              <w:rPr>
                <w:rFonts w:ascii="Arial" w:cs="Arial" w:eastAsia="Arial" w:hAnsi="Arial"/>
                <w:sz w:val="18"/>
                <w:szCs w:val="18"/>
                <w:color w:val="auto"/>
              </w:rPr>
              <w:t>Unallocated liabilities</w:t>
            </w:r>
          </w:p>
        </w:tc>
        <w:tc>
          <w:tcPr>
            <w:tcW w:w="2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80" w:type="dxa"/>
            <w:vAlign w:val="bottom"/>
            <w:gridSpan w:val="3"/>
            <w:shd w:val="clear" w:color="auto" w:fill="CCEEFF"/>
          </w:tcPr>
          <w:p>
            <w:pPr>
              <w:jc w:val="center"/>
              <w:ind w:right="140"/>
              <w:spacing w:after="0"/>
              <w:rPr>
                <w:sz w:val="20"/>
                <w:szCs w:val="20"/>
                <w:color w:val="auto"/>
              </w:rPr>
            </w:pPr>
            <w:r>
              <w:rPr>
                <w:rFonts w:ascii="Arial" w:cs="Arial" w:eastAsia="Arial" w:hAnsi="Arial"/>
                <w:sz w:val="18"/>
                <w:szCs w:val="18"/>
                <w:color w:val="auto"/>
                <w:w w:val="99"/>
              </w:rPr>
              <w:t>—</w:t>
            </w:r>
          </w:p>
        </w:tc>
        <w:tc>
          <w:tcPr>
            <w:tcW w:w="280" w:type="dxa"/>
            <w:vAlign w:val="bottom"/>
            <w:tcBorders>
              <w:right w:val="single" w:sz="8" w:color="CCEEFF"/>
            </w:tcBorders>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ind w:left="46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5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179,934</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5"/>
        </w:trPr>
        <w:tc>
          <w:tcPr>
            <w:tcW w:w="4780" w:type="dxa"/>
            <w:vAlign w:val="bottom"/>
            <w:gridSpan w:val="2"/>
          </w:tcPr>
          <w:p>
            <w:pPr>
              <w:spacing w:after="0" w:line="205" w:lineRule="exact"/>
              <w:rPr>
                <w:sz w:val="20"/>
                <w:szCs w:val="20"/>
                <w:color w:val="auto"/>
              </w:rPr>
            </w:pPr>
            <w:r>
              <w:rPr>
                <w:rFonts w:ascii="Arial" w:cs="Arial" w:eastAsia="Arial" w:hAnsi="Arial"/>
                <w:sz w:val="18"/>
                <w:szCs w:val="18"/>
                <w:b w:val="1"/>
                <w:bCs w:val="1"/>
                <w:color w:val="auto"/>
                <w:w w:val="95"/>
              </w:rPr>
              <w:t>Total liabilities per the consolidated statement of financial</w:t>
            </w:r>
          </w:p>
        </w:tc>
        <w:tc>
          <w:tcPr>
            <w:tcW w:w="2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66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760" w:type="dxa"/>
            <w:vAlign w:val="bottom"/>
            <w:tcBorders>
              <w:top w:val="single" w:sz="8" w:color="auto"/>
            </w:tcBorders>
          </w:tcPr>
          <w:p>
            <w:pPr>
              <w:spacing w:after="0"/>
              <w:rPr>
                <w:sz w:val="17"/>
                <w:szCs w:val="17"/>
                <w:color w:val="auto"/>
              </w:rPr>
            </w:pPr>
          </w:p>
        </w:tc>
        <w:tc>
          <w:tcPr>
            <w:tcW w:w="3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Borders>
              <w:top w:val="single" w:sz="8" w:color="auto"/>
            </w:tcBorders>
          </w:tcPr>
          <w:p>
            <w:pPr>
              <w:spacing w:after="0"/>
              <w:rPr>
                <w:sz w:val="17"/>
                <w:szCs w:val="17"/>
                <w:color w:val="auto"/>
              </w:rPr>
            </w:pPr>
          </w:p>
        </w:tc>
        <w:tc>
          <w:tcPr>
            <w:tcW w:w="600" w:type="dxa"/>
            <w:vAlign w:val="bottom"/>
            <w:tcBorders>
              <w:top w:val="single" w:sz="8" w:color="auto"/>
            </w:tcBorders>
          </w:tcPr>
          <w:p>
            <w:pPr>
              <w:spacing w:after="0"/>
              <w:rPr>
                <w:sz w:val="17"/>
                <w:szCs w:val="17"/>
                <w:color w:val="auto"/>
              </w:rPr>
            </w:pPr>
          </w:p>
        </w:tc>
        <w:tc>
          <w:tcPr>
            <w:tcW w:w="60" w:type="dxa"/>
            <w:vAlign w:val="bottom"/>
            <w:tcBorders>
              <w:top w:val="single" w:sz="8" w:color="auto"/>
            </w:tcBorders>
          </w:tcPr>
          <w:p>
            <w:pPr>
              <w:spacing w:after="0"/>
              <w:rPr>
                <w:sz w:val="17"/>
                <w:szCs w:val="17"/>
                <w:color w:val="auto"/>
              </w:rPr>
            </w:pPr>
          </w:p>
        </w:tc>
        <w:tc>
          <w:tcPr>
            <w:tcW w:w="5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0" w:type="dxa"/>
            <w:vAlign w:val="bottom"/>
            <w:tcBorders>
              <w:top w:val="single" w:sz="8" w:color="auto"/>
            </w:tcBorders>
          </w:tcPr>
          <w:p>
            <w:pPr>
              <w:spacing w:after="0"/>
              <w:rPr>
                <w:sz w:val="17"/>
                <w:szCs w:val="17"/>
                <w:color w:val="auto"/>
              </w:rPr>
            </w:pPr>
          </w:p>
        </w:tc>
        <w:tc>
          <w:tcPr>
            <w:tcW w:w="840" w:type="dxa"/>
            <w:vAlign w:val="bottom"/>
            <w:tcBorders>
              <w:top w:val="single" w:sz="8" w:color="auto"/>
            </w:tcBorders>
          </w:tcPr>
          <w:p>
            <w:pPr>
              <w:spacing w:after="0"/>
              <w:rPr>
                <w:sz w:val="17"/>
                <w:szCs w:val="17"/>
                <w:color w:val="auto"/>
              </w:rPr>
            </w:pPr>
          </w:p>
        </w:tc>
        <w:tc>
          <w:tcPr>
            <w:tcW w:w="60" w:type="dxa"/>
            <w:vAlign w:val="bottom"/>
            <w:tcBorders>
              <w:top w:val="single" w:sz="8" w:color="auto"/>
            </w:tcBorders>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4760" w:type="dxa"/>
            <w:vAlign w:val="bottom"/>
          </w:tcPr>
          <w:p>
            <w:pPr>
              <w:ind w:left="160"/>
              <w:spacing w:after="0"/>
              <w:rPr>
                <w:sz w:val="20"/>
                <w:szCs w:val="20"/>
                <w:color w:val="auto"/>
              </w:rPr>
            </w:pPr>
            <w:r>
              <w:rPr>
                <w:rFonts w:ascii="Arial" w:cs="Arial" w:eastAsia="Arial" w:hAnsi="Arial"/>
                <w:sz w:val="18"/>
                <w:szCs w:val="18"/>
                <w:b w:val="1"/>
                <w:bCs w:val="1"/>
                <w:color w:val="auto"/>
              </w:rPr>
              <w:t>position</w:t>
            </w:r>
          </w:p>
        </w:tc>
        <w:tc>
          <w:tcPr>
            <w:tcW w:w="2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220" w:type="dxa"/>
            <w:vAlign w:val="bottom"/>
            <w:gridSpan w:val="5"/>
          </w:tcPr>
          <w:p>
            <w:pPr>
              <w:jc w:val="center"/>
              <w:ind w:left="50"/>
              <w:spacing w:after="0"/>
              <w:rPr>
                <w:sz w:val="20"/>
                <w:szCs w:val="20"/>
                <w:color w:val="auto"/>
              </w:rPr>
            </w:pPr>
            <w:r>
              <w:rPr>
                <w:rFonts w:ascii="Arial" w:cs="Arial" w:eastAsia="Arial" w:hAnsi="Arial"/>
                <w:sz w:val="18"/>
                <w:szCs w:val="18"/>
                <w:b w:val="1"/>
                <w:bCs w:val="1"/>
                <w:u w:val="single" w:color="auto"/>
                <w:color w:val="auto"/>
                <w:w w:val="93"/>
              </w:rPr>
              <w:t>A$</w:t>
            </w:r>
            <w:r>
              <w:rPr>
                <w:rFonts w:ascii="Arial" w:cs="Arial" w:eastAsia="Arial" w:hAnsi="Arial"/>
                <w:sz w:val="18"/>
                <w:szCs w:val="18"/>
                <w:b w:val="1"/>
                <w:bCs w:val="1"/>
                <w:color w:val="auto"/>
                <w:w w:val="93"/>
              </w:rPr>
              <w:t>2,546,089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7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40" w:type="dxa"/>
            <w:vAlign w:val="bottom"/>
            <w:gridSpan w:val="3"/>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6"/>
        </w:trPr>
        <w:tc>
          <w:tcPr>
            <w:tcW w:w="20" w:type="dxa"/>
            <w:vAlign w:val="bottom"/>
          </w:tcPr>
          <w:p>
            <w:pPr>
              <w:spacing w:after="0"/>
              <w:rPr>
                <w:sz w:val="24"/>
                <w:szCs w:val="24"/>
                <w:color w:val="auto"/>
              </w:rPr>
            </w:pPr>
          </w:p>
        </w:tc>
        <w:tc>
          <w:tcPr>
            <w:tcW w:w="47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60" w:type="dxa"/>
            <w:vAlign w:val="bottom"/>
            <w:gridSpan w:val="4"/>
          </w:tcPr>
          <w:p>
            <w:pPr>
              <w:jc w:val="center"/>
              <w:ind w:right="400"/>
              <w:spacing w:after="0"/>
              <w:rPr>
                <w:sz w:val="20"/>
                <w:szCs w:val="20"/>
                <w:color w:val="auto"/>
              </w:rPr>
            </w:pPr>
            <w:r>
              <w:rPr>
                <w:rFonts w:ascii="Arial" w:cs="Arial" w:eastAsia="Arial" w:hAnsi="Arial"/>
                <w:sz w:val="14"/>
                <w:szCs w:val="14"/>
                <w:b w:val="1"/>
                <w:bCs w:val="1"/>
                <w:i w:val="1"/>
                <w:iCs w:val="1"/>
                <w:color w:val="auto"/>
                <w:w w:val="89"/>
              </w:rPr>
              <w:t>Asia Pacific</w:t>
            </w:r>
          </w:p>
        </w:tc>
        <w:tc>
          <w:tcPr>
            <w:tcW w:w="2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60" w:type="dxa"/>
            <w:vAlign w:val="bottom"/>
            <w:gridSpan w:val="2"/>
          </w:tcPr>
          <w:p>
            <w:pPr>
              <w:jc w:val="center"/>
              <w:ind w:right="580"/>
              <w:spacing w:after="0"/>
              <w:rPr>
                <w:sz w:val="20"/>
                <w:szCs w:val="20"/>
                <w:color w:val="auto"/>
              </w:rPr>
            </w:pPr>
            <w:r>
              <w:rPr>
                <w:rFonts w:ascii="Arial" w:cs="Arial" w:eastAsia="Arial" w:hAnsi="Arial"/>
                <w:sz w:val="14"/>
                <w:szCs w:val="14"/>
                <w:b w:val="1"/>
                <w:bCs w:val="1"/>
                <w:i w:val="1"/>
                <w:iCs w:val="1"/>
                <w:color w:val="auto"/>
                <w:w w:val="98"/>
              </w:rPr>
              <w:t>EMEA</w:t>
            </w: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60" w:type="dxa"/>
            <w:vAlign w:val="bottom"/>
            <w:gridSpan w:val="3"/>
          </w:tcPr>
          <w:p>
            <w:pPr>
              <w:jc w:val="right"/>
              <w:ind w:right="280"/>
              <w:spacing w:after="0"/>
              <w:rPr>
                <w:sz w:val="20"/>
                <w:szCs w:val="20"/>
                <w:color w:val="auto"/>
              </w:rPr>
            </w:pPr>
            <w:r>
              <w:rPr>
                <w:rFonts w:ascii="Arial" w:cs="Arial" w:eastAsia="Arial" w:hAnsi="Arial"/>
                <w:sz w:val="14"/>
                <w:szCs w:val="14"/>
                <w:b w:val="1"/>
                <w:bCs w:val="1"/>
                <w:i w:val="1"/>
                <w:iCs w:val="1"/>
                <w:color w:val="auto"/>
              </w:rPr>
              <w:t>Americas</w:t>
            </w:r>
          </w:p>
        </w:tc>
        <w:tc>
          <w:tcPr>
            <w:tcW w:w="5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960" w:type="dxa"/>
            <w:vAlign w:val="bottom"/>
            <w:gridSpan w:val="3"/>
          </w:tcPr>
          <w:p>
            <w:pPr>
              <w:ind w:left="140"/>
              <w:spacing w:after="0"/>
              <w:rPr>
                <w:sz w:val="20"/>
                <w:szCs w:val="20"/>
                <w:color w:val="auto"/>
              </w:rPr>
            </w:pPr>
            <w:r>
              <w:rPr>
                <w:rFonts w:ascii="Arial" w:cs="Arial" w:eastAsia="Arial" w:hAnsi="Arial"/>
                <w:sz w:val="14"/>
                <w:szCs w:val="14"/>
                <w:b w:val="1"/>
                <w:bCs w:val="1"/>
                <w:i w:val="1"/>
                <w:iCs w:val="1"/>
                <w:color w:val="auto"/>
              </w:rPr>
              <w:t>Total</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Year ended June 30, 2016</w:t>
            </w:r>
          </w:p>
        </w:tc>
        <w:tc>
          <w:tcPr>
            <w:tcW w:w="2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80" w:type="dxa"/>
            <w:vAlign w:val="bottom"/>
            <w:tcBorders>
              <w:right w:val="single" w:sz="8" w:color="CCEEFF"/>
            </w:tcBorders>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60" w:type="dxa"/>
            <w:vAlign w:val="bottom"/>
            <w:tcBorders>
              <w:right w:val="single" w:sz="8" w:color="CCEEFF"/>
            </w:tcBorders>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60" w:type="dxa"/>
            <w:vAlign w:val="bottom"/>
          </w:tcPr>
          <w:p>
            <w:pPr>
              <w:spacing w:after="0"/>
              <w:rPr>
                <w:sz w:val="20"/>
                <w:szCs w:val="20"/>
                <w:color w:val="auto"/>
              </w:rPr>
            </w:pPr>
            <w:r>
              <w:rPr>
                <w:rFonts w:ascii="Arial" w:cs="Arial" w:eastAsia="Arial" w:hAnsi="Arial"/>
                <w:sz w:val="18"/>
                <w:szCs w:val="18"/>
                <w:b w:val="1"/>
                <w:bCs w:val="1"/>
                <w:color w:val="auto"/>
              </w:rPr>
              <w:t>Revenue</w:t>
            </w:r>
          </w:p>
        </w:tc>
        <w:tc>
          <w:tcPr>
            <w:tcW w:w="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60" w:type="dxa"/>
            <w:vAlign w:val="bottom"/>
            <w:shd w:val="clear" w:color="auto" w:fill="CCEEFF"/>
          </w:tcPr>
          <w:p>
            <w:pPr>
              <w:spacing w:after="0"/>
              <w:rPr>
                <w:sz w:val="20"/>
                <w:szCs w:val="20"/>
                <w:color w:val="auto"/>
              </w:rPr>
            </w:pPr>
            <w:r>
              <w:rPr>
                <w:rFonts w:ascii="Arial" w:cs="Arial" w:eastAsia="Arial" w:hAnsi="Arial"/>
                <w:sz w:val="18"/>
                <w:szCs w:val="18"/>
                <w:color w:val="auto"/>
              </w:rPr>
              <w:t>Sale of goods</w:t>
            </w:r>
          </w:p>
        </w:tc>
        <w:tc>
          <w:tcPr>
            <w:tcW w:w="520" w:type="dxa"/>
            <w:vAlign w:val="bottom"/>
            <w:gridSpan w:val="3"/>
            <w:shd w:val="clear" w:color="auto" w:fill="CCEEFF"/>
          </w:tcPr>
          <w:p>
            <w:pPr>
              <w:ind w:left="260"/>
              <w:spacing w:after="0"/>
              <w:rPr>
                <w:sz w:val="20"/>
                <w:szCs w:val="20"/>
                <w:color w:val="auto"/>
              </w:rPr>
            </w:pPr>
            <w:r>
              <w:rPr>
                <w:rFonts w:ascii="Arial" w:cs="Arial" w:eastAsia="Arial" w:hAnsi="Arial"/>
                <w:sz w:val="18"/>
                <w:szCs w:val="18"/>
                <w:color w:val="auto"/>
              </w:rPr>
              <w:t>A$</w:t>
            </w: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436,101</w:t>
            </w:r>
          </w:p>
        </w:tc>
        <w:tc>
          <w:tcPr>
            <w:tcW w:w="320" w:type="dxa"/>
            <w:vAlign w:val="bottom"/>
            <w:shd w:val="clear" w:color="auto" w:fill="CCEEFF"/>
          </w:tcPr>
          <w:p>
            <w:pPr>
              <w:spacing w:after="0"/>
              <w:rPr>
                <w:sz w:val="18"/>
                <w:szCs w:val="18"/>
                <w:color w:val="auto"/>
              </w:rPr>
            </w:pPr>
          </w:p>
        </w:tc>
        <w:tc>
          <w:tcPr>
            <w:tcW w:w="52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rPr>
              <w:t>A$</w:t>
            </w:r>
          </w:p>
        </w:tc>
        <w:tc>
          <w:tcPr>
            <w:tcW w:w="7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565,906</w:t>
            </w:r>
          </w:p>
        </w:tc>
        <w:tc>
          <w:tcPr>
            <w:tcW w:w="300" w:type="dxa"/>
            <w:vAlign w:val="bottom"/>
            <w:shd w:val="clear" w:color="auto" w:fill="CCEEFF"/>
          </w:tcPr>
          <w:p>
            <w:pPr>
              <w:spacing w:after="0"/>
              <w:rPr>
                <w:sz w:val="18"/>
                <w:szCs w:val="18"/>
                <w:color w:val="auto"/>
              </w:rPr>
            </w:pPr>
          </w:p>
        </w:tc>
        <w:tc>
          <w:tcPr>
            <w:tcW w:w="680" w:type="dxa"/>
            <w:vAlign w:val="bottom"/>
            <w:gridSpan w:val="3"/>
            <w:shd w:val="clear" w:color="auto" w:fill="CCEEFF"/>
          </w:tcPr>
          <w:p>
            <w:pPr>
              <w:ind w:left="260"/>
              <w:spacing w:after="0"/>
              <w:rPr>
                <w:sz w:val="20"/>
                <w:szCs w:val="20"/>
                <w:color w:val="auto"/>
              </w:rPr>
            </w:pPr>
            <w:r>
              <w:rPr>
                <w:rFonts w:ascii="Arial" w:cs="Arial" w:eastAsia="Arial" w:hAnsi="Arial"/>
                <w:sz w:val="18"/>
                <w:szCs w:val="18"/>
                <w:color w:val="auto"/>
              </w:rPr>
              <w:t>A$</w:t>
            </w:r>
          </w:p>
        </w:tc>
        <w:tc>
          <w:tcPr>
            <w:tcW w:w="6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780" w:type="dxa"/>
            <w:vAlign w:val="bottom"/>
            <w:gridSpan w:val="3"/>
            <w:shd w:val="clear" w:color="auto" w:fill="CCEEFF"/>
          </w:tcPr>
          <w:p>
            <w:pPr>
              <w:ind w:left="520"/>
              <w:spacing w:after="0"/>
              <w:rPr>
                <w:sz w:val="20"/>
                <w:szCs w:val="20"/>
                <w:color w:val="auto"/>
              </w:rPr>
            </w:pPr>
            <w:r>
              <w:rPr>
                <w:rFonts w:ascii="Arial" w:cs="Arial" w:eastAsia="Arial" w:hAnsi="Arial"/>
                <w:sz w:val="18"/>
                <w:szCs w:val="18"/>
                <w:color w:val="auto"/>
              </w:rPr>
              <w:t>A$</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1,002,007</w:t>
            </w:r>
          </w:p>
        </w:tc>
        <w:tc>
          <w:tcPr>
            <w:tcW w:w="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60" w:type="dxa"/>
            <w:vAlign w:val="bottom"/>
          </w:tcPr>
          <w:p>
            <w:pPr>
              <w:spacing w:after="0"/>
              <w:rPr>
                <w:sz w:val="20"/>
                <w:szCs w:val="20"/>
                <w:color w:val="auto"/>
              </w:rPr>
            </w:pPr>
            <w:r>
              <w:rPr>
                <w:rFonts w:ascii="Arial" w:cs="Arial" w:eastAsia="Arial" w:hAnsi="Arial"/>
                <w:sz w:val="18"/>
                <w:szCs w:val="18"/>
                <w:color w:val="auto"/>
              </w:rPr>
              <w:t>Other revenues from external customers</w:t>
            </w:r>
          </w:p>
        </w:tc>
        <w:tc>
          <w:tcPr>
            <w:tcW w:w="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gridSpan w:val="2"/>
          </w:tcPr>
          <w:p>
            <w:pPr>
              <w:jc w:val="right"/>
              <w:spacing w:after="0"/>
              <w:rPr>
                <w:sz w:val="20"/>
                <w:szCs w:val="20"/>
                <w:color w:val="auto"/>
              </w:rPr>
            </w:pPr>
            <w:r>
              <w:rPr>
                <w:rFonts w:ascii="Arial" w:cs="Arial" w:eastAsia="Arial" w:hAnsi="Arial"/>
                <w:sz w:val="18"/>
                <w:szCs w:val="18"/>
                <w:color w:val="auto"/>
              </w:rPr>
              <w:t>2,358</w:t>
            </w:r>
          </w:p>
        </w:tc>
        <w:tc>
          <w:tcPr>
            <w:tcW w:w="3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474</w:t>
            </w:r>
          </w:p>
        </w:tc>
        <w:tc>
          <w:tcPr>
            <w:tcW w:w="300" w:type="dxa"/>
            <w:vAlign w:val="bottom"/>
          </w:tcPr>
          <w:p>
            <w:pPr>
              <w:spacing w:after="0"/>
              <w:rPr>
                <w:sz w:val="18"/>
                <w:szCs w:val="18"/>
                <w:color w:val="auto"/>
              </w:rPr>
            </w:pPr>
          </w:p>
        </w:tc>
        <w:tc>
          <w:tcPr>
            <w:tcW w:w="1280" w:type="dxa"/>
            <w:vAlign w:val="bottom"/>
            <w:gridSpan w:val="4"/>
          </w:tcPr>
          <w:p>
            <w:pPr>
              <w:jc w:val="right"/>
              <w:spacing w:after="0"/>
              <w:rPr>
                <w:sz w:val="20"/>
                <w:szCs w:val="20"/>
                <w:color w:val="auto"/>
              </w:rPr>
            </w:pPr>
            <w:r>
              <w:rPr>
                <w:rFonts w:ascii="Arial" w:cs="Arial" w:eastAsia="Arial" w:hAnsi="Arial"/>
                <w:sz w:val="18"/>
                <w:szCs w:val="18"/>
                <w:color w:val="auto"/>
              </w:rPr>
              <w:t>2,431,321</w:t>
            </w:r>
          </w:p>
        </w:tc>
        <w:tc>
          <w:tcPr>
            <w:tcW w:w="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2,434,153</w:t>
            </w: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60" w:type="dxa"/>
            <w:vAlign w:val="bottom"/>
            <w:shd w:val="clear" w:color="auto" w:fill="CCEEFF"/>
          </w:tcPr>
          <w:p>
            <w:pPr>
              <w:spacing w:after="0"/>
              <w:rPr>
                <w:sz w:val="20"/>
                <w:szCs w:val="20"/>
                <w:color w:val="auto"/>
              </w:rPr>
            </w:pPr>
            <w:r>
              <w:rPr>
                <w:rFonts w:ascii="Arial" w:cs="Arial" w:eastAsia="Arial" w:hAnsi="Arial"/>
                <w:sz w:val="18"/>
                <w:szCs w:val="18"/>
                <w:color w:val="auto"/>
              </w:rPr>
              <w:t>Interest received</w:t>
            </w:r>
          </w:p>
        </w:tc>
        <w:tc>
          <w:tcPr>
            <w:tcW w:w="26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109,789</w:t>
            </w:r>
          </w:p>
        </w:tc>
        <w:tc>
          <w:tcPr>
            <w:tcW w:w="320" w:type="dxa"/>
            <w:vAlign w:val="bottom"/>
            <w:shd w:val="clear" w:color="auto" w:fill="CCEEFF"/>
          </w:tcPr>
          <w:p>
            <w:pPr>
              <w:spacing w:after="0"/>
              <w:rPr>
                <w:sz w:val="18"/>
                <w:szCs w:val="18"/>
                <w:color w:val="auto"/>
              </w:rPr>
            </w:pPr>
          </w:p>
        </w:tc>
        <w:tc>
          <w:tcPr>
            <w:tcW w:w="280" w:type="dxa"/>
            <w:vAlign w:val="bottom"/>
            <w:tcBorders>
              <w:right w:val="single" w:sz="8" w:color="CCEEFF"/>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492</w:t>
            </w:r>
          </w:p>
        </w:tc>
        <w:tc>
          <w:tcPr>
            <w:tcW w:w="3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83</w:t>
            </w:r>
          </w:p>
        </w:tc>
        <w:tc>
          <w:tcPr>
            <w:tcW w:w="6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6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110,364</w:t>
            </w:r>
          </w:p>
        </w:tc>
        <w:tc>
          <w:tcPr>
            <w:tcW w:w="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5"/>
        </w:trPr>
        <w:tc>
          <w:tcPr>
            <w:tcW w:w="4780" w:type="dxa"/>
            <w:vAlign w:val="bottom"/>
            <w:gridSpan w:val="2"/>
          </w:tcPr>
          <w:p>
            <w:pPr>
              <w:spacing w:after="0" w:line="205" w:lineRule="exact"/>
              <w:rPr>
                <w:sz w:val="20"/>
                <w:szCs w:val="20"/>
                <w:color w:val="auto"/>
              </w:rPr>
            </w:pPr>
            <w:r>
              <w:rPr>
                <w:rFonts w:ascii="Arial" w:cs="Arial" w:eastAsia="Arial" w:hAnsi="Arial"/>
                <w:sz w:val="18"/>
                <w:szCs w:val="18"/>
                <w:b w:val="1"/>
                <w:bCs w:val="1"/>
                <w:color w:val="auto"/>
                <w:w w:val="93"/>
              </w:rPr>
              <w:t>Total revenue and other income per consolidated statement</w:t>
            </w:r>
          </w:p>
        </w:tc>
        <w:tc>
          <w:tcPr>
            <w:tcW w:w="2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4760" w:type="dxa"/>
            <w:vAlign w:val="bottom"/>
          </w:tcPr>
          <w:p>
            <w:pPr>
              <w:ind w:left="160"/>
              <w:spacing w:after="0"/>
              <w:rPr>
                <w:sz w:val="20"/>
                <w:szCs w:val="20"/>
                <w:color w:val="auto"/>
              </w:rPr>
            </w:pPr>
            <w:r>
              <w:rPr>
                <w:rFonts w:ascii="Arial" w:cs="Arial" w:eastAsia="Arial" w:hAnsi="Arial"/>
                <w:sz w:val="18"/>
                <w:szCs w:val="18"/>
                <w:b w:val="1"/>
                <w:bCs w:val="1"/>
                <w:color w:val="auto"/>
              </w:rPr>
              <w:t>of profit or loss and other comprehensive income</w:t>
            </w:r>
          </w:p>
        </w:tc>
        <w:tc>
          <w:tcPr>
            <w:tcW w:w="260" w:type="dxa"/>
            <w:vAlign w:val="bottom"/>
          </w:tcPr>
          <w:p>
            <w:pPr>
              <w:spacing w:after="0"/>
              <w:rPr>
                <w:sz w:val="20"/>
                <w:szCs w:val="20"/>
                <w:color w:val="auto"/>
              </w:rPr>
            </w:pPr>
          </w:p>
        </w:tc>
        <w:tc>
          <w:tcPr>
            <w:tcW w:w="260" w:type="dxa"/>
            <w:vAlign w:val="bottom"/>
            <w:gridSpan w:val="2"/>
          </w:tcPr>
          <w:p>
            <w:pPr>
              <w:spacing w:after="0"/>
              <w:rPr>
                <w:sz w:val="20"/>
                <w:szCs w:val="20"/>
                <w:color w:val="auto"/>
              </w:rPr>
            </w:pPr>
            <w:r>
              <w:rPr>
                <w:rFonts w:ascii="Arial" w:cs="Arial" w:eastAsia="Arial" w:hAnsi="Arial"/>
                <w:sz w:val="18"/>
                <w:szCs w:val="18"/>
                <w:b w:val="1"/>
                <w:bCs w:val="1"/>
                <w:u w:val="single" w:color="auto"/>
                <w:color w:val="auto"/>
              </w:rPr>
              <w:t>A</w:t>
            </w:r>
            <w:r>
              <w:rPr>
                <w:rFonts w:ascii="Arial" w:cs="Arial" w:eastAsia="Arial" w:hAnsi="Arial"/>
                <w:sz w:val="18"/>
                <w:szCs w:val="18"/>
                <w:b w:val="1"/>
                <w:bCs w:val="1"/>
                <w:color w:val="auto"/>
              </w:rPr>
              <w:t>$</w:t>
            </w:r>
          </w:p>
        </w:tc>
        <w:tc>
          <w:tcPr>
            <w:tcW w:w="760" w:type="dxa"/>
            <w:vAlign w:val="bottom"/>
            <w:gridSpan w:val="2"/>
          </w:tcPr>
          <w:p>
            <w:pPr>
              <w:jc w:val="right"/>
              <w:spacing w:after="0"/>
              <w:rPr>
                <w:sz w:val="20"/>
                <w:szCs w:val="20"/>
                <w:color w:val="auto"/>
              </w:rPr>
            </w:pPr>
            <w:r>
              <w:rPr>
                <w:rFonts w:ascii="Arial" w:cs="Arial" w:eastAsia="Arial" w:hAnsi="Arial"/>
                <w:sz w:val="18"/>
                <w:szCs w:val="18"/>
                <w:b w:val="1"/>
                <w:bCs w:val="1"/>
                <w:color w:val="auto"/>
              </w:rPr>
              <w:t>548,248</w:t>
            </w:r>
          </w:p>
        </w:tc>
        <w:tc>
          <w:tcPr>
            <w:tcW w:w="320" w:type="dxa"/>
            <w:vAlign w:val="bottom"/>
          </w:tcPr>
          <w:p>
            <w:pPr>
              <w:spacing w:after="0"/>
              <w:rPr>
                <w:sz w:val="20"/>
                <w:szCs w:val="20"/>
                <w:color w:val="auto"/>
              </w:rPr>
            </w:pPr>
          </w:p>
        </w:tc>
        <w:tc>
          <w:tcPr>
            <w:tcW w:w="520" w:type="dxa"/>
            <w:vAlign w:val="bottom"/>
            <w:gridSpan w:val="2"/>
          </w:tcPr>
          <w:p>
            <w:pPr>
              <w:ind w:left="260"/>
              <w:spacing w:after="0"/>
              <w:rPr>
                <w:sz w:val="20"/>
                <w:szCs w:val="20"/>
                <w:color w:val="auto"/>
              </w:rPr>
            </w:pPr>
            <w:r>
              <w:rPr>
                <w:rFonts w:ascii="Arial" w:cs="Arial" w:eastAsia="Arial" w:hAnsi="Arial"/>
                <w:sz w:val="18"/>
                <w:szCs w:val="18"/>
                <w:b w:val="1"/>
                <w:bCs w:val="1"/>
                <w:u w:val="single" w:color="auto"/>
                <w:color w:val="auto"/>
              </w:rPr>
              <w:t>A</w:t>
            </w:r>
            <w:r>
              <w:rPr>
                <w:rFonts w:ascii="Arial" w:cs="Arial" w:eastAsia="Arial" w:hAnsi="Arial"/>
                <w:sz w:val="18"/>
                <w:szCs w:val="18"/>
                <w:b w:val="1"/>
                <w:bCs w:val="1"/>
                <w:color w:val="auto"/>
              </w:rPr>
              <w:t>$</w:t>
            </w:r>
          </w:p>
        </w:tc>
        <w:tc>
          <w:tcPr>
            <w:tcW w:w="760" w:type="dxa"/>
            <w:vAlign w:val="bottom"/>
          </w:tcPr>
          <w:p>
            <w:pPr>
              <w:jc w:val="right"/>
              <w:spacing w:after="0"/>
              <w:rPr>
                <w:sz w:val="20"/>
                <w:szCs w:val="20"/>
                <w:color w:val="auto"/>
              </w:rPr>
            </w:pPr>
            <w:r>
              <w:rPr>
                <w:rFonts w:ascii="Arial" w:cs="Arial" w:eastAsia="Arial" w:hAnsi="Arial"/>
                <w:sz w:val="18"/>
                <w:szCs w:val="18"/>
                <w:b w:val="1"/>
                <w:bCs w:val="1"/>
                <w:color w:val="auto"/>
              </w:rPr>
              <w:t>566,872</w:t>
            </w:r>
          </w:p>
        </w:tc>
        <w:tc>
          <w:tcPr>
            <w:tcW w:w="300" w:type="dxa"/>
            <w:vAlign w:val="bottom"/>
          </w:tcPr>
          <w:p>
            <w:pPr>
              <w:spacing w:after="0"/>
              <w:rPr>
                <w:sz w:val="20"/>
                <w:szCs w:val="20"/>
                <w:color w:val="auto"/>
              </w:rPr>
            </w:pPr>
          </w:p>
        </w:tc>
        <w:tc>
          <w:tcPr>
            <w:tcW w:w="1340" w:type="dxa"/>
            <w:vAlign w:val="bottom"/>
            <w:gridSpan w:val="5"/>
          </w:tcPr>
          <w:p>
            <w:pPr>
              <w:ind w:left="260"/>
              <w:spacing w:after="0"/>
              <w:rPr>
                <w:sz w:val="20"/>
                <w:szCs w:val="20"/>
                <w:color w:val="auto"/>
              </w:rPr>
            </w:pPr>
            <w:r>
              <w:rPr>
                <w:rFonts w:ascii="Arial" w:cs="Arial" w:eastAsia="Arial" w:hAnsi="Arial"/>
                <w:sz w:val="18"/>
                <w:szCs w:val="18"/>
                <w:b w:val="1"/>
                <w:bCs w:val="1"/>
                <w:u w:val="single" w:color="auto"/>
                <w:color w:val="auto"/>
                <w:w w:val="98"/>
              </w:rPr>
              <w:t>A</w:t>
            </w:r>
            <w:r>
              <w:rPr>
                <w:rFonts w:ascii="Arial" w:cs="Arial" w:eastAsia="Arial" w:hAnsi="Arial"/>
                <w:sz w:val="18"/>
                <w:szCs w:val="18"/>
                <w:b w:val="1"/>
                <w:bCs w:val="1"/>
                <w:color w:val="auto"/>
                <w:w w:val="98"/>
              </w:rPr>
              <w:t>$ 2,431,405</w:t>
            </w:r>
          </w:p>
        </w:tc>
        <w:tc>
          <w:tcPr>
            <w:tcW w:w="780" w:type="dxa"/>
            <w:vAlign w:val="bottom"/>
            <w:gridSpan w:val="3"/>
          </w:tcPr>
          <w:p>
            <w:pPr>
              <w:ind w:left="520"/>
              <w:spacing w:after="0"/>
              <w:rPr>
                <w:sz w:val="20"/>
                <w:szCs w:val="20"/>
                <w:color w:val="auto"/>
              </w:rPr>
            </w:pPr>
            <w:r>
              <w:rPr>
                <w:rFonts w:ascii="Arial" w:cs="Arial" w:eastAsia="Arial" w:hAnsi="Arial"/>
                <w:sz w:val="18"/>
                <w:szCs w:val="18"/>
                <w:b w:val="1"/>
                <w:bCs w:val="1"/>
                <w:u w:val="single" w:color="auto"/>
                <w:color w:val="auto"/>
              </w:rPr>
              <w:t>A</w:t>
            </w:r>
            <w:r>
              <w:rPr>
                <w:rFonts w:ascii="Arial" w:cs="Arial" w:eastAsia="Arial" w:hAnsi="Arial"/>
                <w:sz w:val="18"/>
                <w:szCs w:val="18"/>
                <w:b w:val="1"/>
                <w:bCs w:val="1"/>
                <w:color w:val="auto"/>
              </w:rPr>
              <w:t>$</w:t>
            </w:r>
          </w:p>
        </w:tc>
        <w:tc>
          <w:tcPr>
            <w:tcW w:w="840" w:type="dxa"/>
            <w:vAlign w:val="bottom"/>
          </w:tcPr>
          <w:p>
            <w:pPr>
              <w:jc w:val="right"/>
              <w:spacing w:after="0"/>
              <w:rPr>
                <w:sz w:val="20"/>
                <w:szCs w:val="20"/>
                <w:color w:val="auto"/>
              </w:rPr>
            </w:pPr>
            <w:r>
              <w:rPr>
                <w:rFonts w:ascii="Arial" w:cs="Arial" w:eastAsia="Arial" w:hAnsi="Arial"/>
                <w:sz w:val="18"/>
                <w:szCs w:val="18"/>
                <w:b w:val="1"/>
                <w:bCs w:val="1"/>
                <w:color w:val="auto"/>
              </w:rPr>
              <w:t>3,546,524</w:t>
            </w:r>
          </w:p>
        </w:tc>
        <w:tc>
          <w:tcPr>
            <w:tcW w:w="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760" w:type="dxa"/>
            <w:vAlign w:val="bottom"/>
          </w:tcPr>
          <w:p>
            <w:pPr>
              <w:spacing w:after="0"/>
              <w:rPr>
                <w:sz w:val="2"/>
                <w:szCs w:val="2"/>
                <w:color w:val="auto"/>
              </w:rPr>
            </w:pPr>
          </w:p>
        </w:tc>
        <w:tc>
          <w:tcPr>
            <w:tcW w:w="26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280" w:type="dxa"/>
            <w:vAlign w:val="bottom"/>
            <w:tcBorders>
              <w:right w:val="single" w:sz="8" w:color="auto"/>
            </w:tcBorders>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760" w:type="dxa"/>
            <w:vAlign w:val="bottom"/>
            <w:tcBorders>
              <w:right w:val="single" w:sz="8" w:color="auto"/>
            </w:tcBorders>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52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6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760" w:type="dxa"/>
            <w:vAlign w:val="bottom"/>
            <w:shd w:val="clear" w:color="auto" w:fill="CCEEFF"/>
          </w:tcPr>
          <w:p>
            <w:pPr>
              <w:spacing w:after="0"/>
              <w:rPr>
                <w:sz w:val="20"/>
                <w:szCs w:val="20"/>
                <w:color w:val="auto"/>
              </w:rPr>
            </w:pPr>
            <w:r>
              <w:rPr>
                <w:rFonts w:ascii="Arial" w:cs="Arial" w:eastAsia="Arial" w:hAnsi="Arial"/>
                <w:sz w:val="18"/>
                <w:szCs w:val="18"/>
                <w:color w:val="auto"/>
              </w:rPr>
              <w:t>Segment net operating loss before tax</w:t>
            </w:r>
          </w:p>
        </w:tc>
        <w:tc>
          <w:tcPr>
            <w:tcW w:w="260" w:type="dxa"/>
            <w:vAlign w:val="bottom"/>
            <w:shd w:val="clear" w:color="auto" w:fill="CCEEFF"/>
          </w:tcPr>
          <w:p>
            <w:pPr>
              <w:spacing w:after="0"/>
              <w:rPr>
                <w:sz w:val="18"/>
                <w:szCs w:val="18"/>
                <w:color w:val="auto"/>
              </w:rPr>
            </w:pPr>
          </w:p>
        </w:tc>
        <w:tc>
          <w:tcPr>
            <w:tcW w:w="1340" w:type="dxa"/>
            <w:vAlign w:val="bottom"/>
            <w:gridSpan w:val="5"/>
            <w:shd w:val="clear" w:color="auto" w:fill="CCEEFF"/>
          </w:tcPr>
          <w:p>
            <w:pPr>
              <w:spacing w:after="0"/>
              <w:rPr>
                <w:sz w:val="20"/>
                <w:szCs w:val="20"/>
                <w:color w:val="auto"/>
              </w:rPr>
            </w:pPr>
            <w:r>
              <w:rPr>
                <w:rFonts w:ascii="Arial" w:cs="Arial" w:eastAsia="Arial" w:hAnsi="Arial"/>
                <w:sz w:val="18"/>
                <w:szCs w:val="18"/>
                <w:color w:val="auto"/>
              </w:rPr>
              <w:t>A$(1,553,744)</w:t>
            </w:r>
          </w:p>
        </w:tc>
        <w:tc>
          <w:tcPr>
            <w:tcW w:w="1580" w:type="dxa"/>
            <w:vAlign w:val="bottom"/>
            <w:gridSpan w:val="4"/>
            <w:shd w:val="clear" w:color="auto" w:fill="CCEEFF"/>
          </w:tcPr>
          <w:p>
            <w:pPr>
              <w:ind w:left="260"/>
              <w:spacing w:after="0"/>
              <w:rPr>
                <w:sz w:val="20"/>
                <w:szCs w:val="20"/>
                <w:color w:val="auto"/>
              </w:rPr>
            </w:pPr>
            <w:r>
              <w:rPr>
                <w:rFonts w:ascii="Arial" w:cs="Arial" w:eastAsia="Arial" w:hAnsi="Arial"/>
                <w:sz w:val="18"/>
                <w:szCs w:val="18"/>
                <w:color w:val="auto"/>
              </w:rPr>
              <w:t>A$(3,222,858)</w:t>
            </w:r>
          </w:p>
        </w:tc>
        <w:tc>
          <w:tcPr>
            <w:tcW w:w="1340" w:type="dxa"/>
            <w:vAlign w:val="bottom"/>
            <w:gridSpan w:val="5"/>
            <w:shd w:val="clear" w:color="auto" w:fill="CCEEFF"/>
          </w:tcPr>
          <w:p>
            <w:pPr>
              <w:jc w:val="right"/>
              <w:spacing w:after="0"/>
              <w:rPr>
                <w:sz w:val="20"/>
                <w:szCs w:val="20"/>
                <w:color w:val="auto"/>
              </w:rPr>
            </w:pPr>
            <w:r>
              <w:rPr>
                <w:rFonts w:ascii="Arial" w:cs="Arial" w:eastAsia="Arial" w:hAnsi="Arial"/>
                <w:sz w:val="18"/>
                <w:szCs w:val="18"/>
                <w:color w:val="auto"/>
              </w:rPr>
              <w:t>A$(1,461,569)</w:t>
            </w:r>
          </w:p>
        </w:tc>
        <w:tc>
          <w:tcPr>
            <w:tcW w:w="780" w:type="dxa"/>
            <w:vAlign w:val="bottom"/>
            <w:gridSpan w:val="3"/>
            <w:shd w:val="clear" w:color="auto" w:fill="CCEEFF"/>
          </w:tcPr>
          <w:p>
            <w:pPr>
              <w:ind w:left="520"/>
              <w:spacing w:after="0"/>
              <w:rPr>
                <w:sz w:val="20"/>
                <w:szCs w:val="20"/>
                <w:color w:val="auto"/>
              </w:rPr>
            </w:pPr>
            <w:r>
              <w:rPr>
                <w:rFonts w:ascii="Arial" w:cs="Arial" w:eastAsia="Arial" w:hAnsi="Arial"/>
                <w:sz w:val="18"/>
                <w:szCs w:val="18"/>
                <w:color w:val="auto"/>
              </w:rPr>
              <w:t>A$</w:t>
            </w: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5"/>
              </w:rPr>
              <w:t>(6,238,171)</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4760" w:type="dxa"/>
            <w:vAlign w:val="bottom"/>
          </w:tcPr>
          <w:p>
            <w:pPr>
              <w:spacing w:after="0" w:line="198" w:lineRule="exact"/>
              <w:rPr>
                <w:sz w:val="20"/>
                <w:szCs w:val="20"/>
                <w:color w:val="auto"/>
              </w:rPr>
            </w:pPr>
            <w:r>
              <w:rPr>
                <w:rFonts w:ascii="Arial" w:cs="Arial" w:eastAsia="Arial" w:hAnsi="Arial"/>
                <w:sz w:val="18"/>
                <w:szCs w:val="18"/>
                <w:b w:val="1"/>
                <w:bCs w:val="1"/>
                <w:color w:val="auto"/>
              </w:rPr>
              <w:t>Reconciliation of segment net result before tax to loss</w:t>
            </w:r>
          </w:p>
        </w:tc>
        <w:tc>
          <w:tcPr>
            <w:tcW w:w="2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4760" w:type="dxa"/>
            <w:vAlign w:val="bottom"/>
          </w:tcPr>
          <w:p>
            <w:pPr>
              <w:ind w:left="160"/>
              <w:spacing w:after="0"/>
              <w:rPr>
                <w:sz w:val="20"/>
                <w:szCs w:val="20"/>
                <w:color w:val="auto"/>
              </w:rPr>
            </w:pPr>
            <w:r>
              <w:rPr>
                <w:rFonts w:ascii="Arial" w:cs="Arial" w:eastAsia="Arial" w:hAnsi="Arial"/>
                <w:sz w:val="18"/>
                <w:szCs w:val="18"/>
                <w:b w:val="1"/>
                <w:bCs w:val="1"/>
                <w:color w:val="auto"/>
              </w:rPr>
              <w:t>before income tax:</w:t>
            </w:r>
          </w:p>
        </w:tc>
        <w:tc>
          <w:tcPr>
            <w:tcW w:w="2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60" w:type="dxa"/>
            <w:vAlign w:val="bottom"/>
            <w:shd w:val="clear" w:color="auto" w:fill="CCEEFF"/>
          </w:tcPr>
          <w:p>
            <w:pPr>
              <w:spacing w:after="0"/>
              <w:rPr>
                <w:sz w:val="20"/>
                <w:szCs w:val="20"/>
                <w:color w:val="auto"/>
              </w:rPr>
            </w:pPr>
            <w:r>
              <w:rPr>
                <w:rFonts w:ascii="Arial" w:cs="Arial" w:eastAsia="Arial" w:hAnsi="Arial"/>
                <w:sz w:val="18"/>
                <w:szCs w:val="18"/>
                <w:color w:val="auto"/>
              </w:rPr>
              <w:t>Corporate charges</w:t>
            </w:r>
          </w:p>
        </w:tc>
        <w:tc>
          <w:tcPr>
            <w:tcW w:w="2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80" w:type="dxa"/>
            <w:vAlign w:val="bottom"/>
            <w:tcBorders>
              <w:right w:val="single" w:sz="8" w:color="CCEEFF"/>
            </w:tcBorders>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60" w:type="dxa"/>
            <w:vAlign w:val="bottom"/>
            <w:tcBorders>
              <w:right w:val="single" w:sz="8" w:color="CCEEFF"/>
            </w:tcBorders>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5"/>
              </w:rPr>
              <w:t>(5,005,672)</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4780" w:type="dxa"/>
            <w:vAlign w:val="bottom"/>
            <w:gridSpan w:val="2"/>
          </w:tcPr>
          <w:p>
            <w:pPr>
              <w:spacing w:after="0"/>
              <w:rPr>
                <w:sz w:val="20"/>
                <w:szCs w:val="20"/>
                <w:color w:val="auto"/>
              </w:rPr>
            </w:pPr>
            <w:r>
              <w:rPr>
                <w:rFonts w:ascii="Arial" w:cs="Arial" w:eastAsia="Arial" w:hAnsi="Arial"/>
                <w:sz w:val="18"/>
                <w:szCs w:val="18"/>
                <w:b w:val="1"/>
                <w:bCs w:val="1"/>
                <w:color w:val="auto"/>
              </w:rPr>
              <w:t>Loss before income tax</w:t>
            </w:r>
          </w:p>
        </w:tc>
        <w:tc>
          <w:tcPr>
            <w:tcW w:w="2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100" w:type="dxa"/>
            <w:vAlign w:val="bottom"/>
            <w:tcBorders>
              <w:top w:val="single" w:sz="8" w:color="auto"/>
              <w:bottom w:val="single" w:sz="8" w:color="auto"/>
            </w:tcBorders>
            <w:gridSpan w:val="3"/>
          </w:tcPr>
          <w:p>
            <w:pPr>
              <w:spacing w:after="0"/>
              <w:rPr>
                <w:sz w:val="20"/>
                <w:szCs w:val="20"/>
                <w:color w:val="auto"/>
              </w:rPr>
            </w:pPr>
            <w:r>
              <w:rPr>
                <w:rFonts w:ascii="Arial" w:cs="Arial" w:eastAsia="Arial" w:hAnsi="Arial"/>
                <w:sz w:val="18"/>
                <w:szCs w:val="18"/>
                <w:b w:val="1"/>
                <w:bCs w:val="1"/>
                <w:u w:val="single" w:color="auto"/>
                <w:color w:val="auto"/>
                <w:w w:val="90"/>
              </w:rPr>
              <w:t>A$</w:t>
            </w:r>
            <w:r>
              <w:rPr>
                <w:rFonts w:ascii="Arial" w:cs="Arial" w:eastAsia="Arial" w:hAnsi="Arial"/>
                <w:sz w:val="18"/>
                <w:szCs w:val="18"/>
                <w:b w:val="1"/>
                <w:bCs w:val="1"/>
                <w:color w:val="auto"/>
                <w:w w:val="90"/>
              </w:rPr>
              <w:t>(11,243,843</w:t>
            </w:r>
          </w:p>
        </w:tc>
        <w:tc>
          <w:tcPr>
            <w:tcW w:w="120" w:type="dxa"/>
            <w:vAlign w:val="bottom"/>
            <w:gridSpan w:val="2"/>
          </w:tcPr>
          <w:p>
            <w:pPr>
              <w:jc w:val="right"/>
              <w:ind w:right="60"/>
              <w:spacing w:after="0"/>
              <w:rPr>
                <w:sz w:val="20"/>
                <w:szCs w:val="20"/>
                <w:color w:val="auto"/>
              </w:rPr>
            </w:pPr>
            <w:r>
              <w:rPr>
                <w:rFonts w:ascii="Arial" w:cs="Arial" w:eastAsia="Arial" w:hAnsi="Arial"/>
                <w:sz w:val="16"/>
                <w:szCs w:val="16"/>
                <w:b w:val="1"/>
                <w:bCs w:val="1"/>
                <w:color w:val="auto"/>
                <w:w w:val="74"/>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7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0" w:type="dxa"/>
            <w:vAlign w:val="bottom"/>
            <w:gridSpan w:val="7"/>
            <w:vMerge w:val="restart"/>
          </w:tcPr>
          <w:p>
            <w:pPr>
              <w:ind w:left="460"/>
              <w:spacing w:after="0"/>
              <w:rPr>
                <w:sz w:val="20"/>
                <w:szCs w:val="20"/>
                <w:color w:val="auto"/>
              </w:rPr>
            </w:pPr>
            <w:r>
              <w:rPr>
                <w:rFonts w:ascii="Arial" w:cs="Arial" w:eastAsia="Arial" w:hAnsi="Arial"/>
                <w:sz w:val="14"/>
                <w:szCs w:val="14"/>
                <w:b w:val="1"/>
                <w:bCs w:val="1"/>
                <w:i w:val="1"/>
                <w:iCs w:val="1"/>
                <w:color w:val="auto"/>
              </w:rPr>
              <w:t>Continuing Operations</w:t>
            </w:r>
          </w:p>
        </w:tc>
        <w:tc>
          <w:tcPr>
            <w:tcW w:w="5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67"/>
        </w:trPr>
        <w:tc>
          <w:tcPr>
            <w:tcW w:w="20" w:type="dxa"/>
            <w:vAlign w:val="bottom"/>
          </w:tcPr>
          <w:p>
            <w:pPr>
              <w:spacing w:after="0"/>
              <w:rPr>
                <w:sz w:val="24"/>
                <w:szCs w:val="24"/>
                <w:color w:val="auto"/>
              </w:rPr>
            </w:pPr>
          </w:p>
        </w:tc>
        <w:tc>
          <w:tcPr>
            <w:tcW w:w="47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400" w:type="dxa"/>
            <w:vAlign w:val="bottom"/>
            <w:gridSpan w:val="7"/>
            <w:vMerge w:val="continue"/>
          </w:tcPr>
          <w:p>
            <w:pPr>
              <w:spacing w:after="0"/>
              <w:rPr>
                <w:sz w:val="24"/>
                <w:szCs w:val="24"/>
                <w:color w:val="auto"/>
              </w:rPr>
            </w:pPr>
          </w:p>
        </w:tc>
        <w:tc>
          <w:tcPr>
            <w:tcW w:w="5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47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60" w:type="dxa"/>
            <w:vAlign w:val="bottom"/>
            <w:gridSpan w:val="4"/>
          </w:tcPr>
          <w:p>
            <w:pPr>
              <w:jc w:val="center"/>
              <w:ind w:right="420"/>
              <w:spacing w:after="0"/>
              <w:rPr>
                <w:sz w:val="20"/>
                <w:szCs w:val="20"/>
                <w:color w:val="auto"/>
              </w:rPr>
            </w:pPr>
            <w:r>
              <w:rPr>
                <w:rFonts w:ascii="Arial" w:cs="Arial" w:eastAsia="Arial" w:hAnsi="Arial"/>
                <w:sz w:val="14"/>
                <w:szCs w:val="14"/>
                <w:b w:val="1"/>
                <w:bCs w:val="1"/>
                <w:i w:val="1"/>
                <w:iCs w:val="1"/>
                <w:color w:val="auto"/>
                <w:w w:val="91"/>
              </w:rPr>
              <w:t>Asia Pacific</w:t>
            </w:r>
          </w:p>
        </w:tc>
        <w:tc>
          <w:tcPr>
            <w:tcW w:w="2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60" w:type="dxa"/>
            <w:vAlign w:val="bottom"/>
            <w:gridSpan w:val="2"/>
          </w:tcPr>
          <w:p>
            <w:pPr>
              <w:jc w:val="center"/>
              <w:ind w:right="580"/>
              <w:spacing w:after="0"/>
              <w:rPr>
                <w:sz w:val="20"/>
                <w:szCs w:val="20"/>
                <w:color w:val="auto"/>
              </w:rPr>
            </w:pPr>
            <w:r>
              <w:rPr>
                <w:rFonts w:ascii="Arial" w:cs="Arial" w:eastAsia="Arial" w:hAnsi="Arial"/>
                <w:sz w:val="14"/>
                <w:szCs w:val="14"/>
                <w:b w:val="1"/>
                <w:bCs w:val="1"/>
                <w:i w:val="1"/>
                <w:iCs w:val="1"/>
                <w:color w:val="auto"/>
                <w:w w:val="98"/>
              </w:rPr>
              <w:t>EMEA</w:t>
            </w:r>
          </w:p>
        </w:tc>
        <w:tc>
          <w:tcPr>
            <w:tcW w:w="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60" w:type="dxa"/>
            <w:vAlign w:val="bottom"/>
            <w:gridSpan w:val="3"/>
          </w:tcPr>
          <w:p>
            <w:pPr>
              <w:jc w:val="right"/>
              <w:ind w:right="200"/>
              <w:spacing w:after="0"/>
              <w:rPr>
                <w:sz w:val="20"/>
                <w:szCs w:val="20"/>
                <w:color w:val="auto"/>
              </w:rPr>
            </w:pPr>
            <w:r>
              <w:rPr>
                <w:rFonts w:ascii="Arial" w:cs="Arial" w:eastAsia="Arial" w:hAnsi="Arial"/>
                <w:sz w:val="14"/>
                <w:szCs w:val="14"/>
                <w:b w:val="1"/>
                <w:bCs w:val="1"/>
                <w:i w:val="1"/>
                <w:iCs w:val="1"/>
                <w:color w:val="auto"/>
              </w:rPr>
              <w:t>Americas</w:t>
            </w:r>
          </w:p>
        </w:tc>
        <w:tc>
          <w:tcPr>
            <w:tcW w:w="5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960" w:type="dxa"/>
            <w:vAlign w:val="bottom"/>
            <w:gridSpan w:val="3"/>
          </w:tcPr>
          <w:p>
            <w:pPr>
              <w:jc w:val="center"/>
              <w:ind w:right="140"/>
              <w:spacing w:after="0"/>
              <w:rPr>
                <w:sz w:val="20"/>
                <w:szCs w:val="20"/>
                <w:color w:val="auto"/>
              </w:rPr>
            </w:pPr>
            <w:r>
              <w:rPr>
                <w:rFonts w:ascii="Arial" w:cs="Arial" w:eastAsia="Arial" w:hAnsi="Arial"/>
                <w:sz w:val="14"/>
                <w:szCs w:val="14"/>
                <w:b w:val="1"/>
                <w:bCs w:val="1"/>
                <w:i w:val="1"/>
                <w:iCs w:val="1"/>
                <w:color w:val="auto"/>
                <w:w w:val="89"/>
              </w:rPr>
              <w:t>Total</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Year ended June 30, 2016</w:t>
            </w:r>
          </w:p>
        </w:tc>
        <w:tc>
          <w:tcPr>
            <w:tcW w:w="2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80" w:type="dxa"/>
            <w:vAlign w:val="bottom"/>
            <w:tcBorders>
              <w:right w:val="single" w:sz="8" w:color="CCEEFF"/>
            </w:tcBorders>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60" w:type="dxa"/>
            <w:vAlign w:val="bottom"/>
            <w:tcBorders>
              <w:right w:val="single" w:sz="8" w:color="CCEEFF"/>
            </w:tcBorders>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60" w:type="dxa"/>
            <w:vAlign w:val="bottom"/>
          </w:tcPr>
          <w:p>
            <w:pPr>
              <w:spacing w:after="0"/>
              <w:rPr>
                <w:sz w:val="20"/>
                <w:szCs w:val="20"/>
                <w:color w:val="auto"/>
              </w:rPr>
            </w:pPr>
            <w:r>
              <w:rPr>
                <w:rFonts w:ascii="Arial" w:cs="Arial" w:eastAsia="Arial" w:hAnsi="Arial"/>
                <w:sz w:val="18"/>
                <w:szCs w:val="18"/>
                <w:b w:val="1"/>
                <w:bCs w:val="1"/>
                <w:color w:val="auto"/>
              </w:rPr>
              <w:t>Segment assets</w:t>
            </w:r>
          </w:p>
        </w:tc>
        <w:tc>
          <w:tcPr>
            <w:tcW w:w="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60" w:type="dxa"/>
            <w:vAlign w:val="bottom"/>
            <w:shd w:val="clear" w:color="auto" w:fill="CCEEFF"/>
          </w:tcPr>
          <w:p>
            <w:pPr>
              <w:spacing w:after="0"/>
              <w:rPr>
                <w:sz w:val="20"/>
                <w:szCs w:val="20"/>
                <w:color w:val="auto"/>
              </w:rPr>
            </w:pPr>
            <w:r>
              <w:rPr>
                <w:rFonts w:ascii="Arial" w:cs="Arial" w:eastAsia="Arial" w:hAnsi="Arial"/>
                <w:sz w:val="18"/>
                <w:szCs w:val="18"/>
                <w:color w:val="auto"/>
              </w:rPr>
              <w:t>Segment operating assets</w:t>
            </w:r>
          </w:p>
        </w:tc>
        <w:tc>
          <w:tcPr>
            <w:tcW w:w="260" w:type="dxa"/>
            <w:vAlign w:val="bottom"/>
            <w:shd w:val="clear" w:color="auto" w:fill="CCEEFF"/>
          </w:tcPr>
          <w:p>
            <w:pPr>
              <w:spacing w:after="0"/>
              <w:rPr>
                <w:sz w:val="18"/>
                <w:szCs w:val="18"/>
                <w:color w:val="auto"/>
              </w:rPr>
            </w:pPr>
          </w:p>
        </w:tc>
        <w:tc>
          <w:tcPr>
            <w:tcW w:w="1340" w:type="dxa"/>
            <w:vAlign w:val="bottom"/>
            <w:gridSpan w:val="5"/>
            <w:shd w:val="clear" w:color="auto" w:fill="CCEEFF"/>
          </w:tcPr>
          <w:p>
            <w:pPr>
              <w:jc w:val="center"/>
              <w:ind w:right="360"/>
              <w:spacing w:after="0"/>
              <w:rPr>
                <w:sz w:val="20"/>
                <w:szCs w:val="20"/>
                <w:color w:val="auto"/>
              </w:rPr>
            </w:pPr>
            <w:r>
              <w:rPr>
                <w:rFonts w:ascii="Arial" w:cs="Arial" w:eastAsia="Arial" w:hAnsi="Arial"/>
                <w:sz w:val="18"/>
                <w:szCs w:val="18"/>
                <w:color w:val="auto"/>
                <w:w w:val="94"/>
              </w:rPr>
              <w:t>A$254,672</w:t>
            </w:r>
          </w:p>
        </w:tc>
        <w:tc>
          <w:tcPr>
            <w:tcW w:w="280" w:type="dxa"/>
            <w:vAlign w:val="bottom"/>
            <w:tcBorders>
              <w:right w:val="single" w:sz="8" w:color="CCEEFF"/>
            </w:tcBorders>
            <w:shd w:val="clear" w:color="auto" w:fill="CCEEFF"/>
          </w:tcPr>
          <w:p>
            <w:pPr>
              <w:spacing w:after="0"/>
              <w:rPr>
                <w:sz w:val="18"/>
                <w:szCs w:val="18"/>
                <w:color w:val="auto"/>
              </w:rPr>
            </w:pPr>
          </w:p>
        </w:tc>
        <w:tc>
          <w:tcPr>
            <w:tcW w:w="1300" w:type="dxa"/>
            <w:vAlign w:val="bottom"/>
            <w:gridSpan w:val="3"/>
            <w:shd w:val="clear" w:color="auto" w:fill="CCEEFF"/>
          </w:tcPr>
          <w:p>
            <w:pPr>
              <w:jc w:val="center"/>
              <w:ind w:right="340"/>
              <w:spacing w:after="0"/>
              <w:rPr>
                <w:sz w:val="20"/>
                <w:szCs w:val="20"/>
                <w:color w:val="auto"/>
              </w:rPr>
            </w:pPr>
            <w:r>
              <w:rPr>
                <w:rFonts w:ascii="Arial" w:cs="Arial" w:eastAsia="Arial" w:hAnsi="Arial"/>
                <w:sz w:val="18"/>
                <w:szCs w:val="18"/>
                <w:color w:val="auto"/>
                <w:w w:val="93"/>
              </w:rPr>
              <w:t>A$1,649,931</w:t>
            </w:r>
          </w:p>
        </w:tc>
        <w:tc>
          <w:tcPr>
            <w:tcW w:w="280" w:type="dxa"/>
            <w:vAlign w:val="bottom"/>
            <w:shd w:val="clear" w:color="auto" w:fill="CCEEFF"/>
          </w:tcPr>
          <w:p>
            <w:pPr>
              <w:spacing w:after="0"/>
              <w:rPr>
                <w:sz w:val="18"/>
                <w:szCs w:val="18"/>
                <w:color w:val="auto"/>
              </w:rPr>
            </w:pPr>
          </w:p>
        </w:tc>
        <w:tc>
          <w:tcPr>
            <w:tcW w:w="106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A$2,746,915</w:t>
            </w:r>
          </w:p>
        </w:tc>
        <w:tc>
          <w:tcPr>
            <w:tcW w:w="520" w:type="dxa"/>
            <w:vAlign w:val="bottom"/>
            <w:shd w:val="clear" w:color="auto" w:fill="CCEEFF"/>
          </w:tcPr>
          <w:p>
            <w:pPr>
              <w:spacing w:after="0"/>
              <w:rPr>
                <w:sz w:val="18"/>
                <w:szCs w:val="18"/>
                <w:color w:val="auto"/>
              </w:rPr>
            </w:pPr>
          </w:p>
        </w:tc>
        <w:tc>
          <w:tcPr>
            <w:tcW w:w="1220" w:type="dxa"/>
            <w:vAlign w:val="bottom"/>
            <w:gridSpan w:val="5"/>
            <w:shd w:val="clear" w:color="auto" w:fill="CCEEFF"/>
          </w:tcPr>
          <w:p>
            <w:pPr>
              <w:jc w:val="center"/>
              <w:ind w:left="50"/>
              <w:spacing w:after="0"/>
              <w:rPr>
                <w:sz w:val="20"/>
                <w:szCs w:val="20"/>
                <w:color w:val="auto"/>
              </w:rPr>
            </w:pPr>
            <w:r>
              <w:rPr>
                <w:rFonts w:ascii="Arial" w:cs="Arial" w:eastAsia="Arial" w:hAnsi="Arial"/>
                <w:sz w:val="18"/>
                <w:szCs w:val="18"/>
                <w:color w:val="auto"/>
                <w:w w:val="93"/>
              </w:rPr>
              <w:t>A$4,651,518</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760" w:type="dxa"/>
            <w:vAlign w:val="bottom"/>
          </w:tcPr>
          <w:p>
            <w:pPr>
              <w:spacing w:after="0"/>
              <w:rPr>
                <w:sz w:val="20"/>
                <w:szCs w:val="20"/>
                <w:color w:val="auto"/>
              </w:rPr>
            </w:pPr>
            <w:r>
              <w:rPr>
                <w:rFonts w:ascii="Arial" w:cs="Arial" w:eastAsia="Arial" w:hAnsi="Arial"/>
                <w:sz w:val="18"/>
                <w:szCs w:val="18"/>
                <w:color w:val="auto"/>
              </w:rPr>
              <w:t>Unallocated assets</w:t>
            </w:r>
          </w:p>
        </w:tc>
        <w:tc>
          <w:tcPr>
            <w:tcW w:w="2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80" w:type="dxa"/>
            <w:vAlign w:val="bottom"/>
            <w:gridSpan w:val="3"/>
          </w:tcPr>
          <w:p>
            <w:pPr>
              <w:jc w:val="center"/>
              <w:ind w:right="140"/>
              <w:spacing w:after="0"/>
              <w:rPr>
                <w:sz w:val="20"/>
                <w:szCs w:val="20"/>
                <w:color w:val="auto"/>
              </w:rPr>
            </w:pPr>
            <w:r>
              <w:rPr>
                <w:rFonts w:ascii="Arial" w:cs="Arial" w:eastAsia="Arial" w:hAnsi="Arial"/>
                <w:sz w:val="18"/>
                <w:szCs w:val="18"/>
                <w:color w:val="auto"/>
                <w:w w:val="99"/>
              </w:rPr>
              <w:t>—</w:t>
            </w:r>
          </w:p>
        </w:tc>
        <w:tc>
          <w:tcPr>
            <w:tcW w:w="2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60" w:type="dxa"/>
            <w:vAlign w:val="bottom"/>
            <w:gridSpan w:val="2"/>
          </w:tcPr>
          <w:p>
            <w:pPr>
              <w:ind w:left="46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5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900" w:type="dxa"/>
            <w:vAlign w:val="bottom"/>
            <w:gridSpan w:val="2"/>
          </w:tcPr>
          <w:p>
            <w:pPr>
              <w:jc w:val="right"/>
              <w:spacing w:after="0"/>
              <w:rPr>
                <w:sz w:val="20"/>
                <w:szCs w:val="20"/>
                <w:color w:val="auto"/>
              </w:rPr>
            </w:pPr>
            <w:r>
              <w:rPr>
                <w:rFonts w:ascii="Arial" w:cs="Arial" w:eastAsia="Arial" w:hAnsi="Arial"/>
                <w:sz w:val="18"/>
                <w:szCs w:val="18"/>
                <w:color w:val="auto"/>
              </w:rPr>
              <w:t>3,951,391</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4760" w:type="dxa"/>
            <w:vAlign w:val="bottom"/>
            <w:shd w:val="clear" w:color="auto" w:fill="CCEEFF"/>
          </w:tcPr>
          <w:p>
            <w:pPr>
              <w:spacing w:after="0" w:line="198" w:lineRule="exact"/>
              <w:rPr>
                <w:sz w:val="20"/>
                <w:szCs w:val="20"/>
                <w:color w:val="auto"/>
              </w:rPr>
            </w:pPr>
            <w:r>
              <w:rPr>
                <w:rFonts w:ascii="Arial" w:cs="Arial" w:eastAsia="Arial" w:hAnsi="Arial"/>
                <w:sz w:val="18"/>
                <w:szCs w:val="18"/>
                <w:b w:val="1"/>
                <w:bCs w:val="1"/>
                <w:color w:val="auto"/>
                <w:w w:val="99"/>
              </w:rPr>
              <w:t>Total assets per the consolidated statement of financial</w:t>
            </w:r>
          </w:p>
        </w:tc>
        <w:tc>
          <w:tcPr>
            <w:tcW w:w="2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660" w:type="dxa"/>
            <w:vAlign w:val="bottom"/>
            <w:tcBorders>
              <w:top w:val="single" w:sz="8" w:color="auto"/>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280" w:type="dxa"/>
            <w:vAlign w:val="bottom"/>
            <w:tcBorders>
              <w:right w:val="single" w:sz="8" w:color="CCEEFF"/>
            </w:tcBorders>
            <w:shd w:val="clear" w:color="auto" w:fill="CCEEFF"/>
          </w:tcPr>
          <w:p>
            <w:pPr>
              <w:spacing w:after="0"/>
              <w:rPr>
                <w:sz w:val="17"/>
                <w:szCs w:val="17"/>
                <w:color w:val="auto"/>
              </w:rPr>
            </w:pPr>
          </w:p>
        </w:tc>
        <w:tc>
          <w:tcPr>
            <w:tcW w:w="240" w:type="dxa"/>
            <w:vAlign w:val="bottom"/>
            <w:tcBorders>
              <w:top w:val="single" w:sz="8" w:color="auto"/>
            </w:tcBorders>
            <w:shd w:val="clear" w:color="auto" w:fill="CCEEFF"/>
          </w:tcPr>
          <w:p>
            <w:pPr>
              <w:spacing w:after="0"/>
              <w:rPr>
                <w:sz w:val="17"/>
                <w:szCs w:val="17"/>
                <w:color w:val="auto"/>
              </w:rPr>
            </w:pPr>
          </w:p>
        </w:tc>
        <w:tc>
          <w:tcPr>
            <w:tcW w:w="760" w:type="dxa"/>
            <w:vAlign w:val="bottom"/>
            <w:tcBorders>
              <w:top w:val="single" w:sz="8" w:color="auto"/>
              <w:right w:val="single" w:sz="8" w:color="CCEEFF"/>
            </w:tcBorders>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00" w:type="dxa"/>
            <w:vAlign w:val="bottom"/>
            <w:tcBorders>
              <w:top w:val="single" w:sz="8" w:color="auto"/>
            </w:tcBorders>
            <w:shd w:val="clear" w:color="auto" w:fill="CCEEFF"/>
          </w:tcPr>
          <w:p>
            <w:pPr>
              <w:spacing w:after="0"/>
              <w:rPr>
                <w:sz w:val="17"/>
                <w:szCs w:val="17"/>
                <w:color w:val="auto"/>
              </w:rPr>
            </w:pPr>
          </w:p>
        </w:tc>
        <w:tc>
          <w:tcPr>
            <w:tcW w:w="600" w:type="dxa"/>
            <w:vAlign w:val="bottom"/>
            <w:tcBorders>
              <w:top w:val="single" w:sz="8" w:color="auto"/>
            </w:tcBorders>
            <w:shd w:val="clear" w:color="auto" w:fill="CCEEFF"/>
          </w:tcPr>
          <w:p>
            <w:pPr>
              <w:spacing w:after="0"/>
              <w:rPr>
                <w:sz w:val="17"/>
                <w:szCs w:val="17"/>
                <w:color w:val="auto"/>
              </w:rPr>
            </w:pPr>
          </w:p>
        </w:tc>
        <w:tc>
          <w:tcPr>
            <w:tcW w:w="60" w:type="dxa"/>
            <w:vAlign w:val="bottom"/>
            <w:tcBorders>
              <w:top w:val="single" w:sz="8" w:color="auto"/>
            </w:tcBorders>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0" w:type="dxa"/>
            <w:vAlign w:val="bottom"/>
            <w:tcBorders>
              <w:top w:val="single" w:sz="8" w:color="auto"/>
            </w:tcBorders>
            <w:shd w:val="clear" w:color="auto" w:fill="CCEEFF"/>
          </w:tcPr>
          <w:p>
            <w:pPr>
              <w:spacing w:after="0"/>
              <w:rPr>
                <w:sz w:val="17"/>
                <w:szCs w:val="17"/>
                <w:color w:val="auto"/>
              </w:rPr>
            </w:pPr>
          </w:p>
        </w:tc>
        <w:tc>
          <w:tcPr>
            <w:tcW w:w="840" w:type="dxa"/>
            <w:vAlign w:val="bottom"/>
            <w:tcBorders>
              <w:top w:val="single" w:sz="8" w:color="auto"/>
            </w:tcBorders>
            <w:shd w:val="clear" w:color="auto" w:fill="CCEEFF"/>
          </w:tcPr>
          <w:p>
            <w:pPr>
              <w:spacing w:after="0"/>
              <w:rPr>
                <w:sz w:val="17"/>
                <w:szCs w:val="17"/>
                <w:color w:val="auto"/>
              </w:rPr>
            </w:pPr>
          </w:p>
        </w:tc>
        <w:tc>
          <w:tcPr>
            <w:tcW w:w="60" w:type="dxa"/>
            <w:vAlign w:val="bottom"/>
            <w:tcBorders>
              <w:top w:val="single" w:sz="8" w:color="auto"/>
            </w:tcBorders>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4760" w:type="dxa"/>
            <w:vAlign w:val="bottom"/>
            <w:shd w:val="clear" w:color="auto" w:fill="CCEEFF"/>
          </w:tcPr>
          <w:p>
            <w:pPr>
              <w:ind w:left="160"/>
              <w:spacing w:after="0"/>
              <w:rPr>
                <w:sz w:val="20"/>
                <w:szCs w:val="20"/>
                <w:color w:val="auto"/>
              </w:rPr>
            </w:pPr>
            <w:r>
              <w:rPr>
                <w:rFonts w:ascii="Arial" w:cs="Arial" w:eastAsia="Arial" w:hAnsi="Arial"/>
                <w:sz w:val="18"/>
                <w:szCs w:val="18"/>
                <w:b w:val="1"/>
                <w:bCs w:val="1"/>
                <w:color w:val="auto"/>
              </w:rPr>
              <w:t>position</w:t>
            </w:r>
          </w:p>
        </w:tc>
        <w:tc>
          <w:tcPr>
            <w:tcW w:w="26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6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280" w:type="dxa"/>
            <w:vAlign w:val="bottom"/>
            <w:tcBorders>
              <w:right w:val="single" w:sz="8" w:color="CCEEFF"/>
            </w:tcBorders>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760" w:type="dxa"/>
            <w:vAlign w:val="bottom"/>
            <w:tcBorders>
              <w:right w:val="single" w:sz="8" w:color="CCEEFF"/>
            </w:tcBorders>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60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520" w:type="dxa"/>
            <w:vAlign w:val="bottom"/>
            <w:shd w:val="clear" w:color="auto" w:fill="CCEEFF"/>
          </w:tcPr>
          <w:p>
            <w:pPr>
              <w:spacing w:after="0"/>
              <w:rPr>
                <w:sz w:val="20"/>
                <w:szCs w:val="20"/>
                <w:color w:val="auto"/>
              </w:rPr>
            </w:pPr>
          </w:p>
        </w:tc>
        <w:tc>
          <w:tcPr>
            <w:tcW w:w="1220" w:type="dxa"/>
            <w:vAlign w:val="bottom"/>
            <w:gridSpan w:val="5"/>
            <w:shd w:val="clear" w:color="auto" w:fill="CCEEFF"/>
          </w:tcPr>
          <w:p>
            <w:pPr>
              <w:jc w:val="center"/>
              <w:ind w:left="50"/>
              <w:spacing w:after="0"/>
              <w:rPr>
                <w:sz w:val="20"/>
                <w:szCs w:val="20"/>
                <w:color w:val="auto"/>
              </w:rPr>
            </w:pPr>
            <w:r>
              <w:rPr>
                <w:rFonts w:ascii="Arial" w:cs="Arial" w:eastAsia="Arial" w:hAnsi="Arial"/>
                <w:sz w:val="18"/>
                <w:szCs w:val="18"/>
                <w:b w:val="1"/>
                <w:bCs w:val="1"/>
                <w:u w:val="single" w:color="auto"/>
                <w:color w:val="auto"/>
                <w:w w:val="93"/>
              </w:rPr>
              <w:t>A$</w:t>
            </w:r>
            <w:r>
              <w:rPr>
                <w:rFonts w:ascii="Arial" w:cs="Arial" w:eastAsia="Arial" w:hAnsi="Arial"/>
                <w:sz w:val="18"/>
                <w:szCs w:val="18"/>
                <w:b w:val="1"/>
                <w:bCs w:val="1"/>
                <w:color w:val="auto"/>
                <w:w w:val="93"/>
              </w:rPr>
              <w:t>8,602,909</w:t>
            </w:r>
          </w:p>
        </w:tc>
        <w:tc>
          <w:tcPr>
            <w:tcW w:w="0" w:type="dxa"/>
            <w:vAlign w:val="bottom"/>
          </w:tcPr>
          <w:p>
            <w:pPr>
              <w:spacing w:after="0"/>
              <w:rPr>
                <w:sz w:val="1"/>
                <w:szCs w:val="1"/>
                <w:color w:val="auto"/>
              </w:rPr>
            </w:pPr>
          </w:p>
        </w:tc>
      </w:tr>
      <w:tr>
        <w:trPr>
          <w:trHeight w:val="20"/>
        </w:trPr>
        <w:tc>
          <w:tcPr>
            <w:tcW w:w="478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Segment liabilities</w:t>
            </w: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780" w:type="dxa"/>
            <w:vAlign w:val="bottom"/>
            <w:gridSpan w:val="2"/>
            <w:vMerge w:val="continue"/>
          </w:tcPr>
          <w:p>
            <w:pPr>
              <w:spacing w:after="0"/>
              <w:rPr>
                <w:sz w:val="18"/>
                <w:szCs w:val="18"/>
                <w:color w:val="auto"/>
              </w:rPr>
            </w:pPr>
          </w:p>
        </w:tc>
        <w:tc>
          <w:tcPr>
            <w:tcW w:w="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60" w:type="dxa"/>
            <w:vAlign w:val="bottom"/>
            <w:shd w:val="clear" w:color="auto" w:fill="CCEEFF"/>
          </w:tcPr>
          <w:p>
            <w:pPr>
              <w:spacing w:after="0"/>
              <w:rPr>
                <w:sz w:val="20"/>
                <w:szCs w:val="20"/>
                <w:color w:val="auto"/>
              </w:rPr>
            </w:pPr>
            <w:r>
              <w:rPr>
                <w:rFonts w:ascii="Arial" w:cs="Arial" w:eastAsia="Arial" w:hAnsi="Arial"/>
                <w:sz w:val="18"/>
                <w:szCs w:val="18"/>
                <w:color w:val="auto"/>
              </w:rPr>
              <w:t>Segment operating liabilities</w:t>
            </w:r>
          </w:p>
        </w:tc>
        <w:tc>
          <w:tcPr>
            <w:tcW w:w="260" w:type="dxa"/>
            <w:vAlign w:val="bottom"/>
            <w:shd w:val="clear" w:color="auto" w:fill="CCEEFF"/>
          </w:tcPr>
          <w:p>
            <w:pPr>
              <w:spacing w:after="0"/>
              <w:rPr>
                <w:sz w:val="18"/>
                <w:szCs w:val="18"/>
                <w:color w:val="auto"/>
              </w:rPr>
            </w:pPr>
          </w:p>
        </w:tc>
        <w:tc>
          <w:tcPr>
            <w:tcW w:w="1340" w:type="dxa"/>
            <w:vAlign w:val="bottom"/>
            <w:gridSpan w:val="5"/>
            <w:shd w:val="clear" w:color="auto" w:fill="CCEEFF"/>
          </w:tcPr>
          <w:p>
            <w:pPr>
              <w:jc w:val="center"/>
              <w:ind w:right="360"/>
              <w:spacing w:after="0"/>
              <w:rPr>
                <w:sz w:val="20"/>
                <w:szCs w:val="20"/>
                <w:color w:val="auto"/>
              </w:rPr>
            </w:pPr>
            <w:r>
              <w:rPr>
                <w:rFonts w:ascii="Arial" w:cs="Arial" w:eastAsia="Arial" w:hAnsi="Arial"/>
                <w:sz w:val="18"/>
                <w:szCs w:val="18"/>
                <w:color w:val="auto"/>
                <w:w w:val="94"/>
              </w:rPr>
              <w:t>A$163,992</w:t>
            </w:r>
          </w:p>
        </w:tc>
        <w:tc>
          <w:tcPr>
            <w:tcW w:w="280" w:type="dxa"/>
            <w:vAlign w:val="bottom"/>
            <w:tcBorders>
              <w:right w:val="single" w:sz="8" w:color="CCEEFF"/>
            </w:tcBorders>
            <w:shd w:val="clear" w:color="auto" w:fill="CCEEFF"/>
          </w:tcPr>
          <w:p>
            <w:pPr>
              <w:spacing w:after="0"/>
              <w:rPr>
                <w:sz w:val="18"/>
                <w:szCs w:val="18"/>
                <w:color w:val="auto"/>
              </w:rPr>
            </w:pPr>
          </w:p>
        </w:tc>
        <w:tc>
          <w:tcPr>
            <w:tcW w:w="240" w:type="dxa"/>
            <w:vAlign w:val="bottom"/>
            <w:shd w:val="clear" w:color="auto" w:fill="CCEEFF"/>
          </w:tcPr>
          <w:p>
            <w:pPr>
              <w:spacing w:after="0"/>
              <w:rPr>
                <w:sz w:val="20"/>
                <w:szCs w:val="20"/>
                <w:color w:val="auto"/>
              </w:rPr>
            </w:pPr>
            <w:r>
              <w:rPr>
                <w:rFonts w:ascii="Arial" w:cs="Arial" w:eastAsia="Arial" w:hAnsi="Arial"/>
                <w:sz w:val="18"/>
                <w:szCs w:val="18"/>
                <w:color w:val="auto"/>
                <w:w w:val="99"/>
              </w:rPr>
              <w:t>A$</w:t>
            </w:r>
          </w:p>
        </w:tc>
        <w:tc>
          <w:tcPr>
            <w:tcW w:w="7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622,146</w:t>
            </w:r>
          </w:p>
        </w:tc>
        <w:tc>
          <w:tcPr>
            <w:tcW w:w="3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40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A$</w:t>
            </w:r>
          </w:p>
        </w:tc>
        <w:tc>
          <w:tcPr>
            <w:tcW w:w="6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8"/>
              </w:rPr>
              <w:t>727,167</w:t>
            </w:r>
          </w:p>
        </w:tc>
        <w:tc>
          <w:tcPr>
            <w:tcW w:w="520" w:type="dxa"/>
            <w:vAlign w:val="bottom"/>
            <w:shd w:val="clear" w:color="auto" w:fill="CCEEFF"/>
          </w:tcPr>
          <w:p>
            <w:pPr>
              <w:spacing w:after="0"/>
              <w:rPr>
                <w:sz w:val="18"/>
                <w:szCs w:val="18"/>
                <w:color w:val="auto"/>
              </w:rPr>
            </w:pPr>
          </w:p>
        </w:tc>
        <w:tc>
          <w:tcPr>
            <w:tcW w:w="1220" w:type="dxa"/>
            <w:vAlign w:val="bottom"/>
            <w:gridSpan w:val="5"/>
            <w:shd w:val="clear" w:color="auto" w:fill="CCEEFF"/>
          </w:tcPr>
          <w:p>
            <w:pPr>
              <w:jc w:val="center"/>
              <w:ind w:left="50"/>
              <w:spacing w:after="0"/>
              <w:rPr>
                <w:sz w:val="20"/>
                <w:szCs w:val="20"/>
                <w:color w:val="auto"/>
              </w:rPr>
            </w:pPr>
            <w:r>
              <w:rPr>
                <w:rFonts w:ascii="Arial" w:cs="Arial" w:eastAsia="Arial" w:hAnsi="Arial"/>
                <w:sz w:val="18"/>
                <w:szCs w:val="18"/>
                <w:color w:val="auto"/>
                <w:w w:val="93"/>
              </w:rPr>
              <w:t>A$1,513,305</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760" w:type="dxa"/>
            <w:vAlign w:val="bottom"/>
          </w:tcPr>
          <w:p>
            <w:pPr>
              <w:spacing w:after="0"/>
              <w:rPr>
                <w:sz w:val="20"/>
                <w:szCs w:val="20"/>
                <w:color w:val="auto"/>
              </w:rPr>
            </w:pPr>
            <w:r>
              <w:rPr>
                <w:rFonts w:ascii="Arial" w:cs="Arial" w:eastAsia="Arial" w:hAnsi="Arial"/>
                <w:sz w:val="18"/>
                <w:szCs w:val="18"/>
                <w:color w:val="auto"/>
              </w:rPr>
              <w:t>Unallocated liabilities</w:t>
            </w:r>
          </w:p>
        </w:tc>
        <w:tc>
          <w:tcPr>
            <w:tcW w:w="2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80" w:type="dxa"/>
            <w:vAlign w:val="bottom"/>
            <w:gridSpan w:val="3"/>
          </w:tcPr>
          <w:p>
            <w:pPr>
              <w:jc w:val="center"/>
              <w:ind w:right="140"/>
              <w:spacing w:after="0"/>
              <w:rPr>
                <w:sz w:val="20"/>
                <w:szCs w:val="20"/>
                <w:color w:val="auto"/>
              </w:rPr>
            </w:pPr>
            <w:r>
              <w:rPr>
                <w:rFonts w:ascii="Arial" w:cs="Arial" w:eastAsia="Arial" w:hAnsi="Arial"/>
                <w:sz w:val="18"/>
                <w:szCs w:val="18"/>
                <w:color w:val="auto"/>
                <w:w w:val="99"/>
              </w:rPr>
              <w:t>—</w:t>
            </w:r>
          </w:p>
        </w:tc>
        <w:tc>
          <w:tcPr>
            <w:tcW w:w="2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60" w:type="dxa"/>
            <w:vAlign w:val="bottom"/>
            <w:gridSpan w:val="2"/>
          </w:tcPr>
          <w:p>
            <w:pPr>
              <w:ind w:left="46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5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900" w:type="dxa"/>
            <w:vAlign w:val="bottom"/>
            <w:gridSpan w:val="2"/>
          </w:tcPr>
          <w:p>
            <w:pPr>
              <w:jc w:val="right"/>
              <w:spacing w:after="0"/>
              <w:rPr>
                <w:sz w:val="20"/>
                <w:szCs w:val="20"/>
                <w:color w:val="auto"/>
              </w:rPr>
            </w:pPr>
            <w:r>
              <w:rPr>
                <w:rFonts w:ascii="Arial" w:cs="Arial" w:eastAsia="Arial" w:hAnsi="Arial"/>
                <w:sz w:val="18"/>
                <w:szCs w:val="18"/>
                <w:color w:val="auto"/>
              </w:rPr>
              <w:t>237,087</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4760" w:type="dxa"/>
            <w:vAlign w:val="bottom"/>
            <w:shd w:val="clear" w:color="auto" w:fill="CCEEFF"/>
          </w:tcPr>
          <w:p>
            <w:pPr>
              <w:spacing w:after="0" w:line="198" w:lineRule="exact"/>
              <w:rPr>
                <w:sz w:val="20"/>
                <w:szCs w:val="20"/>
                <w:color w:val="auto"/>
              </w:rPr>
            </w:pPr>
            <w:r>
              <w:rPr>
                <w:rFonts w:ascii="Arial" w:cs="Arial" w:eastAsia="Arial" w:hAnsi="Arial"/>
                <w:sz w:val="18"/>
                <w:szCs w:val="18"/>
                <w:b w:val="1"/>
                <w:bCs w:val="1"/>
                <w:color w:val="auto"/>
                <w:w w:val="95"/>
              </w:rPr>
              <w:t>Total liabilities per the consolidated statement of financial</w:t>
            </w:r>
          </w:p>
        </w:tc>
        <w:tc>
          <w:tcPr>
            <w:tcW w:w="2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660" w:type="dxa"/>
            <w:vAlign w:val="bottom"/>
            <w:tcBorders>
              <w:top w:val="single" w:sz="8" w:color="auto"/>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280" w:type="dxa"/>
            <w:vAlign w:val="bottom"/>
            <w:tcBorders>
              <w:right w:val="single" w:sz="8" w:color="CCEEFF"/>
            </w:tcBorders>
            <w:shd w:val="clear" w:color="auto" w:fill="CCEEFF"/>
          </w:tcPr>
          <w:p>
            <w:pPr>
              <w:spacing w:after="0"/>
              <w:rPr>
                <w:sz w:val="17"/>
                <w:szCs w:val="17"/>
                <w:color w:val="auto"/>
              </w:rPr>
            </w:pPr>
          </w:p>
        </w:tc>
        <w:tc>
          <w:tcPr>
            <w:tcW w:w="240" w:type="dxa"/>
            <w:vAlign w:val="bottom"/>
            <w:tcBorders>
              <w:top w:val="single" w:sz="8" w:color="auto"/>
            </w:tcBorders>
            <w:shd w:val="clear" w:color="auto" w:fill="CCEEFF"/>
          </w:tcPr>
          <w:p>
            <w:pPr>
              <w:spacing w:after="0"/>
              <w:rPr>
                <w:sz w:val="17"/>
                <w:szCs w:val="17"/>
                <w:color w:val="auto"/>
              </w:rPr>
            </w:pPr>
          </w:p>
        </w:tc>
        <w:tc>
          <w:tcPr>
            <w:tcW w:w="760" w:type="dxa"/>
            <w:vAlign w:val="bottom"/>
            <w:tcBorders>
              <w:top w:val="single" w:sz="8" w:color="auto"/>
              <w:right w:val="single" w:sz="8" w:color="CCEEFF"/>
            </w:tcBorders>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00" w:type="dxa"/>
            <w:vAlign w:val="bottom"/>
            <w:tcBorders>
              <w:top w:val="single" w:sz="8" w:color="auto"/>
            </w:tcBorders>
            <w:shd w:val="clear" w:color="auto" w:fill="CCEEFF"/>
          </w:tcPr>
          <w:p>
            <w:pPr>
              <w:spacing w:after="0"/>
              <w:rPr>
                <w:sz w:val="17"/>
                <w:szCs w:val="17"/>
                <w:color w:val="auto"/>
              </w:rPr>
            </w:pPr>
          </w:p>
        </w:tc>
        <w:tc>
          <w:tcPr>
            <w:tcW w:w="600" w:type="dxa"/>
            <w:vAlign w:val="bottom"/>
            <w:tcBorders>
              <w:top w:val="single" w:sz="8" w:color="auto"/>
            </w:tcBorders>
            <w:shd w:val="clear" w:color="auto" w:fill="CCEEFF"/>
          </w:tcPr>
          <w:p>
            <w:pPr>
              <w:spacing w:after="0"/>
              <w:rPr>
                <w:sz w:val="17"/>
                <w:szCs w:val="17"/>
                <w:color w:val="auto"/>
              </w:rPr>
            </w:pPr>
          </w:p>
        </w:tc>
        <w:tc>
          <w:tcPr>
            <w:tcW w:w="60" w:type="dxa"/>
            <w:vAlign w:val="bottom"/>
            <w:tcBorders>
              <w:top w:val="single" w:sz="8" w:color="auto"/>
            </w:tcBorders>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0" w:type="dxa"/>
            <w:vAlign w:val="bottom"/>
            <w:tcBorders>
              <w:top w:val="single" w:sz="8" w:color="auto"/>
            </w:tcBorders>
            <w:shd w:val="clear" w:color="auto" w:fill="CCEEFF"/>
          </w:tcPr>
          <w:p>
            <w:pPr>
              <w:spacing w:after="0"/>
              <w:rPr>
                <w:sz w:val="17"/>
                <w:szCs w:val="17"/>
                <w:color w:val="auto"/>
              </w:rPr>
            </w:pPr>
          </w:p>
        </w:tc>
        <w:tc>
          <w:tcPr>
            <w:tcW w:w="840" w:type="dxa"/>
            <w:vAlign w:val="bottom"/>
            <w:tcBorders>
              <w:top w:val="single" w:sz="8" w:color="auto"/>
            </w:tcBorders>
            <w:shd w:val="clear" w:color="auto" w:fill="CCEEFF"/>
          </w:tcPr>
          <w:p>
            <w:pPr>
              <w:spacing w:after="0"/>
              <w:rPr>
                <w:sz w:val="17"/>
                <w:szCs w:val="17"/>
                <w:color w:val="auto"/>
              </w:rPr>
            </w:pPr>
          </w:p>
        </w:tc>
        <w:tc>
          <w:tcPr>
            <w:tcW w:w="60" w:type="dxa"/>
            <w:vAlign w:val="bottom"/>
            <w:tcBorders>
              <w:top w:val="single" w:sz="8" w:color="auto"/>
            </w:tcBorders>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4760" w:type="dxa"/>
            <w:vAlign w:val="bottom"/>
            <w:shd w:val="clear" w:color="auto" w:fill="CCEEFF"/>
          </w:tcPr>
          <w:p>
            <w:pPr>
              <w:ind w:left="160"/>
              <w:spacing w:after="0"/>
              <w:rPr>
                <w:sz w:val="20"/>
                <w:szCs w:val="20"/>
                <w:color w:val="auto"/>
              </w:rPr>
            </w:pPr>
            <w:r>
              <w:rPr>
                <w:rFonts w:ascii="Arial" w:cs="Arial" w:eastAsia="Arial" w:hAnsi="Arial"/>
                <w:sz w:val="18"/>
                <w:szCs w:val="18"/>
                <w:b w:val="1"/>
                <w:bCs w:val="1"/>
                <w:color w:val="auto"/>
              </w:rPr>
              <w:t>position</w:t>
            </w:r>
          </w:p>
        </w:tc>
        <w:tc>
          <w:tcPr>
            <w:tcW w:w="26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6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280" w:type="dxa"/>
            <w:vAlign w:val="bottom"/>
            <w:tcBorders>
              <w:right w:val="single" w:sz="8" w:color="CCEEFF"/>
            </w:tcBorders>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760" w:type="dxa"/>
            <w:vAlign w:val="bottom"/>
            <w:tcBorders>
              <w:right w:val="single" w:sz="8" w:color="CCEEFF"/>
            </w:tcBorders>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60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520" w:type="dxa"/>
            <w:vAlign w:val="bottom"/>
            <w:shd w:val="clear" w:color="auto" w:fill="CCEEFF"/>
          </w:tcPr>
          <w:p>
            <w:pPr>
              <w:spacing w:after="0"/>
              <w:rPr>
                <w:sz w:val="20"/>
                <w:szCs w:val="20"/>
                <w:color w:val="auto"/>
              </w:rPr>
            </w:pPr>
          </w:p>
        </w:tc>
        <w:tc>
          <w:tcPr>
            <w:tcW w:w="1220" w:type="dxa"/>
            <w:vAlign w:val="bottom"/>
            <w:gridSpan w:val="5"/>
            <w:shd w:val="clear" w:color="auto" w:fill="CCEEFF"/>
          </w:tcPr>
          <w:p>
            <w:pPr>
              <w:jc w:val="center"/>
              <w:ind w:left="50"/>
              <w:spacing w:after="0"/>
              <w:rPr>
                <w:sz w:val="20"/>
                <w:szCs w:val="20"/>
                <w:color w:val="auto"/>
              </w:rPr>
            </w:pPr>
            <w:r>
              <w:rPr>
                <w:rFonts w:ascii="Arial" w:cs="Arial" w:eastAsia="Arial" w:hAnsi="Arial"/>
                <w:sz w:val="18"/>
                <w:szCs w:val="18"/>
                <w:b w:val="1"/>
                <w:bCs w:val="1"/>
                <w:u w:val="single" w:color="auto"/>
                <w:color w:val="auto"/>
                <w:w w:val="93"/>
              </w:rPr>
              <w:t>A$</w:t>
            </w:r>
            <w:r>
              <w:rPr>
                <w:rFonts w:ascii="Arial" w:cs="Arial" w:eastAsia="Arial" w:hAnsi="Arial"/>
                <w:sz w:val="18"/>
                <w:szCs w:val="18"/>
                <w:b w:val="1"/>
                <w:bCs w:val="1"/>
                <w:color w:val="auto"/>
                <w:w w:val="93"/>
              </w:rPr>
              <w:t>1,750,392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7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80" w:type="dxa"/>
            <w:vAlign w:val="bottom"/>
            <w:gridSpan w:val="3"/>
            <w:vMerge w:val="restart"/>
          </w:tcPr>
          <w:p>
            <w:pPr>
              <w:jc w:val="center"/>
              <w:ind w:right="660"/>
              <w:spacing w:after="0"/>
              <w:rPr>
                <w:sz w:val="20"/>
                <w:szCs w:val="20"/>
                <w:color w:val="auto"/>
              </w:rPr>
            </w:pPr>
            <w:r>
              <w:rPr>
                <w:rFonts w:ascii="Arial" w:cs="Arial" w:eastAsia="Arial" w:hAnsi="Arial"/>
                <w:sz w:val="18"/>
                <w:szCs w:val="18"/>
                <w:color w:val="auto"/>
                <w:w w:val="91"/>
              </w:rPr>
              <w:t>F-43</w:t>
            </w:r>
          </w:p>
        </w:tc>
        <w:tc>
          <w:tcPr>
            <w:tcW w:w="2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20" w:type="dxa"/>
            <w:vAlign w:val="bottom"/>
          </w:tcPr>
          <w:p>
            <w:pPr>
              <w:spacing w:after="0"/>
              <w:rPr>
                <w:sz w:val="24"/>
                <w:szCs w:val="24"/>
                <w:color w:val="auto"/>
              </w:rPr>
            </w:pPr>
          </w:p>
        </w:tc>
        <w:tc>
          <w:tcPr>
            <w:tcW w:w="47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80" w:type="dxa"/>
            <w:vAlign w:val="bottom"/>
            <w:gridSpan w:val="3"/>
            <w:vMerge w:val="continue"/>
          </w:tcPr>
          <w:p>
            <w:pPr>
              <w:spacing w:after="0"/>
              <w:rPr>
                <w:sz w:val="24"/>
                <w:szCs w:val="24"/>
                <w:color w:val="auto"/>
              </w:rPr>
            </w:pPr>
          </w:p>
        </w:tc>
        <w:tc>
          <w:tcPr>
            <w:tcW w:w="2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240" w:top="459" w:right="419" w:bottom="1440" w:gutter="0" w:footer="0" w:header="0"/>
        </w:sectPr>
      </w:pPr>
    </w:p>
    <w:bookmarkStart w:id="142" w:name="page143"/>
    <w:bookmarkEnd w:id="14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9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AVITA MEDICAL LIMITED</w:t>
      </w:r>
    </w:p>
    <w:p>
      <w:pPr>
        <w:spacing w:after="0" w:line="27"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9"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(IN AUSTRALIAN DOLLARS)</w:t>
      </w:r>
    </w:p>
    <w:p>
      <w:pPr>
        <w:spacing w:after="0" w:line="234" w:lineRule="exact"/>
        <w:rPr>
          <w:sz w:val="20"/>
          <w:szCs w:val="20"/>
          <w:color w:val="auto"/>
        </w:rPr>
      </w:pPr>
    </w:p>
    <w:p>
      <w:pPr>
        <w:ind w:left="640" w:hanging="436"/>
        <w:spacing w:after="0"/>
        <w:tabs>
          <w:tab w:leader="none" w:pos="640" w:val="left"/>
        </w:tabs>
        <w:numPr>
          <w:ilvl w:val="0"/>
          <w:numId w:val="182"/>
        </w:numPr>
        <w:rPr>
          <w:rFonts w:ascii="Arial" w:cs="Arial" w:eastAsia="Arial" w:hAnsi="Arial"/>
          <w:sz w:val="18"/>
          <w:szCs w:val="18"/>
          <w:b w:val="1"/>
          <w:bCs w:val="1"/>
          <w:color w:val="auto"/>
        </w:rPr>
      </w:pPr>
      <w:r>
        <w:rPr>
          <w:rFonts w:ascii="Arial" w:cs="Arial" w:eastAsia="Arial" w:hAnsi="Arial"/>
          <w:sz w:val="18"/>
          <w:szCs w:val="18"/>
          <w:b w:val="1"/>
          <w:bCs w:val="1"/>
          <w:color w:val="auto"/>
        </w:rPr>
        <w:t>FINANCIAL RISK MANAGEMENT OBJECTIVES AND POLICIES</w:t>
      </w:r>
    </w:p>
    <w:p>
      <w:pPr>
        <w:spacing w:after="0" w:line="121" w:lineRule="exact"/>
        <w:rPr>
          <w:sz w:val="20"/>
          <w:szCs w:val="20"/>
          <w:color w:val="auto"/>
        </w:rPr>
      </w:pPr>
    </w:p>
    <w:p>
      <w:pPr>
        <w:ind w:left="200"/>
        <w:spacing w:after="0"/>
        <w:rPr>
          <w:sz w:val="20"/>
          <w:szCs w:val="20"/>
          <w:color w:val="auto"/>
        </w:rPr>
      </w:pPr>
      <w:r>
        <w:rPr>
          <w:rFonts w:ascii="Arial" w:cs="Arial" w:eastAsia="Arial" w:hAnsi="Arial"/>
          <w:sz w:val="18"/>
          <w:szCs w:val="18"/>
          <w:color w:val="auto"/>
        </w:rPr>
        <w:t>The Company’s principal financial instruments comprise receivables, payables, cash and short-term deposits.</w:t>
      </w:r>
    </w:p>
    <w:p>
      <w:pPr>
        <w:spacing w:after="0" w:line="225" w:lineRule="exact"/>
        <w:rPr>
          <w:sz w:val="20"/>
          <w:szCs w:val="20"/>
          <w:color w:val="auto"/>
        </w:rPr>
      </w:pPr>
    </w:p>
    <w:p>
      <w:pPr>
        <w:ind w:left="200" w:right="100"/>
        <w:spacing w:after="0" w:line="264" w:lineRule="auto"/>
        <w:rPr>
          <w:sz w:val="20"/>
          <w:szCs w:val="20"/>
          <w:color w:val="auto"/>
        </w:rPr>
      </w:pPr>
      <w:r>
        <w:rPr>
          <w:rFonts w:ascii="Arial" w:cs="Arial" w:eastAsia="Arial" w:hAnsi="Arial"/>
          <w:sz w:val="18"/>
          <w:szCs w:val="18"/>
          <w:color w:val="auto"/>
        </w:rPr>
        <w:t>The Company manages its exposure to key financial risks, including interest rate and foreign currency risk in accordance with the Company’s financial risk management policy. The objective of the policy is to support the delivery of the Company’s financial targets whilst protecting future financial security.</w:t>
      </w:r>
    </w:p>
    <w:p>
      <w:pPr>
        <w:spacing w:after="0" w:line="181" w:lineRule="exact"/>
        <w:rPr>
          <w:sz w:val="20"/>
          <w:szCs w:val="20"/>
          <w:color w:val="auto"/>
        </w:rPr>
      </w:pPr>
    </w:p>
    <w:p>
      <w:pPr>
        <w:ind w:left="200"/>
        <w:spacing w:after="0" w:line="276" w:lineRule="auto"/>
        <w:rPr>
          <w:sz w:val="20"/>
          <w:szCs w:val="20"/>
          <w:color w:val="auto"/>
        </w:rPr>
      </w:pPr>
      <w:r>
        <w:rPr>
          <w:rFonts w:ascii="Arial" w:cs="Arial" w:eastAsia="Arial" w:hAnsi="Arial"/>
          <w:sz w:val="17"/>
          <w:szCs w:val="17"/>
          <w:color w:val="auto"/>
        </w:rPr>
        <w:t>The main risks arising from the Company’s financial instruments are interest rate risk, foreign currency risk, credit risk and liquidity risk. The Company uses different methods to measure and manage different types of risk to which it is exposed. These include monitoring levels of exposure to interest rate and foreign exchange risk and assessments of market forecasts for interest rates and foreign exchange. Ageing analyses and monitoring of specific credit allowances are undertaken to manage credit risk, and liquidity risk is monitored through the development of future rolling cash flow forecasts. The Board reviews and agrees policies for managing each of these risks as summarized below.</w:t>
      </w:r>
    </w:p>
    <w:p>
      <w:pPr>
        <w:spacing w:after="0" w:line="173" w:lineRule="exact"/>
        <w:rPr>
          <w:sz w:val="20"/>
          <w:szCs w:val="20"/>
          <w:color w:val="auto"/>
        </w:rPr>
      </w:pPr>
    </w:p>
    <w:p>
      <w:pPr>
        <w:jc w:val="both"/>
        <w:ind w:left="200" w:right="440"/>
        <w:spacing w:after="0" w:line="264" w:lineRule="auto"/>
        <w:rPr>
          <w:sz w:val="20"/>
          <w:szCs w:val="20"/>
          <w:color w:val="auto"/>
        </w:rPr>
      </w:pPr>
      <w:r>
        <w:rPr>
          <w:rFonts w:ascii="Arial" w:cs="Arial" w:eastAsia="Arial" w:hAnsi="Arial"/>
          <w:sz w:val="18"/>
          <w:szCs w:val="18"/>
          <w:color w:val="auto"/>
        </w:rPr>
        <w:t>Primary responsibility for identification and control of financial risks rests with the Finance Manager under the authority of the Board. The Board reviews and agrees policies for managing each of the risks identified below including foreign currency and interest rate risk, credit allowances and future cash flow forecast projections.</w:t>
      </w:r>
    </w:p>
    <w:p>
      <w:pPr>
        <w:spacing w:after="0" w:line="181" w:lineRule="exact"/>
        <w:rPr>
          <w:sz w:val="20"/>
          <w:szCs w:val="20"/>
          <w:color w:val="auto"/>
        </w:rPr>
      </w:pPr>
    </w:p>
    <w:p>
      <w:pPr>
        <w:ind w:left="200"/>
        <w:spacing w:after="0"/>
        <w:rPr>
          <w:sz w:val="20"/>
          <w:szCs w:val="20"/>
          <w:color w:val="auto"/>
        </w:rPr>
      </w:pPr>
      <w:r>
        <w:rPr>
          <w:rFonts w:ascii="Arial" w:cs="Arial" w:eastAsia="Arial" w:hAnsi="Arial"/>
          <w:sz w:val="18"/>
          <w:szCs w:val="18"/>
          <w:color w:val="auto"/>
        </w:rPr>
        <w:t>At the reporting date, the Company had the following financial assets and liabilities:</w:t>
      </w:r>
    </w:p>
    <w:p>
      <w:pPr>
        <w:spacing w:after="0" w:line="231" w:lineRule="exact"/>
        <w:rPr>
          <w:sz w:val="20"/>
          <w:szCs w:val="20"/>
          <w:color w:val="auto"/>
        </w:rPr>
      </w:pPr>
    </w:p>
    <w:tbl>
      <w:tblPr>
        <w:tblLayout w:type="fixed"/>
        <w:tblInd w:w="152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680" w:type="dxa"/>
            <w:vAlign w:val="bottom"/>
          </w:tcPr>
          <w:p>
            <w:pPr>
              <w:spacing w:after="0"/>
              <w:rPr>
                <w:sz w:val="14"/>
                <w:szCs w:val="14"/>
                <w:color w:val="auto"/>
              </w:rPr>
            </w:pPr>
          </w:p>
        </w:tc>
        <w:tc>
          <w:tcPr>
            <w:tcW w:w="1720" w:type="dxa"/>
            <w:vAlign w:val="bottom"/>
          </w:tcPr>
          <w:p>
            <w:pPr>
              <w:spacing w:after="0"/>
              <w:rPr>
                <w:sz w:val="14"/>
                <w:szCs w:val="14"/>
                <w:color w:val="auto"/>
              </w:rPr>
            </w:pPr>
          </w:p>
        </w:tc>
        <w:tc>
          <w:tcPr>
            <w:tcW w:w="2960" w:type="dxa"/>
            <w:vAlign w:val="bottom"/>
            <w:gridSpan w:val="5"/>
          </w:tcPr>
          <w:p>
            <w:pPr>
              <w:jc w:val="right"/>
              <w:ind w:right="1100"/>
              <w:spacing w:after="0"/>
              <w:rPr>
                <w:sz w:val="20"/>
                <w:szCs w:val="20"/>
                <w:color w:val="auto"/>
              </w:rPr>
            </w:pPr>
            <w:r>
              <w:rPr>
                <w:rFonts w:ascii="Arial" w:cs="Arial" w:eastAsia="Arial" w:hAnsi="Arial"/>
                <w:sz w:val="14"/>
                <w:szCs w:val="14"/>
                <w:b w:val="1"/>
                <w:bCs w:val="1"/>
                <w:color w:val="auto"/>
              </w:rPr>
              <w:t>As of June 30,</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3680" w:type="dxa"/>
            <w:vAlign w:val="bottom"/>
          </w:tcPr>
          <w:p>
            <w:pPr>
              <w:spacing w:after="0"/>
              <w:rPr>
                <w:sz w:val="14"/>
                <w:szCs w:val="14"/>
                <w:color w:val="auto"/>
              </w:rPr>
            </w:pPr>
          </w:p>
        </w:tc>
        <w:tc>
          <w:tcPr>
            <w:tcW w:w="2760" w:type="dxa"/>
            <w:vAlign w:val="bottom"/>
            <w:gridSpan w:val="2"/>
          </w:tcPr>
          <w:p>
            <w:pPr>
              <w:jc w:val="center"/>
              <w:ind w:left="1634"/>
              <w:spacing w:after="0"/>
              <w:rPr>
                <w:sz w:val="20"/>
                <w:szCs w:val="20"/>
                <w:color w:val="auto"/>
              </w:rPr>
            </w:pPr>
            <w:r>
              <w:rPr>
                <w:rFonts w:ascii="Arial" w:cs="Arial" w:eastAsia="Arial" w:hAnsi="Arial"/>
                <w:sz w:val="14"/>
                <w:szCs w:val="14"/>
                <w:b w:val="1"/>
                <w:bCs w:val="1"/>
                <w:color w:val="auto"/>
                <w:w w:val="89"/>
              </w:rPr>
              <w:t>2018</w:t>
            </w:r>
          </w:p>
        </w:tc>
        <w:tc>
          <w:tcPr>
            <w:tcW w:w="440" w:type="dxa"/>
            <w:vAlign w:val="bottom"/>
          </w:tcPr>
          <w:p>
            <w:pPr>
              <w:spacing w:after="0"/>
              <w:rPr>
                <w:sz w:val="14"/>
                <w:szCs w:val="14"/>
                <w:color w:val="auto"/>
              </w:rPr>
            </w:pPr>
          </w:p>
        </w:tc>
        <w:tc>
          <w:tcPr>
            <w:tcW w:w="1380" w:type="dxa"/>
            <w:vAlign w:val="bottom"/>
            <w:gridSpan w:val="2"/>
          </w:tcPr>
          <w:p>
            <w:pPr>
              <w:jc w:val="center"/>
              <w:ind w:left="273"/>
              <w:spacing w:after="0"/>
              <w:rPr>
                <w:sz w:val="20"/>
                <w:szCs w:val="20"/>
                <w:color w:val="auto"/>
              </w:rPr>
            </w:pPr>
            <w:r>
              <w:rPr>
                <w:rFonts w:ascii="Arial" w:cs="Arial" w:eastAsia="Arial" w:hAnsi="Arial"/>
                <w:sz w:val="14"/>
                <w:szCs w:val="14"/>
                <w:b w:val="1"/>
                <w:bCs w:val="1"/>
                <w:color w:val="auto"/>
                <w:w w:val="96"/>
              </w:rPr>
              <w:t>2017</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368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Financial Assets</w:t>
            </w:r>
          </w:p>
        </w:tc>
        <w:tc>
          <w:tcPr>
            <w:tcW w:w="1720" w:type="dxa"/>
            <w:vAlign w:val="bottom"/>
            <w:tcBorders>
              <w:top w:val="single" w:sz="8" w:color="CCEEFF"/>
            </w:tcBorders>
            <w:shd w:val="clear" w:color="auto" w:fill="CCEEFF"/>
          </w:tcPr>
          <w:p>
            <w:pPr>
              <w:spacing w:after="0"/>
              <w:rPr>
                <w:sz w:val="17"/>
                <w:szCs w:val="17"/>
                <w:color w:val="auto"/>
              </w:rPr>
            </w:pPr>
          </w:p>
        </w:tc>
        <w:tc>
          <w:tcPr>
            <w:tcW w:w="1040" w:type="dxa"/>
            <w:vAlign w:val="bottom"/>
            <w:tcBorders>
              <w:top w:val="single" w:sz="8" w:color="auto"/>
            </w:tcBorders>
            <w:shd w:val="clear" w:color="auto" w:fill="CCEEFF"/>
          </w:tcPr>
          <w:p>
            <w:pPr>
              <w:spacing w:after="0"/>
              <w:rPr>
                <w:sz w:val="17"/>
                <w:szCs w:val="17"/>
                <w:color w:val="auto"/>
              </w:rPr>
            </w:pPr>
          </w:p>
        </w:tc>
        <w:tc>
          <w:tcPr>
            <w:tcW w:w="440" w:type="dxa"/>
            <w:vAlign w:val="bottom"/>
            <w:tcBorders>
              <w:top w:val="single" w:sz="8" w:color="CCEEFF"/>
            </w:tcBorders>
            <w:shd w:val="clear" w:color="auto" w:fill="CCEEFF"/>
          </w:tcPr>
          <w:p>
            <w:pPr>
              <w:spacing w:after="0"/>
              <w:rPr>
                <w:sz w:val="17"/>
                <w:szCs w:val="17"/>
                <w:color w:val="auto"/>
              </w:rPr>
            </w:pPr>
          </w:p>
        </w:tc>
        <w:tc>
          <w:tcPr>
            <w:tcW w:w="360" w:type="dxa"/>
            <w:vAlign w:val="bottom"/>
            <w:tcBorders>
              <w:top w:val="single" w:sz="8" w:color="CCEEFF"/>
            </w:tcBorders>
            <w:shd w:val="clear" w:color="auto" w:fill="CCEEFF"/>
          </w:tcPr>
          <w:p>
            <w:pPr>
              <w:spacing w:after="0"/>
              <w:rPr>
                <w:sz w:val="17"/>
                <w:szCs w:val="17"/>
                <w:color w:val="auto"/>
              </w:rPr>
            </w:pPr>
          </w:p>
        </w:tc>
        <w:tc>
          <w:tcPr>
            <w:tcW w:w="102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80" w:type="dxa"/>
            <w:vAlign w:val="bottom"/>
          </w:tcPr>
          <w:p>
            <w:pPr>
              <w:spacing w:after="0"/>
              <w:rPr>
                <w:sz w:val="20"/>
                <w:szCs w:val="20"/>
                <w:color w:val="auto"/>
              </w:rPr>
            </w:pPr>
            <w:r>
              <w:rPr>
                <w:rFonts w:ascii="Arial" w:cs="Arial" w:eastAsia="Arial" w:hAnsi="Arial"/>
                <w:sz w:val="18"/>
                <w:szCs w:val="18"/>
                <w:color w:val="auto"/>
              </w:rPr>
              <w:t>Cash and cash equivalents</w:t>
            </w:r>
          </w:p>
        </w:tc>
        <w:tc>
          <w:tcPr>
            <w:tcW w:w="3200" w:type="dxa"/>
            <w:vAlign w:val="bottom"/>
            <w:gridSpan w:val="3"/>
          </w:tcPr>
          <w:p>
            <w:pPr>
              <w:jc w:val="center"/>
              <w:ind w:left="1194"/>
              <w:spacing w:after="0"/>
              <w:rPr>
                <w:sz w:val="20"/>
                <w:szCs w:val="20"/>
                <w:color w:val="auto"/>
              </w:rPr>
            </w:pPr>
            <w:r>
              <w:rPr>
                <w:rFonts w:ascii="Arial" w:cs="Arial" w:eastAsia="Arial" w:hAnsi="Arial"/>
                <w:sz w:val="18"/>
                <w:szCs w:val="18"/>
                <w:color w:val="auto"/>
                <w:w w:val="92"/>
              </w:rPr>
              <w:t>A$14,825,532</w:t>
            </w:r>
          </w:p>
        </w:tc>
        <w:tc>
          <w:tcPr>
            <w:tcW w:w="1480" w:type="dxa"/>
            <w:vAlign w:val="bottom"/>
            <w:gridSpan w:val="3"/>
          </w:tcPr>
          <w:p>
            <w:pPr>
              <w:jc w:val="center"/>
              <w:ind w:left="173"/>
              <w:spacing w:after="0"/>
              <w:rPr>
                <w:sz w:val="20"/>
                <w:szCs w:val="20"/>
                <w:color w:val="auto"/>
              </w:rPr>
            </w:pPr>
            <w:r>
              <w:rPr>
                <w:rFonts w:ascii="Arial" w:cs="Arial" w:eastAsia="Arial" w:hAnsi="Arial"/>
                <w:sz w:val="18"/>
                <w:szCs w:val="18"/>
                <w:color w:val="auto"/>
                <w:w w:val="95"/>
              </w:rPr>
              <w:t>A$ 3,790,491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80" w:type="dxa"/>
            <w:vAlign w:val="bottom"/>
            <w:shd w:val="clear" w:color="auto" w:fill="CCEEFF"/>
          </w:tcPr>
          <w:p>
            <w:pPr>
              <w:spacing w:after="0"/>
              <w:rPr>
                <w:sz w:val="20"/>
                <w:szCs w:val="20"/>
                <w:color w:val="auto"/>
              </w:rPr>
            </w:pPr>
            <w:r>
              <w:rPr>
                <w:rFonts w:ascii="Arial" w:cs="Arial" w:eastAsia="Arial" w:hAnsi="Arial"/>
                <w:sz w:val="18"/>
                <w:szCs w:val="18"/>
                <w:color w:val="auto"/>
              </w:rPr>
              <w:t>Trade and other receivables</w:t>
            </w:r>
          </w:p>
        </w:tc>
        <w:tc>
          <w:tcPr>
            <w:tcW w:w="2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5,437,357</w:t>
            </w:r>
          </w:p>
        </w:tc>
        <w:tc>
          <w:tcPr>
            <w:tcW w:w="44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2,070,534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80" w:type="dxa"/>
            <w:vAlign w:val="bottom"/>
          </w:tcPr>
          <w:p>
            <w:pPr>
              <w:spacing w:after="0"/>
              <w:rPr>
                <w:sz w:val="20"/>
                <w:szCs w:val="20"/>
                <w:color w:val="auto"/>
              </w:rPr>
            </w:pPr>
            <w:r>
              <w:rPr>
                <w:rFonts w:ascii="Arial" w:cs="Arial" w:eastAsia="Arial" w:hAnsi="Arial"/>
                <w:sz w:val="18"/>
                <w:szCs w:val="18"/>
                <w:b w:val="1"/>
                <w:bCs w:val="1"/>
                <w:color w:val="auto"/>
              </w:rPr>
              <w:t>Financial Liabilities</w:t>
            </w:r>
          </w:p>
        </w:tc>
        <w:tc>
          <w:tcPr>
            <w:tcW w:w="17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80" w:type="dxa"/>
            <w:vAlign w:val="bottom"/>
            <w:shd w:val="clear" w:color="auto" w:fill="CCEEFF"/>
          </w:tcPr>
          <w:p>
            <w:pPr>
              <w:spacing w:after="0"/>
              <w:rPr>
                <w:sz w:val="20"/>
                <w:szCs w:val="20"/>
                <w:color w:val="auto"/>
              </w:rPr>
            </w:pPr>
            <w:r>
              <w:rPr>
                <w:rFonts w:ascii="Arial" w:cs="Arial" w:eastAsia="Arial" w:hAnsi="Arial"/>
                <w:sz w:val="18"/>
                <w:szCs w:val="18"/>
                <w:color w:val="auto"/>
              </w:rPr>
              <w:t>Trade and other payables</w:t>
            </w:r>
          </w:p>
        </w:tc>
        <w:tc>
          <w:tcPr>
            <w:tcW w:w="3200" w:type="dxa"/>
            <w:vAlign w:val="bottom"/>
            <w:gridSpan w:val="3"/>
            <w:shd w:val="clear" w:color="auto" w:fill="CCEEFF"/>
          </w:tcPr>
          <w:p>
            <w:pPr>
              <w:jc w:val="right"/>
              <w:ind w:right="380"/>
              <w:spacing w:after="0"/>
              <w:rPr>
                <w:sz w:val="20"/>
                <w:szCs w:val="20"/>
                <w:color w:val="auto"/>
              </w:rPr>
            </w:pPr>
            <w:r>
              <w:rPr>
                <w:rFonts w:ascii="Arial" w:cs="Arial" w:eastAsia="Arial" w:hAnsi="Arial"/>
                <w:sz w:val="18"/>
                <w:szCs w:val="18"/>
                <w:color w:val="auto"/>
              </w:rPr>
              <w:t>(3,487,582)</w:t>
            </w:r>
          </w:p>
        </w:tc>
        <w:tc>
          <w:tcPr>
            <w:tcW w:w="148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(2,363,734)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80" w:type="dxa"/>
            <w:vAlign w:val="bottom"/>
          </w:tcPr>
          <w:p>
            <w:pPr>
              <w:spacing w:after="0"/>
              <w:rPr>
                <w:sz w:val="20"/>
                <w:szCs w:val="20"/>
                <w:color w:val="auto"/>
              </w:rPr>
            </w:pPr>
            <w:r>
              <w:rPr>
                <w:rFonts w:ascii="Arial" w:cs="Arial" w:eastAsia="Arial" w:hAnsi="Arial"/>
                <w:sz w:val="18"/>
                <w:szCs w:val="18"/>
                <w:color w:val="auto"/>
              </w:rPr>
              <w:t>Provisions</w:t>
            </w:r>
          </w:p>
        </w:tc>
        <w:tc>
          <w:tcPr>
            <w:tcW w:w="1720" w:type="dxa"/>
            <w:vAlign w:val="bottom"/>
          </w:tcPr>
          <w:p>
            <w:pPr>
              <w:spacing w:after="0"/>
              <w:rPr>
                <w:sz w:val="18"/>
                <w:szCs w:val="18"/>
                <w:color w:val="auto"/>
              </w:rPr>
            </w:pPr>
          </w:p>
        </w:tc>
        <w:tc>
          <w:tcPr>
            <w:tcW w:w="1480" w:type="dxa"/>
            <w:vAlign w:val="bottom"/>
            <w:gridSpan w:val="2"/>
          </w:tcPr>
          <w:p>
            <w:pPr>
              <w:jc w:val="right"/>
              <w:ind w:right="380"/>
              <w:spacing w:after="0"/>
              <w:rPr>
                <w:sz w:val="20"/>
                <w:szCs w:val="20"/>
                <w:color w:val="auto"/>
              </w:rPr>
            </w:pPr>
            <w:r>
              <w:rPr>
                <w:rFonts w:ascii="Arial" w:cs="Arial" w:eastAsia="Arial" w:hAnsi="Arial"/>
                <w:sz w:val="18"/>
                <w:szCs w:val="18"/>
                <w:color w:val="auto"/>
              </w:rPr>
              <w:t>(395,535)</w:t>
            </w:r>
          </w:p>
        </w:tc>
        <w:tc>
          <w:tcPr>
            <w:tcW w:w="1480" w:type="dxa"/>
            <w:vAlign w:val="bottom"/>
            <w:gridSpan w:val="3"/>
          </w:tcPr>
          <w:p>
            <w:pPr>
              <w:jc w:val="right"/>
              <w:ind w:right="40"/>
              <w:spacing w:after="0"/>
              <w:rPr>
                <w:sz w:val="20"/>
                <w:szCs w:val="20"/>
                <w:color w:val="auto"/>
              </w:rPr>
            </w:pPr>
            <w:r>
              <w:rPr>
                <w:rFonts w:ascii="Arial" w:cs="Arial" w:eastAsia="Arial" w:hAnsi="Arial"/>
                <w:sz w:val="18"/>
                <w:szCs w:val="18"/>
                <w:color w:val="auto"/>
              </w:rPr>
              <w:t>(182,355)</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3680" w:type="dxa"/>
            <w:vAlign w:val="bottom"/>
          </w:tcPr>
          <w:p>
            <w:pPr>
              <w:spacing w:after="0"/>
              <w:rPr>
                <w:sz w:val="2"/>
                <w:szCs w:val="2"/>
                <w:color w:val="auto"/>
              </w:rPr>
            </w:pPr>
          </w:p>
        </w:tc>
        <w:tc>
          <w:tcPr>
            <w:tcW w:w="1720" w:type="dxa"/>
            <w:vAlign w:val="bottom"/>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36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Net</w:t>
            </w:r>
          </w:p>
        </w:tc>
        <w:tc>
          <w:tcPr>
            <w:tcW w:w="172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center"/>
              <w:ind w:right="440"/>
              <w:spacing w:after="0"/>
              <w:rPr>
                <w:sz w:val="20"/>
                <w:szCs w:val="20"/>
                <w:color w:val="auto"/>
              </w:rPr>
            </w:pPr>
            <w:r>
              <w:rPr>
                <w:rFonts w:ascii="Arial" w:cs="Arial" w:eastAsia="Arial" w:hAnsi="Arial"/>
                <w:sz w:val="18"/>
                <w:szCs w:val="18"/>
                <w:b w:val="1"/>
                <w:bCs w:val="1"/>
                <w:u w:val="single" w:color="auto"/>
                <w:color w:val="auto"/>
                <w:w w:val="91"/>
              </w:rPr>
              <w:t>A$</w:t>
            </w:r>
            <w:r>
              <w:rPr>
                <w:rFonts w:ascii="Arial" w:cs="Arial" w:eastAsia="Arial" w:hAnsi="Arial"/>
                <w:sz w:val="18"/>
                <w:szCs w:val="18"/>
                <w:b w:val="1"/>
                <w:bCs w:val="1"/>
                <w:color w:val="auto"/>
                <w:w w:val="91"/>
              </w:rPr>
              <w:t>16,379,772</w:t>
            </w:r>
          </w:p>
        </w:tc>
        <w:tc>
          <w:tcPr>
            <w:tcW w:w="1480" w:type="dxa"/>
            <w:vAlign w:val="bottom"/>
            <w:gridSpan w:val="3"/>
            <w:shd w:val="clear" w:color="auto" w:fill="CCEEFF"/>
          </w:tcPr>
          <w:p>
            <w:pPr>
              <w:jc w:val="center"/>
              <w:ind w:left="173"/>
              <w:spacing w:after="0"/>
              <w:rPr>
                <w:sz w:val="20"/>
                <w:szCs w:val="20"/>
                <w:color w:val="auto"/>
              </w:rPr>
            </w:pPr>
            <w:r>
              <w:rPr>
                <w:rFonts w:ascii="Arial" w:cs="Arial" w:eastAsia="Arial" w:hAnsi="Arial"/>
                <w:sz w:val="18"/>
                <w:szCs w:val="18"/>
                <w:b w:val="1"/>
                <w:bCs w:val="1"/>
                <w:u w:val="single" w:color="auto"/>
                <w:color w:val="auto"/>
                <w:w w:val="94"/>
              </w:rPr>
              <w:t>A</w:t>
            </w:r>
            <w:r>
              <w:rPr>
                <w:rFonts w:ascii="Arial" w:cs="Arial" w:eastAsia="Arial" w:hAnsi="Arial"/>
                <w:sz w:val="18"/>
                <w:szCs w:val="18"/>
                <w:b w:val="1"/>
                <w:bCs w:val="1"/>
                <w:color w:val="auto"/>
                <w:w w:val="94"/>
              </w:rPr>
              <w:t>$ 3,314,936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68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03"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Risk Exposures and Responses</w:t>
      </w:r>
    </w:p>
    <w:p>
      <w:pPr>
        <w:spacing w:after="0" w:line="121" w:lineRule="exact"/>
        <w:rPr>
          <w:sz w:val="20"/>
          <w:szCs w:val="20"/>
          <w:color w:val="auto"/>
        </w:rPr>
      </w:pPr>
    </w:p>
    <w:p>
      <w:pPr>
        <w:ind w:left="200"/>
        <w:spacing w:after="0"/>
        <w:rPr>
          <w:sz w:val="20"/>
          <w:szCs w:val="20"/>
          <w:color w:val="auto"/>
        </w:rPr>
      </w:pPr>
      <w:r>
        <w:rPr>
          <w:rFonts w:ascii="Arial" w:cs="Arial" w:eastAsia="Arial" w:hAnsi="Arial"/>
          <w:sz w:val="18"/>
          <w:szCs w:val="18"/>
          <w:i w:val="1"/>
          <w:iCs w:val="1"/>
          <w:color w:val="auto"/>
        </w:rPr>
        <w:t>Interest rate risk</w:t>
      </w:r>
    </w:p>
    <w:p>
      <w:pPr>
        <w:spacing w:after="0" w:line="117" w:lineRule="exact"/>
        <w:rPr>
          <w:sz w:val="20"/>
          <w:szCs w:val="20"/>
          <w:color w:val="auto"/>
        </w:rPr>
      </w:pPr>
    </w:p>
    <w:p>
      <w:pPr>
        <w:ind w:left="200" w:right="260"/>
        <w:spacing w:after="0" w:line="277" w:lineRule="auto"/>
        <w:rPr>
          <w:sz w:val="20"/>
          <w:szCs w:val="20"/>
          <w:color w:val="auto"/>
        </w:rPr>
      </w:pPr>
      <w:r>
        <w:rPr>
          <w:rFonts w:ascii="Arial" w:cs="Arial" w:eastAsia="Arial" w:hAnsi="Arial"/>
          <w:sz w:val="18"/>
          <w:szCs w:val="18"/>
          <w:color w:val="auto"/>
        </w:rPr>
        <w:t>The Company’s exposure to market interest rates relates primarily to short-term deposits with a floating interest rate. At reporting date, the Company had the following mix of financial assets exposed to Australian Variable interest rate risk:</w:t>
      </w:r>
    </w:p>
    <w:p>
      <w:pPr>
        <w:spacing w:after="0" w:line="177" w:lineRule="exact"/>
        <w:rPr>
          <w:sz w:val="20"/>
          <w:szCs w:val="20"/>
          <w:color w:val="auto"/>
        </w:rPr>
      </w:pPr>
    </w:p>
    <w:tbl>
      <w:tblPr>
        <w:tblLayout w:type="fixed"/>
        <w:tblInd w:w="152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720" w:type="dxa"/>
            <w:vAlign w:val="bottom"/>
          </w:tcPr>
          <w:p>
            <w:pPr>
              <w:spacing w:after="0"/>
              <w:rPr>
                <w:sz w:val="14"/>
                <w:szCs w:val="14"/>
                <w:color w:val="auto"/>
              </w:rPr>
            </w:pPr>
          </w:p>
        </w:tc>
        <w:tc>
          <w:tcPr>
            <w:tcW w:w="1840" w:type="dxa"/>
            <w:vAlign w:val="bottom"/>
          </w:tcPr>
          <w:p>
            <w:pPr>
              <w:spacing w:after="0"/>
              <w:rPr>
                <w:sz w:val="14"/>
                <w:szCs w:val="14"/>
                <w:color w:val="auto"/>
              </w:rPr>
            </w:pPr>
          </w:p>
        </w:tc>
        <w:tc>
          <w:tcPr>
            <w:tcW w:w="2800" w:type="dxa"/>
            <w:vAlign w:val="bottom"/>
            <w:gridSpan w:val="4"/>
          </w:tcPr>
          <w:p>
            <w:pPr>
              <w:ind w:left="940"/>
              <w:spacing w:after="0"/>
              <w:rPr>
                <w:sz w:val="20"/>
                <w:szCs w:val="20"/>
                <w:color w:val="auto"/>
              </w:rPr>
            </w:pPr>
            <w:r>
              <w:rPr>
                <w:rFonts w:ascii="Arial" w:cs="Arial" w:eastAsia="Arial" w:hAnsi="Arial"/>
                <w:sz w:val="14"/>
                <w:szCs w:val="14"/>
                <w:b w:val="1"/>
                <w:bCs w:val="1"/>
                <w:color w:val="auto"/>
              </w:rPr>
              <w:t>As of June 30,</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3720" w:type="dxa"/>
            <w:vAlign w:val="bottom"/>
          </w:tcPr>
          <w:p>
            <w:pPr>
              <w:spacing w:after="0"/>
              <w:rPr>
                <w:sz w:val="14"/>
                <w:szCs w:val="14"/>
                <w:color w:val="auto"/>
              </w:rPr>
            </w:pPr>
          </w:p>
        </w:tc>
        <w:tc>
          <w:tcPr>
            <w:tcW w:w="2880" w:type="dxa"/>
            <w:vAlign w:val="bottom"/>
            <w:gridSpan w:val="2"/>
          </w:tcPr>
          <w:p>
            <w:pPr>
              <w:jc w:val="center"/>
              <w:ind w:left="1736"/>
              <w:spacing w:after="0"/>
              <w:rPr>
                <w:sz w:val="20"/>
                <w:szCs w:val="20"/>
                <w:color w:val="auto"/>
              </w:rPr>
            </w:pPr>
            <w:r>
              <w:rPr>
                <w:rFonts w:ascii="Arial" w:cs="Arial" w:eastAsia="Arial" w:hAnsi="Arial"/>
                <w:sz w:val="14"/>
                <w:szCs w:val="14"/>
                <w:b w:val="1"/>
                <w:bCs w:val="1"/>
                <w:color w:val="auto"/>
                <w:w w:val="96"/>
              </w:rPr>
              <w:t>2018</w:t>
            </w:r>
          </w:p>
        </w:tc>
        <w:tc>
          <w:tcPr>
            <w:tcW w:w="1720" w:type="dxa"/>
            <w:vAlign w:val="bottom"/>
            <w:gridSpan w:val="2"/>
          </w:tcPr>
          <w:p>
            <w:pPr>
              <w:jc w:val="center"/>
              <w:ind w:left="656"/>
              <w:spacing w:after="0"/>
              <w:rPr>
                <w:sz w:val="20"/>
                <w:szCs w:val="20"/>
                <w:color w:val="auto"/>
              </w:rPr>
            </w:pPr>
            <w:r>
              <w:rPr>
                <w:rFonts w:ascii="Arial" w:cs="Arial" w:eastAsia="Arial" w:hAnsi="Arial"/>
                <w:sz w:val="14"/>
                <w:szCs w:val="14"/>
                <w:b w:val="1"/>
                <w:bCs w:val="1"/>
                <w:color w:val="auto"/>
                <w:w w:val="96"/>
              </w:rPr>
              <w:t>2017</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372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Financial Assets</w:t>
            </w:r>
          </w:p>
        </w:tc>
        <w:tc>
          <w:tcPr>
            <w:tcW w:w="1840" w:type="dxa"/>
            <w:vAlign w:val="bottom"/>
            <w:tcBorders>
              <w:top w:val="single" w:sz="8" w:color="CCEEFF"/>
            </w:tcBorders>
            <w:shd w:val="clear" w:color="auto" w:fill="CCEEFF"/>
          </w:tcPr>
          <w:p>
            <w:pPr>
              <w:spacing w:after="0"/>
              <w:rPr>
                <w:sz w:val="17"/>
                <w:szCs w:val="17"/>
                <w:color w:val="auto"/>
              </w:rPr>
            </w:pPr>
          </w:p>
        </w:tc>
        <w:tc>
          <w:tcPr>
            <w:tcW w:w="1040" w:type="dxa"/>
            <w:vAlign w:val="bottom"/>
            <w:tcBorders>
              <w:top w:val="single" w:sz="8" w:color="auto"/>
            </w:tcBorders>
            <w:shd w:val="clear" w:color="auto" w:fill="CCEEFF"/>
          </w:tcPr>
          <w:p>
            <w:pPr>
              <w:spacing w:after="0"/>
              <w:rPr>
                <w:sz w:val="17"/>
                <w:szCs w:val="17"/>
                <w:color w:val="auto"/>
              </w:rPr>
            </w:pPr>
          </w:p>
        </w:tc>
        <w:tc>
          <w:tcPr>
            <w:tcW w:w="760" w:type="dxa"/>
            <w:vAlign w:val="bottom"/>
            <w:tcBorders>
              <w:top w:val="single" w:sz="8" w:color="CCEEFF"/>
            </w:tcBorders>
            <w:shd w:val="clear" w:color="auto" w:fill="CCEEFF"/>
          </w:tcPr>
          <w:p>
            <w:pPr>
              <w:spacing w:after="0"/>
              <w:rPr>
                <w:sz w:val="17"/>
                <w:szCs w:val="17"/>
                <w:color w:val="auto"/>
              </w:rPr>
            </w:pPr>
          </w:p>
        </w:tc>
        <w:tc>
          <w:tcPr>
            <w:tcW w:w="960" w:type="dxa"/>
            <w:vAlign w:val="bottom"/>
            <w:tcBorders>
              <w:top w:val="single" w:sz="8" w:color="auto"/>
            </w:tcBorders>
            <w:shd w:val="clear" w:color="auto" w:fill="CCEEFF"/>
          </w:tcPr>
          <w:p>
            <w:pPr>
              <w:spacing w:after="0"/>
              <w:rPr>
                <w:sz w:val="17"/>
                <w:szCs w:val="17"/>
                <w:color w:val="auto"/>
              </w:rPr>
            </w:pPr>
          </w:p>
        </w:tc>
        <w:tc>
          <w:tcPr>
            <w:tcW w:w="4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20" w:type="dxa"/>
            <w:vAlign w:val="bottom"/>
          </w:tcPr>
          <w:p>
            <w:pPr>
              <w:spacing w:after="0"/>
              <w:rPr>
                <w:sz w:val="20"/>
                <w:szCs w:val="20"/>
                <w:color w:val="auto"/>
              </w:rPr>
            </w:pPr>
            <w:r>
              <w:rPr>
                <w:rFonts w:ascii="Arial" w:cs="Arial" w:eastAsia="Arial" w:hAnsi="Arial"/>
                <w:sz w:val="18"/>
                <w:szCs w:val="18"/>
                <w:color w:val="auto"/>
              </w:rPr>
              <w:t>Cash and cash equivalents</w:t>
            </w:r>
          </w:p>
        </w:tc>
        <w:tc>
          <w:tcPr>
            <w:tcW w:w="2880" w:type="dxa"/>
            <w:vAlign w:val="bottom"/>
            <w:gridSpan w:val="2"/>
          </w:tcPr>
          <w:p>
            <w:pPr>
              <w:jc w:val="center"/>
              <w:ind w:left="1756"/>
              <w:spacing w:after="0"/>
              <w:rPr>
                <w:sz w:val="20"/>
                <w:szCs w:val="20"/>
                <w:color w:val="auto"/>
              </w:rPr>
            </w:pPr>
            <w:r>
              <w:rPr>
                <w:rFonts w:ascii="Arial" w:cs="Arial" w:eastAsia="Arial" w:hAnsi="Arial"/>
                <w:sz w:val="18"/>
                <w:szCs w:val="18"/>
                <w:u w:val="single" w:color="auto"/>
                <w:color w:val="auto"/>
                <w:w w:val="92"/>
              </w:rPr>
              <w:t>A$</w:t>
            </w:r>
            <w:r>
              <w:rPr>
                <w:rFonts w:ascii="Arial" w:cs="Arial" w:eastAsia="Arial" w:hAnsi="Arial"/>
                <w:sz w:val="18"/>
                <w:szCs w:val="18"/>
                <w:color w:val="auto"/>
                <w:w w:val="92"/>
              </w:rPr>
              <w:t>14,825,532</w:t>
            </w:r>
          </w:p>
        </w:tc>
        <w:tc>
          <w:tcPr>
            <w:tcW w:w="1760" w:type="dxa"/>
            <w:vAlign w:val="bottom"/>
            <w:gridSpan w:val="3"/>
          </w:tcPr>
          <w:p>
            <w:pPr>
              <w:jc w:val="center"/>
              <w:ind w:left="596"/>
              <w:spacing w:after="0"/>
              <w:rPr>
                <w:sz w:val="20"/>
                <w:szCs w:val="20"/>
                <w:color w:val="auto"/>
              </w:rPr>
            </w:pPr>
            <w:r>
              <w:rPr>
                <w:rFonts w:ascii="Arial" w:cs="Arial" w:eastAsia="Arial" w:hAnsi="Arial"/>
                <w:sz w:val="18"/>
                <w:szCs w:val="18"/>
                <w:u w:val="single" w:color="auto"/>
                <w:color w:val="auto"/>
                <w:w w:val="93"/>
              </w:rPr>
              <w:t>A$</w:t>
            </w:r>
            <w:r>
              <w:rPr>
                <w:rFonts w:ascii="Arial" w:cs="Arial" w:eastAsia="Arial" w:hAnsi="Arial"/>
                <w:sz w:val="18"/>
                <w:szCs w:val="18"/>
                <w:color w:val="auto"/>
                <w:w w:val="93"/>
              </w:rPr>
              <w:t>3,790,491</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3720" w:type="dxa"/>
            <w:vAlign w:val="bottom"/>
          </w:tcPr>
          <w:p>
            <w:pPr>
              <w:spacing w:after="0"/>
              <w:rPr>
                <w:sz w:val="2"/>
                <w:szCs w:val="2"/>
                <w:color w:val="auto"/>
              </w:rPr>
            </w:pPr>
          </w:p>
        </w:tc>
        <w:tc>
          <w:tcPr>
            <w:tcW w:w="1840" w:type="dxa"/>
            <w:vAlign w:val="bottom"/>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760" w:type="dxa"/>
            <w:vAlign w:val="bottom"/>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37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Net exposure</w:t>
            </w:r>
          </w:p>
        </w:tc>
        <w:tc>
          <w:tcPr>
            <w:tcW w:w="2880" w:type="dxa"/>
            <w:vAlign w:val="bottom"/>
            <w:gridSpan w:val="2"/>
            <w:shd w:val="clear" w:color="auto" w:fill="CCEEFF"/>
          </w:tcPr>
          <w:p>
            <w:pPr>
              <w:jc w:val="center"/>
              <w:ind w:left="1756"/>
              <w:spacing w:after="0"/>
              <w:rPr>
                <w:sz w:val="20"/>
                <w:szCs w:val="20"/>
                <w:color w:val="auto"/>
              </w:rPr>
            </w:pPr>
            <w:r>
              <w:rPr>
                <w:rFonts w:ascii="Arial" w:cs="Arial" w:eastAsia="Arial" w:hAnsi="Arial"/>
                <w:sz w:val="18"/>
                <w:szCs w:val="18"/>
                <w:b w:val="1"/>
                <w:bCs w:val="1"/>
                <w:u w:val="single" w:color="auto"/>
                <w:color w:val="auto"/>
                <w:w w:val="91"/>
              </w:rPr>
              <w:t>A$</w:t>
            </w:r>
            <w:r>
              <w:rPr>
                <w:rFonts w:ascii="Arial" w:cs="Arial" w:eastAsia="Arial" w:hAnsi="Arial"/>
                <w:sz w:val="18"/>
                <w:szCs w:val="18"/>
                <w:b w:val="1"/>
                <w:bCs w:val="1"/>
                <w:color w:val="auto"/>
                <w:w w:val="91"/>
              </w:rPr>
              <w:t>14,825,532</w:t>
            </w:r>
          </w:p>
        </w:tc>
        <w:tc>
          <w:tcPr>
            <w:tcW w:w="1760" w:type="dxa"/>
            <w:vAlign w:val="bottom"/>
            <w:gridSpan w:val="3"/>
            <w:shd w:val="clear" w:color="auto" w:fill="CCEEFF"/>
          </w:tcPr>
          <w:p>
            <w:pPr>
              <w:jc w:val="center"/>
              <w:ind w:left="596"/>
              <w:spacing w:after="0"/>
              <w:rPr>
                <w:sz w:val="20"/>
                <w:szCs w:val="20"/>
                <w:color w:val="auto"/>
              </w:rPr>
            </w:pPr>
            <w:r>
              <w:rPr>
                <w:rFonts w:ascii="Arial" w:cs="Arial" w:eastAsia="Arial" w:hAnsi="Arial"/>
                <w:sz w:val="18"/>
                <w:szCs w:val="18"/>
                <w:b w:val="1"/>
                <w:bCs w:val="1"/>
                <w:u w:val="single" w:color="auto"/>
                <w:color w:val="auto"/>
                <w:w w:val="93"/>
              </w:rPr>
              <w:t>A$</w:t>
            </w:r>
            <w:r>
              <w:rPr>
                <w:rFonts w:ascii="Arial" w:cs="Arial" w:eastAsia="Arial" w:hAnsi="Arial"/>
                <w:sz w:val="18"/>
                <w:szCs w:val="18"/>
                <w:b w:val="1"/>
                <w:bCs w:val="1"/>
                <w:color w:val="auto"/>
                <w:w w:val="93"/>
              </w:rPr>
              <w:t>3,790,491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72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ind w:left="200" w:right="400"/>
        <w:spacing w:after="0" w:line="342" w:lineRule="auto"/>
        <w:rPr>
          <w:sz w:val="20"/>
          <w:szCs w:val="20"/>
          <w:color w:val="auto"/>
        </w:rPr>
      </w:pPr>
      <w:r>
        <w:rPr>
          <w:rFonts w:ascii="Arial" w:cs="Arial" w:eastAsia="Arial" w:hAnsi="Arial"/>
          <w:sz w:val="16"/>
          <w:szCs w:val="16"/>
          <w:color w:val="auto"/>
        </w:rPr>
        <w:t>The Company’s policy is to manage its finance costs and revenue using a mix of fixed and variable interest rates depending on the forecast funding requirements of the Company. At June 30, 2018 and 2017, there were no cash and cash equivalents recorded at a fixed rate of interest.</w:t>
      </w:r>
    </w:p>
    <w:p>
      <w:pPr>
        <w:spacing w:after="0" w:line="56"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F-44</w:t>
      </w:r>
    </w:p>
    <w:p>
      <w:pPr>
        <w:sectPr>
          <w:pgSz w:w="11900" w:h="16838" w:orient="portrait"/>
          <w:cols w:equalWidth="0" w:num="1">
            <w:col w:w="11200"/>
          </w:cols>
          <w:pgMar w:left="240" w:top="459" w:right="459" w:bottom="1440" w:gutter="0" w:footer="0" w:header="0"/>
        </w:sectPr>
      </w:pPr>
    </w:p>
    <w:bookmarkStart w:id="143" w:name="page144"/>
    <w:bookmarkEnd w:id="14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9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AVITA MEDICAL LIMITED</w:t>
      </w:r>
    </w:p>
    <w:p>
      <w:pPr>
        <w:spacing w:after="0" w:line="27"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9"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(IN AUSTRALIAN DOLLARS)</w:t>
      </w:r>
    </w:p>
    <w:p>
      <w:pPr>
        <w:spacing w:after="0" w:line="234" w:lineRule="exact"/>
        <w:rPr>
          <w:sz w:val="20"/>
          <w:szCs w:val="20"/>
          <w:color w:val="auto"/>
        </w:rPr>
      </w:pPr>
    </w:p>
    <w:p>
      <w:pPr>
        <w:ind w:left="640" w:hanging="436"/>
        <w:spacing w:after="0"/>
        <w:tabs>
          <w:tab w:leader="none" w:pos="640" w:val="left"/>
        </w:tabs>
        <w:numPr>
          <w:ilvl w:val="0"/>
          <w:numId w:val="183"/>
        </w:numPr>
        <w:rPr>
          <w:rFonts w:ascii="Arial" w:cs="Arial" w:eastAsia="Arial" w:hAnsi="Arial"/>
          <w:sz w:val="18"/>
          <w:szCs w:val="18"/>
          <w:b w:val="1"/>
          <w:bCs w:val="1"/>
          <w:color w:val="auto"/>
        </w:rPr>
      </w:pPr>
      <w:r>
        <w:rPr>
          <w:rFonts w:ascii="Arial" w:cs="Arial" w:eastAsia="Arial" w:hAnsi="Arial"/>
          <w:sz w:val="18"/>
          <w:szCs w:val="18"/>
          <w:b w:val="1"/>
          <w:bCs w:val="1"/>
          <w:color w:val="auto"/>
        </w:rPr>
        <w:t>FINANCIAL RISK MANAGEMENT OBJECTIVES AND POLICIES (CONTINUED)</w:t>
      </w:r>
    </w:p>
    <w:p>
      <w:pPr>
        <w:spacing w:after="0" w:line="135" w:lineRule="exact"/>
        <w:rPr>
          <w:sz w:val="20"/>
          <w:szCs w:val="20"/>
          <w:color w:val="auto"/>
        </w:rPr>
      </w:pPr>
    </w:p>
    <w:p>
      <w:pPr>
        <w:ind w:left="200" w:right="320"/>
        <w:spacing w:after="0" w:line="277" w:lineRule="auto"/>
        <w:rPr>
          <w:sz w:val="20"/>
          <w:szCs w:val="20"/>
          <w:color w:val="auto"/>
        </w:rPr>
      </w:pPr>
      <w:r>
        <w:rPr>
          <w:rFonts w:ascii="Arial" w:cs="Arial" w:eastAsia="Arial" w:hAnsi="Arial"/>
          <w:sz w:val="18"/>
          <w:szCs w:val="18"/>
          <w:color w:val="auto"/>
        </w:rPr>
        <w:t>The following sensitivity analysis is based on the interest rate exposures in existence at the reporting date. The 1% sensitivity is based on reasonably possible changes over a financial year, using the observed range of historical rates for the preceding three-year period.</w:t>
      </w:r>
    </w:p>
    <w:p>
      <w:pPr>
        <w:spacing w:after="0" w:line="170" w:lineRule="exact"/>
        <w:rPr>
          <w:sz w:val="20"/>
          <w:szCs w:val="20"/>
          <w:color w:val="auto"/>
        </w:rPr>
      </w:pPr>
    </w:p>
    <w:p>
      <w:pPr>
        <w:ind w:left="200" w:right="60"/>
        <w:spacing w:after="0" w:line="277" w:lineRule="auto"/>
        <w:rPr>
          <w:sz w:val="20"/>
          <w:szCs w:val="20"/>
          <w:color w:val="auto"/>
        </w:rPr>
      </w:pPr>
      <w:r>
        <w:rPr>
          <w:rFonts w:ascii="Arial" w:cs="Arial" w:eastAsia="Arial" w:hAnsi="Arial"/>
          <w:sz w:val="18"/>
          <w:szCs w:val="18"/>
          <w:color w:val="auto"/>
        </w:rPr>
        <w:t>At June 30, 2018, if interest rates had moved, as illustrated in the table below, with all other variables held constant, post tax loss and equity would have been affected as follows:</w:t>
      </w:r>
    </w:p>
    <w:p>
      <w:pPr>
        <w:spacing w:after="0" w:line="177" w:lineRule="exact"/>
        <w:rPr>
          <w:sz w:val="20"/>
          <w:szCs w:val="20"/>
          <w:color w:val="auto"/>
        </w:rPr>
      </w:pPr>
    </w:p>
    <w:tbl>
      <w:tblPr>
        <w:tblLayout w:type="fixed"/>
        <w:tblInd w:w="640" w:type="dxa"/>
        <w:tblCellMar>
          <w:top w:w="0" w:type="dxa"/>
          <w:left w:w="0" w:type="dxa"/>
          <w:bottom w:w="0" w:type="dxa"/>
          <w:right w:w="0" w:type="dxa"/>
        </w:tblCellMar>
      </w:tblPr>
      <w:tr>
        <w:trPr>
          <w:trHeight w:val="161"/>
        </w:trPr>
        <w:tc>
          <w:tcPr>
            <w:tcW w:w="3460" w:type="dxa"/>
            <w:vAlign w:val="bottom"/>
            <w:gridSpan w:val="2"/>
          </w:tcPr>
          <w:p>
            <w:pPr>
              <w:spacing w:after="0"/>
              <w:rPr>
                <w:sz w:val="20"/>
                <w:szCs w:val="20"/>
                <w:color w:val="auto"/>
              </w:rPr>
            </w:pPr>
            <w:r>
              <w:rPr>
                <w:rFonts w:ascii="Arial" w:cs="Arial" w:eastAsia="Arial" w:hAnsi="Arial"/>
                <w:sz w:val="14"/>
                <w:szCs w:val="14"/>
                <w:b w:val="1"/>
                <w:bCs w:val="1"/>
                <w:color w:val="auto"/>
              </w:rPr>
              <w:t>Judgements of reasonably possible</w:t>
            </w:r>
          </w:p>
        </w:tc>
        <w:tc>
          <w:tcPr>
            <w:tcW w:w="1320" w:type="dxa"/>
            <w:vAlign w:val="bottom"/>
          </w:tcPr>
          <w:p>
            <w:pPr>
              <w:spacing w:after="0"/>
              <w:rPr>
                <w:sz w:val="14"/>
                <w:szCs w:val="14"/>
                <w:color w:val="auto"/>
              </w:rPr>
            </w:pPr>
          </w:p>
        </w:tc>
        <w:tc>
          <w:tcPr>
            <w:tcW w:w="2700" w:type="dxa"/>
            <w:vAlign w:val="bottom"/>
            <w:gridSpan w:val="5"/>
          </w:tcPr>
          <w:p>
            <w:pPr>
              <w:jc w:val="center"/>
              <w:ind w:right="380"/>
              <w:spacing w:after="0"/>
              <w:rPr>
                <w:sz w:val="20"/>
                <w:szCs w:val="20"/>
                <w:color w:val="auto"/>
              </w:rPr>
            </w:pPr>
            <w:r>
              <w:rPr>
                <w:rFonts w:ascii="Arial" w:cs="Arial" w:eastAsia="Arial" w:hAnsi="Arial"/>
                <w:sz w:val="14"/>
                <w:szCs w:val="14"/>
                <w:b w:val="1"/>
                <w:bCs w:val="1"/>
                <w:color w:val="auto"/>
                <w:w w:val="88"/>
              </w:rPr>
              <w:t>Post Tax Loss</w:t>
            </w:r>
          </w:p>
        </w:tc>
        <w:tc>
          <w:tcPr>
            <w:tcW w:w="3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520" w:type="dxa"/>
            <w:vAlign w:val="bottom"/>
          </w:tcPr>
          <w:p>
            <w:pPr>
              <w:jc w:val="center"/>
              <w:spacing w:after="0"/>
              <w:rPr>
                <w:sz w:val="20"/>
                <w:szCs w:val="20"/>
                <w:color w:val="auto"/>
              </w:rPr>
            </w:pPr>
            <w:r>
              <w:rPr>
                <w:rFonts w:ascii="Arial" w:cs="Arial" w:eastAsia="Arial" w:hAnsi="Arial"/>
                <w:sz w:val="14"/>
                <w:szCs w:val="14"/>
                <w:b w:val="1"/>
                <w:bCs w:val="1"/>
                <w:color w:val="auto"/>
                <w:w w:val="98"/>
              </w:rPr>
              <w:t>Equity</w:t>
            </w:r>
          </w:p>
        </w:tc>
        <w:tc>
          <w:tcPr>
            <w:tcW w:w="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62"/>
        </w:trPr>
        <w:tc>
          <w:tcPr>
            <w:tcW w:w="3460" w:type="dxa"/>
            <w:vAlign w:val="bottom"/>
            <w:gridSpan w:val="2"/>
          </w:tcPr>
          <w:p>
            <w:pPr>
              <w:spacing w:after="0"/>
              <w:rPr>
                <w:sz w:val="20"/>
                <w:szCs w:val="20"/>
                <w:color w:val="auto"/>
              </w:rPr>
            </w:pPr>
            <w:r>
              <w:rPr>
                <w:rFonts w:ascii="Arial" w:cs="Arial" w:eastAsia="Arial" w:hAnsi="Arial"/>
                <w:sz w:val="14"/>
                <w:szCs w:val="14"/>
                <w:b w:val="1"/>
                <w:bCs w:val="1"/>
                <w:color w:val="auto"/>
              </w:rPr>
              <w:t>movements:</w:t>
            </w:r>
          </w:p>
        </w:tc>
        <w:tc>
          <w:tcPr>
            <w:tcW w:w="1320" w:type="dxa"/>
            <w:vAlign w:val="bottom"/>
          </w:tcPr>
          <w:p>
            <w:pPr>
              <w:spacing w:after="0"/>
              <w:rPr>
                <w:sz w:val="14"/>
                <w:szCs w:val="14"/>
                <w:color w:val="auto"/>
              </w:rPr>
            </w:pPr>
          </w:p>
        </w:tc>
        <w:tc>
          <w:tcPr>
            <w:tcW w:w="2700" w:type="dxa"/>
            <w:vAlign w:val="bottom"/>
            <w:gridSpan w:val="5"/>
          </w:tcPr>
          <w:p>
            <w:pPr>
              <w:jc w:val="center"/>
              <w:ind w:right="380"/>
              <w:spacing w:after="0"/>
              <w:rPr>
                <w:sz w:val="20"/>
                <w:szCs w:val="20"/>
                <w:color w:val="auto"/>
              </w:rPr>
            </w:pPr>
            <w:r>
              <w:rPr>
                <w:rFonts w:ascii="Arial" w:cs="Arial" w:eastAsia="Arial" w:hAnsi="Arial"/>
                <w:sz w:val="14"/>
                <w:szCs w:val="14"/>
                <w:b w:val="1"/>
                <w:bCs w:val="1"/>
                <w:color w:val="auto"/>
                <w:w w:val="97"/>
              </w:rPr>
              <w:t>(Higher)/Lower</w:t>
            </w:r>
          </w:p>
        </w:tc>
        <w:tc>
          <w:tcPr>
            <w:tcW w:w="300" w:type="dxa"/>
            <w:vAlign w:val="bottom"/>
          </w:tcPr>
          <w:p>
            <w:pPr>
              <w:spacing w:after="0"/>
              <w:rPr>
                <w:sz w:val="14"/>
                <w:szCs w:val="14"/>
                <w:color w:val="auto"/>
              </w:rPr>
            </w:pPr>
          </w:p>
        </w:tc>
        <w:tc>
          <w:tcPr>
            <w:tcW w:w="2360" w:type="dxa"/>
            <w:vAlign w:val="bottom"/>
            <w:gridSpan w:val="5"/>
          </w:tcPr>
          <w:p>
            <w:pPr>
              <w:jc w:val="center"/>
              <w:ind w:right="120"/>
              <w:spacing w:after="0"/>
              <w:rPr>
                <w:sz w:val="20"/>
                <w:szCs w:val="20"/>
                <w:color w:val="auto"/>
              </w:rPr>
            </w:pPr>
            <w:r>
              <w:rPr>
                <w:rFonts w:ascii="Arial" w:cs="Arial" w:eastAsia="Arial" w:hAnsi="Arial"/>
                <w:sz w:val="14"/>
                <w:szCs w:val="14"/>
                <w:b w:val="1"/>
                <w:bCs w:val="1"/>
                <w:color w:val="auto"/>
                <w:w w:val="97"/>
              </w:rPr>
              <w:t>Higher/(Lower)</w:t>
            </w:r>
          </w:p>
        </w:tc>
      </w:tr>
      <w:tr>
        <w:trPr>
          <w:trHeight w:val="171"/>
        </w:trPr>
        <w:tc>
          <w:tcPr>
            <w:tcW w:w="20" w:type="dxa"/>
            <w:vAlign w:val="bottom"/>
          </w:tcPr>
          <w:p>
            <w:pPr>
              <w:spacing w:after="0"/>
              <w:rPr>
                <w:sz w:val="14"/>
                <w:szCs w:val="14"/>
                <w:color w:val="auto"/>
              </w:rPr>
            </w:pPr>
          </w:p>
        </w:tc>
        <w:tc>
          <w:tcPr>
            <w:tcW w:w="3440" w:type="dxa"/>
            <w:vAlign w:val="bottom"/>
          </w:tcPr>
          <w:p>
            <w:pPr>
              <w:spacing w:after="0"/>
              <w:rPr>
                <w:sz w:val="14"/>
                <w:szCs w:val="14"/>
                <w:color w:val="auto"/>
              </w:rPr>
            </w:pPr>
          </w:p>
        </w:tc>
        <w:tc>
          <w:tcPr>
            <w:tcW w:w="2200" w:type="dxa"/>
            <w:vAlign w:val="bottom"/>
            <w:gridSpan w:val="2"/>
          </w:tcPr>
          <w:p>
            <w:pPr>
              <w:jc w:val="right"/>
              <w:ind w:right="222"/>
              <w:spacing w:after="0"/>
              <w:rPr>
                <w:sz w:val="20"/>
                <w:szCs w:val="20"/>
                <w:color w:val="auto"/>
              </w:rPr>
            </w:pPr>
            <w:r>
              <w:rPr>
                <w:rFonts w:ascii="Arial" w:cs="Arial" w:eastAsia="Arial" w:hAnsi="Arial"/>
                <w:sz w:val="14"/>
                <w:szCs w:val="14"/>
                <w:b w:val="1"/>
                <w:bCs w:val="1"/>
                <w:color w:val="auto"/>
              </w:rPr>
              <w:t>2018</w:t>
            </w:r>
          </w:p>
        </w:tc>
        <w:tc>
          <w:tcPr>
            <w:tcW w:w="360" w:type="dxa"/>
            <w:vAlign w:val="bottom"/>
          </w:tcPr>
          <w:p>
            <w:pPr>
              <w:spacing w:after="0"/>
              <w:rPr>
                <w:sz w:val="14"/>
                <w:szCs w:val="14"/>
                <w:color w:val="auto"/>
              </w:rPr>
            </w:pPr>
          </w:p>
        </w:tc>
        <w:tc>
          <w:tcPr>
            <w:tcW w:w="1100" w:type="dxa"/>
            <w:vAlign w:val="bottom"/>
            <w:gridSpan w:val="2"/>
          </w:tcPr>
          <w:p>
            <w:pPr>
              <w:ind w:left="560"/>
              <w:spacing w:after="0"/>
              <w:rPr>
                <w:sz w:val="20"/>
                <w:szCs w:val="20"/>
                <w:color w:val="auto"/>
              </w:rPr>
            </w:pPr>
            <w:r>
              <w:rPr>
                <w:rFonts w:ascii="Arial" w:cs="Arial" w:eastAsia="Arial" w:hAnsi="Arial"/>
                <w:sz w:val="14"/>
                <w:szCs w:val="14"/>
                <w:b w:val="1"/>
                <w:bCs w:val="1"/>
                <w:color w:val="auto"/>
              </w:rPr>
              <w:t>2017</w:t>
            </w:r>
          </w:p>
        </w:tc>
        <w:tc>
          <w:tcPr>
            <w:tcW w:w="360" w:type="dxa"/>
            <w:vAlign w:val="bottom"/>
          </w:tcPr>
          <w:p>
            <w:pPr>
              <w:spacing w:after="0"/>
              <w:rPr>
                <w:sz w:val="14"/>
                <w:szCs w:val="14"/>
                <w:color w:val="auto"/>
              </w:rPr>
            </w:pPr>
          </w:p>
        </w:tc>
        <w:tc>
          <w:tcPr>
            <w:tcW w:w="1180" w:type="dxa"/>
            <w:vAlign w:val="bottom"/>
            <w:gridSpan w:val="2"/>
          </w:tcPr>
          <w:p>
            <w:pPr>
              <w:jc w:val="right"/>
              <w:ind w:right="219"/>
              <w:spacing w:after="0"/>
              <w:rPr>
                <w:sz w:val="20"/>
                <w:szCs w:val="20"/>
                <w:color w:val="auto"/>
              </w:rPr>
            </w:pPr>
            <w:r>
              <w:rPr>
                <w:rFonts w:ascii="Arial" w:cs="Arial" w:eastAsia="Arial" w:hAnsi="Arial"/>
                <w:sz w:val="14"/>
                <w:szCs w:val="14"/>
                <w:b w:val="1"/>
                <w:bCs w:val="1"/>
                <w:color w:val="auto"/>
              </w:rPr>
              <w:t>2018</w:t>
            </w:r>
          </w:p>
        </w:tc>
        <w:tc>
          <w:tcPr>
            <w:tcW w:w="520" w:type="dxa"/>
            <w:vAlign w:val="bottom"/>
          </w:tcPr>
          <w:p>
            <w:pPr>
              <w:spacing w:after="0"/>
              <w:rPr>
                <w:sz w:val="14"/>
                <w:szCs w:val="14"/>
                <w:color w:val="auto"/>
              </w:rPr>
            </w:pPr>
          </w:p>
        </w:tc>
        <w:tc>
          <w:tcPr>
            <w:tcW w:w="860" w:type="dxa"/>
            <w:vAlign w:val="bottom"/>
            <w:gridSpan w:val="2"/>
          </w:tcPr>
          <w:p>
            <w:pPr>
              <w:ind w:left="300"/>
              <w:spacing w:after="0"/>
              <w:rPr>
                <w:sz w:val="20"/>
                <w:szCs w:val="20"/>
                <w:color w:val="auto"/>
              </w:rPr>
            </w:pPr>
            <w:r>
              <w:rPr>
                <w:rFonts w:ascii="Arial" w:cs="Arial" w:eastAsia="Arial" w:hAnsi="Arial"/>
                <w:sz w:val="14"/>
                <w:szCs w:val="14"/>
                <w:b w:val="1"/>
                <w:bCs w:val="1"/>
                <w:color w:val="auto"/>
              </w:rPr>
              <w:t>2017</w:t>
            </w:r>
          </w:p>
        </w:tc>
        <w:tc>
          <w:tcPr>
            <w:tcW w:w="100" w:type="dxa"/>
            <w:vAlign w:val="bottom"/>
          </w:tcPr>
          <w:p>
            <w:pPr>
              <w:spacing w:after="0"/>
              <w:rPr>
                <w:sz w:val="14"/>
                <w:szCs w:val="14"/>
                <w:color w:val="auto"/>
              </w:rPr>
            </w:pPr>
          </w:p>
        </w:tc>
      </w:tr>
      <w:tr>
        <w:trPr>
          <w:trHeight w:val="210"/>
        </w:trPr>
        <w:tc>
          <w:tcPr>
            <w:tcW w:w="20" w:type="dxa"/>
            <w:vAlign w:val="bottom"/>
          </w:tcPr>
          <w:p>
            <w:pPr>
              <w:spacing w:after="0"/>
              <w:rPr>
                <w:sz w:val="18"/>
                <w:szCs w:val="18"/>
                <w:color w:val="auto"/>
              </w:rPr>
            </w:pPr>
          </w:p>
        </w:tc>
        <w:tc>
          <w:tcPr>
            <w:tcW w:w="34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+1% (100 basis points)</w:t>
            </w:r>
          </w:p>
        </w:tc>
        <w:tc>
          <w:tcPr>
            <w:tcW w:w="1320" w:type="dxa"/>
            <w:vAlign w:val="bottom"/>
            <w:tcBorders>
              <w:top w:val="single" w:sz="8" w:color="CCEEFF"/>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5"/>
              </w:rPr>
              <w:t>A$ 148,255</w:t>
            </w:r>
          </w:p>
        </w:tc>
        <w:tc>
          <w:tcPr>
            <w:tcW w:w="36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CCEEFF"/>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94"/>
              </w:rPr>
              <w:t>A$ 37,905</w:t>
            </w:r>
          </w:p>
        </w:tc>
        <w:tc>
          <w:tcPr>
            <w:tcW w:w="36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CCEEFF"/>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5"/>
              </w:rPr>
              <w:t>A$ 148,255</w:t>
            </w:r>
          </w:p>
        </w:tc>
        <w:tc>
          <w:tcPr>
            <w:tcW w:w="52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94"/>
              </w:rPr>
              <w:t>A$ 37,905</w:t>
            </w:r>
          </w:p>
        </w:tc>
        <w:tc>
          <w:tcPr>
            <w:tcW w:w="100" w:type="dxa"/>
            <w:vAlign w:val="bottom"/>
            <w:tcBorders>
              <w:top w:val="single" w:sz="8" w:color="CCEEFF"/>
            </w:tcBorders>
            <w:shd w:val="clear" w:color="auto" w:fill="CCEEFF"/>
          </w:tcPr>
          <w:p>
            <w:pPr>
              <w:spacing w:after="0"/>
              <w:rPr>
                <w:sz w:val="18"/>
                <w:szCs w:val="18"/>
                <w:color w:val="auto"/>
              </w:rPr>
            </w:pPr>
          </w:p>
        </w:tc>
      </w:tr>
      <w:tr>
        <w:trPr>
          <w:trHeight w:val="230"/>
        </w:trPr>
        <w:tc>
          <w:tcPr>
            <w:tcW w:w="20" w:type="dxa"/>
            <w:vAlign w:val="bottom"/>
          </w:tcPr>
          <w:p>
            <w:pPr>
              <w:spacing w:after="0"/>
              <w:rPr>
                <w:sz w:val="20"/>
                <w:szCs w:val="20"/>
                <w:color w:val="auto"/>
              </w:rPr>
            </w:pPr>
          </w:p>
        </w:tc>
        <w:tc>
          <w:tcPr>
            <w:tcW w:w="3440" w:type="dxa"/>
            <w:vAlign w:val="bottom"/>
          </w:tcPr>
          <w:p>
            <w:pPr>
              <w:spacing w:after="0"/>
              <w:rPr>
                <w:sz w:val="20"/>
                <w:szCs w:val="20"/>
                <w:color w:val="auto"/>
              </w:rPr>
            </w:pPr>
            <w:r>
              <w:rPr>
                <w:rFonts w:ascii="Arial" w:cs="Arial" w:eastAsia="Arial" w:hAnsi="Arial"/>
                <w:sz w:val="18"/>
                <w:szCs w:val="18"/>
                <w:color w:val="auto"/>
              </w:rPr>
              <w:t>-1% (100 basis points)</w:t>
            </w:r>
          </w:p>
        </w:tc>
        <w:tc>
          <w:tcPr>
            <w:tcW w:w="2560" w:type="dxa"/>
            <w:vAlign w:val="bottom"/>
            <w:gridSpan w:val="3"/>
          </w:tcPr>
          <w:p>
            <w:pPr>
              <w:jc w:val="right"/>
              <w:ind w:right="300"/>
              <w:spacing w:after="0"/>
              <w:rPr>
                <w:sz w:val="20"/>
                <w:szCs w:val="20"/>
                <w:color w:val="auto"/>
              </w:rPr>
            </w:pPr>
            <w:r>
              <w:rPr>
                <w:rFonts w:ascii="Arial" w:cs="Arial" w:eastAsia="Arial" w:hAnsi="Arial"/>
                <w:sz w:val="18"/>
                <w:szCs w:val="18"/>
                <w:color w:val="auto"/>
              </w:rPr>
              <w:t>(148,255)</w:t>
            </w:r>
          </w:p>
        </w:tc>
        <w:tc>
          <w:tcPr>
            <w:tcW w:w="1460" w:type="dxa"/>
            <w:vAlign w:val="bottom"/>
            <w:gridSpan w:val="3"/>
          </w:tcPr>
          <w:p>
            <w:pPr>
              <w:ind w:left="540"/>
              <w:spacing w:after="0"/>
              <w:rPr>
                <w:sz w:val="20"/>
                <w:szCs w:val="20"/>
                <w:color w:val="auto"/>
              </w:rPr>
            </w:pPr>
            <w:r>
              <w:rPr>
                <w:rFonts w:ascii="Arial" w:cs="Arial" w:eastAsia="Arial" w:hAnsi="Arial"/>
                <w:sz w:val="18"/>
                <w:szCs w:val="18"/>
                <w:color w:val="auto"/>
              </w:rPr>
              <w:t>(37,905)</w:t>
            </w:r>
          </w:p>
        </w:tc>
        <w:tc>
          <w:tcPr>
            <w:tcW w:w="1700" w:type="dxa"/>
            <w:vAlign w:val="bottom"/>
            <w:gridSpan w:val="3"/>
          </w:tcPr>
          <w:p>
            <w:pPr>
              <w:jc w:val="right"/>
              <w:ind w:right="388"/>
              <w:spacing w:after="0"/>
              <w:rPr>
                <w:sz w:val="20"/>
                <w:szCs w:val="20"/>
                <w:color w:val="auto"/>
              </w:rPr>
            </w:pPr>
            <w:r>
              <w:rPr>
                <w:rFonts w:ascii="Arial" w:cs="Arial" w:eastAsia="Arial" w:hAnsi="Arial"/>
                <w:sz w:val="18"/>
                <w:szCs w:val="18"/>
                <w:color w:val="auto"/>
              </w:rPr>
              <w:t>(148,255)</w:t>
            </w:r>
          </w:p>
        </w:tc>
        <w:tc>
          <w:tcPr>
            <w:tcW w:w="960" w:type="dxa"/>
            <w:vAlign w:val="bottom"/>
            <w:gridSpan w:val="3"/>
          </w:tcPr>
          <w:p>
            <w:pPr>
              <w:ind w:left="300"/>
              <w:spacing w:after="0"/>
              <w:rPr>
                <w:sz w:val="20"/>
                <w:szCs w:val="20"/>
                <w:color w:val="auto"/>
              </w:rPr>
            </w:pPr>
            <w:r>
              <w:rPr>
                <w:rFonts w:ascii="Arial" w:cs="Arial" w:eastAsia="Arial" w:hAnsi="Arial"/>
                <w:sz w:val="18"/>
                <w:szCs w:val="18"/>
                <w:color w:val="auto"/>
                <w:w w:val="95"/>
              </w:rPr>
              <w:t>(37,905)</w:t>
            </w:r>
          </w:p>
        </w:tc>
      </w:tr>
    </w:tbl>
    <w:p>
      <w:pPr>
        <w:spacing w:after="0" w:line="187" w:lineRule="exact"/>
        <w:rPr>
          <w:sz w:val="20"/>
          <w:szCs w:val="20"/>
          <w:color w:val="auto"/>
        </w:rPr>
      </w:pPr>
    </w:p>
    <w:p>
      <w:pPr>
        <w:ind w:left="200"/>
        <w:spacing w:after="0"/>
        <w:rPr>
          <w:sz w:val="20"/>
          <w:szCs w:val="20"/>
          <w:color w:val="auto"/>
        </w:rPr>
      </w:pPr>
      <w:r>
        <w:rPr>
          <w:rFonts w:ascii="Arial" w:cs="Arial" w:eastAsia="Arial" w:hAnsi="Arial"/>
          <w:sz w:val="18"/>
          <w:szCs w:val="18"/>
          <w:color w:val="auto"/>
        </w:rPr>
        <w:t>The movements in loss are due to higher/lower finance revenue from variable rate cash balances.</w:t>
      </w:r>
    </w:p>
    <w:p>
      <w:pPr>
        <w:spacing w:after="0" w:line="333" w:lineRule="exact"/>
        <w:rPr>
          <w:sz w:val="20"/>
          <w:szCs w:val="20"/>
          <w:color w:val="auto"/>
        </w:rPr>
      </w:pPr>
    </w:p>
    <w:p>
      <w:pPr>
        <w:ind w:left="200"/>
        <w:spacing w:after="0"/>
        <w:rPr>
          <w:sz w:val="20"/>
          <w:szCs w:val="20"/>
          <w:color w:val="auto"/>
        </w:rPr>
      </w:pPr>
      <w:r>
        <w:rPr>
          <w:rFonts w:ascii="Arial" w:cs="Arial" w:eastAsia="Arial" w:hAnsi="Arial"/>
          <w:sz w:val="18"/>
          <w:szCs w:val="18"/>
          <w:i w:val="1"/>
          <w:iCs w:val="1"/>
          <w:color w:val="auto"/>
        </w:rPr>
        <w:t>Foreign currency risk</w:t>
      </w:r>
    </w:p>
    <w:p>
      <w:pPr>
        <w:spacing w:after="0" w:line="117" w:lineRule="exact"/>
        <w:rPr>
          <w:sz w:val="20"/>
          <w:szCs w:val="20"/>
          <w:color w:val="auto"/>
        </w:rPr>
      </w:pPr>
    </w:p>
    <w:p>
      <w:pPr>
        <w:ind w:left="200" w:right="200"/>
        <w:spacing w:after="0" w:line="277" w:lineRule="auto"/>
        <w:rPr>
          <w:sz w:val="20"/>
          <w:szCs w:val="20"/>
          <w:color w:val="auto"/>
        </w:rPr>
      </w:pPr>
      <w:r>
        <w:rPr>
          <w:rFonts w:ascii="Arial" w:cs="Arial" w:eastAsia="Arial" w:hAnsi="Arial"/>
          <w:sz w:val="18"/>
          <w:szCs w:val="18"/>
          <w:color w:val="auto"/>
        </w:rPr>
        <w:t>The Company has investment operations in Europe and the United States. The Company’s consolidated statement of financial position can be affected by movements in exchange rates and the Company does not currently hedge this exposure.</w:t>
      </w:r>
    </w:p>
    <w:p>
      <w:pPr>
        <w:spacing w:after="0" w:line="170" w:lineRule="exact"/>
        <w:rPr>
          <w:sz w:val="20"/>
          <w:szCs w:val="20"/>
          <w:color w:val="auto"/>
        </w:rPr>
      </w:pPr>
    </w:p>
    <w:p>
      <w:pPr>
        <w:ind w:left="200"/>
        <w:spacing w:after="0" w:line="277" w:lineRule="auto"/>
        <w:rPr>
          <w:sz w:val="20"/>
          <w:szCs w:val="20"/>
          <w:color w:val="auto"/>
        </w:rPr>
      </w:pPr>
      <w:r>
        <w:rPr>
          <w:rFonts w:ascii="Arial" w:cs="Arial" w:eastAsia="Arial" w:hAnsi="Arial"/>
          <w:sz w:val="18"/>
          <w:szCs w:val="18"/>
          <w:color w:val="auto"/>
        </w:rPr>
        <w:t>The Company also has transactional currency exposures. Such exposures arise from sales or purchases by an operating entity in currencies other than the functional currency.</w:t>
      </w:r>
    </w:p>
    <w:p>
      <w:pPr>
        <w:spacing w:after="0" w:line="170" w:lineRule="exact"/>
        <w:rPr>
          <w:sz w:val="20"/>
          <w:szCs w:val="20"/>
          <w:color w:val="auto"/>
        </w:rPr>
      </w:pPr>
    </w:p>
    <w:p>
      <w:pPr>
        <w:ind w:left="200"/>
        <w:spacing w:after="0"/>
        <w:rPr>
          <w:sz w:val="20"/>
          <w:szCs w:val="20"/>
          <w:color w:val="auto"/>
        </w:rPr>
      </w:pPr>
      <w:r>
        <w:rPr>
          <w:rFonts w:ascii="Arial" w:cs="Arial" w:eastAsia="Arial" w:hAnsi="Arial"/>
          <w:sz w:val="17"/>
          <w:szCs w:val="17"/>
          <w:color w:val="auto"/>
        </w:rPr>
        <w:t>Approximately 93% (2017: 94% and 2016: 87%) of the Company’s sales are denominated in currencies other than the functional currency, whilst</w:t>
      </w:r>
    </w:p>
    <w:p>
      <w:pPr>
        <w:spacing w:after="0" w:line="35" w:lineRule="exact"/>
        <w:rPr>
          <w:sz w:val="20"/>
          <w:szCs w:val="20"/>
          <w:color w:val="auto"/>
        </w:rPr>
      </w:pPr>
    </w:p>
    <w:p>
      <w:pPr>
        <w:ind w:left="200"/>
        <w:spacing w:after="0"/>
        <w:rPr>
          <w:sz w:val="20"/>
          <w:szCs w:val="20"/>
          <w:color w:val="auto"/>
        </w:rPr>
      </w:pPr>
      <w:r>
        <w:rPr>
          <w:rFonts w:ascii="Arial" w:cs="Arial" w:eastAsia="Arial" w:hAnsi="Arial"/>
          <w:sz w:val="18"/>
          <w:szCs w:val="18"/>
          <w:color w:val="auto"/>
        </w:rPr>
        <w:t>approximately 74% (2017: 60% and 2016: 51%) of costs are denominated in the functional currency.</w:t>
      </w:r>
    </w:p>
    <w:p>
      <w:pPr>
        <w:spacing w:after="0" w:line="103" w:lineRule="exact"/>
        <w:rPr>
          <w:sz w:val="20"/>
          <w:szCs w:val="20"/>
          <w:color w:val="auto"/>
        </w:rPr>
      </w:pPr>
    </w:p>
    <w:p>
      <w:pPr>
        <w:ind w:left="200"/>
        <w:spacing w:after="0"/>
        <w:rPr>
          <w:sz w:val="20"/>
          <w:szCs w:val="20"/>
          <w:color w:val="auto"/>
        </w:rPr>
      </w:pPr>
      <w:r>
        <w:rPr>
          <w:rFonts w:ascii="Arial" w:cs="Arial" w:eastAsia="Arial" w:hAnsi="Arial"/>
          <w:sz w:val="18"/>
          <w:szCs w:val="18"/>
          <w:color w:val="auto"/>
        </w:rPr>
        <w:t>At June 30, 2018, the Company had the following exposure to foreign currencies:</w:t>
      </w:r>
    </w:p>
    <w:p>
      <w:pPr>
        <w:spacing w:after="0" w:line="231" w:lineRule="exact"/>
        <w:rPr>
          <w:sz w:val="20"/>
          <w:szCs w:val="20"/>
          <w:color w:val="auto"/>
        </w:rPr>
      </w:pPr>
    </w:p>
    <w:tbl>
      <w:tblPr>
        <w:tblLayout w:type="fixed"/>
        <w:tblInd w:w="152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680" w:type="dxa"/>
            <w:vAlign w:val="bottom"/>
          </w:tcPr>
          <w:p>
            <w:pPr>
              <w:spacing w:after="0"/>
              <w:rPr>
                <w:sz w:val="14"/>
                <w:szCs w:val="14"/>
                <w:color w:val="auto"/>
              </w:rPr>
            </w:pPr>
          </w:p>
        </w:tc>
        <w:tc>
          <w:tcPr>
            <w:tcW w:w="1720" w:type="dxa"/>
            <w:vAlign w:val="bottom"/>
          </w:tcPr>
          <w:p>
            <w:pPr>
              <w:spacing w:after="0"/>
              <w:rPr>
                <w:sz w:val="14"/>
                <w:szCs w:val="14"/>
                <w:color w:val="auto"/>
              </w:rPr>
            </w:pPr>
          </w:p>
        </w:tc>
        <w:tc>
          <w:tcPr>
            <w:tcW w:w="2960" w:type="dxa"/>
            <w:vAlign w:val="bottom"/>
            <w:gridSpan w:val="5"/>
          </w:tcPr>
          <w:p>
            <w:pPr>
              <w:jc w:val="right"/>
              <w:ind w:right="1100"/>
              <w:spacing w:after="0"/>
              <w:rPr>
                <w:sz w:val="20"/>
                <w:szCs w:val="20"/>
                <w:color w:val="auto"/>
              </w:rPr>
            </w:pPr>
            <w:r>
              <w:rPr>
                <w:rFonts w:ascii="Arial" w:cs="Arial" w:eastAsia="Arial" w:hAnsi="Arial"/>
                <w:sz w:val="14"/>
                <w:szCs w:val="14"/>
                <w:b w:val="1"/>
                <w:bCs w:val="1"/>
                <w:color w:val="auto"/>
              </w:rPr>
              <w:t>As of June 30,</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3680" w:type="dxa"/>
            <w:vAlign w:val="bottom"/>
          </w:tcPr>
          <w:p>
            <w:pPr>
              <w:spacing w:after="0"/>
              <w:rPr>
                <w:sz w:val="14"/>
                <w:szCs w:val="14"/>
                <w:color w:val="auto"/>
              </w:rPr>
            </w:pPr>
          </w:p>
        </w:tc>
        <w:tc>
          <w:tcPr>
            <w:tcW w:w="2760" w:type="dxa"/>
            <w:vAlign w:val="bottom"/>
            <w:gridSpan w:val="2"/>
          </w:tcPr>
          <w:p>
            <w:pPr>
              <w:jc w:val="center"/>
              <w:ind w:left="1636"/>
              <w:spacing w:after="0"/>
              <w:rPr>
                <w:sz w:val="20"/>
                <w:szCs w:val="20"/>
                <w:color w:val="auto"/>
              </w:rPr>
            </w:pPr>
            <w:r>
              <w:rPr>
                <w:rFonts w:ascii="Arial" w:cs="Arial" w:eastAsia="Arial" w:hAnsi="Arial"/>
                <w:sz w:val="14"/>
                <w:szCs w:val="14"/>
                <w:b w:val="1"/>
                <w:bCs w:val="1"/>
                <w:color w:val="auto"/>
                <w:w w:val="89"/>
              </w:rPr>
              <w:t>2018</w:t>
            </w:r>
          </w:p>
        </w:tc>
        <w:tc>
          <w:tcPr>
            <w:tcW w:w="440" w:type="dxa"/>
            <w:vAlign w:val="bottom"/>
          </w:tcPr>
          <w:p>
            <w:pPr>
              <w:spacing w:after="0"/>
              <w:rPr>
                <w:sz w:val="14"/>
                <w:szCs w:val="14"/>
                <w:color w:val="auto"/>
              </w:rPr>
            </w:pPr>
          </w:p>
        </w:tc>
        <w:tc>
          <w:tcPr>
            <w:tcW w:w="1380" w:type="dxa"/>
            <w:vAlign w:val="bottom"/>
            <w:gridSpan w:val="2"/>
          </w:tcPr>
          <w:p>
            <w:pPr>
              <w:jc w:val="center"/>
              <w:ind w:left="274"/>
              <w:spacing w:after="0"/>
              <w:rPr>
                <w:sz w:val="20"/>
                <w:szCs w:val="20"/>
                <w:color w:val="auto"/>
              </w:rPr>
            </w:pPr>
            <w:r>
              <w:rPr>
                <w:rFonts w:ascii="Arial" w:cs="Arial" w:eastAsia="Arial" w:hAnsi="Arial"/>
                <w:sz w:val="14"/>
                <w:szCs w:val="14"/>
                <w:b w:val="1"/>
                <w:bCs w:val="1"/>
                <w:color w:val="auto"/>
                <w:w w:val="96"/>
              </w:rPr>
              <w:t>2017</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368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Financial assets</w:t>
            </w:r>
          </w:p>
        </w:tc>
        <w:tc>
          <w:tcPr>
            <w:tcW w:w="1720" w:type="dxa"/>
            <w:vAlign w:val="bottom"/>
            <w:tcBorders>
              <w:top w:val="single" w:sz="8" w:color="CCEEFF"/>
            </w:tcBorders>
            <w:shd w:val="clear" w:color="auto" w:fill="CCEEFF"/>
          </w:tcPr>
          <w:p>
            <w:pPr>
              <w:spacing w:after="0"/>
              <w:rPr>
                <w:sz w:val="17"/>
                <w:szCs w:val="17"/>
                <w:color w:val="auto"/>
              </w:rPr>
            </w:pPr>
          </w:p>
        </w:tc>
        <w:tc>
          <w:tcPr>
            <w:tcW w:w="1040" w:type="dxa"/>
            <w:vAlign w:val="bottom"/>
            <w:tcBorders>
              <w:top w:val="single" w:sz="8" w:color="auto"/>
            </w:tcBorders>
            <w:shd w:val="clear" w:color="auto" w:fill="CCEEFF"/>
          </w:tcPr>
          <w:p>
            <w:pPr>
              <w:spacing w:after="0"/>
              <w:rPr>
                <w:sz w:val="17"/>
                <w:szCs w:val="17"/>
                <w:color w:val="auto"/>
              </w:rPr>
            </w:pPr>
          </w:p>
        </w:tc>
        <w:tc>
          <w:tcPr>
            <w:tcW w:w="440" w:type="dxa"/>
            <w:vAlign w:val="bottom"/>
            <w:tcBorders>
              <w:top w:val="single" w:sz="8" w:color="CCEEFF"/>
            </w:tcBorders>
            <w:shd w:val="clear" w:color="auto" w:fill="CCEEFF"/>
          </w:tcPr>
          <w:p>
            <w:pPr>
              <w:spacing w:after="0"/>
              <w:rPr>
                <w:sz w:val="17"/>
                <w:szCs w:val="17"/>
                <w:color w:val="auto"/>
              </w:rPr>
            </w:pPr>
          </w:p>
        </w:tc>
        <w:tc>
          <w:tcPr>
            <w:tcW w:w="360" w:type="dxa"/>
            <w:vAlign w:val="bottom"/>
            <w:tcBorders>
              <w:top w:val="single" w:sz="8" w:color="CCEEFF"/>
            </w:tcBorders>
            <w:shd w:val="clear" w:color="auto" w:fill="CCEEFF"/>
          </w:tcPr>
          <w:p>
            <w:pPr>
              <w:spacing w:after="0"/>
              <w:rPr>
                <w:sz w:val="17"/>
                <w:szCs w:val="17"/>
                <w:color w:val="auto"/>
              </w:rPr>
            </w:pPr>
          </w:p>
        </w:tc>
        <w:tc>
          <w:tcPr>
            <w:tcW w:w="102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80" w:type="dxa"/>
            <w:vAlign w:val="bottom"/>
          </w:tcPr>
          <w:p>
            <w:pPr>
              <w:spacing w:after="0"/>
              <w:rPr>
                <w:sz w:val="20"/>
                <w:szCs w:val="20"/>
                <w:color w:val="auto"/>
              </w:rPr>
            </w:pPr>
            <w:r>
              <w:rPr>
                <w:rFonts w:ascii="Arial" w:cs="Arial" w:eastAsia="Arial" w:hAnsi="Arial"/>
                <w:sz w:val="18"/>
                <w:szCs w:val="18"/>
                <w:color w:val="auto"/>
              </w:rPr>
              <w:t>Cash and cash equivalents</w:t>
            </w:r>
          </w:p>
        </w:tc>
        <w:tc>
          <w:tcPr>
            <w:tcW w:w="3200" w:type="dxa"/>
            <w:vAlign w:val="bottom"/>
            <w:gridSpan w:val="3"/>
          </w:tcPr>
          <w:p>
            <w:pPr>
              <w:jc w:val="center"/>
              <w:ind w:left="1196"/>
              <w:spacing w:after="0"/>
              <w:rPr>
                <w:sz w:val="20"/>
                <w:szCs w:val="20"/>
                <w:color w:val="auto"/>
              </w:rPr>
            </w:pPr>
            <w:r>
              <w:rPr>
                <w:rFonts w:ascii="Arial" w:cs="Arial" w:eastAsia="Arial" w:hAnsi="Arial"/>
                <w:sz w:val="18"/>
                <w:szCs w:val="18"/>
                <w:color w:val="auto"/>
                <w:w w:val="92"/>
              </w:rPr>
              <w:t>A$13,046,513</w:t>
            </w:r>
          </w:p>
        </w:tc>
        <w:tc>
          <w:tcPr>
            <w:tcW w:w="1480" w:type="dxa"/>
            <w:vAlign w:val="bottom"/>
            <w:gridSpan w:val="3"/>
          </w:tcPr>
          <w:p>
            <w:pPr>
              <w:jc w:val="center"/>
              <w:ind w:left="174"/>
              <w:spacing w:after="0"/>
              <w:rPr>
                <w:sz w:val="20"/>
                <w:szCs w:val="20"/>
                <w:color w:val="auto"/>
              </w:rPr>
            </w:pPr>
            <w:r>
              <w:rPr>
                <w:rFonts w:ascii="Arial" w:cs="Arial" w:eastAsia="Arial" w:hAnsi="Arial"/>
                <w:sz w:val="18"/>
                <w:szCs w:val="18"/>
                <w:color w:val="auto"/>
                <w:w w:val="95"/>
              </w:rPr>
              <w:t>A$ 1,726,568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80" w:type="dxa"/>
            <w:vAlign w:val="bottom"/>
            <w:shd w:val="clear" w:color="auto" w:fill="CCEEFF"/>
          </w:tcPr>
          <w:p>
            <w:pPr>
              <w:spacing w:after="0"/>
              <w:rPr>
                <w:sz w:val="20"/>
                <w:szCs w:val="20"/>
                <w:color w:val="auto"/>
              </w:rPr>
            </w:pPr>
            <w:r>
              <w:rPr>
                <w:rFonts w:ascii="Arial" w:cs="Arial" w:eastAsia="Arial" w:hAnsi="Arial"/>
                <w:sz w:val="18"/>
                <w:szCs w:val="18"/>
                <w:color w:val="auto"/>
              </w:rPr>
              <w:t>Trade and other receivables</w:t>
            </w:r>
          </w:p>
        </w:tc>
        <w:tc>
          <w:tcPr>
            <w:tcW w:w="2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2,847,542</w:t>
            </w:r>
          </w:p>
        </w:tc>
        <w:tc>
          <w:tcPr>
            <w:tcW w:w="44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926,501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680" w:type="dxa"/>
            <w:vAlign w:val="bottom"/>
          </w:tcPr>
          <w:p>
            <w:pPr>
              <w:spacing w:after="0"/>
              <w:rPr>
                <w:sz w:val="19"/>
                <w:szCs w:val="19"/>
                <w:color w:val="auto"/>
              </w:rPr>
            </w:pPr>
          </w:p>
        </w:tc>
        <w:tc>
          <w:tcPr>
            <w:tcW w:w="1720" w:type="dxa"/>
            <w:vAlign w:val="bottom"/>
          </w:tcPr>
          <w:p>
            <w:pPr>
              <w:spacing w:after="0"/>
              <w:rPr>
                <w:sz w:val="19"/>
                <w:szCs w:val="19"/>
                <w:color w:val="auto"/>
              </w:rPr>
            </w:pP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15,894,055</w:t>
            </w:r>
          </w:p>
        </w:tc>
        <w:tc>
          <w:tcPr>
            <w:tcW w:w="4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2,653,069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68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36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Financial liabilities</w:t>
            </w:r>
          </w:p>
        </w:tc>
        <w:tc>
          <w:tcPr>
            <w:tcW w:w="17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80" w:type="dxa"/>
            <w:vAlign w:val="bottom"/>
          </w:tcPr>
          <w:p>
            <w:pPr>
              <w:spacing w:after="0"/>
              <w:rPr>
                <w:sz w:val="20"/>
                <w:szCs w:val="20"/>
                <w:color w:val="auto"/>
              </w:rPr>
            </w:pPr>
            <w:r>
              <w:rPr>
                <w:rFonts w:ascii="Arial" w:cs="Arial" w:eastAsia="Arial" w:hAnsi="Arial"/>
                <w:sz w:val="18"/>
                <w:szCs w:val="18"/>
                <w:color w:val="auto"/>
              </w:rPr>
              <w:t>Trade and other payables</w:t>
            </w:r>
          </w:p>
        </w:tc>
        <w:tc>
          <w:tcPr>
            <w:tcW w:w="1720" w:type="dxa"/>
            <w:vAlign w:val="bottom"/>
          </w:tcPr>
          <w:p>
            <w:pPr>
              <w:spacing w:after="0"/>
              <w:rPr>
                <w:sz w:val="18"/>
                <w:szCs w:val="18"/>
                <w:color w:val="auto"/>
              </w:rPr>
            </w:pPr>
          </w:p>
        </w:tc>
        <w:tc>
          <w:tcPr>
            <w:tcW w:w="1480" w:type="dxa"/>
            <w:vAlign w:val="bottom"/>
            <w:gridSpan w:val="2"/>
          </w:tcPr>
          <w:p>
            <w:pPr>
              <w:jc w:val="right"/>
              <w:ind w:right="380"/>
              <w:spacing w:after="0"/>
              <w:rPr>
                <w:sz w:val="20"/>
                <w:szCs w:val="20"/>
                <w:color w:val="auto"/>
              </w:rPr>
            </w:pPr>
            <w:r>
              <w:rPr>
                <w:rFonts w:ascii="Arial" w:cs="Arial" w:eastAsia="Arial" w:hAnsi="Arial"/>
                <w:sz w:val="18"/>
                <w:szCs w:val="18"/>
                <w:color w:val="auto"/>
              </w:rPr>
              <w:t>(3,356,546)</w:t>
            </w:r>
          </w:p>
        </w:tc>
        <w:tc>
          <w:tcPr>
            <w:tcW w:w="1480" w:type="dxa"/>
            <w:vAlign w:val="bottom"/>
            <w:gridSpan w:val="3"/>
          </w:tcPr>
          <w:p>
            <w:pPr>
              <w:jc w:val="right"/>
              <w:ind w:right="40"/>
              <w:spacing w:after="0"/>
              <w:rPr>
                <w:sz w:val="20"/>
                <w:szCs w:val="20"/>
                <w:color w:val="auto"/>
              </w:rPr>
            </w:pPr>
            <w:r>
              <w:rPr>
                <w:rFonts w:ascii="Arial" w:cs="Arial" w:eastAsia="Arial" w:hAnsi="Arial"/>
                <w:sz w:val="18"/>
                <w:szCs w:val="18"/>
                <w:color w:val="auto"/>
              </w:rPr>
              <w:t>(1,209,902)</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3680" w:type="dxa"/>
            <w:vAlign w:val="bottom"/>
          </w:tcPr>
          <w:p>
            <w:pPr>
              <w:spacing w:after="0"/>
              <w:rPr>
                <w:sz w:val="2"/>
                <w:szCs w:val="2"/>
                <w:color w:val="auto"/>
              </w:rPr>
            </w:pPr>
          </w:p>
        </w:tc>
        <w:tc>
          <w:tcPr>
            <w:tcW w:w="1720" w:type="dxa"/>
            <w:vAlign w:val="bottom"/>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36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Net exposure</w:t>
            </w:r>
          </w:p>
        </w:tc>
        <w:tc>
          <w:tcPr>
            <w:tcW w:w="172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center"/>
              <w:ind w:right="440"/>
              <w:spacing w:after="0"/>
              <w:rPr>
                <w:sz w:val="20"/>
                <w:szCs w:val="20"/>
                <w:color w:val="auto"/>
              </w:rPr>
            </w:pPr>
            <w:r>
              <w:rPr>
                <w:rFonts w:ascii="Arial" w:cs="Arial" w:eastAsia="Arial" w:hAnsi="Arial"/>
                <w:sz w:val="18"/>
                <w:szCs w:val="18"/>
                <w:b w:val="1"/>
                <w:bCs w:val="1"/>
                <w:u w:val="single" w:color="auto"/>
                <w:color w:val="auto"/>
                <w:w w:val="91"/>
              </w:rPr>
              <w:t>A$</w:t>
            </w:r>
            <w:r>
              <w:rPr>
                <w:rFonts w:ascii="Arial" w:cs="Arial" w:eastAsia="Arial" w:hAnsi="Arial"/>
                <w:sz w:val="18"/>
                <w:szCs w:val="18"/>
                <w:b w:val="1"/>
                <w:bCs w:val="1"/>
                <w:color w:val="auto"/>
                <w:w w:val="91"/>
              </w:rPr>
              <w:t>12,537,509</w:t>
            </w:r>
          </w:p>
        </w:tc>
        <w:tc>
          <w:tcPr>
            <w:tcW w:w="1480" w:type="dxa"/>
            <w:vAlign w:val="bottom"/>
            <w:gridSpan w:val="3"/>
            <w:shd w:val="clear" w:color="auto" w:fill="CCEEFF"/>
          </w:tcPr>
          <w:p>
            <w:pPr>
              <w:jc w:val="center"/>
              <w:ind w:left="174"/>
              <w:spacing w:after="0"/>
              <w:rPr>
                <w:sz w:val="20"/>
                <w:szCs w:val="20"/>
                <w:color w:val="auto"/>
              </w:rPr>
            </w:pPr>
            <w:r>
              <w:rPr>
                <w:rFonts w:ascii="Arial" w:cs="Arial" w:eastAsia="Arial" w:hAnsi="Arial"/>
                <w:sz w:val="18"/>
                <w:szCs w:val="18"/>
                <w:b w:val="1"/>
                <w:bCs w:val="1"/>
                <w:u w:val="single" w:color="auto"/>
                <w:color w:val="auto"/>
                <w:w w:val="94"/>
              </w:rPr>
              <w:t>A</w:t>
            </w:r>
            <w:r>
              <w:rPr>
                <w:rFonts w:ascii="Arial" w:cs="Arial" w:eastAsia="Arial" w:hAnsi="Arial"/>
                <w:sz w:val="18"/>
                <w:szCs w:val="18"/>
                <w:b w:val="1"/>
                <w:bCs w:val="1"/>
                <w:color w:val="auto"/>
                <w:w w:val="94"/>
              </w:rPr>
              <w:t>$ 1,443,167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68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ind w:left="200" w:right="560"/>
        <w:spacing w:after="0" w:line="308" w:lineRule="auto"/>
        <w:rPr>
          <w:sz w:val="20"/>
          <w:szCs w:val="20"/>
          <w:color w:val="auto"/>
        </w:rPr>
      </w:pPr>
      <w:r>
        <w:rPr>
          <w:rFonts w:ascii="Arial" w:cs="Arial" w:eastAsia="Arial" w:hAnsi="Arial"/>
          <w:sz w:val="17"/>
          <w:szCs w:val="17"/>
          <w:color w:val="auto"/>
        </w:rPr>
        <w:t>The following sensitivity is based on the foreign currency risk exposures in existence at the reporting date. The percentage sensitivity is based on reasonably possible changes over a financial year, using the observed range of historical rates for the preceding two-year period.</w:t>
      </w:r>
    </w:p>
    <w:p>
      <w:pPr>
        <w:spacing w:after="0" w:line="79"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F-45</w:t>
      </w:r>
    </w:p>
    <w:p>
      <w:pPr>
        <w:sectPr>
          <w:pgSz w:w="11900" w:h="16838" w:orient="portrait"/>
          <w:cols w:equalWidth="0" w:num="1">
            <w:col w:w="11220"/>
          </w:cols>
          <w:pgMar w:left="240" w:top="460" w:right="439" w:bottom="1440" w:gutter="0" w:footer="0" w:header="0"/>
        </w:sectPr>
      </w:pPr>
    </w:p>
    <w:bookmarkStart w:id="144" w:name="page145"/>
    <w:bookmarkEnd w:id="14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9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AVITA MEDICAL LIMITED</w:t>
      </w:r>
    </w:p>
    <w:p>
      <w:pPr>
        <w:spacing w:after="0" w:line="27"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9"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(IN AUSTRALIAN DOLLARS)</w:t>
      </w:r>
    </w:p>
    <w:p>
      <w:pPr>
        <w:spacing w:after="0" w:line="234" w:lineRule="exact"/>
        <w:rPr>
          <w:sz w:val="20"/>
          <w:szCs w:val="20"/>
          <w:color w:val="auto"/>
        </w:rPr>
      </w:pPr>
    </w:p>
    <w:p>
      <w:pPr>
        <w:ind w:left="640" w:hanging="436"/>
        <w:spacing w:after="0"/>
        <w:tabs>
          <w:tab w:leader="none" w:pos="640" w:val="left"/>
        </w:tabs>
        <w:numPr>
          <w:ilvl w:val="0"/>
          <w:numId w:val="184"/>
        </w:numPr>
        <w:rPr>
          <w:rFonts w:ascii="Arial" w:cs="Arial" w:eastAsia="Arial" w:hAnsi="Arial"/>
          <w:sz w:val="18"/>
          <w:szCs w:val="18"/>
          <w:b w:val="1"/>
          <w:bCs w:val="1"/>
          <w:color w:val="auto"/>
        </w:rPr>
      </w:pPr>
      <w:r>
        <w:rPr>
          <w:rFonts w:ascii="Arial" w:cs="Arial" w:eastAsia="Arial" w:hAnsi="Arial"/>
          <w:sz w:val="18"/>
          <w:szCs w:val="18"/>
          <w:b w:val="1"/>
          <w:bCs w:val="1"/>
          <w:color w:val="auto"/>
        </w:rPr>
        <w:t>FINANCIAL RISK MANAGEMENT OBJECTIVES AND POLICIES (CONTINUED)</w:t>
      </w:r>
    </w:p>
    <w:p>
      <w:pPr>
        <w:spacing w:after="0" w:line="135" w:lineRule="exact"/>
        <w:rPr>
          <w:sz w:val="20"/>
          <w:szCs w:val="20"/>
          <w:color w:val="auto"/>
        </w:rPr>
      </w:pPr>
    </w:p>
    <w:p>
      <w:pPr>
        <w:ind w:left="200" w:right="520"/>
        <w:spacing w:after="0" w:line="277" w:lineRule="auto"/>
        <w:rPr>
          <w:sz w:val="20"/>
          <w:szCs w:val="20"/>
          <w:color w:val="auto"/>
        </w:rPr>
      </w:pPr>
      <w:r>
        <w:rPr>
          <w:rFonts w:ascii="Arial" w:cs="Arial" w:eastAsia="Arial" w:hAnsi="Arial"/>
          <w:sz w:val="18"/>
          <w:szCs w:val="18"/>
          <w:color w:val="auto"/>
        </w:rPr>
        <w:t>At June 30, 2018, had the Australian Dollar moved, as illustrated in the table below, with all other variables held constant, post tax loss and equity would have been affected as follows:</w:t>
      </w:r>
    </w:p>
    <w:p>
      <w:pPr>
        <w:spacing w:after="0" w:line="186" w:lineRule="exact"/>
        <w:rPr>
          <w:sz w:val="20"/>
          <w:szCs w:val="20"/>
          <w:color w:val="auto"/>
        </w:rPr>
      </w:pPr>
    </w:p>
    <w:tbl>
      <w:tblPr>
        <w:tblLayout w:type="fixed"/>
        <w:tblInd w:w="200" w:type="dxa"/>
        <w:tblCellMar>
          <w:top w:w="0" w:type="dxa"/>
          <w:left w:w="0" w:type="dxa"/>
          <w:bottom w:w="0" w:type="dxa"/>
          <w:right w:w="0" w:type="dxa"/>
        </w:tblCellMar>
      </w:tblPr>
      <w:tr>
        <w:trPr>
          <w:trHeight w:val="161"/>
        </w:trPr>
        <w:tc>
          <w:tcPr>
            <w:tcW w:w="2780" w:type="dxa"/>
            <w:vAlign w:val="bottom"/>
            <w:gridSpan w:val="2"/>
          </w:tcPr>
          <w:p>
            <w:pPr>
              <w:spacing w:after="0"/>
              <w:rPr>
                <w:sz w:val="20"/>
                <w:szCs w:val="20"/>
                <w:color w:val="auto"/>
              </w:rPr>
            </w:pPr>
            <w:r>
              <w:rPr>
                <w:rFonts w:ascii="Arial" w:cs="Arial" w:eastAsia="Arial" w:hAnsi="Arial"/>
                <w:sz w:val="14"/>
                <w:szCs w:val="14"/>
                <w:b w:val="1"/>
                <w:bCs w:val="1"/>
                <w:color w:val="auto"/>
              </w:rPr>
              <w:t>Judgments of reasonably possible</w:t>
            </w:r>
          </w:p>
        </w:tc>
        <w:tc>
          <w:tcPr>
            <w:tcW w:w="7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500" w:type="dxa"/>
            <w:vAlign w:val="bottom"/>
            <w:gridSpan w:val="3"/>
          </w:tcPr>
          <w:p>
            <w:pPr>
              <w:jc w:val="right"/>
              <w:ind w:right="300"/>
              <w:spacing w:after="0"/>
              <w:rPr>
                <w:sz w:val="20"/>
                <w:szCs w:val="20"/>
                <w:color w:val="auto"/>
              </w:rPr>
            </w:pPr>
            <w:r>
              <w:rPr>
                <w:rFonts w:ascii="Arial" w:cs="Arial" w:eastAsia="Arial" w:hAnsi="Arial"/>
                <w:sz w:val="14"/>
                <w:szCs w:val="14"/>
                <w:b w:val="1"/>
                <w:bCs w:val="1"/>
                <w:color w:val="auto"/>
              </w:rPr>
              <w:t>Post Tax Loss</w:t>
            </w:r>
          </w:p>
        </w:tc>
        <w:tc>
          <w:tcPr>
            <w:tcW w:w="2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060" w:type="dxa"/>
            <w:vAlign w:val="bottom"/>
            <w:gridSpan w:val="2"/>
          </w:tcPr>
          <w:p>
            <w:pPr>
              <w:jc w:val="right"/>
              <w:ind w:right="520"/>
              <w:spacing w:after="0"/>
              <w:rPr>
                <w:sz w:val="20"/>
                <w:szCs w:val="20"/>
                <w:color w:val="auto"/>
              </w:rPr>
            </w:pPr>
            <w:r>
              <w:rPr>
                <w:rFonts w:ascii="Arial" w:cs="Arial" w:eastAsia="Arial" w:hAnsi="Arial"/>
                <w:sz w:val="14"/>
                <w:szCs w:val="14"/>
                <w:b w:val="1"/>
                <w:bCs w:val="1"/>
                <w:color w:val="auto"/>
              </w:rPr>
              <w:t>Equity</w:t>
            </w:r>
          </w:p>
        </w:tc>
        <w:tc>
          <w:tcPr>
            <w:tcW w:w="2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3"/>
        </w:trPr>
        <w:tc>
          <w:tcPr>
            <w:tcW w:w="2780" w:type="dxa"/>
            <w:vAlign w:val="bottom"/>
            <w:gridSpan w:val="2"/>
          </w:tcPr>
          <w:p>
            <w:pPr>
              <w:spacing w:after="0" w:line="153" w:lineRule="exact"/>
              <w:rPr>
                <w:sz w:val="20"/>
                <w:szCs w:val="20"/>
                <w:color w:val="auto"/>
              </w:rPr>
            </w:pPr>
            <w:r>
              <w:rPr>
                <w:rFonts w:ascii="Arial" w:cs="Arial" w:eastAsia="Arial" w:hAnsi="Arial"/>
                <w:sz w:val="14"/>
                <w:szCs w:val="14"/>
                <w:b w:val="1"/>
                <w:bCs w:val="1"/>
                <w:color w:val="auto"/>
              </w:rPr>
              <w:t>movements:</w:t>
            </w:r>
          </w:p>
        </w:tc>
        <w:tc>
          <w:tcPr>
            <w:tcW w:w="1680" w:type="dxa"/>
            <w:vAlign w:val="bottom"/>
            <w:gridSpan w:val="2"/>
            <w:vMerge w:val="restart"/>
          </w:tcPr>
          <w:p>
            <w:pPr>
              <w:jc w:val="right"/>
              <w:ind w:right="250"/>
              <w:spacing w:after="0"/>
              <w:rPr>
                <w:sz w:val="20"/>
                <w:szCs w:val="20"/>
                <w:color w:val="auto"/>
              </w:rPr>
            </w:pPr>
            <w:r>
              <w:rPr>
                <w:rFonts w:ascii="Arial" w:cs="Arial" w:eastAsia="Arial" w:hAnsi="Arial"/>
                <w:sz w:val="14"/>
                <w:szCs w:val="14"/>
                <w:b w:val="1"/>
                <w:bCs w:val="1"/>
                <w:color w:val="auto"/>
              </w:rPr>
              <w:t>2018</w:t>
            </w:r>
          </w:p>
        </w:tc>
        <w:tc>
          <w:tcPr>
            <w:tcW w:w="1500" w:type="dxa"/>
            <w:vAlign w:val="bottom"/>
            <w:gridSpan w:val="3"/>
          </w:tcPr>
          <w:p>
            <w:pPr>
              <w:jc w:val="right"/>
              <w:ind w:right="240"/>
              <w:spacing w:after="0" w:line="153" w:lineRule="exact"/>
              <w:rPr>
                <w:sz w:val="20"/>
                <w:szCs w:val="20"/>
                <w:color w:val="auto"/>
              </w:rPr>
            </w:pPr>
            <w:r>
              <w:rPr>
                <w:rFonts w:ascii="Arial" w:cs="Arial" w:eastAsia="Arial" w:hAnsi="Arial"/>
                <w:sz w:val="14"/>
                <w:szCs w:val="14"/>
                <w:b w:val="1"/>
                <w:bCs w:val="1"/>
                <w:color w:val="auto"/>
              </w:rPr>
              <w:t>(Higher)/Lower</w:t>
            </w:r>
          </w:p>
        </w:tc>
        <w:tc>
          <w:tcPr>
            <w:tcW w:w="1000" w:type="dxa"/>
            <w:vAlign w:val="bottom"/>
            <w:gridSpan w:val="2"/>
            <w:vMerge w:val="restart"/>
          </w:tcPr>
          <w:p>
            <w:pPr>
              <w:jc w:val="right"/>
              <w:ind w:right="170"/>
              <w:spacing w:after="0"/>
              <w:rPr>
                <w:sz w:val="20"/>
                <w:szCs w:val="20"/>
                <w:color w:val="auto"/>
              </w:rPr>
            </w:pPr>
            <w:r>
              <w:rPr>
                <w:rFonts w:ascii="Arial" w:cs="Arial" w:eastAsia="Arial" w:hAnsi="Arial"/>
                <w:sz w:val="14"/>
                <w:szCs w:val="14"/>
                <w:b w:val="1"/>
                <w:bCs w:val="1"/>
                <w:color w:val="auto"/>
              </w:rPr>
              <w:t>2016</w:t>
            </w:r>
          </w:p>
        </w:tc>
        <w:tc>
          <w:tcPr>
            <w:tcW w:w="260" w:type="dxa"/>
            <w:vAlign w:val="bottom"/>
          </w:tcPr>
          <w:p>
            <w:pPr>
              <w:spacing w:after="0"/>
              <w:rPr>
                <w:sz w:val="13"/>
                <w:szCs w:val="13"/>
                <w:color w:val="auto"/>
              </w:rPr>
            </w:pPr>
          </w:p>
        </w:tc>
        <w:tc>
          <w:tcPr>
            <w:tcW w:w="1180" w:type="dxa"/>
            <w:vAlign w:val="bottom"/>
            <w:gridSpan w:val="2"/>
            <w:vMerge w:val="restart"/>
          </w:tcPr>
          <w:p>
            <w:pPr>
              <w:jc w:val="right"/>
              <w:ind w:right="250"/>
              <w:spacing w:after="0"/>
              <w:rPr>
                <w:sz w:val="20"/>
                <w:szCs w:val="20"/>
                <w:color w:val="auto"/>
              </w:rPr>
            </w:pPr>
            <w:r>
              <w:rPr>
                <w:rFonts w:ascii="Arial" w:cs="Arial" w:eastAsia="Arial" w:hAnsi="Arial"/>
                <w:sz w:val="14"/>
                <w:szCs w:val="14"/>
                <w:b w:val="1"/>
                <w:bCs w:val="1"/>
                <w:color w:val="auto"/>
              </w:rPr>
              <w:t>2018</w:t>
            </w:r>
          </w:p>
        </w:tc>
        <w:tc>
          <w:tcPr>
            <w:tcW w:w="1500" w:type="dxa"/>
            <w:vAlign w:val="bottom"/>
            <w:gridSpan w:val="3"/>
          </w:tcPr>
          <w:p>
            <w:pPr>
              <w:jc w:val="right"/>
              <w:ind w:right="240"/>
              <w:spacing w:after="0" w:line="153" w:lineRule="exact"/>
              <w:rPr>
                <w:sz w:val="20"/>
                <w:szCs w:val="20"/>
                <w:color w:val="auto"/>
              </w:rPr>
            </w:pPr>
            <w:r>
              <w:rPr>
                <w:rFonts w:ascii="Arial" w:cs="Arial" w:eastAsia="Arial" w:hAnsi="Arial"/>
                <w:sz w:val="14"/>
                <w:szCs w:val="14"/>
                <w:b w:val="1"/>
                <w:bCs w:val="1"/>
                <w:color w:val="auto"/>
              </w:rPr>
              <w:t>Higher/(Lower)</w:t>
            </w:r>
          </w:p>
        </w:tc>
        <w:tc>
          <w:tcPr>
            <w:tcW w:w="1020" w:type="dxa"/>
            <w:vAlign w:val="bottom"/>
            <w:gridSpan w:val="2"/>
            <w:vMerge w:val="restart"/>
          </w:tcPr>
          <w:p>
            <w:pPr>
              <w:jc w:val="right"/>
              <w:ind w:right="170"/>
              <w:spacing w:after="0"/>
              <w:rPr>
                <w:sz w:val="20"/>
                <w:szCs w:val="20"/>
                <w:color w:val="auto"/>
              </w:rPr>
            </w:pPr>
            <w:r>
              <w:rPr>
                <w:rFonts w:ascii="Arial" w:cs="Arial" w:eastAsia="Arial" w:hAnsi="Arial"/>
                <w:sz w:val="14"/>
                <w:szCs w:val="14"/>
                <w:b w:val="1"/>
                <w:bCs w:val="1"/>
                <w:color w:val="auto"/>
              </w:rPr>
              <w:t>2016</w:t>
            </w: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1680" w:type="dxa"/>
            <w:vAlign w:val="bottom"/>
            <w:gridSpan w:val="2"/>
            <w:vMerge w:val="continue"/>
          </w:tcPr>
          <w:p>
            <w:pPr>
              <w:spacing w:after="0"/>
              <w:rPr>
                <w:sz w:val="14"/>
                <w:szCs w:val="14"/>
                <w:color w:val="auto"/>
              </w:rPr>
            </w:pPr>
          </w:p>
        </w:tc>
        <w:tc>
          <w:tcPr>
            <w:tcW w:w="1240" w:type="dxa"/>
            <w:vAlign w:val="bottom"/>
            <w:gridSpan w:val="2"/>
          </w:tcPr>
          <w:p>
            <w:pPr>
              <w:jc w:val="right"/>
              <w:ind w:right="170"/>
              <w:spacing w:after="0"/>
              <w:rPr>
                <w:sz w:val="20"/>
                <w:szCs w:val="20"/>
                <w:color w:val="auto"/>
              </w:rPr>
            </w:pPr>
            <w:r>
              <w:rPr>
                <w:rFonts w:ascii="Arial" w:cs="Arial" w:eastAsia="Arial" w:hAnsi="Arial"/>
                <w:sz w:val="14"/>
                <w:szCs w:val="14"/>
                <w:b w:val="1"/>
                <w:bCs w:val="1"/>
                <w:color w:val="auto"/>
              </w:rPr>
              <w:t>2017</w:t>
            </w:r>
          </w:p>
        </w:tc>
        <w:tc>
          <w:tcPr>
            <w:tcW w:w="260" w:type="dxa"/>
            <w:vAlign w:val="bottom"/>
          </w:tcPr>
          <w:p>
            <w:pPr>
              <w:spacing w:after="0"/>
              <w:rPr>
                <w:sz w:val="14"/>
                <w:szCs w:val="14"/>
                <w:color w:val="auto"/>
              </w:rPr>
            </w:pPr>
          </w:p>
        </w:tc>
        <w:tc>
          <w:tcPr>
            <w:tcW w:w="1000" w:type="dxa"/>
            <w:vAlign w:val="bottom"/>
            <w:gridSpan w:val="2"/>
            <w:vMerge w:val="continue"/>
          </w:tcPr>
          <w:p>
            <w:pPr>
              <w:spacing w:after="0"/>
              <w:rPr>
                <w:sz w:val="14"/>
                <w:szCs w:val="14"/>
                <w:color w:val="auto"/>
              </w:rPr>
            </w:pPr>
          </w:p>
        </w:tc>
        <w:tc>
          <w:tcPr>
            <w:tcW w:w="260" w:type="dxa"/>
            <w:vAlign w:val="bottom"/>
          </w:tcPr>
          <w:p>
            <w:pPr>
              <w:spacing w:after="0"/>
              <w:rPr>
                <w:sz w:val="14"/>
                <w:szCs w:val="14"/>
                <w:color w:val="auto"/>
              </w:rPr>
            </w:pPr>
          </w:p>
        </w:tc>
        <w:tc>
          <w:tcPr>
            <w:tcW w:w="1180" w:type="dxa"/>
            <w:vAlign w:val="bottom"/>
            <w:gridSpan w:val="2"/>
            <w:vMerge w:val="continue"/>
          </w:tcPr>
          <w:p>
            <w:pPr>
              <w:spacing w:after="0"/>
              <w:rPr>
                <w:sz w:val="14"/>
                <w:szCs w:val="14"/>
                <w:color w:val="auto"/>
              </w:rPr>
            </w:pPr>
          </w:p>
        </w:tc>
        <w:tc>
          <w:tcPr>
            <w:tcW w:w="1240" w:type="dxa"/>
            <w:vAlign w:val="bottom"/>
            <w:gridSpan w:val="2"/>
          </w:tcPr>
          <w:p>
            <w:pPr>
              <w:jc w:val="right"/>
              <w:ind w:right="179"/>
              <w:spacing w:after="0"/>
              <w:rPr>
                <w:sz w:val="20"/>
                <w:szCs w:val="20"/>
                <w:color w:val="auto"/>
              </w:rPr>
            </w:pPr>
            <w:r>
              <w:rPr>
                <w:rFonts w:ascii="Arial" w:cs="Arial" w:eastAsia="Arial" w:hAnsi="Arial"/>
                <w:sz w:val="14"/>
                <w:szCs w:val="14"/>
                <w:b w:val="1"/>
                <w:bCs w:val="1"/>
                <w:color w:val="auto"/>
              </w:rPr>
              <w:t>2017</w:t>
            </w:r>
          </w:p>
        </w:tc>
        <w:tc>
          <w:tcPr>
            <w:tcW w:w="260" w:type="dxa"/>
            <w:vAlign w:val="bottom"/>
          </w:tcPr>
          <w:p>
            <w:pPr>
              <w:spacing w:after="0"/>
              <w:rPr>
                <w:sz w:val="14"/>
                <w:szCs w:val="14"/>
                <w:color w:val="auto"/>
              </w:rPr>
            </w:pPr>
          </w:p>
        </w:tc>
        <w:tc>
          <w:tcPr>
            <w:tcW w:w="102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7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AUD/GBP + 10%</w:t>
            </w:r>
          </w:p>
        </w:tc>
        <w:tc>
          <w:tcPr>
            <w:tcW w:w="720" w:type="dxa"/>
            <w:vAlign w:val="bottom"/>
            <w:tcBorders>
              <w:top w:val="single" w:sz="8" w:color="CCEEFF"/>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A$   54,761</w:t>
            </w:r>
          </w:p>
        </w:tc>
        <w:tc>
          <w:tcPr>
            <w:tcW w:w="440" w:type="dxa"/>
            <w:vAlign w:val="bottom"/>
            <w:tcBorders>
              <w:top w:val="single" w:sz="8" w:color="CCEEFF"/>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2"/>
              </w:rPr>
              <w:t>A$ (62,731)</w:t>
            </w:r>
          </w:p>
        </w:tc>
        <w:tc>
          <w:tcPr>
            <w:tcW w:w="26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2"/>
              </w:rPr>
              <w:t>A$ (74,765)</w:t>
            </w:r>
          </w:p>
        </w:tc>
        <w:tc>
          <w:tcPr>
            <w:tcW w:w="26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A$   54,761</w:t>
            </w:r>
          </w:p>
        </w:tc>
        <w:tc>
          <w:tcPr>
            <w:tcW w:w="440" w:type="dxa"/>
            <w:vAlign w:val="bottom"/>
            <w:tcBorders>
              <w:top w:val="single" w:sz="8" w:color="CCEEFF"/>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2"/>
              </w:rPr>
              <w:t>A$ (62,731)</w:t>
            </w:r>
          </w:p>
        </w:tc>
        <w:tc>
          <w:tcPr>
            <w:tcW w:w="26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2"/>
              </w:rPr>
              <w:t>A$ (74,765)</w:t>
            </w:r>
          </w:p>
        </w:tc>
        <w:tc>
          <w:tcPr>
            <w:tcW w:w="12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760" w:type="dxa"/>
            <w:vAlign w:val="bottom"/>
          </w:tcPr>
          <w:p>
            <w:pPr>
              <w:spacing w:after="0"/>
              <w:rPr>
                <w:sz w:val="20"/>
                <w:szCs w:val="20"/>
                <w:color w:val="auto"/>
              </w:rPr>
            </w:pPr>
            <w:r>
              <w:rPr>
                <w:rFonts w:ascii="Arial" w:cs="Arial" w:eastAsia="Arial" w:hAnsi="Arial"/>
                <w:sz w:val="18"/>
                <w:szCs w:val="18"/>
                <w:color w:val="auto"/>
              </w:rPr>
              <w:t>AUD/GBP – 5%</w:t>
            </w:r>
          </w:p>
        </w:tc>
        <w:tc>
          <w:tcPr>
            <w:tcW w:w="1680" w:type="dxa"/>
            <w:vAlign w:val="bottom"/>
            <w:gridSpan w:val="2"/>
          </w:tcPr>
          <w:p>
            <w:pPr>
              <w:jc w:val="right"/>
              <w:spacing w:after="0"/>
              <w:rPr>
                <w:sz w:val="20"/>
                <w:szCs w:val="20"/>
                <w:color w:val="auto"/>
              </w:rPr>
            </w:pPr>
            <w:r>
              <w:rPr>
                <w:rFonts w:ascii="Arial" w:cs="Arial" w:eastAsia="Arial" w:hAnsi="Arial"/>
                <w:sz w:val="18"/>
                <w:szCs w:val="18"/>
                <w:color w:val="auto"/>
              </w:rPr>
              <w:t>27,380</w:t>
            </w:r>
          </w:p>
        </w:tc>
        <w:tc>
          <w:tcPr>
            <w:tcW w:w="1240" w:type="dxa"/>
            <w:vAlign w:val="bottom"/>
            <w:gridSpan w:val="2"/>
          </w:tcPr>
          <w:p>
            <w:pPr>
              <w:jc w:val="right"/>
              <w:spacing w:after="0"/>
              <w:rPr>
                <w:sz w:val="20"/>
                <w:szCs w:val="20"/>
                <w:color w:val="auto"/>
              </w:rPr>
            </w:pPr>
            <w:r>
              <w:rPr>
                <w:rFonts w:ascii="Arial" w:cs="Arial" w:eastAsia="Arial" w:hAnsi="Arial"/>
                <w:sz w:val="18"/>
                <w:szCs w:val="18"/>
                <w:color w:val="auto"/>
              </w:rPr>
              <w:t>31,366</w:t>
            </w:r>
          </w:p>
        </w:tc>
        <w:tc>
          <w:tcPr>
            <w:tcW w:w="260" w:type="dxa"/>
            <w:vAlign w:val="bottom"/>
          </w:tcPr>
          <w:p>
            <w:pPr>
              <w:spacing w:after="0"/>
              <w:rPr>
                <w:sz w:val="18"/>
                <w:szCs w:val="18"/>
                <w:color w:val="auto"/>
              </w:rPr>
            </w:pPr>
          </w:p>
        </w:tc>
        <w:tc>
          <w:tcPr>
            <w:tcW w:w="1000" w:type="dxa"/>
            <w:vAlign w:val="bottom"/>
            <w:gridSpan w:val="2"/>
          </w:tcPr>
          <w:p>
            <w:pPr>
              <w:jc w:val="right"/>
              <w:spacing w:after="0"/>
              <w:rPr>
                <w:sz w:val="20"/>
                <w:szCs w:val="20"/>
                <w:color w:val="auto"/>
              </w:rPr>
            </w:pPr>
            <w:r>
              <w:rPr>
                <w:rFonts w:ascii="Arial" w:cs="Arial" w:eastAsia="Arial" w:hAnsi="Arial"/>
                <w:sz w:val="18"/>
                <w:szCs w:val="18"/>
                <w:color w:val="auto"/>
              </w:rPr>
              <w:t>37,383</w:t>
            </w:r>
          </w:p>
        </w:tc>
        <w:tc>
          <w:tcPr>
            <w:tcW w:w="260" w:type="dxa"/>
            <w:vAlign w:val="bottom"/>
          </w:tcPr>
          <w:p>
            <w:pPr>
              <w:spacing w:after="0"/>
              <w:rPr>
                <w:sz w:val="18"/>
                <w:szCs w:val="18"/>
                <w:color w:val="auto"/>
              </w:rPr>
            </w:pPr>
          </w:p>
        </w:tc>
        <w:tc>
          <w:tcPr>
            <w:tcW w:w="1180" w:type="dxa"/>
            <w:vAlign w:val="bottom"/>
            <w:gridSpan w:val="2"/>
          </w:tcPr>
          <w:p>
            <w:pPr>
              <w:jc w:val="right"/>
              <w:spacing w:after="0"/>
              <w:rPr>
                <w:sz w:val="20"/>
                <w:szCs w:val="20"/>
                <w:color w:val="auto"/>
              </w:rPr>
            </w:pPr>
            <w:r>
              <w:rPr>
                <w:rFonts w:ascii="Arial" w:cs="Arial" w:eastAsia="Arial" w:hAnsi="Arial"/>
                <w:sz w:val="18"/>
                <w:szCs w:val="18"/>
                <w:color w:val="auto"/>
              </w:rPr>
              <w:t>27,380</w:t>
            </w:r>
          </w:p>
        </w:tc>
        <w:tc>
          <w:tcPr>
            <w:tcW w:w="1240" w:type="dxa"/>
            <w:vAlign w:val="bottom"/>
            <w:gridSpan w:val="2"/>
          </w:tcPr>
          <w:p>
            <w:pPr>
              <w:jc w:val="right"/>
              <w:spacing w:after="0"/>
              <w:rPr>
                <w:sz w:val="20"/>
                <w:szCs w:val="20"/>
                <w:color w:val="auto"/>
              </w:rPr>
            </w:pPr>
            <w:r>
              <w:rPr>
                <w:rFonts w:ascii="Arial" w:cs="Arial" w:eastAsia="Arial" w:hAnsi="Arial"/>
                <w:sz w:val="18"/>
                <w:szCs w:val="18"/>
                <w:color w:val="auto"/>
              </w:rPr>
              <w:t>31,366</w:t>
            </w:r>
          </w:p>
        </w:tc>
        <w:tc>
          <w:tcPr>
            <w:tcW w:w="260" w:type="dxa"/>
            <w:vAlign w:val="bottom"/>
          </w:tcPr>
          <w:p>
            <w:pPr>
              <w:spacing w:after="0"/>
              <w:rPr>
                <w:sz w:val="18"/>
                <w:szCs w:val="18"/>
                <w:color w:val="auto"/>
              </w:rPr>
            </w:pPr>
          </w:p>
        </w:tc>
        <w:tc>
          <w:tcPr>
            <w:tcW w:w="1020" w:type="dxa"/>
            <w:vAlign w:val="bottom"/>
            <w:gridSpan w:val="2"/>
          </w:tcPr>
          <w:p>
            <w:pPr>
              <w:jc w:val="right"/>
              <w:spacing w:after="0"/>
              <w:rPr>
                <w:sz w:val="20"/>
                <w:szCs w:val="20"/>
                <w:color w:val="auto"/>
              </w:rPr>
            </w:pPr>
            <w:r>
              <w:rPr>
                <w:rFonts w:ascii="Arial" w:cs="Arial" w:eastAsia="Arial" w:hAnsi="Arial"/>
                <w:sz w:val="18"/>
                <w:szCs w:val="18"/>
                <w:color w:val="auto"/>
              </w:rPr>
              <w:t>37,383</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760" w:type="dxa"/>
            <w:vAlign w:val="bottom"/>
            <w:shd w:val="clear" w:color="auto" w:fill="CCEEFF"/>
          </w:tcPr>
          <w:p>
            <w:pPr>
              <w:spacing w:after="0"/>
              <w:rPr>
                <w:sz w:val="20"/>
                <w:szCs w:val="20"/>
                <w:color w:val="auto"/>
              </w:rPr>
            </w:pPr>
            <w:r>
              <w:rPr>
                <w:rFonts w:ascii="Arial" w:cs="Arial" w:eastAsia="Arial" w:hAnsi="Arial"/>
                <w:sz w:val="18"/>
                <w:szCs w:val="18"/>
                <w:color w:val="auto"/>
              </w:rPr>
              <w:t>AUD/USD +10%</w:t>
            </w:r>
          </w:p>
        </w:tc>
        <w:tc>
          <w:tcPr>
            <w:tcW w:w="1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1,827,003</w:t>
            </w:r>
          </w:p>
        </w:tc>
        <w:tc>
          <w:tcPr>
            <w:tcW w:w="150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(67,791)</w:t>
            </w:r>
          </w:p>
        </w:tc>
        <w:tc>
          <w:tcPr>
            <w:tcW w:w="126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(70,732)</w:t>
            </w:r>
          </w:p>
        </w:tc>
        <w:tc>
          <w:tcPr>
            <w:tcW w:w="1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1,827,003</w:t>
            </w:r>
          </w:p>
        </w:tc>
        <w:tc>
          <w:tcPr>
            <w:tcW w:w="150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(67,791)</w:t>
            </w:r>
          </w:p>
        </w:tc>
        <w:tc>
          <w:tcPr>
            <w:tcW w:w="114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(70,732)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760" w:type="dxa"/>
            <w:vAlign w:val="bottom"/>
          </w:tcPr>
          <w:p>
            <w:pPr>
              <w:spacing w:after="0"/>
              <w:rPr>
                <w:sz w:val="20"/>
                <w:szCs w:val="20"/>
                <w:color w:val="auto"/>
              </w:rPr>
            </w:pPr>
            <w:r>
              <w:rPr>
                <w:rFonts w:ascii="Arial" w:cs="Arial" w:eastAsia="Arial" w:hAnsi="Arial"/>
                <w:sz w:val="18"/>
                <w:szCs w:val="18"/>
                <w:color w:val="auto"/>
              </w:rPr>
              <w:t>AUD/USD – 5%</w:t>
            </w:r>
          </w:p>
        </w:tc>
        <w:tc>
          <w:tcPr>
            <w:tcW w:w="1680" w:type="dxa"/>
            <w:vAlign w:val="bottom"/>
            <w:gridSpan w:val="2"/>
          </w:tcPr>
          <w:p>
            <w:pPr>
              <w:jc w:val="right"/>
              <w:spacing w:after="0"/>
              <w:rPr>
                <w:sz w:val="20"/>
                <w:szCs w:val="20"/>
                <w:color w:val="auto"/>
              </w:rPr>
            </w:pPr>
            <w:r>
              <w:rPr>
                <w:rFonts w:ascii="Arial" w:cs="Arial" w:eastAsia="Arial" w:hAnsi="Arial"/>
                <w:sz w:val="18"/>
                <w:szCs w:val="18"/>
                <w:color w:val="auto"/>
              </w:rPr>
              <w:t>913,502</w:t>
            </w:r>
          </w:p>
        </w:tc>
        <w:tc>
          <w:tcPr>
            <w:tcW w:w="1240" w:type="dxa"/>
            <w:vAlign w:val="bottom"/>
            <w:gridSpan w:val="2"/>
          </w:tcPr>
          <w:p>
            <w:pPr>
              <w:jc w:val="right"/>
              <w:spacing w:after="0"/>
              <w:rPr>
                <w:sz w:val="20"/>
                <w:szCs w:val="20"/>
                <w:color w:val="auto"/>
              </w:rPr>
            </w:pPr>
            <w:r>
              <w:rPr>
                <w:rFonts w:ascii="Arial" w:cs="Arial" w:eastAsia="Arial" w:hAnsi="Arial"/>
                <w:sz w:val="18"/>
                <w:szCs w:val="18"/>
                <w:color w:val="auto"/>
              </w:rPr>
              <w:t>33,895</w:t>
            </w:r>
          </w:p>
        </w:tc>
        <w:tc>
          <w:tcPr>
            <w:tcW w:w="260" w:type="dxa"/>
            <w:vAlign w:val="bottom"/>
          </w:tcPr>
          <w:p>
            <w:pPr>
              <w:spacing w:after="0"/>
              <w:rPr>
                <w:sz w:val="18"/>
                <w:szCs w:val="18"/>
                <w:color w:val="auto"/>
              </w:rPr>
            </w:pPr>
          </w:p>
        </w:tc>
        <w:tc>
          <w:tcPr>
            <w:tcW w:w="1000" w:type="dxa"/>
            <w:vAlign w:val="bottom"/>
            <w:gridSpan w:val="2"/>
          </w:tcPr>
          <w:p>
            <w:pPr>
              <w:jc w:val="right"/>
              <w:spacing w:after="0"/>
              <w:rPr>
                <w:sz w:val="20"/>
                <w:szCs w:val="20"/>
                <w:color w:val="auto"/>
              </w:rPr>
            </w:pPr>
            <w:r>
              <w:rPr>
                <w:rFonts w:ascii="Arial" w:cs="Arial" w:eastAsia="Arial" w:hAnsi="Arial"/>
                <w:sz w:val="18"/>
                <w:szCs w:val="18"/>
                <w:color w:val="auto"/>
              </w:rPr>
              <w:t>35,366</w:t>
            </w:r>
          </w:p>
        </w:tc>
        <w:tc>
          <w:tcPr>
            <w:tcW w:w="260" w:type="dxa"/>
            <w:vAlign w:val="bottom"/>
          </w:tcPr>
          <w:p>
            <w:pPr>
              <w:spacing w:after="0"/>
              <w:rPr>
                <w:sz w:val="18"/>
                <w:szCs w:val="18"/>
                <w:color w:val="auto"/>
              </w:rPr>
            </w:pPr>
          </w:p>
        </w:tc>
        <w:tc>
          <w:tcPr>
            <w:tcW w:w="1180" w:type="dxa"/>
            <w:vAlign w:val="bottom"/>
            <w:gridSpan w:val="2"/>
          </w:tcPr>
          <w:p>
            <w:pPr>
              <w:jc w:val="right"/>
              <w:spacing w:after="0"/>
              <w:rPr>
                <w:sz w:val="20"/>
                <w:szCs w:val="20"/>
                <w:color w:val="auto"/>
              </w:rPr>
            </w:pPr>
            <w:r>
              <w:rPr>
                <w:rFonts w:ascii="Arial" w:cs="Arial" w:eastAsia="Arial" w:hAnsi="Arial"/>
                <w:sz w:val="18"/>
                <w:szCs w:val="18"/>
                <w:color w:val="auto"/>
              </w:rPr>
              <w:t>913,502</w:t>
            </w:r>
          </w:p>
        </w:tc>
        <w:tc>
          <w:tcPr>
            <w:tcW w:w="1240" w:type="dxa"/>
            <w:vAlign w:val="bottom"/>
            <w:gridSpan w:val="2"/>
          </w:tcPr>
          <w:p>
            <w:pPr>
              <w:jc w:val="right"/>
              <w:spacing w:after="0"/>
              <w:rPr>
                <w:sz w:val="20"/>
                <w:szCs w:val="20"/>
                <w:color w:val="auto"/>
              </w:rPr>
            </w:pPr>
            <w:r>
              <w:rPr>
                <w:rFonts w:ascii="Arial" w:cs="Arial" w:eastAsia="Arial" w:hAnsi="Arial"/>
                <w:sz w:val="18"/>
                <w:szCs w:val="18"/>
                <w:color w:val="auto"/>
              </w:rPr>
              <w:t>33,895</w:t>
            </w:r>
          </w:p>
        </w:tc>
        <w:tc>
          <w:tcPr>
            <w:tcW w:w="260" w:type="dxa"/>
            <w:vAlign w:val="bottom"/>
          </w:tcPr>
          <w:p>
            <w:pPr>
              <w:spacing w:after="0"/>
              <w:rPr>
                <w:sz w:val="18"/>
                <w:szCs w:val="18"/>
                <w:color w:val="auto"/>
              </w:rPr>
            </w:pPr>
          </w:p>
        </w:tc>
        <w:tc>
          <w:tcPr>
            <w:tcW w:w="1020" w:type="dxa"/>
            <w:vAlign w:val="bottom"/>
            <w:gridSpan w:val="2"/>
          </w:tcPr>
          <w:p>
            <w:pPr>
              <w:jc w:val="right"/>
              <w:spacing w:after="0"/>
              <w:rPr>
                <w:sz w:val="20"/>
                <w:szCs w:val="20"/>
                <w:color w:val="auto"/>
              </w:rPr>
            </w:pPr>
            <w:r>
              <w:rPr>
                <w:rFonts w:ascii="Arial" w:cs="Arial" w:eastAsia="Arial" w:hAnsi="Arial"/>
                <w:sz w:val="18"/>
                <w:szCs w:val="18"/>
                <w:color w:val="auto"/>
              </w:rPr>
              <w:t>35,366</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760" w:type="dxa"/>
            <w:vAlign w:val="bottom"/>
            <w:shd w:val="clear" w:color="auto" w:fill="CCEEFF"/>
          </w:tcPr>
          <w:p>
            <w:pPr>
              <w:spacing w:after="0"/>
              <w:rPr>
                <w:sz w:val="20"/>
                <w:szCs w:val="20"/>
                <w:color w:val="auto"/>
              </w:rPr>
            </w:pPr>
            <w:r>
              <w:rPr>
                <w:rFonts w:ascii="Arial" w:cs="Arial" w:eastAsia="Arial" w:hAnsi="Arial"/>
                <w:sz w:val="18"/>
                <w:szCs w:val="18"/>
                <w:color w:val="auto"/>
              </w:rPr>
              <w:t>AUD/EUR +10%</w:t>
            </w:r>
          </w:p>
        </w:tc>
        <w:tc>
          <w:tcPr>
            <w:tcW w:w="1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8,663</w:t>
            </w:r>
          </w:p>
        </w:tc>
        <w:tc>
          <w:tcPr>
            <w:tcW w:w="150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(13,795)</w:t>
            </w:r>
          </w:p>
        </w:tc>
        <w:tc>
          <w:tcPr>
            <w:tcW w:w="126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(22,151)</w:t>
            </w:r>
          </w:p>
        </w:tc>
        <w:tc>
          <w:tcPr>
            <w:tcW w:w="1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8,663</w:t>
            </w:r>
          </w:p>
        </w:tc>
        <w:tc>
          <w:tcPr>
            <w:tcW w:w="150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(13,795)</w:t>
            </w:r>
          </w:p>
        </w:tc>
        <w:tc>
          <w:tcPr>
            <w:tcW w:w="114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(22,151)</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760" w:type="dxa"/>
            <w:vAlign w:val="bottom"/>
          </w:tcPr>
          <w:p>
            <w:pPr>
              <w:spacing w:after="0"/>
              <w:rPr>
                <w:sz w:val="20"/>
                <w:szCs w:val="20"/>
                <w:color w:val="auto"/>
              </w:rPr>
            </w:pPr>
            <w:r>
              <w:rPr>
                <w:rFonts w:ascii="Arial" w:cs="Arial" w:eastAsia="Arial" w:hAnsi="Arial"/>
                <w:sz w:val="18"/>
                <w:szCs w:val="18"/>
                <w:color w:val="auto"/>
              </w:rPr>
              <w:t>AUD/EUR – 5%</w:t>
            </w:r>
          </w:p>
        </w:tc>
        <w:tc>
          <w:tcPr>
            <w:tcW w:w="1680" w:type="dxa"/>
            <w:vAlign w:val="bottom"/>
            <w:gridSpan w:val="2"/>
          </w:tcPr>
          <w:p>
            <w:pPr>
              <w:jc w:val="right"/>
              <w:spacing w:after="0"/>
              <w:rPr>
                <w:sz w:val="20"/>
                <w:szCs w:val="20"/>
                <w:color w:val="auto"/>
              </w:rPr>
            </w:pPr>
            <w:r>
              <w:rPr>
                <w:rFonts w:ascii="Arial" w:cs="Arial" w:eastAsia="Arial" w:hAnsi="Arial"/>
                <w:sz w:val="18"/>
                <w:szCs w:val="18"/>
                <w:color w:val="auto"/>
              </w:rPr>
              <w:t>4,332</w:t>
            </w:r>
          </w:p>
        </w:tc>
        <w:tc>
          <w:tcPr>
            <w:tcW w:w="1240" w:type="dxa"/>
            <w:vAlign w:val="bottom"/>
            <w:gridSpan w:val="2"/>
          </w:tcPr>
          <w:p>
            <w:pPr>
              <w:jc w:val="right"/>
              <w:spacing w:after="0"/>
              <w:rPr>
                <w:sz w:val="20"/>
                <w:szCs w:val="20"/>
                <w:color w:val="auto"/>
              </w:rPr>
            </w:pPr>
            <w:r>
              <w:rPr>
                <w:rFonts w:ascii="Arial" w:cs="Arial" w:eastAsia="Arial" w:hAnsi="Arial"/>
                <w:sz w:val="18"/>
                <w:szCs w:val="18"/>
                <w:color w:val="auto"/>
              </w:rPr>
              <w:t>6,897</w:t>
            </w:r>
          </w:p>
        </w:tc>
        <w:tc>
          <w:tcPr>
            <w:tcW w:w="260" w:type="dxa"/>
            <w:vAlign w:val="bottom"/>
          </w:tcPr>
          <w:p>
            <w:pPr>
              <w:spacing w:after="0"/>
              <w:rPr>
                <w:sz w:val="20"/>
                <w:szCs w:val="20"/>
                <w:color w:val="auto"/>
              </w:rPr>
            </w:pPr>
          </w:p>
        </w:tc>
        <w:tc>
          <w:tcPr>
            <w:tcW w:w="1000" w:type="dxa"/>
            <w:vAlign w:val="bottom"/>
            <w:gridSpan w:val="2"/>
          </w:tcPr>
          <w:p>
            <w:pPr>
              <w:jc w:val="right"/>
              <w:spacing w:after="0"/>
              <w:rPr>
                <w:sz w:val="20"/>
                <w:szCs w:val="20"/>
                <w:color w:val="auto"/>
              </w:rPr>
            </w:pPr>
            <w:r>
              <w:rPr>
                <w:rFonts w:ascii="Arial" w:cs="Arial" w:eastAsia="Arial" w:hAnsi="Arial"/>
                <w:sz w:val="18"/>
                <w:szCs w:val="18"/>
                <w:color w:val="auto"/>
              </w:rPr>
              <w:t>11,076</w:t>
            </w:r>
          </w:p>
        </w:tc>
        <w:tc>
          <w:tcPr>
            <w:tcW w:w="260" w:type="dxa"/>
            <w:vAlign w:val="bottom"/>
          </w:tcPr>
          <w:p>
            <w:pPr>
              <w:spacing w:after="0"/>
              <w:rPr>
                <w:sz w:val="20"/>
                <w:szCs w:val="20"/>
                <w:color w:val="auto"/>
              </w:rPr>
            </w:pPr>
          </w:p>
        </w:tc>
        <w:tc>
          <w:tcPr>
            <w:tcW w:w="1180" w:type="dxa"/>
            <w:vAlign w:val="bottom"/>
            <w:gridSpan w:val="2"/>
          </w:tcPr>
          <w:p>
            <w:pPr>
              <w:jc w:val="right"/>
              <w:spacing w:after="0"/>
              <w:rPr>
                <w:sz w:val="20"/>
                <w:szCs w:val="20"/>
                <w:color w:val="auto"/>
              </w:rPr>
            </w:pPr>
            <w:r>
              <w:rPr>
                <w:rFonts w:ascii="Arial" w:cs="Arial" w:eastAsia="Arial" w:hAnsi="Arial"/>
                <w:sz w:val="18"/>
                <w:szCs w:val="18"/>
                <w:color w:val="auto"/>
              </w:rPr>
              <w:t>4,332</w:t>
            </w:r>
          </w:p>
        </w:tc>
        <w:tc>
          <w:tcPr>
            <w:tcW w:w="1240" w:type="dxa"/>
            <w:vAlign w:val="bottom"/>
            <w:gridSpan w:val="2"/>
          </w:tcPr>
          <w:p>
            <w:pPr>
              <w:jc w:val="right"/>
              <w:spacing w:after="0"/>
              <w:rPr>
                <w:sz w:val="20"/>
                <w:szCs w:val="20"/>
                <w:color w:val="auto"/>
              </w:rPr>
            </w:pPr>
            <w:r>
              <w:rPr>
                <w:rFonts w:ascii="Arial" w:cs="Arial" w:eastAsia="Arial" w:hAnsi="Arial"/>
                <w:sz w:val="18"/>
                <w:szCs w:val="18"/>
                <w:color w:val="auto"/>
              </w:rPr>
              <w:t>6,897</w:t>
            </w:r>
          </w:p>
        </w:tc>
        <w:tc>
          <w:tcPr>
            <w:tcW w:w="260" w:type="dxa"/>
            <w:vAlign w:val="bottom"/>
          </w:tcPr>
          <w:p>
            <w:pPr>
              <w:spacing w:after="0"/>
              <w:rPr>
                <w:sz w:val="20"/>
                <w:szCs w:val="20"/>
                <w:color w:val="auto"/>
              </w:rPr>
            </w:pPr>
          </w:p>
        </w:tc>
        <w:tc>
          <w:tcPr>
            <w:tcW w:w="1020" w:type="dxa"/>
            <w:vAlign w:val="bottom"/>
            <w:gridSpan w:val="2"/>
          </w:tcPr>
          <w:p>
            <w:pPr>
              <w:jc w:val="right"/>
              <w:spacing w:after="0"/>
              <w:rPr>
                <w:sz w:val="20"/>
                <w:szCs w:val="20"/>
                <w:color w:val="auto"/>
              </w:rPr>
            </w:pPr>
            <w:r>
              <w:rPr>
                <w:rFonts w:ascii="Arial" w:cs="Arial" w:eastAsia="Arial" w:hAnsi="Arial"/>
                <w:sz w:val="18"/>
                <w:szCs w:val="18"/>
                <w:color w:val="auto"/>
              </w:rPr>
              <w:t>11,076</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187" w:lineRule="exact"/>
        <w:rPr>
          <w:sz w:val="20"/>
          <w:szCs w:val="20"/>
          <w:color w:val="auto"/>
        </w:rPr>
      </w:pPr>
    </w:p>
    <w:p>
      <w:pPr>
        <w:jc w:val="both"/>
        <w:ind w:left="200" w:right="80"/>
        <w:spacing w:after="0" w:line="277" w:lineRule="auto"/>
        <w:rPr>
          <w:sz w:val="20"/>
          <w:szCs w:val="20"/>
          <w:color w:val="auto"/>
        </w:rPr>
      </w:pPr>
      <w:r>
        <w:rPr>
          <w:rFonts w:ascii="Arial" w:cs="Arial" w:eastAsia="Arial" w:hAnsi="Arial"/>
          <w:sz w:val="18"/>
          <w:szCs w:val="18"/>
          <w:color w:val="auto"/>
        </w:rPr>
        <w:t>Management believe the reporting date risk exposures are representative of the risk exposure inherent in the financial instruments. The Company has no processes and objectives for managing foreign exchange risks.</w:t>
      </w:r>
    </w:p>
    <w:p>
      <w:pPr>
        <w:spacing w:after="0" w:line="279" w:lineRule="exact"/>
        <w:rPr>
          <w:sz w:val="20"/>
          <w:szCs w:val="20"/>
          <w:color w:val="auto"/>
        </w:rPr>
      </w:pPr>
    </w:p>
    <w:p>
      <w:pPr>
        <w:ind w:left="200"/>
        <w:spacing w:after="0"/>
        <w:rPr>
          <w:sz w:val="20"/>
          <w:szCs w:val="20"/>
          <w:color w:val="auto"/>
        </w:rPr>
      </w:pPr>
      <w:r>
        <w:rPr>
          <w:rFonts w:ascii="Arial" w:cs="Arial" w:eastAsia="Arial" w:hAnsi="Arial"/>
          <w:sz w:val="18"/>
          <w:szCs w:val="18"/>
          <w:i w:val="1"/>
          <w:iCs w:val="1"/>
          <w:color w:val="auto"/>
        </w:rPr>
        <w:t>Credit risk</w:t>
      </w:r>
    </w:p>
    <w:p>
      <w:pPr>
        <w:spacing w:after="0" w:line="117" w:lineRule="exact"/>
        <w:rPr>
          <w:sz w:val="20"/>
          <w:szCs w:val="20"/>
          <w:color w:val="auto"/>
        </w:rPr>
      </w:pPr>
    </w:p>
    <w:p>
      <w:pPr>
        <w:ind w:left="200" w:right="180"/>
        <w:spacing w:after="0" w:line="342" w:lineRule="auto"/>
        <w:rPr>
          <w:sz w:val="20"/>
          <w:szCs w:val="20"/>
          <w:color w:val="auto"/>
        </w:rPr>
      </w:pPr>
      <w:r>
        <w:rPr>
          <w:rFonts w:ascii="Arial" w:cs="Arial" w:eastAsia="Arial" w:hAnsi="Arial"/>
          <w:sz w:val="16"/>
          <w:szCs w:val="16"/>
          <w:color w:val="auto"/>
        </w:rPr>
        <w:t>Credit risk arises from the financial assets of the Company, which comprise cash and cash equivalents and trade and other receivables. The Company’s exposure to credit risk arises from potential default of the counter party, with a maximum exposure equal to the carrying amount of these instruments.</w:t>
      </w:r>
    </w:p>
    <w:p>
      <w:pPr>
        <w:spacing w:after="0" w:line="124" w:lineRule="exact"/>
        <w:rPr>
          <w:sz w:val="20"/>
          <w:szCs w:val="20"/>
          <w:color w:val="auto"/>
        </w:rPr>
      </w:pPr>
    </w:p>
    <w:p>
      <w:pPr>
        <w:ind w:left="200"/>
        <w:spacing w:after="0"/>
        <w:rPr>
          <w:sz w:val="20"/>
          <w:szCs w:val="20"/>
          <w:color w:val="auto"/>
        </w:rPr>
      </w:pPr>
      <w:r>
        <w:rPr>
          <w:rFonts w:ascii="Arial" w:cs="Arial" w:eastAsia="Arial" w:hAnsi="Arial"/>
          <w:sz w:val="18"/>
          <w:szCs w:val="18"/>
          <w:color w:val="auto"/>
        </w:rPr>
        <w:t>The Company does not hold any credit derivatives to offset its credit exposure.</w:t>
      </w:r>
    </w:p>
    <w:p>
      <w:pPr>
        <w:spacing w:after="0" w:line="225" w:lineRule="exact"/>
        <w:rPr>
          <w:sz w:val="20"/>
          <w:szCs w:val="20"/>
          <w:color w:val="auto"/>
        </w:rPr>
      </w:pPr>
    </w:p>
    <w:p>
      <w:pPr>
        <w:ind w:left="200" w:right="100"/>
        <w:spacing w:after="0" w:line="277" w:lineRule="auto"/>
        <w:rPr>
          <w:sz w:val="20"/>
          <w:szCs w:val="20"/>
          <w:color w:val="auto"/>
        </w:rPr>
      </w:pPr>
      <w:r>
        <w:rPr>
          <w:rFonts w:ascii="Arial" w:cs="Arial" w:eastAsia="Arial" w:hAnsi="Arial"/>
          <w:sz w:val="18"/>
          <w:szCs w:val="18"/>
          <w:color w:val="auto"/>
        </w:rPr>
        <w:t>The Company trades only with recognized, creditworthy third parties, and as such collateral is not requested nor is it the Company’s policy to securitize its trade and other receivables.</w:t>
      </w:r>
    </w:p>
    <w:p>
      <w:pPr>
        <w:spacing w:after="0" w:line="170" w:lineRule="exact"/>
        <w:rPr>
          <w:sz w:val="20"/>
          <w:szCs w:val="20"/>
          <w:color w:val="auto"/>
        </w:rPr>
      </w:pPr>
    </w:p>
    <w:p>
      <w:pPr>
        <w:ind w:left="200" w:right="60"/>
        <w:spacing w:after="0" w:line="264" w:lineRule="auto"/>
        <w:rPr>
          <w:sz w:val="20"/>
          <w:szCs w:val="20"/>
          <w:color w:val="auto"/>
        </w:rPr>
      </w:pPr>
      <w:r>
        <w:rPr>
          <w:rFonts w:ascii="Arial" w:cs="Arial" w:eastAsia="Arial" w:hAnsi="Arial"/>
          <w:sz w:val="18"/>
          <w:szCs w:val="18"/>
          <w:color w:val="auto"/>
        </w:rPr>
        <w:t>It is the Company’s policy that all customers who wish to trade on credit terms are subject to credit verification procedures including an assessment of their independent credit rating, financial position, past experience and industry reputation. Risk limits are set for each individual customer in accordance with parameters set by the Board. These risk limits are regularly monitored.</w:t>
      </w:r>
    </w:p>
    <w:p>
      <w:pPr>
        <w:spacing w:after="0" w:line="73" w:lineRule="exact"/>
        <w:rPr>
          <w:sz w:val="20"/>
          <w:szCs w:val="20"/>
          <w:color w:val="auto"/>
        </w:rPr>
      </w:pPr>
    </w:p>
    <w:p>
      <w:pPr>
        <w:ind w:left="200"/>
        <w:spacing w:after="0"/>
        <w:rPr>
          <w:sz w:val="20"/>
          <w:szCs w:val="20"/>
          <w:color w:val="auto"/>
        </w:rPr>
      </w:pPr>
      <w:r>
        <w:rPr>
          <w:rFonts w:ascii="Arial" w:cs="Arial" w:eastAsia="Arial" w:hAnsi="Arial"/>
          <w:sz w:val="17"/>
          <w:szCs w:val="17"/>
          <w:color w:val="auto"/>
        </w:rPr>
        <w:t>In addition, receivable balances are monitored on an on-going basis with the result that the Company’s exposure to bad debts is not significant.</w:t>
      </w:r>
    </w:p>
    <w:p>
      <w:pPr>
        <w:spacing w:after="0" w:line="237" w:lineRule="exact"/>
        <w:rPr>
          <w:sz w:val="20"/>
          <w:szCs w:val="20"/>
          <w:color w:val="auto"/>
        </w:rPr>
      </w:pPr>
    </w:p>
    <w:p>
      <w:pPr>
        <w:ind w:left="200" w:right="40"/>
        <w:spacing w:after="0" w:line="277" w:lineRule="auto"/>
        <w:rPr>
          <w:sz w:val="20"/>
          <w:szCs w:val="20"/>
          <w:color w:val="auto"/>
        </w:rPr>
      </w:pPr>
      <w:r>
        <w:rPr>
          <w:rFonts w:ascii="Arial" w:cs="Arial" w:eastAsia="Arial" w:hAnsi="Arial"/>
          <w:sz w:val="18"/>
          <w:szCs w:val="18"/>
          <w:color w:val="auto"/>
        </w:rPr>
        <w:t>A significant balance of cash is held in National Australia Bank. This is a highly rated institution which effectively manages its risk profile and therefore the Company considers its cash balances to be secure.</w:t>
      </w:r>
    </w:p>
    <w:p>
      <w:pPr>
        <w:spacing w:after="0" w:line="170" w:lineRule="exact"/>
        <w:rPr>
          <w:sz w:val="20"/>
          <w:szCs w:val="20"/>
          <w:color w:val="auto"/>
        </w:rPr>
      </w:pPr>
    </w:p>
    <w:p>
      <w:pPr>
        <w:ind w:left="200"/>
        <w:spacing w:after="0"/>
        <w:rPr>
          <w:sz w:val="20"/>
          <w:szCs w:val="20"/>
          <w:color w:val="auto"/>
        </w:rPr>
      </w:pPr>
      <w:r>
        <w:rPr>
          <w:rFonts w:ascii="Arial" w:cs="Arial" w:eastAsia="Arial" w:hAnsi="Arial"/>
          <w:sz w:val="18"/>
          <w:szCs w:val="18"/>
          <w:color w:val="auto"/>
        </w:rPr>
        <w:t>There is no concentration of debt amongst the creditors.</w:t>
      </w:r>
    </w:p>
    <w:p>
      <w:pPr>
        <w:spacing w:after="0" w:line="333" w:lineRule="exact"/>
        <w:rPr>
          <w:sz w:val="20"/>
          <w:szCs w:val="20"/>
          <w:color w:val="auto"/>
        </w:rPr>
      </w:pPr>
    </w:p>
    <w:p>
      <w:pPr>
        <w:ind w:left="200"/>
        <w:spacing w:after="0"/>
        <w:rPr>
          <w:sz w:val="20"/>
          <w:szCs w:val="20"/>
          <w:color w:val="auto"/>
        </w:rPr>
      </w:pPr>
      <w:r>
        <w:rPr>
          <w:rFonts w:ascii="Arial" w:cs="Arial" w:eastAsia="Arial" w:hAnsi="Arial"/>
          <w:sz w:val="18"/>
          <w:szCs w:val="18"/>
          <w:i w:val="1"/>
          <w:iCs w:val="1"/>
          <w:color w:val="auto"/>
        </w:rPr>
        <w:t>Liquidity risk</w:t>
      </w:r>
    </w:p>
    <w:p>
      <w:pPr>
        <w:spacing w:after="0" w:line="117" w:lineRule="exact"/>
        <w:rPr>
          <w:sz w:val="20"/>
          <w:szCs w:val="20"/>
          <w:color w:val="auto"/>
        </w:rPr>
      </w:pPr>
    </w:p>
    <w:p>
      <w:pPr>
        <w:ind w:left="200" w:right="480"/>
        <w:spacing w:after="0" w:line="277" w:lineRule="auto"/>
        <w:rPr>
          <w:sz w:val="20"/>
          <w:szCs w:val="20"/>
          <w:color w:val="auto"/>
        </w:rPr>
      </w:pPr>
      <w:r>
        <w:rPr>
          <w:rFonts w:ascii="Arial" w:cs="Arial" w:eastAsia="Arial" w:hAnsi="Arial"/>
          <w:sz w:val="18"/>
          <w:szCs w:val="18"/>
          <w:color w:val="auto"/>
        </w:rPr>
        <w:t>The Company’s objective is to maintain a balance between continuity of funding and flexibility through the use of bank overdrafts, bank loans and finance leases.</w:t>
      </w:r>
    </w:p>
    <w:p>
      <w:pPr>
        <w:spacing w:after="0" w:line="170" w:lineRule="exact"/>
        <w:rPr>
          <w:sz w:val="20"/>
          <w:szCs w:val="20"/>
          <w:color w:val="auto"/>
        </w:rPr>
      </w:pPr>
    </w:p>
    <w:p>
      <w:pPr>
        <w:ind w:left="200" w:right="220"/>
        <w:spacing w:after="0" w:line="286" w:lineRule="auto"/>
        <w:rPr>
          <w:sz w:val="20"/>
          <w:szCs w:val="20"/>
          <w:color w:val="auto"/>
        </w:rPr>
      </w:pPr>
      <w:r>
        <w:rPr>
          <w:rFonts w:ascii="Arial" w:cs="Arial" w:eastAsia="Arial" w:hAnsi="Arial"/>
          <w:sz w:val="17"/>
          <w:szCs w:val="17"/>
          <w:color w:val="auto"/>
        </w:rPr>
        <w:t>The table below reflects all contractually fixed pay-offs and receivables for settlement, repayments and interest resulting from recognized financial assets and liabilities. For all obligations, the respective undiscounted cash flows for the respective upcoming fiscal years are presented. Cash flows for financial assets and liabilities without fixed amount or timing are based on the conditions existing at June 30, 2018.</w:t>
      </w:r>
    </w:p>
    <w:p>
      <w:pPr>
        <w:spacing w:after="0" w:line="98"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F-46</w:t>
      </w:r>
    </w:p>
    <w:p>
      <w:pPr>
        <w:sectPr>
          <w:pgSz w:w="11900" w:h="16838" w:orient="portrait"/>
          <w:cols w:equalWidth="0" w:num="1">
            <w:col w:w="11240"/>
          </w:cols>
          <w:pgMar w:left="240" w:top="459" w:right="419" w:bottom="1440" w:gutter="0" w:footer="0" w:header="0"/>
        </w:sectPr>
      </w:pPr>
    </w:p>
    <w:bookmarkStart w:id="145" w:name="page146"/>
    <w:bookmarkEnd w:id="14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9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399"/>
        <w:spacing w:after="0"/>
        <w:rPr>
          <w:sz w:val="20"/>
          <w:szCs w:val="20"/>
          <w:color w:val="auto"/>
        </w:rPr>
      </w:pPr>
      <w:r>
        <w:rPr>
          <w:rFonts w:ascii="Arial" w:cs="Arial" w:eastAsia="Arial" w:hAnsi="Arial"/>
          <w:sz w:val="18"/>
          <w:szCs w:val="18"/>
          <w:b w:val="1"/>
          <w:bCs w:val="1"/>
          <w:color w:val="auto"/>
        </w:rPr>
        <w:t>AVITA MEDICAL LIMITED</w:t>
      </w:r>
    </w:p>
    <w:p>
      <w:pPr>
        <w:spacing w:after="0" w:line="27" w:lineRule="exact"/>
        <w:rPr>
          <w:sz w:val="20"/>
          <w:szCs w:val="20"/>
          <w:color w:val="auto"/>
        </w:rPr>
      </w:pPr>
    </w:p>
    <w:p>
      <w:pPr>
        <w:jc w:val="center"/>
        <w:ind w:right="-399"/>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9" w:lineRule="exact"/>
        <w:rPr>
          <w:sz w:val="20"/>
          <w:szCs w:val="20"/>
          <w:color w:val="auto"/>
        </w:rPr>
      </w:pPr>
    </w:p>
    <w:p>
      <w:pPr>
        <w:jc w:val="center"/>
        <w:ind w:right="-399"/>
        <w:spacing w:after="0"/>
        <w:rPr>
          <w:sz w:val="20"/>
          <w:szCs w:val="20"/>
          <w:color w:val="auto"/>
        </w:rPr>
      </w:pPr>
      <w:r>
        <w:rPr>
          <w:rFonts w:ascii="Arial" w:cs="Arial" w:eastAsia="Arial" w:hAnsi="Arial"/>
          <w:sz w:val="18"/>
          <w:szCs w:val="18"/>
          <w:b w:val="1"/>
          <w:bCs w:val="1"/>
          <w:color w:val="auto"/>
        </w:rPr>
        <w:t>(IN AUSTRALIAN DOLLARS)</w:t>
      </w:r>
    </w:p>
    <w:p>
      <w:pPr>
        <w:spacing w:after="0" w:line="234" w:lineRule="exact"/>
        <w:rPr>
          <w:sz w:val="20"/>
          <w:szCs w:val="20"/>
          <w:color w:val="auto"/>
        </w:rPr>
      </w:pPr>
    </w:p>
    <w:p>
      <w:pPr>
        <w:ind w:left="640" w:hanging="436"/>
        <w:spacing w:after="0"/>
        <w:tabs>
          <w:tab w:leader="none" w:pos="640" w:val="left"/>
        </w:tabs>
        <w:numPr>
          <w:ilvl w:val="0"/>
          <w:numId w:val="185"/>
        </w:numPr>
        <w:rPr>
          <w:rFonts w:ascii="Arial" w:cs="Arial" w:eastAsia="Arial" w:hAnsi="Arial"/>
          <w:sz w:val="18"/>
          <w:szCs w:val="18"/>
          <w:b w:val="1"/>
          <w:bCs w:val="1"/>
          <w:color w:val="auto"/>
        </w:rPr>
      </w:pPr>
      <w:r>
        <w:rPr>
          <w:rFonts w:ascii="Arial" w:cs="Arial" w:eastAsia="Arial" w:hAnsi="Arial"/>
          <w:sz w:val="18"/>
          <w:szCs w:val="18"/>
          <w:b w:val="1"/>
          <w:bCs w:val="1"/>
          <w:color w:val="auto"/>
        </w:rPr>
        <w:t>FINANCIAL RISK MANAGEMENT OBJECTIVES AND POLICIES (CONTINUED)</w:t>
      </w:r>
    </w:p>
    <w:p>
      <w:pPr>
        <w:spacing w:after="0" w:line="135" w:lineRule="exact"/>
        <w:rPr>
          <w:sz w:val="20"/>
          <w:szCs w:val="20"/>
          <w:color w:val="auto"/>
        </w:rPr>
      </w:pPr>
    </w:p>
    <w:p>
      <w:pPr>
        <w:ind w:left="200"/>
        <w:spacing w:after="0"/>
        <w:rPr>
          <w:sz w:val="20"/>
          <w:szCs w:val="20"/>
          <w:color w:val="auto"/>
        </w:rPr>
      </w:pPr>
      <w:r>
        <w:rPr>
          <w:rFonts w:ascii="Arial" w:cs="Arial" w:eastAsia="Arial" w:hAnsi="Arial"/>
          <w:sz w:val="18"/>
          <w:szCs w:val="18"/>
          <w:color w:val="auto"/>
        </w:rPr>
        <w:t>The remaining contractual maturities of the Company’s financial liabilities are:</w:t>
      </w:r>
    </w:p>
    <w:p>
      <w:pPr>
        <w:spacing w:after="0" w:line="231" w:lineRule="exact"/>
        <w:rPr>
          <w:sz w:val="20"/>
          <w:szCs w:val="20"/>
          <w:color w:val="auto"/>
        </w:rPr>
      </w:pPr>
    </w:p>
    <w:tbl>
      <w:tblPr>
        <w:tblLayout w:type="fixed"/>
        <w:tblInd w:w="152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5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780" w:type="dxa"/>
            <w:vAlign w:val="bottom"/>
            <w:gridSpan w:val="4"/>
          </w:tcPr>
          <w:p>
            <w:pPr>
              <w:ind w:left="920"/>
              <w:spacing w:after="0"/>
              <w:rPr>
                <w:sz w:val="20"/>
                <w:szCs w:val="20"/>
                <w:color w:val="auto"/>
              </w:rPr>
            </w:pPr>
            <w:r>
              <w:rPr>
                <w:rFonts w:ascii="Arial" w:cs="Arial" w:eastAsia="Arial" w:hAnsi="Arial"/>
                <w:sz w:val="14"/>
                <w:szCs w:val="14"/>
                <w:b w:val="1"/>
                <w:bCs w:val="1"/>
                <w:color w:val="auto"/>
              </w:rPr>
              <w:t>As of June 30,</w:t>
            </w:r>
          </w:p>
        </w:tc>
      </w:tr>
      <w:tr>
        <w:trPr>
          <w:trHeight w:val="171"/>
        </w:trPr>
        <w:tc>
          <w:tcPr>
            <w:tcW w:w="20" w:type="dxa"/>
            <w:vAlign w:val="bottom"/>
          </w:tcPr>
          <w:p>
            <w:pPr>
              <w:spacing w:after="0"/>
              <w:rPr>
                <w:sz w:val="14"/>
                <w:szCs w:val="14"/>
                <w:color w:val="auto"/>
              </w:rPr>
            </w:pPr>
          </w:p>
        </w:tc>
        <w:tc>
          <w:tcPr>
            <w:tcW w:w="5560" w:type="dxa"/>
            <w:vAlign w:val="bottom"/>
          </w:tcPr>
          <w:p>
            <w:pPr>
              <w:spacing w:after="0"/>
              <w:rPr>
                <w:sz w:val="14"/>
                <w:szCs w:val="14"/>
                <w:color w:val="auto"/>
              </w:rPr>
            </w:pPr>
          </w:p>
        </w:tc>
        <w:tc>
          <w:tcPr>
            <w:tcW w:w="960" w:type="dxa"/>
            <w:vAlign w:val="bottom"/>
            <w:gridSpan w:val="2"/>
          </w:tcPr>
          <w:p>
            <w:pPr>
              <w:jc w:val="center"/>
              <w:spacing w:after="0"/>
              <w:rPr>
                <w:sz w:val="20"/>
                <w:szCs w:val="20"/>
                <w:color w:val="auto"/>
              </w:rPr>
            </w:pPr>
            <w:r>
              <w:rPr>
                <w:rFonts w:ascii="Arial" w:cs="Arial" w:eastAsia="Arial" w:hAnsi="Arial"/>
                <w:sz w:val="14"/>
                <w:szCs w:val="14"/>
                <w:b w:val="1"/>
                <w:bCs w:val="1"/>
                <w:color w:val="auto"/>
                <w:w w:val="96"/>
              </w:rPr>
              <w:t>2018</w:t>
            </w:r>
          </w:p>
        </w:tc>
        <w:tc>
          <w:tcPr>
            <w:tcW w:w="1800" w:type="dxa"/>
            <w:vAlign w:val="bottom"/>
            <w:gridSpan w:val="2"/>
          </w:tcPr>
          <w:p>
            <w:pPr>
              <w:jc w:val="center"/>
              <w:ind w:left="748"/>
              <w:spacing w:after="0"/>
              <w:rPr>
                <w:sz w:val="20"/>
                <w:szCs w:val="20"/>
                <w:color w:val="auto"/>
              </w:rPr>
            </w:pPr>
            <w:r>
              <w:rPr>
                <w:rFonts w:ascii="Arial" w:cs="Arial" w:eastAsia="Arial" w:hAnsi="Arial"/>
                <w:sz w:val="14"/>
                <w:szCs w:val="14"/>
                <w:b w:val="1"/>
                <w:bCs w:val="1"/>
                <w:color w:val="auto"/>
                <w:w w:val="96"/>
              </w:rPr>
              <w:t>2017</w:t>
            </w:r>
          </w:p>
        </w:tc>
        <w:tc>
          <w:tcPr>
            <w:tcW w:w="40" w:type="dxa"/>
            <w:vAlign w:val="bottom"/>
          </w:tcPr>
          <w:p>
            <w:pPr>
              <w:spacing w:after="0"/>
              <w:rPr>
                <w:sz w:val="14"/>
                <w:szCs w:val="14"/>
                <w:color w:val="auto"/>
              </w:rPr>
            </w:pPr>
          </w:p>
        </w:tc>
      </w:tr>
      <w:tr>
        <w:trPr>
          <w:trHeight w:val="210"/>
        </w:trPr>
        <w:tc>
          <w:tcPr>
            <w:tcW w:w="20" w:type="dxa"/>
            <w:vAlign w:val="bottom"/>
          </w:tcPr>
          <w:p>
            <w:pPr>
              <w:spacing w:after="0"/>
              <w:rPr>
                <w:sz w:val="18"/>
                <w:szCs w:val="18"/>
                <w:color w:val="auto"/>
              </w:rPr>
            </w:pPr>
          </w:p>
        </w:tc>
        <w:tc>
          <w:tcPr>
            <w:tcW w:w="55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6 months or less</w:t>
            </w:r>
          </w:p>
        </w:tc>
        <w:tc>
          <w:tcPr>
            <w:tcW w:w="20" w:type="dxa"/>
            <w:vAlign w:val="bottom"/>
            <w:tcBorders>
              <w:top w:val="single" w:sz="8" w:color="CCEEFF"/>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2"/>
              </w:rPr>
              <w:t>A$3,487,582</w:t>
            </w:r>
          </w:p>
        </w:tc>
        <w:tc>
          <w:tcPr>
            <w:tcW w:w="840" w:type="dxa"/>
            <w:vAlign w:val="bottom"/>
            <w:tcBorders>
              <w:top w:val="single" w:sz="8" w:color="CCEEFF"/>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2"/>
              </w:rPr>
              <w:t>A$2,363,734</w:t>
            </w:r>
          </w:p>
        </w:tc>
        <w:tc>
          <w:tcPr>
            <w:tcW w:w="40" w:type="dxa"/>
            <w:vAlign w:val="bottom"/>
            <w:tcBorders>
              <w:top w:val="single" w:sz="8" w:color="CCEEFF"/>
            </w:tcBorders>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560" w:type="dxa"/>
            <w:vAlign w:val="bottom"/>
          </w:tcPr>
          <w:p>
            <w:pPr>
              <w:spacing w:after="0"/>
              <w:rPr>
                <w:sz w:val="20"/>
                <w:szCs w:val="20"/>
                <w:color w:val="auto"/>
              </w:rPr>
            </w:pPr>
            <w:r>
              <w:rPr>
                <w:rFonts w:ascii="Arial" w:cs="Arial" w:eastAsia="Arial" w:hAnsi="Arial"/>
                <w:sz w:val="18"/>
                <w:szCs w:val="18"/>
                <w:color w:val="auto"/>
              </w:rPr>
              <w:t>6-12 months</w:t>
            </w:r>
          </w:p>
        </w:tc>
        <w:tc>
          <w:tcPr>
            <w:tcW w:w="20" w:type="dxa"/>
            <w:vAlign w:val="bottom"/>
          </w:tcPr>
          <w:p>
            <w:pPr>
              <w:spacing w:after="0"/>
              <w:rPr>
                <w:sz w:val="18"/>
                <w:szCs w:val="18"/>
                <w:color w:val="auto"/>
              </w:rPr>
            </w:pPr>
          </w:p>
        </w:tc>
        <w:tc>
          <w:tcPr>
            <w:tcW w:w="940" w:type="dxa"/>
            <w:vAlign w:val="bottom"/>
          </w:tcPr>
          <w:p>
            <w:pPr>
              <w:ind w:left="660"/>
              <w:spacing w:after="0"/>
              <w:rPr>
                <w:sz w:val="20"/>
                <w:szCs w:val="20"/>
                <w:color w:val="auto"/>
              </w:rPr>
            </w:pPr>
            <w:r>
              <w:rPr>
                <w:rFonts w:ascii="Arial" w:cs="Arial" w:eastAsia="Arial" w:hAnsi="Arial"/>
                <w:sz w:val="18"/>
                <w:szCs w:val="18"/>
                <w:color w:val="auto"/>
              </w:rPr>
              <w:t>—</w:t>
            </w:r>
          </w:p>
        </w:tc>
        <w:tc>
          <w:tcPr>
            <w:tcW w:w="840" w:type="dxa"/>
            <w:vAlign w:val="bottom"/>
          </w:tcPr>
          <w:p>
            <w:pPr>
              <w:spacing w:after="0"/>
              <w:rPr>
                <w:sz w:val="18"/>
                <w:szCs w:val="18"/>
                <w:color w:val="auto"/>
              </w:rPr>
            </w:pPr>
          </w:p>
        </w:tc>
        <w:tc>
          <w:tcPr>
            <w:tcW w:w="1000" w:type="dxa"/>
            <w:vAlign w:val="bottom"/>
            <w:gridSpan w:val="2"/>
          </w:tcPr>
          <w:p>
            <w:pPr>
              <w:ind w:left="680"/>
              <w:spacing w:after="0"/>
              <w:rPr>
                <w:sz w:val="20"/>
                <w:szCs w:val="20"/>
                <w:color w:val="auto"/>
              </w:rPr>
            </w:pPr>
            <w:r>
              <w:rPr>
                <w:rFonts w:ascii="Arial" w:cs="Arial" w:eastAsia="Arial" w:hAnsi="Arial"/>
                <w:sz w:val="18"/>
                <w:szCs w:val="18"/>
                <w:color w:val="auto"/>
              </w:rPr>
              <w:t>—</w:t>
            </w:r>
          </w:p>
        </w:tc>
      </w:tr>
      <w:tr>
        <w:trPr>
          <w:trHeight w:val="216"/>
        </w:trPr>
        <w:tc>
          <w:tcPr>
            <w:tcW w:w="20" w:type="dxa"/>
            <w:vAlign w:val="bottom"/>
          </w:tcPr>
          <w:p>
            <w:pPr>
              <w:spacing w:after="0"/>
              <w:rPr>
                <w:sz w:val="18"/>
                <w:szCs w:val="18"/>
                <w:color w:val="auto"/>
              </w:rPr>
            </w:pPr>
          </w:p>
        </w:tc>
        <w:tc>
          <w:tcPr>
            <w:tcW w:w="5560" w:type="dxa"/>
            <w:vAlign w:val="bottom"/>
            <w:shd w:val="clear" w:color="auto" w:fill="CCEEFF"/>
          </w:tcPr>
          <w:p>
            <w:pPr>
              <w:spacing w:after="0"/>
              <w:rPr>
                <w:sz w:val="20"/>
                <w:szCs w:val="20"/>
                <w:color w:val="auto"/>
              </w:rPr>
            </w:pPr>
            <w:r>
              <w:rPr>
                <w:rFonts w:ascii="Arial" w:cs="Arial" w:eastAsia="Arial" w:hAnsi="Arial"/>
                <w:sz w:val="18"/>
                <w:szCs w:val="18"/>
                <w:color w:val="auto"/>
              </w:rPr>
              <w:t>1-3 years</w:t>
            </w:r>
          </w:p>
        </w:tc>
        <w:tc>
          <w:tcPr>
            <w:tcW w:w="20" w:type="dxa"/>
            <w:vAlign w:val="bottom"/>
            <w:shd w:val="clear" w:color="auto" w:fill="CCEEFF"/>
          </w:tcPr>
          <w:p>
            <w:pPr>
              <w:spacing w:after="0"/>
              <w:rPr>
                <w:sz w:val="18"/>
                <w:szCs w:val="18"/>
                <w:color w:val="auto"/>
              </w:rPr>
            </w:pPr>
          </w:p>
        </w:tc>
        <w:tc>
          <w:tcPr>
            <w:tcW w:w="940" w:type="dxa"/>
            <w:vAlign w:val="bottom"/>
            <w:shd w:val="clear" w:color="auto" w:fill="CCEEFF"/>
          </w:tcPr>
          <w:p>
            <w:pPr>
              <w:ind w:left="660"/>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ind w:left="680"/>
              <w:spacing w:after="0"/>
              <w:rPr>
                <w:sz w:val="20"/>
                <w:szCs w:val="20"/>
                <w:color w:val="auto"/>
              </w:rPr>
            </w:pPr>
            <w:r>
              <w:rPr>
                <w:rFonts w:ascii="Arial" w:cs="Arial" w:eastAsia="Arial" w:hAnsi="Arial"/>
                <w:sz w:val="18"/>
                <w:szCs w:val="18"/>
                <w:color w:val="auto"/>
              </w:rPr>
              <w:t>—</w:t>
            </w:r>
          </w:p>
        </w:tc>
      </w:tr>
      <w:tr>
        <w:trPr>
          <w:trHeight w:val="223"/>
        </w:trPr>
        <w:tc>
          <w:tcPr>
            <w:tcW w:w="20" w:type="dxa"/>
            <w:vAlign w:val="bottom"/>
          </w:tcPr>
          <w:p>
            <w:pPr>
              <w:spacing w:after="0"/>
              <w:rPr>
                <w:sz w:val="19"/>
                <w:szCs w:val="19"/>
                <w:color w:val="auto"/>
              </w:rPr>
            </w:pPr>
          </w:p>
        </w:tc>
        <w:tc>
          <w:tcPr>
            <w:tcW w:w="556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94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8"/>
                <w:szCs w:val="18"/>
                <w:b w:val="1"/>
                <w:bCs w:val="1"/>
                <w:u w:val="single" w:color="auto"/>
                <w:color w:val="auto"/>
                <w:w w:val="91"/>
              </w:rPr>
              <w:t>A$</w:t>
            </w:r>
            <w:r>
              <w:rPr>
                <w:rFonts w:ascii="Arial" w:cs="Arial" w:eastAsia="Arial" w:hAnsi="Arial"/>
                <w:sz w:val="18"/>
                <w:szCs w:val="18"/>
                <w:b w:val="1"/>
                <w:bCs w:val="1"/>
                <w:color w:val="auto"/>
                <w:w w:val="91"/>
              </w:rPr>
              <w:t>3,487,582</w:t>
            </w:r>
          </w:p>
        </w:tc>
        <w:tc>
          <w:tcPr>
            <w:tcW w:w="840" w:type="dxa"/>
            <w:vAlign w:val="bottom"/>
          </w:tcPr>
          <w:p>
            <w:pPr>
              <w:spacing w:after="0"/>
              <w:rPr>
                <w:sz w:val="19"/>
                <w:szCs w:val="19"/>
                <w:color w:val="auto"/>
              </w:rPr>
            </w:pPr>
          </w:p>
        </w:tc>
        <w:tc>
          <w:tcPr>
            <w:tcW w:w="96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8"/>
                <w:szCs w:val="18"/>
                <w:b w:val="1"/>
                <w:bCs w:val="1"/>
                <w:u w:val="single" w:color="auto"/>
                <w:color w:val="auto"/>
                <w:w w:val="91"/>
              </w:rPr>
              <w:t>A$</w:t>
            </w:r>
            <w:r>
              <w:rPr>
                <w:rFonts w:ascii="Arial" w:cs="Arial" w:eastAsia="Arial" w:hAnsi="Arial"/>
                <w:sz w:val="18"/>
                <w:szCs w:val="18"/>
                <w:b w:val="1"/>
                <w:bCs w:val="1"/>
                <w:color w:val="auto"/>
                <w:w w:val="91"/>
              </w:rPr>
              <w:t>2,363,734</w:t>
            </w:r>
          </w:p>
        </w:tc>
        <w:tc>
          <w:tcPr>
            <w:tcW w:w="40" w:type="dxa"/>
            <w:vAlign w:val="bottom"/>
          </w:tcPr>
          <w:p>
            <w:pPr>
              <w:spacing w:after="0"/>
              <w:rPr>
                <w:sz w:val="19"/>
                <w:szCs w:val="19"/>
                <w:color w:val="auto"/>
              </w:rPr>
            </w:pPr>
          </w:p>
        </w:tc>
      </w:tr>
      <w:tr>
        <w:trPr>
          <w:trHeight w:val="20"/>
        </w:trPr>
        <w:tc>
          <w:tcPr>
            <w:tcW w:w="20" w:type="dxa"/>
            <w:vAlign w:val="bottom"/>
          </w:tcPr>
          <w:p>
            <w:pPr>
              <w:spacing w:after="0" w:line="20" w:lineRule="exact"/>
              <w:rPr>
                <w:sz w:val="1"/>
                <w:szCs w:val="1"/>
                <w:color w:val="auto"/>
              </w:rPr>
            </w:pPr>
          </w:p>
        </w:tc>
        <w:tc>
          <w:tcPr>
            <w:tcW w:w="55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215" w:lineRule="exact"/>
        <w:rPr>
          <w:sz w:val="20"/>
          <w:szCs w:val="20"/>
          <w:color w:val="auto"/>
        </w:rPr>
      </w:pPr>
    </w:p>
    <w:p>
      <w:pPr>
        <w:ind w:left="200"/>
        <w:spacing w:after="0"/>
        <w:rPr>
          <w:sz w:val="20"/>
          <w:szCs w:val="20"/>
          <w:color w:val="auto"/>
        </w:rPr>
      </w:pPr>
      <w:r>
        <w:rPr>
          <w:rFonts w:ascii="Arial" w:cs="Arial" w:eastAsia="Arial" w:hAnsi="Arial"/>
          <w:sz w:val="18"/>
          <w:szCs w:val="18"/>
          <w:color w:val="auto"/>
        </w:rPr>
        <w:t>Maturity analysis of financial assets and liabilities are based on management’s expectation.</w:t>
      </w:r>
    </w:p>
    <w:p>
      <w:pPr>
        <w:spacing w:after="0" w:line="225" w:lineRule="exact"/>
        <w:rPr>
          <w:sz w:val="20"/>
          <w:szCs w:val="20"/>
          <w:color w:val="auto"/>
        </w:rPr>
      </w:pPr>
    </w:p>
    <w:p>
      <w:pPr>
        <w:ind w:left="200"/>
        <w:spacing w:after="0" w:line="286" w:lineRule="auto"/>
        <w:rPr>
          <w:sz w:val="20"/>
          <w:szCs w:val="20"/>
          <w:color w:val="auto"/>
        </w:rPr>
      </w:pPr>
      <w:r>
        <w:rPr>
          <w:rFonts w:ascii="Arial" w:cs="Arial" w:eastAsia="Arial" w:hAnsi="Arial"/>
          <w:sz w:val="17"/>
          <w:szCs w:val="17"/>
          <w:color w:val="auto"/>
        </w:rPr>
        <w:t>The risk implied from the values shown in the table below, reflects a balanced view of cash inflows and outflows. Trade payables and other financial liabilities mainly originate from the financing of assets used in our on-going operations such as property, plant, equipment and investments in working capital including inventories and trade receivables. These assets are considered in the Company’s overall liquidity risk.</w:t>
      </w:r>
    </w:p>
    <w:p>
      <w:pPr>
        <w:spacing w:after="0" w:line="184" w:lineRule="exact"/>
        <w:rPr>
          <w:sz w:val="20"/>
          <w:szCs w:val="20"/>
          <w:color w:val="auto"/>
        </w:rPr>
      </w:pPr>
    </w:p>
    <w:tbl>
      <w:tblPr>
        <w:tblLayout w:type="fixed"/>
        <w:tblInd w:w="640" w:type="dxa"/>
        <w:tblCellMar>
          <w:top w:w="0" w:type="dxa"/>
          <w:left w:w="0" w:type="dxa"/>
          <w:bottom w:w="0" w:type="dxa"/>
          <w:right w:w="0" w:type="dxa"/>
        </w:tblCellMar>
      </w:tblPr>
      <w:tr>
        <w:trPr>
          <w:trHeight w:val="171"/>
        </w:trPr>
        <w:tc>
          <w:tcPr>
            <w:tcW w:w="3300" w:type="dxa"/>
            <w:vAlign w:val="bottom"/>
            <w:gridSpan w:val="2"/>
          </w:tcPr>
          <w:p>
            <w:pPr>
              <w:spacing w:after="0"/>
              <w:rPr>
                <w:sz w:val="20"/>
                <w:szCs w:val="20"/>
                <w:color w:val="auto"/>
              </w:rPr>
            </w:pPr>
            <w:r>
              <w:rPr>
                <w:rFonts w:ascii="Arial" w:cs="Arial" w:eastAsia="Arial" w:hAnsi="Arial"/>
                <w:sz w:val="14"/>
                <w:szCs w:val="14"/>
                <w:b w:val="1"/>
                <w:bCs w:val="1"/>
                <w:color w:val="auto"/>
              </w:rPr>
              <w:t>Year ended June 30, 2018</w:t>
            </w:r>
          </w:p>
        </w:tc>
        <w:tc>
          <w:tcPr>
            <w:tcW w:w="13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380" w:type="dxa"/>
            <w:vAlign w:val="bottom"/>
            <w:gridSpan w:val="2"/>
          </w:tcPr>
          <w:p>
            <w:pPr>
              <w:jc w:val="center"/>
              <w:ind w:right="540"/>
              <w:spacing w:after="0"/>
              <w:rPr>
                <w:sz w:val="20"/>
                <w:szCs w:val="20"/>
                <w:color w:val="auto"/>
              </w:rPr>
            </w:pPr>
            <w:r>
              <w:rPr>
                <w:rFonts w:ascii="Arial" w:cs="Arial" w:eastAsia="Arial" w:hAnsi="Arial"/>
                <w:sz w:val="14"/>
                <w:szCs w:val="14"/>
                <w:b w:val="1"/>
                <w:bCs w:val="1"/>
                <w:color w:val="auto"/>
                <w:w w:val="91"/>
              </w:rPr>
              <w:t>&lt; 6 months</w:t>
            </w:r>
          </w:p>
        </w:tc>
        <w:tc>
          <w:tcPr>
            <w:tcW w:w="1080" w:type="dxa"/>
            <w:vAlign w:val="bottom"/>
            <w:gridSpan w:val="3"/>
          </w:tcPr>
          <w:p>
            <w:pPr>
              <w:ind w:left="320"/>
              <w:spacing w:after="0"/>
              <w:rPr>
                <w:sz w:val="20"/>
                <w:szCs w:val="20"/>
                <w:color w:val="auto"/>
              </w:rPr>
            </w:pPr>
            <w:r>
              <w:rPr>
                <w:rFonts w:ascii="Arial" w:cs="Arial" w:eastAsia="Arial" w:hAnsi="Arial"/>
                <w:sz w:val="14"/>
                <w:szCs w:val="14"/>
                <w:b w:val="1"/>
                <w:bCs w:val="1"/>
                <w:color w:val="auto"/>
                <w:w w:val="87"/>
              </w:rPr>
              <w:t>6-12 months</w:t>
            </w:r>
          </w:p>
        </w:tc>
        <w:tc>
          <w:tcPr>
            <w:tcW w:w="1240" w:type="dxa"/>
            <w:vAlign w:val="bottom"/>
            <w:gridSpan w:val="2"/>
          </w:tcPr>
          <w:p>
            <w:pPr>
              <w:jc w:val="right"/>
              <w:spacing w:after="0"/>
              <w:rPr>
                <w:sz w:val="20"/>
                <w:szCs w:val="20"/>
                <w:color w:val="auto"/>
              </w:rPr>
            </w:pPr>
            <w:r>
              <w:rPr>
                <w:rFonts w:ascii="Arial" w:cs="Arial" w:eastAsia="Arial" w:hAnsi="Arial"/>
                <w:sz w:val="14"/>
                <w:szCs w:val="14"/>
                <w:b w:val="1"/>
                <w:bCs w:val="1"/>
                <w:color w:val="auto"/>
              </w:rPr>
              <w:t>1-5 years</w:t>
            </w:r>
          </w:p>
        </w:tc>
        <w:tc>
          <w:tcPr>
            <w:tcW w:w="640" w:type="dxa"/>
            <w:vAlign w:val="bottom"/>
          </w:tcPr>
          <w:p>
            <w:pPr>
              <w:spacing w:after="0"/>
              <w:rPr>
                <w:sz w:val="14"/>
                <w:szCs w:val="14"/>
                <w:color w:val="auto"/>
              </w:rPr>
            </w:pPr>
          </w:p>
        </w:tc>
        <w:tc>
          <w:tcPr>
            <w:tcW w:w="112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89"/>
              </w:rPr>
              <w:t>Total</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328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Financial assets</w:t>
            </w:r>
          </w:p>
        </w:tc>
        <w:tc>
          <w:tcPr>
            <w:tcW w:w="130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960" w:type="dxa"/>
            <w:vAlign w:val="bottom"/>
            <w:tcBorders>
              <w:top w:val="single" w:sz="8" w:color="auto"/>
            </w:tcBorders>
            <w:shd w:val="clear" w:color="auto" w:fill="CCEEFF"/>
          </w:tcPr>
          <w:p>
            <w:pPr>
              <w:spacing w:after="0"/>
              <w:rPr>
                <w:sz w:val="17"/>
                <w:szCs w:val="17"/>
                <w:color w:val="auto"/>
              </w:rPr>
            </w:pPr>
          </w:p>
        </w:tc>
        <w:tc>
          <w:tcPr>
            <w:tcW w:w="420" w:type="dxa"/>
            <w:vAlign w:val="bottom"/>
            <w:tcBorders>
              <w:top w:val="single" w:sz="8" w:color="CCEEFF"/>
              <w:left w:val="single" w:sz="8" w:color="CCEEFF"/>
            </w:tcBorders>
            <w:shd w:val="clear" w:color="auto" w:fill="CCEEFF"/>
          </w:tcPr>
          <w:p>
            <w:pPr>
              <w:spacing w:after="0"/>
              <w:rPr>
                <w:sz w:val="17"/>
                <w:szCs w:val="17"/>
                <w:color w:val="auto"/>
              </w:rPr>
            </w:pPr>
          </w:p>
        </w:tc>
        <w:tc>
          <w:tcPr>
            <w:tcW w:w="360" w:type="dxa"/>
            <w:vAlign w:val="bottom"/>
            <w:tcBorders>
              <w:top w:val="single" w:sz="8" w:color="CCEEFF"/>
              <w:right w:val="single" w:sz="8" w:color="CCEEFF"/>
            </w:tcBorders>
            <w:shd w:val="clear" w:color="auto" w:fill="CCEEFF"/>
          </w:tcPr>
          <w:p>
            <w:pPr>
              <w:spacing w:after="0"/>
              <w:rPr>
                <w:sz w:val="17"/>
                <w:szCs w:val="17"/>
                <w:color w:val="auto"/>
              </w:rPr>
            </w:pPr>
          </w:p>
        </w:tc>
        <w:tc>
          <w:tcPr>
            <w:tcW w:w="320" w:type="dxa"/>
            <w:vAlign w:val="bottom"/>
            <w:tcBorders>
              <w:top w:val="single" w:sz="8" w:color="auto"/>
            </w:tcBorders>
            <w:shd w:val="clear" w:color="auto" w:fill="CCEEFF"/>
          </w:tcPr>
          <w:p>
            <w:pPr>
              <w:spacing w:after="0"/>
              <w:rPr>
                <w:sz w:val="17"/>
                <w:szCs w:val="17"/>
                <w:color w:val="auto"/>
              </w:rPr>
            </w:pPr>
          </w:p>
        </w:tc>
        <w:tc>
          <w:tcPr>
            <w:tcW w:w="400" w:type="dxa"/>
            <w:vAlign w:val="bottom"/>
            <w:tcBorders>
              <w:top w:val="single" w:sz="8" w:color="auto"/>
            </w:tcBorders>
            <w:shd w:val="clear" w:color="auto" w:fill="CCEEFF"/>
          </w:tcPr>
          <w:p>
            <w:pPr>
              <w:spacing w:after="0"/>
              <w:rPr>
                <w:sz w:val="17"/>
                <w:szCs w:val="17"/>
                <w:color w:val="auto"/>
              </w:rPr>
            </w:pPr>
          </w:p>
        </w:tc>
        <w:tc>
          <w:tcPr>
            <w:tcW w:w="700" w:type="dxa"/>
            <w:vAlign w:val="bottom"/>
            <w:tcBorders>
              <w:top w:val="single" w:sz="8" w:color="CCEEFF"/>
              <w:left w:val="single" w:sz="8" w:color="CCEEFF"/>
              <w:right w:val="single" w:sz="8" w:color="CCEEFF"/>
            </w:tcBorders>
            <w:shd w:val="clear" w:color="auto" w:fill="CCEEFF"/>
          </w:tcPr>
          <w:p>
            <w:pPr>
              <w:spacing w:after="0"/>
              <w:rPr>
                <w:sz w:val="17"/>
                <w:szCs w:val="17"/>
                <w:color w:val="auto"/>
              </w:rPr>
            </w:pPr>
          </w:p>
        </w:tc>
        <w:tc>
          <w:tcPr>
            <w:tcW w:w="540" w:type="dxa"/>
            <w:vAlign w:val="bottom"/>
            <w:tcBorders>
              <w:top w:val="single" w:sz="8" w:color="auto"/>
            </w:tcBorders>
            <w:shd w:val="clear" w:color="auto" w:fill="CCEEFF"/>
          </w:tcPr>
          <w:p>
            <w:pPr>
              <w:spacing w:after="0"/>
              <w:rPr>
                <w:sz w:val="17"/>
                <w:szCs w:val="17"/>
                <w:color w:val="auto"/>
              </w:rPr>
            </w:pPr>
          </w:p>
        </w:tc>
        <w:tc>
          <w:tcPr>
            <w:tcW w:w="640" w:type="dxa"/>
            <w:vAlign w:val="bottom"/>
            <w:tcBorders>
              <w:top w:val="single" w:sz="8" w:color="CCEEFF"/>
              <w:left w:val="single" w:sz="8" w:color="CCEEFF"/>
              <w:right w:val="single" w:sz="8" w:color="CCEEFF"/>
            </w:tcBorders>
            <w:shd w:val="clear" w:color="auto" w:fill="CCEEFF"/>
          </w:tcPr>
          <w:p>
            <w:pPr>
              <w:spacing w:after="0"/>
              <w:rPr>
                <w:sz w:val="17"/>
                <w:szCs w:val="17"/>
                <w:color w:val="auto"/>
              </w:rPr>
            </w:pPr>
          </w:p>
        </w:tc>
        <w:tc>
          <w:tcPr>
            <w:tcW w:w="102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80" w:type="dxa"/>
            <w:vAlign w:val="bottom"/>
          </w:tcPr>
          <w:p>
            <w:pPr>
              <w:spacing w:after="0"/>
              <w:rPr>
                <w:sz w:val="20"/>
                <w:szCs w:val="20"/>
                <w:color w:val="auto"/>
              </w:rPr>
            </w:pPr>
            <w:r>
              <w:rPr>
                <w:rFonts w:ascii="Arial" w:cs="Arial" w:eastAsia="Arial" w:hAnsi="Arial"/>
                <w:sz w:val="18"/>
                <w:szCs w:val="18"/>
                <w:color w:val="auto"/>
              </w:rPr>
              <w:t>Cash and cash equivalents</w:t>
            </w:r>
          </w:p>
        </w:tc>
        <w:tc>
          <w:tcPr>
            <w:tcW w:w="2760" w:type="dxa"/>
            <w:vAlign w:val="bottom"/>
            <w:gridSpan w:val="4"/>
          </w:tcPr>
          <w:p>
            <w:pPr>
              <w:jc w:val="center"/>
              <w:ind w:left="750"/>
              <w:spacing w:after="0"/>
              <w:rPr>
                <w:sz w:val="20"/>
                <w:szCs w:val="20"/>
                <w:color w:val="auto"/>
              </w:rPr>
            </w:pPr>
            <w:r>
              <w:rPr>
                <w:rFonts w:ascii="Arial" w:cs="Arial" w:eastAsia="Arial" w:hAnsi="Arial"/>
                <w:sz w:val="18"/>
                <w:szCs w:val="18"/>
                <w:color w:val="auto"/>
                <w:w w:val="92"/>
              </w:rPr>
              <w:t>A$14,825,532</w:t>
            </w:r>
          </w:p>
        </w:tc>
        <w:tc>
          <w:tcPr>
            <w:tcW w:w="680" w:type="dxa"/>
            <w:vAlign w:val="bottom"/>
            <w:gridSpan w:val="2"/>
          </w:tcPr>
          <w:p>
            <w:pPr>
              <w:ind w:left="320"/>
              <w:spacing w:after="0"/>
              <w:rPr>
                <w:sz w:val="20"/>
                <w:szCs w:val="20"/>
                <w:color w:val="auto"/>
              </w:rPr>
            </w:pPr>
            <w:r>
              <w:rPr>
                <w:rFonts w:ascii="Arial" w:cs="Arial" w:eastAsia="Arial" w:hAnsi="Arial"/>
                <w:sz w:val="18"/>
                <w:szCs w:val="18"/>
                <w:color w:val="auto"/>
              </w:rPr>
              <w:t>A$</w:t>
            </w:r>
          </w:p>
        </w:tc>
        <w:tc>
          <w:tcPr>
            <w:tcW w:w="400" w:type="dxa"/>
            <w:vAlign w:val="bottom"/>
          </w:tcPr>
          <w:p>
            <w:pPr>
              <w:ind w:left="120"/>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spacing w:after="0"/>
              <w:rPr>
                <w:sz w:val="20"/>
                <w:szCs w:val="20"/>
                <w:color w:val="auto"/>
              </w:rPr>
            </w:pPr>
            <w:r>
              <w:rPr>
                <w:rFonts w:ascii="Arial" w:cs="Arial" w:eastAsia="Arial" w:hAnsi="Arial"/>
                <w:sz w:val="18"/>
                <w:szCs w:val="18"/>
                <w:color w:val="auto"/>
              </w:rPr>
              <w:t>A$ —</w:t>
            </w:r>
          </w:p>
        </w:tc>
        <w:tc>
          <w:tcPr>
            <w:tcW w:w="1760" w:type="dxa"/>
            <w:vAlign w:val="bottom"/>
            <w:gridSpan w:val="3"/>
          </w:tcPr>
          <w:p>
            <w:pPr>
              <w:jc w:val="center"/>
              <w:ind w:left="430"/>
              <w:spacing w:after="0"/>
              <w:rPr>
                <w:sz w:val="20"/>
                <w:szCs w:val="20"/>
                <w:color w:val="auto"/>
              </w:rPr>
            </w:pPr>
            <w:r>
              <w:rPr>
                <w:rFonts w:ascii="Arial" w:cs="Arial" w:eastAsia="Arial" w:hAnsi="Arial"/>
                <w:sz w:val="18"/>
                <w:szCs w:val="18"/>
                <w:color w:val="auto"/>
                <w:w w:val="92"/>
              </w:rPr>
              <w:t>A$14,825,532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80" w:type="dxa"/>
            <w:vAlign w:val="bottom"/>
            <w:shd w:val="clear" w:color="auto" w:fill="CCEEFF"/>
          </w:tcPr>
          <w:p>
            <w:pPr>
              <w:spacing w:after="0"/>
              <w:rPr>
                <w:sz w:val="20"/>
                <w:szCs w:val="20"/>
                <w:color w:val="auto"/>
              </w:rPr>
            </w:pPr>
            <w:r>
              <w:rPr>
                <w:rFonts w:ascii="Arial" w:cs="Arial" w:eastAsia="Arial" w:hAnsi="Arial"/>
                <w:sz w:val="18"/>
                <w:szCs w:val="18"/>
                <w:color w:val="auto"/>
              </w:rPr>
              <w:t>Trade and other receivables</w:t>
            </w:r>
          </w:p>
        </w:tc>
        <w:tc>
          <w:tcPr>
            <w:tcW w:w="23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5,437,357</w:t>
            </w:r>
          </w:p>
        </w:tc>
        <w:tc>
          <w:tcPr>
            <w:tcW w:w="420" w:type="dxa"/>
            <w:vAlign w:val="bottom"/>
            <w:tcBorders>
              <w:left w:val="single" w:sz="8" w:color="CCEEFF"/>
            </w:tcBorders>
            <w:shd w:val="clear" w:color="auto" w:fill="CCEEFF"/>
          </w:tcPr>
          <w:p>
            <w:pPr>
              <w:spacing w:after="0"/>
              <w:rPr>
                <w:sz w:val="18"/>
                <w:szCs w:val="18"/>
                <w:color w:val="auto"/>
              </w:rPr>
            </w:pPr>
          </w:p>
        </w:tc>
        <w:tc>
          <w:tcPr>
            <w:tcW w:w="360" w:type="dxa"/>
            <w:vAlign w:val="bottom"/>
            <w:tcBorders>
              <w:right w:val="single" w:sz="8" w:color="CCEEFF"/>
            </w:tcBorders>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400" w:type="dxa"/>
            <w:vAlign w:val="bottom"/>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700" w:type="dxa"/>
            <w:vAlign w:val="bottom"/>
            <w:tcBorders>
              <w:left w:val="single" w:sz="8" w:color="CCEEFF"/>
              <w:right w:val="single" w:sz="8" w:color="CCEEFF"/>
            </w:tcBorders>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60" w:type="dxa"/>
            <w:vAlign w:val="bottom"/>
            <w:tcBorders>
              <w:left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5,437,357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28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104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rPr>
              <w:t>20,262,889</w:t>
            </w:r>
          </w:p>
        </w:tc>
        <w:tc>
          <w:tcPr>
            <w:tcW w:w="4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320" w:type="dxa"/>
            <w:vAlign w:val="bottom"/>
            <w:tcBorders>
              <w:top w:val="single" w:sz="8" w:color="auto"/>
              <w:bottom w:val="single" w:sz="8" w:color="auto"/>
            </w:tcBorders>
          </w:tcPr>
          <w:p>
            <w:pPr>
              <w:spacing w:after="0"/>
              <w:rPr>
                <w:sz w:val="20"/>
                <w:szCs w:val="20"/>
                <w:color w:val="auto"/>
              </w:rPr>
            </w:pPr>
          </w:p>
        </w:tc>
        <w:tc>
          <w:tcPr>
            <w:tcW w:w="400" w:type="dxa"/>
            <w:vAlign w:val="bottom"/>
            <w:tcBorders>
              <w:top w:val="single" w:sz="8" w:color="auto"/>
              <w:bottom w:val="single" w:sz="8" w:color="auto"/>
            </w:tcBorders>
          </w:tcPr>
          <w:p>
            <w:pPr>
              <w:ind w:left="120"/>
              <w:spacing w:after="0"/>
              <w:rPr>
                <w:sz w:val="20"/>
                <w:szCs w:val="20"/>
                <w:color w:val="auto"/>
              </w:rPr>
            </w:pPr>
            <w:r>
              <w:rPr>
                <w:rFonts w:ascii="Arial" w:cs="Arial" w:eastAsia="Arial" w:hAnsi="Arial"/>
                <w:sz w:val="18"/>
                <w:szCs w:val="18"/>
                <w:b w:val="1"/>
                <w:bCs w:val="1"/>
                <w:color w:val="auto"/>
              </w:rPr>
              <w:t>—</w:t>
            </w:r>
          </w:p>
        </w:tc>
        <w:tc>
          <w:tcPr>
            <w:tcW w:w="700" w:type="dxa"/>
            <w:vAlign w:val="bottom"/>
          </w:tcPr>
          <w:p>
            <w:pPr>
              <w:spacing w:after="0"/>
              <w:rPr>
                <w:sz w:val="20"/>
                <w:szCs w:val="20"/>
                <w:color w:val="auto"/>
              </w:rPr>
            </w:pP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640" w:type="dxa"/>
            <w:vAlign w:val="bottom"/>
          </w:tcPr>
          <w:p>
            <w:pPr>
              <w:spacing w:after="0"/>
              <w:rPr>
                <w:sz w:val="20"/>
                <w:szCs w:val="20"/>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20,262,889</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Financial liabilities</w:t>
            </w:r>
          </w:p>
        </w:tc>
        <w:tc>
          <w:tcPr>
            <w:tcW w:w="1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420" w:type="dxa"/>
            <w:vAlign w:val="bottom"/>
            <w:tcBorders>
              <w:left w:val="single" w:sz="8" w:color="CCEEFF"/>
            </w:tcBorders>
            <w:shd w:val="clear" w:color="auto" w:fill="CCEEFF"/>
          </w:tcPr>
          <w:p>
            <w:pPr>
              <w:spacing w:after="0"/>
              <w:rPr>
                <w:sz w:val="18"/>
                <w:szCs w:val="18"/>
                <w:color w:val="auto"/>
              </w:rPr>
            </w:pPr>
          </w:p>
        </w:tc>
        <w:tc>
          <w:tcPr>
            <w:tcW w:w="360" w:type="dxa"/>
            <w:vAlign w:val="bottom"/>
            <w:tcBorders>
              <w:right w:val="single" w:sz="8" w:color="CCEEFF"/>
            </w:tcBorders>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700" w:type="dxa"/>
            <w:vAlign w:val="bottom"/>
            <w:tcBorders>
              <w:left w:val="single" w:sz="8" w:color="CCEEFF"/>
              <w:right w:val="single" w:sz="8" w:color="CCEEFF"/>
            </w:tcBorders>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640" w:type="dxa"/>
            <w:vAlign w:val="bottom"/>
            <w:tcBorders>
              <w:left w:val="single" w:sz="8" w:color="CCEEFF"/>
              <w:right w:val="single" w:sz="8" w:color="CCEEFF"/>
            </w:tcBorders>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80" w:type="dxa"/>
            <w:vAlign w:val="bottom"/>
          </w:tcPr>
          <w:p>
            <w:pPr>
              <w:spacing w:after="0"/>
              <w:rPr>
                <w:sz w:val="20"/>
                <w:szCs w:val="20"/>
                <w:color w:val="auto"/>
              </w:rPr>
            </w:pPr>
            <w:r>
              <w:rPr>
                <w:rFonts w:ascii="Arial" w:cs="Arial" w:eastAsia="Arial" w:hAnsi="Arial"/>
                <w:sz w:val="18"/>
                <w:szCs w:val="18"/>
                <w:color w:val="auto"/>
              </w:rPr>
              <w:t>Trade and other payables</w:t>
            </w:r>
          </w:p>
        </w:tc>
        <w:tc>
          <w:tcPr>
            <w:tcW w:w="1300" w:type="dxa"/>
            <w:vAlign w:val="bottom"/>
          </w:tcPr>
          <w:p>
            <w:pPr>
              <w:spacing w:after="0"/>
              <w:rPr>
                <w:sz w:val="18"/>
                <w:szCs w:val="18"/>
                <w:color w:val="auto"/>
              </w:rPr>
            </w:pP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(3,487,582)</w:t>
            </w:r>
          </w:p>
        </w:tc>
        <w:tc>
          <w:tcPr>
            <w:tcW w:w="4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00" w:type="dxa"/>
            <w:vAlign w:val="bottom"/>
          </w:tcPr>
          <w:p>
            <w:pPr>
              <w:ind w:left="120"/>
              <w:spacing w:after="0"/>
              <w:rPr>
                <w:sz w:val="20"/>
                <w:szCs w:val="20"/>
                <w:color w:val="auto"/>
              </w:rPr>
            </w:pPr>
            <w:r>
              <w:rPr>
                <w:rFonts w:ascii="Arial" w:cs="Arial" w:eastAsia="Arial" w:hAnsi="Arial"/>
                <w:sz w:val="18"/>
                <w:szCs w:val="18"/>
                <w:color w:val="auto"/>
              </w:rPr>
              <w:t>—</w:t>
            </w:r>
          </w:p>
        </w:tc>
        <w:tc>
          <w:tcPr>
            <w:tcW w:w="70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w:t>
            </w:r>
          </w:p>
        </w:tc>
        <w:tc>
          <w:tcPr>
            <w:tcW w:w="1760" w:type="dxa"/>
            <w:vAlign w:val="bottom"/>
            <w:gridSpan w:val="3"/>
          </w:tcPr>
          <w:p>
            <w:pPr>
              <w:jc w:val="right"/>
              <w:ind w:right="40"/>
              <w:spacing w:after="0"/>
              <w:rPr>
                <w:sz w:val="20"/>
                <w:szCs w:val="20"/>
                <w:color w:val="auto"/>
              </w:rPr>
            </w:pPr>
            <w:r>
              <w:rPr>
                <w:rFonts w:ascii="Arial" w:cs="Arial" w:eastAsia="Arial" w:hAnsi="Arial"/>
                <w:sz w:val="18"/>
                <w:szCs w:val="18"/>
                <w:color w:val="auto"/>
              </w:rPr>
              <w:t>(3,487,582)</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32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360" w:type="dxa"/>
            <w:vAlign w:val="bottom"/>
            <w:tcBorders>
              <w:right w:val="single" w:sz="8" w:color="auto"/>
            </w:tcBorders>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700" w:type="dxa"/>
            <w:vAlign w:val="bottom"/>
            <w:tcBorders>
              <w:right w:val="single" w:sz="8" w:color="auto"/>
            </w:tcBorders>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640" w:type="dxa"/>
            <w:vAlign w:val="bottom"/>
            <w:tcBorders>
              <w:right w:val="single" w:sz="8" w:color="auto"/>
            </w:tcBorders>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32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Net maturity</w:t>
            </w:r>
          </w:p>
        </w:tc>
        <w:tc>
          <w:tcPr>
            <w:tcW w:w="2760" w:type="dxa"/>
            <w:vAlign w:val="bottom"/>
            <w:gridSpan w:val="4"/>
            <w:shd w:val="clear" w:color="auto" w:fill="CCEEFF"/>
          </w:tcPr>
          <w:p>
            <w:pPr>
              <w:jc w:val="center"/>
              <w:ind w:left="750"/>
              <w:spacing w:after="0"/>
              <w:rPr>
                <w:sz w:val="20"/>
                <w:szCs w:val="20"/>
                <w:color w:val="auto"/>
              </w:rPr>
            </w:pPr>
            <w:r>
              <w:rPr>
                <w:rFonts w:ascii="Arial" w:cs="Arial" w:eastAsia="Arial" w:hAnsi="Arial"/>
                <w:sz w:val="18"/>
                <w:szCs w:val="18"/>
                <w:b w:val="1"/>
                <w:bCs w:val="1"/>
                <w:u w:val="single" w:color="auto"/>
                <w:color w:val="auto"/>
                <w:w w:val="91"/>
              </w:rPr>
              <w:t>A$</w:t>
            </w:r>
            <w:r>
              <w:rPr>
                <w:rFonts w:ascii="Arial" w:cs="Arial" w:eastAsia="Arial" w:hAnsi="Arial"/>
                <w:sz w:val="18"/>
                <w:szCs w:val="18"/>
                <w:b w:val="1"/>
                <w:bCs w:val="1"/>
                <w:color w:val="auto"/>
                <w:w w:val="91"/>
              </w:rPr>
              <w:t>16,775,307</w:t>
            </w:r>
          </w:p>
        </w:tc>
        <w:tc>
          <w:tcPr>
            <w:tcW w:w="680" w:type="dxa"/>
            <w:vAlign w:val="bottom"/>
            <w:gridSpan w:val="2"/>
            <w:shd w:val="clear" w:color="auto" w:fill="CCEEFF"/>
          </w:tcPr>
          <w:p>
            <w:pPr>
              <w:ind w:left="320"/>
              <w:spacing w:after="0"/>
              <w:rPr>
                <w:sz w:val="20"/>
                <w:szCs w:val="20"/>
                <w:color w:val="auto"/>
              </w:rPr>
            </w:pPr>
            <w:r>
              <w:rPr>
                <w:rFonts w:ascii="Arial" w:cs="Arial" w:eastAsia="Arial" w:hAnsi="Arial"/>
                <w:sz w:val="18"/>
                <w:szCs w:val="18"/>
                <w:b w:val="1"/>
                <w:bCs w:val="1"/>
                <w:u w:val="single" w:color="auto"/>
                <w:color w:val="auto"/>
              </w:rPr>
              <w:t>A</w:t>
            </w:r>
            <w:r>
              <w:rPr>
                <w:rFonts w:ascii="Arial" w:cs="Arial" w:eastAsia="Arial" w:hAnsi="Arial"/>
                <w:sz w:val="18"/>
                <w:szCs w:val="18"/>
                <w:b w:val="1"/>
                <w:bCs w:val="1"/>
                <w:color w:val="auto"/>
              </w:rPr>
              <w:t>$</w:t>
            </w:r>
          </w:p>
        </w:tc>
        <w:tc>
          <w:tcPr>
            <w:tcW w:w="400" w:type="dxa"/>
            <w:vAlign w:val="bottom"/>
            <w:shd w:val="clear" w:color="auto" w:fill="CCEEFF"/>
          </w:tcPr>
          <w:p>
            <w:pPr>
              <w:ind w:left="120"/>
              <w:spacing w:after="0"/>
              <w:rPr>
                <w:sz w:val="20"/>
                <w:szCs w:val="20"/>
                <w:color w:val="auto"/>
              </w:rPr>
            </w:pPr>
            <w:r>
              <w:rPr>
                <w:rFonts w:ascii="Arial" w:cs="Arial" w:eastAsia="Arial" w:hAnsi="Arial"/>
                <w:sz w:val="18"/>
                <w:szCs w:val="18"/>
                <w:b w:val="1"/>
                <w:bCs w:val="1"/>
                <w:color w:val="auto"/>
              </w:rPr>
              <w:t>—</w:t>
            </w:r>
          </w:p>
        </w:tc>
        <w:tc>
          <w:tcPr>
            <w:tcW w:w="1240" w:type="dxa"/>
            <w:vAlign w:val="bottom"/>
            <w:tcBorders>
              <w:left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b w:val="1"/>
                <w:bCs w:val="1"/>
                <w:u w:val="single" w:color="auto"/>
                <w:color w:val="auto"/>
              </w:rPr>
              <w:t>A</w:t>
            </w:r>
            <w:r>
              <w:rPr>
                <w:rFonts w:ascii="Arial" w:cs="Arial" w:eastAsia="Arial" w:hAnsi="Arial"/>
                <w:sz w:val="18"/>
                <w:szCs w:val="18"/>
                <w:b w:val="1"/>
                <w:bCs w:val="1"/>
                <w:color w:val="auto"/>
              </w:rPr>
              <w:t>$ —</w:t>
            </w:r>
          </w:p>
        </w:tc>
        <w:tc>
          <w:tcPr>
            <w:tcW w:w="1760" w:type="dxa"/>
            <w:vAlign w:val="bottom"/>
            <w:tcBorders>
              <w:left w:val="single" w:sz="8" w:color="CCEEFF"/>
            </w:tcBorders>
            <w:gridSpan w:val="3"/>
            <w:shd w:val="clear" w:color="auto" w:fill="CCEEFF"/>
          </w:tcPr>
          <w:p>
            <w:pPr>
              <w:jc w:val="center"/>
              <w:ind w:left="430"/>
              <w:spacing w:after="0"/>
              <w:rPr>
                <w:sz w:val="20"/>
                <w:szCs w:val="20"/>
                <w:color w:val="auto"/>
              </w:rPr>
            </w:pPr>
            <w:r>
              <w:rPr>
                <w:rFonts w:ascii="Arial" w:cs="Arial" w:eastAsia="Arial" w:hAnsi="Arial"/>
                <w:sz w:val="18"/>
                <w:szCs w:val="18"/>
                <w:b w:val="1"/>
                <w:bCs w:val="1"/>
                <w:u w:val="single" w:color="auto"/>
                <w:color w:val="auto"/>
                <w:w w:val="91"/>
              </w:rPr>
              <w:t>A$</w:t>
            </w:r>
            <w:r>
              <w:rPr>
                <w:rFonts w:ascii="Arial" w:cs="Arial" w:eastAsia="Arial" w:hAnsi="Arial"/>
                <w:sz w:val="18"/>
                <w:szCs w:val="18"/>
                <w:b w:val="1"/>
                <w:bCs w:val="1"/>
                <w:color w:val="auto"/>
                <w:w w:val="91"/>
              </w:rPr>
              <w:t>16,775,307</w:t>
            </w:r>
          </w:p>
        </w:tc>
        <w:tc>
          <w:tcPr>
            <w:tcW w:w="0" w:type="dxa"/>
            <w:vAlign w:val="bottom"/>
          </w:tcPr>
          <w:p>
            <w:pPr>
              <w:spacing w:after="0"/>
              <w:rPr>
                <w:sz w:val="1"/>
                <w:szCs w:val="1"/>
                <w:color w:val="auto"/>
              </w:rPr>
            </w:pPr>
          </w:p>
        </w:tc>
      </w:tr>
      <w:tr>
        <w:trPr>
          <w:trHeight w:val="20"/>
        </w:trPr>
        <w:tc>
          <w:tcPr>
            <w:tcW w:w="3300" w:type="dxa"/>
            <w:vAlign w:val="bottom"/>
            <w:gridSpan w:val="2"/>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gridSpan w:val="2"/>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6"/>
        </w:trPr>
        <w:tc>
          <w:tcPr>
            <w:tcW w:w="3300" w:type="dxa"/>
            <w:vAlign w:val="bottom"/>
            <w:gridSpan w:val="2"/>
          </w:tcPr>
          <w:p>
            <w:pPr>
              <w:spacing w:after="0"/>
              <w:rPr>
                <w:sz w:val="20"/>
                <w:szCs w:val="20"/>
                <w:color w:val="auto"/>
              </w:rPr>
            </w:pPr>
            <w:r>
              <w:rPr>
                <w:rFonts w:ascii="Arial" w:cs="Arial" w:eastAsia="Arial" w:hAnsi="Arial"/>
                <w:sz w:val="14"/>
                <w:szCs w:val="14"/>
                <w:b w:val="1"/>
                <w:bCs w:val="1"/>
                <w:color w:val="auto"/>
              </w:rPr>
              <w:t>Year ended June 30, 2017</w:t>
            </w:r>
          </w:p>
        </w:tc>
        <w:tc>
          <w:tcPr>
            <w:tcW w:w="13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38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91"/>
              </w:rPr>
              <w:t>&lt; 6 months</w:t>
            </w:r>
          </w:p>
        </w:tc>
        <w:tc>
          <w:tcPr>
            <w:tcW w:w="360" w:type="dxa"/>
            <w:vAlign w:val="bottom"/>
          </w:tcPr>
          <w:p>
            <w:pPr>
              <w:spacing w:after="0"/>
              <w:rPr>
                <w:sz w:val="24"/>
                <w:szCs w:val="24"/>
                <w:color w:val="auto"/>
              </w:rPr>
            </w:pPr>
          </w:p>
        </w:tc>
        <w:tc>
          <w:tcPr>
            <w:tcW w:w="720" w:type="dxa"/>
            <w:vAlign w:val="bottom"/>
            <w:gridSpan w:val="2"/>
          </w:tcPr>
          <w:p>
            <w:pPr>
              <w:spacing w:after="0"/>
              <w:rPr>
                <w:sz w:val="20"/>
                <w:szCs w:val="20"/>
                <w:color w:val="auto"/>
              </w:rPr>
            </w:pPr>
            <w:r>
              <w:rPr>
                <w:rFonts w:ascii="Arial" w:cs="Arial" w:eastAsia="Arial" w:hAnsi="Arial"/>
                <w:sz w:val="14"/>
                <w:szCs w:val="14"/>
                <w:b w:val="1"/>
                <w:bCs w:val="1"/>
                <w:color w:val="auto"/>
                <w:w w:val="82"/>
              </w:rPr>
              <w:t>6-12 months</w:t>
            </w:r>
          </w:p>
        </w:tc>
        <w:tc>
          <w:tcPr>
            <w:tcW w:w="700" w:type="dxa"/>
            <w:vAlign w:val="bottom"/>
          </w:tcPr>
          <w:p>
            <w:pPr>
              <w:spacing w:after="0"/>
              <w:rPr>
                <w:sz w:val="24"/>
                <w:szCs w:val="24"/>
                <w:color w:val="auto"/>
              </w:rPr>
            </w:pPr>
          </w:p>
        </w:tc>
        <w:tc>
          <w:tcPr>
            <w:tcW w:w="540" w:type="dxa"/>
            <w:vAlign w:val="bottom"/>
          </w:tcPr>
          <w:p>
            <w:pPr>
              <w:jc w:val="right"/>
              <w:spacing w:after="0"/>
              <w:rPr>
                <w:sz w:val="20"/>
                <w:szCs w:val="20"/>
                <w:color w:val="auto"/>
              </w:rPr>
            </w:pPr>
            <w:r>
              <w:rPr>
                <w:rFonts w:ascii="Arial" w:cs="Arial" w:eastAsia="Arial" w:hAnsi="Arial"/>
                <w:sz w:val="14"/>
                <w:szCs w:val="14"/>
                <w:b w:val="1"/>
                <w:bCs w:val="1"/>
                <w:color w:val="auto"/>
                <w:w w:val="88"/>
              </w:rPr>
              <w:t>1-5 years</w:t>
            </w:r>
          </w:p>
        </w:tc>
        <w:tc>
          <w:tcPr>
            <w:tcW w:w="640" w:type="dxa"/>
            <w:vAlign w:val="bottom"/>
          </w:tcPr>
          <w:p>
            <w:pPr>
              <w:spacing w:after="0"/>
              <w:rPr>
                <w:sz w:val="24"/>
                <w:szCs w:val="24"/>
                <w:color w:val="auto"/>
              </w:rPr>
            </w:pPr>
          </w:p>
        </w:tc>
        <w:tc>
          <w:tcPr>
            <w:tcW w:w="112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5"/>
              </w:rPr>
              <w:t>Total</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328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Financial assets</w:t>
            </w:r>
          </w:p>
        </w:tc>
        <w:tc>
          <w:tcPr>
            <w:tcW w:w="130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960" w:type="dxa"/>
            <w:vAlign w:val="bottom"/>
            <w:tcBorders>
              <w:top w:val="single" w:sz="8" w:color="auto"/>
            </w:tcBorders>
            <w:shd w:val="clear" w:color="auto" w:fill="CCEEFF"/>
          </w:tcPr>
          <w:p>
            <w:pPr>
              <w:spacing w:after="0"/>
              <w:rPr>
                <w:sz w:val="17"/>
                <w:szCs w:val="17"/>
                <w:color w:val="auto"/>
              </w:rPr>
            </w:pPr>
          </w:p>
        </w:tc>
        <w:tc>
          <w:tcPr>
            <w:tcW w:w="420" w:type="dxa"/>
            <w:vAlign w:val="bottom"/>
            <w:tcBorders>
              <w:top w:val="single" w:sz="8" w:color="CCEEFF"/>
              <w:left w:val="single" w:sz="8" w:color="CCEEFF"/>
            </w:tcBorders>
            <w:shd w:val="clear" w:color="auto" w:fill="CCEEFF"/>
          </w:tcPr>
          <w:p>
            <w:pPr>
              <w:spacing w:after="0"/>
              <w:rPr>
                <w:sz w:val="17"/>
                <w:szCs w:val="17"/>
                <w:color w:val="auto"/>
              </w:rPr>
            </w:pPr>
          </w:p>
        </w:tc>
        <w:tc>
          <w:tcPr>
            <w:tcW w:w="360" w:type="dxa"/>
            <w:vAlign w:val="bottom"/>
            <w:tcBorders>
              <w:top w:val="single" w:sz="8" w:color="CCEEFF"/>
              <w:right w:val="single" w:sz="8" w:color="CCEEFF"/>
            </w:tcBorders>
            <w:shd w:val="clear" w:color="auto" w:fill="CCEEFF"/>
          </w:tcPr>
          <w:p>
            <w:pPr>
              <w:spacing w:after="0"/>
              <w:rPr>
                <w:sz w:val="17"/>
                <w:szCs w:val="17"/>
                <w:color w:val="auto"/>
              </w:rPr>
            </w:pPr>
          </w:p>
        </w:tc>
        <w:tc>
          <w:tcPr>
            <w:tcW w:w="320" w:type="dxa"/>
            <w:vAlign w:val="bottom"/>
            <w:tcBorders>
              <w:top w:val="single" w:sz="8" w:color="auto"/>
            </w:tcBorders>
            <w:shd w:val="clear" w:color="auto" w:fill="CCEEFF"/>
          </w:tcPr>
          <w:p>
            <w:pPr>
              <w:spacing w:after="0"/>
              <w:rPr>
                <w:sz w:val="17"/>
                <w:szCs w:val="17"/>
                <w:color w:val="auto"/>
              </w:rPr>
            </w:pPr>
          </w:p>
        </w:tc>
        <w:tc>
          <w:tcPr>
            <w:tcW w:w="400" w:type="dxa"/>
            <w:vAlign w:val="bottom"/>
            <w:tcBorders>
              <w:top w:val="single" w:sz="8" w:color="auto"/>
            </w:tcBorders>
            <w:shd w:val="clear" w:color="auto" w:fill="CCEEFF"/>
          </w:tcPr>
          <w:p>
            <w:pPr>
              <w:spacing w:after="0"/>
              <w:rPr>
                <w:sz w:val="17"/>
                <w:szCs w:val="17"/>
                <w:color w:val="auto"/>
              </w:rPr>
            </w:pPr>
          </w:p>
        </w:tc>
        <w:tc>
          <w:tcPr>
            <w:tcW w:w="700" w:type="dxa"/>
            <w:vAlign w:val="bottom"/>
            <w:tcBorders>
              <w:top w:val="single" w:sz="8" w:color="CCEEFF"/>
              <w:left w:val="single" w:sz="8" w:color="CCEEFF"/>
              <w:right w:val="single" w:sz="8" w:color="CCEEFF"/>
            </w:tcBorders>
            <w:shd w:val="clear" w:color="auto" w:fill="CCEEFF"/>
          </w:tcPr>
          <w:p>
            <w:pPr>
              <w:spacing w:after="0"/>
              <w:rPr>
                <w:sz w:val="17"/>
                <w:szCs w:val="17"/>
                <w:color w:val="auto"/>
              </w:rPr>
            </w:pPr>
          </w:p>
        </w:tc>
        <w:tc>
          <w:tcPr>
            <w:tcW w:w="540" w:type="dxa"/>
            <w:vAlign w:val="bottom"/>
            <w:tcBorders>
              <w:top w:val="single" w:sz="8" w:color="auto"/>
            </w:tcBorders>
            <w:shd w:val="clear" w:color="auto" w:fill="CCEEFF"/>
          </w:tcPr>
          <w:p>
            <w:pPr>
              <w:spacing w:after="0"/>
              <w:rPr>
                <w:sz w:val="17"/>
                <w:szCs w:val="17"/>
                <w:color w:val="auto"/>
              </w:rPr>
            </w:pPr>
          </w:p>
        </w:tc>
        <w:tc>
          <w:tcPr>
            <w:tcW w:w="640" w:type="dxa"/>
            <w:vAlign w:val="bottom"/>
            <w:tcBorders>
              <w:top w:val="single" w:sz="8" w:color="CCEEFF"/>
              <w:left w:val="single" w:sz="8" w:color="CCEEFF"/>
              <w:right w:val="single" w:sz="8" w:color="CCEEFF"/>
            </w:tcBorders>
            <w:shd w:val="clear" w:color="auto" w:fill="CCEEFF"/>
          </w:tcPr>
          <w:p>
            <w:pPr>
              <w:spacing w:after="0"/>
              <w:rPr>
                <w:sz w:val="17"/>
                <w:szCs w:val="17"/>
                <w:color w:val="auto"/>
              </w:rPr>
            </w:pPr>
          </w:p>
        </w:tc>
        <w:tc>
          <w:tcPr>
            <w:tcW w:w="102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80" w:type="dxa"/>
            <w:vAlign w:val="bottom"/>
          </w:tcPr>
          <w:p>
            <w:pPr>
              <w:spacing w:after="0"/>
              <w:rPr>
                <w:sz w:val="20"/>
                <w:szCs w:val="20"/>
                <w:color w:val="auto"/>
              </w:rPr>
            </w:pPr>
            <w:r>
              <w:rPr>
                <w:rFonts w:ascii="Arial" w:cs="Arial" w:eastAsia="Arial" w:hAnsi="Arial"/>
                <w:sz w:val="18"/>
                <w:szCs w:val="18"/>
                <w:color w:val="auto"/>
              </w:rPr>
              <w:t>Cash and cash equivalents</w:t>
            </w:r>
          </w:p>
        </w:tc>
        <w:tc>
          <w:tcPr>
            <w:tcW w:w="1300" w:type="dxa"/>
            <w:vAlign w:val="bottom"/>
          </w:tcPr>
          <w:p>
            <w:pPr>
              <w:spacing w:after="0"/>
              <w:rPr>
                <w:sz w:val="18"/>
                <w:szCs w:val="18"/>
                <w:color w:val="auto"/>
              </w:rPr>
            </w:pPr>
          </w:p>
        </w:tc>
        <w:tc>
          <w:tcPr>
            <w:tcW w:w="1460" w:type="dxa"/>
            <w:vAlign w:val="bottom"/>
            <w:gridSpan w:val="3"/>
          </w:tcPr>
          <w:p>
            <w:pPr>
              <w:jc w:val="center"/>
              <w:ind w:right="320"/>
              <w:spacing w:after="0"/>
              <w:rPr>
                <w:sz w:val="20"/>
                <w:szCs w:val="20"/>
                <w:color w:val="auto"/>
              </w:rPr>
            </w:pPr>
            <w:r>
              <w:rPr>
                <w:rFonts w:ascii="Arial" w:cs="Arial" w:eastAsia="Arial" w:hAnsi="Arial"/>
                <w:sz w:val="18"/>
                <w:szCs w:val="18"/>
                <w:color w:val="auto"/>
                <w:w w:val="95"/>
              </w:rPr>
              <w:t>A$ 3,790,491</w:t>
            </w:r>
          </w:p>
        </w:tc>
        <w:tc>
          <w:tcPr>
            <w:tcW w:w="360" w:type="dxa"/>
            <w:vAlign w:val="bottom"/>
          </w:tcPr>
          <w:p>
            <w:pPr>
              <w:spacing w:after="0"/>
              <w:rPr>
                <w:sz w:val="18"/>
                <w:szCs w:val="18"/>
                <w:color w:val="auto"/>
              </w:rPr>
            </w:pPr>
          </w:p>
        </w:tc>
        <w:tc>
          <w:tcPr>
            <w:tcW w:w="320" w:type="dxa"/>
            <w:vAlign w:val="bottom"/>
          </w:tcPr>
          <w:p>
            <w:pPr>
              <w:spacing w:after="0"/>
              <w:rPr>
                <w:sz w:val="20"/>
                <w:szCs w:val="20"/>
                <w:color w:val="auto"/>
              </w:rPr>
            </w:pPr>
            <w:r>
              <w:rPr>
                <w:rFonts w:ascii="Arial" w:cs="Arial" w:eastAsia="Arial" w:hAnsi="Arial"/>
                <w:sz w:val="18"/>
                <w:szCs w:val="18"/>
                <w:color w:val="auto"/>
              </w:rPr>
              <w:t>A$</w:t>
            </w:r>
          </w:p>
        </w:tc>
        <w:tc>
          <w:tcPr>
            <w:tcW w:w="400" w:type="dxa"/>
            <w:vAlign w:val="bottom"/>
          </w:tcPr>
          <w:p>
            <w:pPr>
              <w:ind w:left="160"/>
              <w:spacing w:after="0"/>
              <w:rPr>
                <w:sz w:val="20"/>
                <w:szCs w:val="20"/>
                <w:color w:val="auto"/>
              </w:rPr>
            </w:pPr>
            <w:r>
              <w:rPr>
                <w:rFonts w:ascii="Arial" w:cs="Arial" w:eastAsia="Arial" w:hAnsi="Arial"/>
                <w:sz w:val="18"/>
                <w:szCs w:val="18"/>
                <w:color w:val="auto"/>
              </w:rPr>
              <w:t>—</w:t>
            </w:r>
          </w:p>
        </w:tc>
        <w:tc>
          <w:tcPr>
            <w:tcW w:w="70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A$ —</w:t>
            </w:r>
          </w:p>
        </w:tc>
        <w:tc>
          <w:tcPr>
            <w:tcW w:w="640" w:type="dxa"/>
            <w:vAlign w:val="bottom"/>
          </w:tcPr>
          <w:p>
            <w:pPr>
              <w:spacing w:after="0"/>
              <w:rPr>
                <w:sz w:val="18"/>
                <w:szCs w:val="18"/>
                <w:color w:val="auto"/>
              </w:rPr>
            </w:pPr>
          </w:p>
        </w:tc>
        <w:tc>
          <w:tcPr>
            <w:tcW w:w="1120" w:type="dxa"/>
            <w:vAlign w:val="bottom"/>
            <w:gridSpan w:val="2"/>
          </w:tcPr>
          <w:p>
            <w:pPr>
              <w:jc w:val="center"/>
              <w:ind w:right="100"/>
              <w:spacing w:after="0"/>
              <w:rPr>
                <w:sz w:val="20"/>
                <w:szCs w:val="20"/>
                <w:color w:val="auto"/>
              </w:rPr>
            </w:pPr>
            <w:r>
              <w:rPr>
                <w:rFonts w:ascii="Arial" w:cs="Arial" w:eastAsia="Arial" w:hAnsi="Arial"/>
                <w:sz w:val="18"/>
                <w:szCs w:val="18"/>
                <w:color w:val="auto"/>
                <w:w w:val="95"/>
              </w:rPr>
              <w:t>A$ 3,790,491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80" w:type="dxa"/>
            <w:vAlign w:val="bottom"/>
            <w:shd w:val="clear" w:color="auto" w:fill="CCEEFF"/>
          </w:tcPr>
          <w:p>
            <w:pPr>
              <w:spacing w:after="0"/>
              <w:rPr>
                <w:sz w:val="20"/>
                <w:szCs w:val="20"/>
                <w:color w:val="auto"/>
              </w:rPr>
            </w:pPr>
            <w:r>
              <w:rPr>
                <w:rFonts w:ascii="Arial" w:cs="Arial" w:eastAsia="Arial" w:hAnsi="Arial"/>
                <w:sz w:val="18"/>
                <w:szCs w:val="18"/>
                <w:color w:val="auto"/>
              </w:rPr>
              <w:t>Trade and other receivables</w:t>
            </w:r>
          </w:p>
        </w:tc>
        <w:tc>
          <w:tcPr>
            <w:tcW w:w="23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2,070,534</w:t>
            </w:r>
          </w:p>
        </w:tc>
        <w:tc>
          <w:tcPr>
            <w:tcW w:w="420" w:type="dxa"/>
            <w:vAlign w:val="bottom"/>
            <w:tcBorders>
              <w:left w:val="single" w:sz="8" w:color="CCEEFF"/>
            </w:tcBorders>
            <w:shd w:val="clear" w:color="auto" w:fill="CCEEFF"/>
          </w:tcPr>
          <w:p>
            <w:pPr>
              <w:spacing w:after="0"/>
              <w:rPr>
                <w:sz w:val="18"/>
                <w:szCs w:val="18"/>
                <w:color w:val="auto"/>
              </w:rPr>
            </w:pPr>
          </w:p>
        </w:tc>
        <w:tc>
          <w:tcPr>
            <w:tcW w:w="360" w:type="dxa"/>
            <w:vAlign w:val="bottom"/>
            <w:tcBorders>
              <w:right w:val="single" w:sz="8" w:color="CCEEFF"/>
            </w:tcBorders>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4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w:t>
            </w:r>
          </w:p>
        </w:tc>
        <w:tc>
          <w:tcPr>
            <w:tcW w:w="700" w:type="dxa"/>
            <w:vAlign w:val="bottom"/>
            <w:tcBorders>
              <w:left w:val="single" w:sz="8" w:color="CCEEFF"/>
              <w:right w:val="single" w:sz="8" w:color="CCEEFF"/>
            </w:tcBorders>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60" w:type="dxa"/>
            <w:vAlign w:val="bottom"/>
            <w:tcBorders>
              <w:left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2,070,534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280" w:type="dxa"/>
            <w:vAlign w:val="bottom"/>
          </w:tcPr>
          <w:p>
            <w:pPr>
              <w:spacing w:after="0"/>
              <w:rPr>
                <w:sz w:val="20"/>
                <w:szCs w:val="20"/>
                <w:color w:val="auto"/>
              </w:rPr>
            </w:pPr>
          </w:p>
        </w:tc>
        <w:tc>
          <w:tcPr>
            <w:tcW w:w="1380" w:type="dxa"/>
            <w:vAlign w:val="bottom"/>
            <w:gridSpan w:val="2"/>
          </w:tcPr>
          <w:p>
            <w:pPr>
              <w:spacing w:after="0"/>
              <w:rPr>
                <w:sz w:val="20"/>
                <w:szCs w:val="20"/>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5,861,025</w:t>
            </w:r>
          </w:p>
        </w:tc>
        <w:tc>
          <w:tcPr>
            <w:tcW w:w="4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320" w:type="dxa"/>
            <w:vAlign w:val="bottom"/>
            <w:tcBorders>
              <w:top w:val="single" w:sz="8" w:color="auto"/>
              <w:bottom w:val="single" w:sz="8" w:color="auto"/>
            </w:tcBorders>
          </w:tcPr>
          <w:p>
            <w:pPr>
              <w:spacing w:after="0"/>
              <w:rPr>
                <w:sz w:val="20"/>
                <w:szCs w:val="20"/>
                <w:color w:val="auto"/>
              </w:rPr>
            </w:pPr>
          </w:p>
        </w:tc>
        <w:tc>
          <w:tcPr>
            <w:tcW w:w="400" w:type="dxa"/>
            <w:vAlign w:val="bottom"/>
            <w:tcBorders>
              <w:top w:val="single" w:sz="8" w:color="auto"/>
              <w:bottom w:val="single" w:sz="8" w:color="auto"/>
            </w:tcBorders>
          </w:tcPr>
          <w:p>
            <w:pPr>
              <w:ind w:left="160"/>
              <w:spacing w:after="0"/>
              <w:rPr>
                <w:sz w:val="20"/>
                <w:szCs w:val="20"/>
                <w:color w:val="auto"/>
              </w:rPr>
            </w:pPr>
            <w:r>
              <w:rPr>
                <w:rFonts w:ascii="Arial" w:cs="Arial" w:eastAsia="Arial" w:hAnsi="Arial"/>
                <w:sz w:val="18"/>
                <w:szCs w:val="18"/>
                <w:b w:val="1"/>
                <w:bCs w:val="1"/>
                <w:color w:val="auto"/>
              </w:rPr>
              <w:t>—</w:t>
            </w:r>
          </w:p>
        </w:tc>
        <w:tc>
          <w:tcPr>
            <w:tcW w:w="700" w:type="dxa"/>
            <w:vAlign w:val="bottom"/>
          </w:tcPr>
          <w:p>
            <w:pPr>
              <w:spacing w:after="0"/>
              <w:rPr>
                <w:sz w:val="20"/>
                <w:szCs w:val="20"/>
                <w:color w:val="auto"/>
              </w:rPr>
            </w:pP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640" w:type="dxa"/>
            <w:vAlign w:val="bottom"/>
          </w:tcPr>
          <w:p>
            <w:pPr>
              <w:spacing w:after="0"/>
              <w:rPr>
                <w:sz w:val="20"/>
                <w:szCs w:val="20"/>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5,861,025</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Financial liabilities</w:t>
            </w:r>
          </w:p>
        </w:tc>
        <w:tc>
          <w:tcPr>
            <w:tcW w:w="1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420" w:type="dxa"/>
            <w:vAlign w:val="bottom"/>
            <w:tcBorders>
              <w:left w:val="single" w:sz="8" w:color="CCEEFF"/>
            </w:tcBorders>
            <w:shd w:val="clear" w:color="auto" w:fill="CCEEFF"/>
          </w:tcPr>
          <w:p>
            <w:pPr>
              <w:spacing w:after="0"/>
              <w:rPr>
                <w:sz w:val="18"/>
                <w:szCs w:val="18"/>
                <w:color w:val="auto"/>
              </w:rPr>
            </w:pPr>
          </w:p>
        </w:tc>
        <w:tc>
          <w:tcPr>
            <w:tcW w:w="360" w:type="dxa"/>
            <w:vAlign w:val="bottom"/>
            <w:tcBorders>
              <w:right w:val="single" w:sz="8" w:color="CCEEFF"/>
            </w:tcBorders>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700" w:type="dxa"/>
            <w:vAlign w:val="bottom"/>
            <w:tcBorders>
              <w:left w:val="single" w:sz="8" w:color="CCEEFF"/>
              <w:right w:val="single" w:sz="8" w:color="CCEEFF"/>
            </w:tcBorders>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640" w:type="dxa"/>
            <w:vAlign w:val="bottom"/>
            <w:tcBorders>
              <w:left w:val="single" w:sz="8" w:color="CCEEFF"/>
              <w:right w:val="single" w:sz="8" w:color="CCEEFF"/>
            </w:tcBorders>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80" w:type="dxa"/>
            <w:vAlign w:val="bottom"/>
          </w:tcPr>
          <w:p>
            <w:pPr>
              <w:spacing w:after="0"/>
              <w:rPr>
                <w:sz w:val="20"/>
                <w:szCs w:val="20"/>
                <w:color w:val="auto"/>
              </w:rPr>
            </w:pPr>
            <w:r>
              <w:rPr>
                <w:rFonts w:ascii="Arial" w:cs="Arial" w:eastAsia="Arial" w:hAnsi="Arial"/>
                <w:sz w:val="18"/>
                <w:szCs w:val="18"/>
                <w:color w:val="auto"/>
              </w:rPr>
              <w:t>Trade and other payables</w:t>
            </w:r>
          </w:p>
        </w:tc>
        <w:tc>
          <w:tcPr>
            <w:tcW w:w="1380" w:type="dxa"/>
            <w:vAlign w:val="bottom"/>
            <w:gridSpan w:val="2"/>
          </w:tcPr>
          <w:p>
            <w:pPr>
              <w:spacing w:after="0"/>
              <w:rPr>
                <w:sz w:val="18"/>
                <w:szCs w:val="18"/>
                <w:color w:val="auto"/>
              </w:rPr>
            </w:pPr>
          </w:p>
        </w:tc>
        <w:tc>
          <w:tcPr>
            <w:tcW w:w="1380" w:type="dxa"/>
            <w:vAlign w:val="bottom"/>
            <w:gridSpan w:val="2"/>
          </w:tcPr>
          <w:p>
            <w:pPr>
              <w:jc w:val="right"/>
              <w:ind w:right="320"/>
              <w:spacing w:after="0"/>
              <w:rPr>
                <w:sz w:val="20"/>
                <w:szCs w:val="20"/>
                <w:color w:val="auto"/>
              </w:rPr>
            </w:pPr>
            <w:r>
              <w:rPr>
                <w:rFonts w:ascii="Arial" w:cs="Arial" w:eastAsia="Arial" w:hAnsi="Arial"/>
                <w:sz w:val="18"/>
                <w:szCs w:val="18"/>
                <w:color w:val="auto"/>
              </w:rPr>
              <w:t>(2,363,734)</w:t>
            </w:r>
          </w:p>
        </w:tc>
        <w:tc>
          <w:tcPr>
            <w:tcW w:w="3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00" w:type="dxa"/>
            <w:vAlign w:val="bottom"/>
          </w:tcPr>
          <w:p>
            <w:pPr>
              <w:ind w:left="160"/>
              <w:spacing w:after="0"/>
              <w:rPr>
                <w:sz w:val="20"/>
                <w:szCs w:val="20"/>
                <w:color w:val="auto"/>
              </w:rPr>
            </w:pPr>
            <w:r>
              <w:rPr>
                <w:rFonts w:ascii="Arial" w:cs="Arial" w:eastAsia="Arial" w:hAnsi="Arial"/>
                <w:sz w:val="18"/>
                <w:szCs w:val="18"/>
                <w:color w:val="auto"/>
              </w:rPr>
              <w:t>—</w:t>
            </w:r>
          </w:p>
        </w:tc>
        <w:tc>
          <w:tcPr>
            <w:tcW w:w="70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w:t>
            </w:r>
          </w:p>
        </w:tc>
        <w:tc>
          <w:tcPr>
            <w:tcW w:w="1760" w:type="dxa"/>
            <w:vAlign w:val="bottom"/>
            <w:gridSpan w:val="3"/>
          </w:tcPr>
          <w:p>
            <w:pPr>
              <w:jc w:val="right"/>
              <w:ind w:right="40"/>
              <w:spacing w:after="0"/>
              <w:rPr>
                <w:sz w:val="20"/>
                <w:szCs w:val="20"/>
                <w:color w:val="auto"/>
              </w:rPr>
            </w:pPr>
            <w:r>
              <w:rPr>
                <w:rFonts w:ascii="Arial" w:cs="Arial" w:eastAsia="Arial" w:hAnsi="Arial"/>
                <w:sz w:val="18"/>
                <w:szCs w:val="18"/>
                <w:color w:val="auto"/>
              </w:rPr>
              <w:t>(2,363,734)</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32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80" w:type="dxa"/>
            <w:vAlign w:val="bottom"/>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420" w:type="dxa"/>
            <w:vAlign w:val="bottom"/>
            <w:tcBorders>
              <w:left w:val="single" w:sz="8" w:color="auto"/>
            </w:tcBorders>
          </w:tcPr>
          <w:p>
            <w:pPr>
              <w:spacing w:after="0"/>
              <w:rPr>
                <w:sz w:val="2"/>
                <w:szCs w:val="2"/>
                <w:color w:val="auto"/>
              </w:rPr>
            </w:pPr>
          </w:p>
        </w:tc>
        <w:tc>
          <w:tcPr>
            <w:tcW w:w="360" w:type="dxa"/>
            <w:vAlign w:val="bottom"/>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700" w:type="dxa"/>
            <w:vAlign w:val="bottom"/>
            <w:tcBorders>
              <w:left w:val="single" w:sz="8" w:color="auto"/>
            </w:tcBorders>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640" w:type="dxa"/>
            <w:vAlign w:val="bottom"/>
            <w:tcBorders>
              <w:left w:val="single" w:sz="8" w:color="auto"/>
            </w:tcBorders>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32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Net maturity</w:t>
            </w:r>
          </w:p>
        </w:tc>
        <w:tc>
          <w:tcPr>
            <w:tcW w:w="1300" w:type="dxa"/>
            <w:vAlign w:val="bottom"/>
            <w:shd w:val="clear" w:color="auto" w:fill="CCEEFF"/>
          </w:tcPr>
          <w:p>
            <w:pPr>
              <w:spacing w:after="0"/>
              <w:rPr>
                <w:sz w:val="18"/>
                <w:szCs w:val="18"/>
                <w:color w:val="auto"/>
              </w:rPr>
            </w:pPr>
          </w:p>
        </w:tc>
        <w:tc>
          <w:tcPr>
            <w:tcW w:w="1460" w:type="dxa"/>
            <w:vAlign w:val="bottom"/>
            <w:gridSpan w:val="3"/>
            <w:shd w:val="clear" w:color="auto" w:fill="CCEEFF"/>
          </w:tcPr>
          <w:p>
            <w:pPr>
              <w:jc w:val="center"/>
              <w:ind w:right="320"/>
              <w:spacing w:after="0"/>
              <w:rPr>
                <w:sz w:val="20"/>
                <w:szCs w:val="20"/>
                <w:color w:val="auto"/>
              </w:rPr>
            </w:pPr>
            <w:r>
              <w:rPr>
                <w:rFonts w:ascii="Arial" w:cs="Arial" w:eastAsia="Arial" w:hAnsi="Arial"/>
                <w:sz w:val="18"/>
                <w:szCs w:val="18"/>
                <w:b w:val="1"/>
                <w:bCs w:val="1"/>
                <w:u w:val="single" w:color="auto"/>
                <w:color w:val="auto"/>
                <w:w w:val="94"/>
              </w:rPr>
              <w:t>A</w:t>
            </w:r>
            <w:r>
              <w:rPr>
                <w:rFonts w:ascii="Arial" w:cs="Arial" w:eastAsia="Arial" w:hAnsi="Arial"/>
                <w:sz w:val="18"/>
                <w:szCs w:val="18"/>
                <w:b w:val="1"/>
                <w:bCs w:val="1"/>
                <w:color w:val="auto"/>
                <w:w w:val="94"/>
              </w:rPr>
              <w:t>$ 3,497,291</w:t>
            </w:r>
          </w:p>
        </w:tc>
        <w:tc>
          <w:tcPr>
            <w:tcW w:w="360" w:type="dxa"/>
            <w:vAlign w:val="bottom"/>
            <w:tcBorders>
              <w:right w:val="single" w:sz="8" w:color="CCEEFF"/>
            </w:tcBorders>
            <w:shd w:val="clear" w:color="auto" w:fill="CCEEFF"/>
          </w:tcPr>
          <w:p>
            <w:pPr>
              <w:spacing w:after="0"/>
              <w:rPr>
                <w:sz w:val="18"/>
                <w:szCs w:val="18"/>
                <w:color w:val="auto"/>
              </w:rPr>
            </w:pPr>
          </w:p>
        </w:tc>
        <w:tc>
          <w:tcPr>
            <w:tcW w:w="320" w:type="dxa"/>
            <w:vAlign w:val="bottom"/>
            <w:shd w:val="clear" w:color="auto" w:fill="CCEEFF"/>
          </w:tcPr>
          <w:p>
            <w:pPr>
              <w:spacing w:after="0"/>
              <w:rPr>
                <w:sz w:val="20"/>
                <w:szCs w:val="20"/>
                <w:color w:val="auto"/>
              </w:rPr>
            </w:pPr>
            <w:r>
              <w:rPr>
                <w:rFonts w:ascii="Arial" w:cs="Arial" w:eastAsia="Arial" w:hAnsi="Arial"/>
                <w:sz w:val="18"/>
                <w:szCs w:val="18"/>
                <w:b w:val="1"/>
                <w:bCs w:val="1"/>
                <w:u w:val="single" w:color="auto"/>
                <w:color w:val="auto"/>
              </w:rPr>
              <w:t>A</w:t>
            </w:r>
            <w:r>
              <w:rPr>
                <w:rFonts w:ascii="Arial" w:cs="Arial" w:eastAsia="Arial" w:hAnsi="Arial"/>
                <w:sz w:val="18"/>
                <w:szCs w:val="18"/>
                <w:b w:val="1"/>
                <w:bCs w:val="1"/>
                <w:color w:val="auto"/>
              </w:rPr>
              <w:t>$</w:t>
            </w:r>
          </w:p>
        </w:tc>
        <w:tc>
          <w:tcPr>
            <w:tcW w:w="400" w:type="dxa"/>
            <w:vAlign w:val="bottom"/>
            <w:shd w:val="clear" w:color="auto" w:fill="CCEEFF"/>
          </w:tcPr>
          <w:p>
            <w:pPr>
              <w:ind w:left="160"/>
              <w:spacing w:after="0"/>
              <w:rPr>
                <w:sz w:val="20"/>
                <w:szCs w:val="20"/>
                <w:color w:val="auto"/>
              </w:rPr>
            </w:pPr>
            <w:r>
              <w:rPr>
                <w:rFonts w:ascii="Arial" w:cs="Arial" w:eastAsia="Arial" w:hAnsi="Arial"/>
                <w:sz w:val="18"/>
                <w:szCs w:val="18"/>
                <w:b w:val="1"/>
                <w:bCs w:val="1"/>
                <w:color w:val="auto"/>
              </w:rPr>
              <w:t>—</w:t>
            </w:r>
          </w:p>
        </w:tc>
        <w:tc>
          <w:tcPr>
            <w:tcW w:w="700" w:type="dxa"/>
            <w:vAlign w:val="bottom"/>
            <w:tcBorders>
              <w:left w:val="single" w:sz="8" w:color="CCEEFF"/>
              <w:right w:val="single" w:sz="8" w:color="CCEEFF"/>
            </w:tcBorders>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b w:val="1"/>
                <w:bCs w:val="1"/>
                <w:u w:val="single" w:color="auto"/>
                <w:color w:val="auto"/>
                <w:w w:val="99"/>
              </w:rPr>
              <w:t>A</w:t>
            </w:r>
            <w:r>
              <w:rPr>
                <w:rFonts w:ascii="Arial" w:cs="Arial" w:eastAsia="Arial" w:hAnsi="Arial"/>
                <w:sz w:val="18"/>
                <w:szCs w:val="18"/>
                <w:b w:val="1"/>
                <w:bCs w:val="1"/>
                <w:color w:val="auto"/>
                <w:w w:val="99"/>
              </w:rPr>
              <w:t>$ —</w:t>
            </w:r>
          </w:p>
        </w:tc>
        <w:tc>
          <w:tcPr>
            <w:tcW w:w="640" w:type="dxa"/>
            <w:vAlign w:val="bottom"/>
            <w:tcBorders>
              <w:left w:val="single" w:sz="8" w:color="CCEEFF"/>
              <w:right w:val="single" w:sz="8" w:color="CCEEFF"/>
            </w:tcBorders>
            <w:shd w:val="clear" w:color="auto" w:fill="CCEEFF"/>
          </w:tcPr>
          <w:p>
            <w:pPr>
              <w:spacing w:after="0"/>
              <w:rPr>
                <w:sz w:val="18"/>
                <w:szCs w:val="18"/>
                <w:color w:val="auto"/>
              </w:rPr>
            </w:pPr>
          </w:p>
        </w:tc>
        <w:tc>
          <w:tcPr>
            <w:tcW w:w="112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b w:val="1"/>
                <w:bCs w:val="1"/>
                <w:u w:val="single" w:color="auto"/>
                <w:color w:val="auto"/>
                <w:w w:val="94"/>
              </w:rPr>
              <w:t>A</w:t>
            </w:r>
            <w:r>
              <w:rPr>
                <w:rFonts w:ascii="Arial" w:cs="Arial" w:eastAsia="Arial" w:hAnsi="Arial"/>
                <w:sz w:val="18"/>
                <w:szCs w:val="18"/>
                <w:b w:val="1"/>
                <w:bCs w:val="1"/>
                <w:color w:val="auto"/>
                <w:w w:val="94"/>
              </w:rPr>
              <w:t>$ 3,497,291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28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20" w:type="dxa"/>
            <w:vAlign w:val="bottom"/>
          </w:tcPr>
          <w:p>
            <w:pPr>
              <w:spacing w:after="0"/>
              <w:rPr>
                <w:sz w:val="24"/>
                <w:szCs w:val="24"/>
                <w:color w:val="auto"/>
              </w:rPr>
            </w:pPr>
          </w:p>
        </w:tc>
        <w:tc>
          <w:tcPr>
            <w:tcW w:w="328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380" w:type="dxa"/>
            <w:vAlign w:val="bottom"/>
            <w:gridSpan w:val="2"/>
          </w:tcPr>
          <w:p>
            <w:pPr>
              <w:jc w:val="right"/>
              <w:ind w:right="820"/>
              <w:spacing w:after="0"/>
              <w:rPr>
                <w:sz w:val="20"/>
                <w:szCs w:val="20"/>
                <w:color w:val="auto"/>
              </w:rPr>
            </w:pPr>
            <w:r>
              <w:rPr>
                <w:rFonts w:ascii="Arial" w:cs="Arial" w:eastAsia="Arial" w:hAnsi="Arial"/>
                <w:sz w:val="18"/>
                <w:szCs w:val="18"/>
                <w:color w:val="auto"/>
              </w:rPr>
              <w:t>F-47</w:t>
            </w:r>
          </w:p>
        </w:tc>
        <w:tc>
          <w:tcPr>
            <w:tcW w:w="3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040"/>
          </w:cols>
          <w:pgMar w:left="240" w:top="459" w:right="619" w:bottom="1440" w:gutter="0" w:footer="0" w:header="0"/>
        </w:sectPr>
      </w:pPr>
    </w:p>
    <w:bookmarkStart w:id="146" w:name="page147"/>
    <w:bookmarkEnd w:id="14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9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AVITA MEDICAL LIMITED</w:t>
      </w:r>
    </w:p>
    <w:p>
      <w:pPr>
        <w:spacing w:after="0" w:line="27"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9"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(IN AUSTRALIAN DOLLARS)</w:t>
      </w:r>
    </w:p>
    <w:p>
      <w:pPr>
        <w:spacing w:after="0" w:line="234" w:lineRule="exact"/>
        <w:rPr>
          <w:sz w:val="20"/>
          <w:szCs w:val="20"/>
          <w:color w:val="auto"/>
        </w:rPr>
      </w:pPr>
    </w:p>
    <w:p>
      <w:pPr>
        <w:ind w:left="200" w:right="7160" w:firstLine="4"/>
        <w:spacing w:after="0" w:line="378" w:lineRule="auto"/>
        <w:tabs>
          <w:tab w:leader="none" w:pos="632" w:val="left"/>
        </w:tabs>
        <w:numPr>
          <w:ilvl w:val="0"/>
          <w:numId w:val="186"/>
        </w:numPr>
        <w:rPr>
          <w:rFonts w:ascii="Arial" w:cs="Arial" w:eastAsia="Arial" w:hAnsi="Arial"/>
          <w:sz w:val="18"/>
          <w:szCs w:val="18"/>
          <w:b w:val="1"/>
          <w:bCs w:val="1"/>
          <w:color w:val="auto"/>
        </w:rPr>
      </w:pPr>
      <w:r>
        <w:rPr>
          <w:rFonts w:ascii="Arial" w:cs="Arial" w:eastAsia="Arial" w:hAnsi="Arial"/>
          <w:sz w:val="18"/>
          <w:szCs w:val="18"/>
          <w:b w:val="1"/>
          <w:bCs w:val="1"/>
          <w:color w:val="auto"/>
        </w:rPr>
        <w:t>COMMITMENTS AND CONTINGENCIES Finance leases as lessee</w:t>
      </w:r>
    </w:p>
    <w:p>
      <w:pPr>
        <w:ind w:left="200" w:right="160"/>
        <w:spacing w:after="0" w:line="264" w:lineRule="auto"/>
        <w:rPr>
          <w:sz w:val="20"/>
          <w:szCs w:val="20"/>
          <w:color w:val="auto"/>
        </w:rPr>
      </w:pPr>
      <w:r>
        <w:rPr>
          <w:rFonts w:ascii="Arial" w:cs="Arial" w:eastAsia="Arial" w:hAnsi="Arial"/>
          <w:sz w:val="18"/>
          <w:szCs w:val="18"/>
          <w:color w:val="auto"/>
        </w:rPr>
        <w:t>The Company’s furniture and IT equipment are held under lease arrangements. As of June 30, 2018, the net carrying amount of the furniture and IT equipment held under lease arrangements is A$159,043 (2017: A$66,408 and 2016: A$nil). The Company’s finance lease liabilities, which are secured by the related assets held under finance leases, are classified as follows:</w:t>
      </w:r>
    </w:p>
    <w:p>
      <w:pPr>
        <w:spacing w:after="0" w:line="200" w:lineRule="exact"/>
        <w:rPr>
          <w:sz w:val="20"/>
          <w:szCs w:val="20"/>
          <w:color w:val="auto"/>
        </w:rPr>
      </w:pPr>
    </w:p>
    <w:tbl>
      <w:tblPr>
        <w:tblLayout w:type="fixed"/>
        <w:tblInd w:w="64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3080" w:type="dxa"/>
            <w:vAlign w:val="bottom"/>
            <w:tcBorders>
              <w:bottom w:val="single" w:sz="8" w:color="CCEEFF"/>
            </w:tcBorders>
          </w:tcPr>
          <w:p>
            <w:pPr>
              <w:spacing w:after="0"/>
              <w:rPr>
                <w:sz w:val="14"/>
                <w:szCs w:val="14"/>
                <w:color w:val="auto"/>
              </w:rPr>
            </w:pPr>
          </w:p>
        </w:tc>
        <w:tc>
          <w:tcPr>
            <w:tcW w:w="1320" w:type="dxa"/>
            <w:vAlign w:val="bottom"/>
            <w:tcBorders>
              <w:bottom w:val="single" w:sz="8" w:color="CCEEFF"/>
            </w:tcBorders>
          </w:tcPr>
          <w:p>
            <w:pPr>
              <w:spacing w:after="0"/>
              <w:rPr>
                <w:sz w:val="14"/>
                <w:szCs w:val="14"/>
                <w:color w:val="auto"/>
              </w:rPr>
            </w:pPr>
          </w:p>
        </w:tc>
        <w:tc>
          <w:tcPr>
            <w:tcW w:w="820" w:type="dxa"/>
            <w:vAlign w:val="bottom"/>
            <w:tcBorders>
              <w:bottom w:val="single" w:sz="8" w:color="CCEEFF"/>
            </w:tcBorders>
          </w:tcPr>
          <w:p>
            <w:pPr>
              <w:spacing w:after="0"/>
              <w:rPr>
                <w:sz w:val="14"/>
                <w:szCs w:val="14"/>
                <w:color w:val="auto"/>
              </w:rPr>
            </w:pPr>
          </w:p>
        </w:tc>
        <w:tc>
          <w:tcPr>
            <w:tcW w:w="500" w:type="dxa"/>
            <w:vAlign w:val="bottom"/>
            <w:tcBorders>
              <w:bottom w:val="single" w:sz="8" w:color="CCEEFF"/>
            </w:tcBorders>
          </w:tcPr>
          <w:p>
            <w:pPr>
              <w:spacing w:after="0"/>
              <w:rPr>
                <w:sz w:val="14"/>
                <w:szCs w:val="14"/>
                <w:color w:val="auto"/>
              </w:rPr>
            </w:pPr>
          </w:p>
        </w:tc>
        <w:tc>
          <w:tcPr>
            <w:tcW w:w="620" w:type="dxa"/>
            <w:vAlign w:val="bottom"/>
            <w:tcBorders>
              <w:bottom w:val="single" w:sz="8" w:color="CCEEFF"/>
            </w:tcBorders>
          </w:tcPr>
          <w:p>
            <w:pPr>
              <w:spacing w:after="0"/>
              <w:rPr>
                <w:sz w:val="14"/>
                <w:szCs w:val="14"/>
                <w:color w:val="auto"/>
              </w:rPr>
            </w:pPr>
          </w:p>
        </w:tc>
        <w:tc>
          <w:tcPr>
            <w:tcW w:w="260" w:type="dxa"/>
            <w:vAlign w:val="bottom"/>
            <w:tcBorders>
              <w:bottom w:val="single" w:sz="8" w:color="CCEEFF"/>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gridSpan w:val="2"/>
          </w:tcPr>
          <w:p>
            <w:pPr>
              <w:jc w:val="right"/>
              <w:ind w:right="230"/>
              <w:spacing w:after="0"/>
              <w:rPr>
                <w:sz w:val="20"/>
                <w:szCs w:val="20"/>
                <w:color w:val="auto"/>
              </w:rPr>
            </w:pPr>
            <w:r>
              <w:rPr>
                <w:rFonts w:ascii="Arial" w:cs="Arial" w:eastAsia="Arial" w:hAnsi="Arial"/>
                <w:sz w:val="14"/>
                <w:szCs w:val="14"/>
                <w:b w:val="1"/>
                <w:bCs w:val="1"/>
                <w:color w:val="auto"/>
              </w:rPr>
              <w:t>2018</w:t>
            </w:r>
          </w:p>
        </w:tc>
        <w:tc>
          <w:tcPr>
            <w:tcW w:w="1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96"/>
        </w:trPr>
        <w:tc>
          <w:tcPr>
            <w:tcW w:w="2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3080" w:type="dxa"/>
            <w:vAlign w:val="bottom"/>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Finance lease liabilities</w:t>
            </w:r>
          </w:p>
        </w:tc>
        <w:tc>
          <w:tcPr>
            <w:tcW w:w="132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640" w:type="dxa"/>
            <w:vAlign w:val="bottom"/>
            <w:tcBorders>
              <w:right w:val="single" w:sz="8" w:color="CCEEFF"/>
            </w:tcBorders>
            <w:shd w:val="clear" w:color="auto" w:fill="CCEEFF"/>
          </w:tcPr>
          <w:p>
            <w:pPr>
              <w:spacing w:after="0"/>
              <w:rPr>
                <w:sz w:val="17"/>
                <w:szCs w:val="17"/>
                <w:color w:val="auto"/>
              </w:rPr>
            </w:pPr>
          </w:p>
        </w:tc>
        <w:tc>
          <w:tcPr>
            <w:tcW w:w="1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16"/>
        </w:trPr>
        <w:tc>
          <w:tcPr>
            <w:tcW w:w="2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3080" w:type="dxa"/>
            <w:vAlign w:val="bottom"/>
          </w:tcPr>
          <w:p>
            <w:pPr>
              <w:spacing w:after="0"/>
              <w:rPr>
                <w:sz w:val="20"/>
                <w:szCs w:val="20"/>
                <w:color w:val="auto"/>
              </w:rPr>
            </w:pPr>
            <w:r>
              <w:rPr>
                <w:rFonts w:ascii="Arial" w:cs="Arial" w:eastAsia="Arial" w:hAnsi="Arial"/>
                <w:sz w:val="18"/>
                <w:szCs w:val="18"/>
                <w:color w:val="auto"/>
              </w:rPr>
              <w:t>Current:</w:t>
            </w:r>
          </w:p>
        </w:tc>
        <w:tc>
          <w:tcPr>
            <w:tcW w:w="13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480" w:type="dxa"/>
            <w:vAlign w:val="bottom"/>
            <w:gridSpan w:val="2"/>
          </w:tcPr>
          <w:p>
            <w:pPr>
              <w:ind w:left="260"/>
              <w:spacing w:after="0"/>
              <w:rPr>
                <w:sz w:val="20"/>
                <w:szCs w:val="20"/>
                <w:color w:val="auto"/>
              </w:rPr>
            </w:pPr>
            <w:r>
              <w:rPr>
                <w:rFonts w:ascii="Arial" w:cs="Arial" w:eastAsia="Arial" w:hAnsi="Arial"/>
                <w:sz w:val="18"/>
                <w:szCs w:val="18"/>
                <w:b w:val="1"/>
                <w:bCs w:val="1"/>
                <w:color w:val="auto"/>
                <w:w w:val="86"/>
              </w:rPr>
              <w:t>A$</w:t>
            </w:r>
          </w:p>
        </w:tc>
        <w:tc>
          <w:tcPr>
            <w:tcW w:w="660" w:type="dxa"/>
            <w:vAlign w:val="bottom"/>
            <w:gridSpan w:val="2"/>
          </w:tcPr>
          <w:p>
            <w:pPr>
              <w:jc w:val="right"/>
              <w:spacing w:after="0"/>
              <w:rPr>
                <w:sz w:val="20"/>
                <w:szCs w:val="20"/>
                <w:color w:val="auto"/>
              </w:rPr>
            </w:pPr>
            <w:r>
              <w:rPr>
                <w:rFonts w:ascii="Arial" w:cs="Arial" w:eastAsia="Arial" w:hAnsi="Arial"/>
                <w:sz w:val="18"/>
                <w:szCs w:val="18"/>
                <w:b w:val="1"/>
                <w:bCs w:val="1"/>
                <w:color w:val="auto"/>
              </w:rPr>
              <w:t>86,883</w:t>
            </w: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3080" w:type="dxa"/>
            <w:vAlign w:val="bottom"/>
            <w:shd w:val="clear" w:color="auto" w:fill="CCEEFF"/>
          </w:tcPr>
          <w:p>
            <w:pPr>
              <w:spacing w:after="0"/>
              <w:rPr>
                <w:sz w:val="20"/>
                <w:szCs w:val="20"/>
                <w:color w:val="auto"/>
              </w:rPr>
            </w:pPr>
            <w:r>
              <w:rPr>
                <w:rFonts w:ascii="Arial" w:cs="Arial" w:eastAsia="Arial" w:hAnsi="Arial"/>
                <w:sz w:val="18"/>
                <w:szCs w:val="18"/>
                <w:color w:val="auto"/>
              </w:rPr>
              <w:t>Non-current:</w:t>
            </w:r>
          </w:p>
        </w:tc>
        <w:tc>
          <w:tcPr>
            <w:tcW w:w="13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right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72,160</w:t>
            </w: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308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20" w:type="dxa"/>
            <w:vAlign w:val="bottom"/>
            <w:tcBorders>
              <w:bottom w:val="single" w:sz="8" w:color="auto"/>
            </w:tcBorders>
          </w:tcPr>
          <w:p>
            <w:pPr>
              <w:spacing w:after="0"/>
              <w:rPr>
                <w:sz w:val="20"/>
                <w:szCs w:val="20"/>
                <w:color w:val="auto"/>
              </w:rPr>
            </w:pPr>
            <w:r>
              <w:rPr>
                <w:rFonts w:ascii="Arial" w:cs="Arial" w:eastAsia="Arial" w:hAnsi="Arial"/>
                <w:sz w:val="18"/>
                <w:szCs w:val="18"/>
                <w:u w:val="single" w:color="auto"/>
                <w:color w:val="auto"/>
                <w:w w:val="90"/>
              </w:rPr>
              <w:t>A$</w:t>
            </w:r>
          </w:p>
        </w:tc>
        <w:tc>
          <w:tcPr>
            <w:tcW w:w="66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w w:val="89"/>
              </w:rPr>
              <w:t>159,043</w:t>
            </w:r>
          </w:p>
        </w:tc>
        <w:tc>
          <w:tcPr>
            <w:tcW w:w="1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0"/>
        </w:trPr>
        <w:tc>
          <w:tcPr>
            <w:tcW w:w="2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308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120" w:type="dxa"/>
            <w:vAlign w:val="bottom"/>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Borders>
              <w:bottom w:val="single" w:sz="8" w:color="auto"/>
            </w:tcBorders>
            <w:gridSpan w:val="2"/>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367"/>
        </w:trPr>
        <w:tc>
          <w:tcPr>
            <w:tcW w:w="2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308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3200" w:type="dxa"/>
            <w:vAlign w:val="bottom"/>
            <w:gridSpan w:val="8"/>
          </w:tcPr>
          <w:p>
            <w:pPr>
              <w:jc w:val="center"/>
              <w:spacing w:after="0"/>
              <w:rPr>
                <w:sz w:val="20"/>
                <w:szCs w:val="20"/>
                <w:color w:val="auto"/>
              </w:rPr>
            </w:pPr>
            <w:r>
              <w:rPr>
                <w:rFonts w:ascii="Arial" w:cs="Arial" w:eastAsia="Arial" w:hAnsi="Arial"/>
                <w:sz w:val="14"/>
                <w:szCs w:val="14"/>
                <w:color w:val="auto"/>
                <w:w w:val="93"/>
              </w:rPr>
              <w:t>Minimum Lease Payment Due</w:t>
            </w:r>
          </w:p>
        </w:tc>
        <w:tc>
          <w:tcPr>
            <w:tcW w:w="4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167"/>
        </w:trPr>
        <w:tc>
          <w:tcPr>
            <w:tcW w:w="2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3080" w:type="dxa"/>
            <w:vAlign w:val="bottom"/>
          </w:tcPr>
          <w:p>
            <w:pPr>
              <w:spacing w:after="0"/>
              <w:rPr>
                <w:sz w:val="14"/>
                <w:szCs w:val="14"/>
                <w:color w:val="auto"/>
              </w:rPr>
            </w:pPr>
          </w:p>
        </w:tc>
        <w:tc>
          <w:tcPr>
            <w:tcW w:w="2640" w:type="dxa"/>
            <w:vAlign w:val="bottom"/>
            <w:gridSpan w:val="3"/>
          </w:tcPr>
          <w:p>
            <w:pPr>
              <w:jc w:val="right"/>
              <w:ind w:right="520"/>
              <w:spacing w:after="0"/>
              <w:rPr>
                <w:sz w:val="20"/>
                <w:szCs w:val="20"/>
                <w:color w:val="auto"/>
              </w:rPr>
            </w:pPr>
            <w:r>
              <w:rPr>
                <w:rFonts w:ascii="Arial" w:cs="Arial" w:eastAsia="Arial" w:hAnsi="Arial"/>
                <w:sz w:val="14"/>
                <w:szCs w:val="14"/>
                <w:color w:val="auto"/>
              </w:rPr>
              <w:t>Within 1 Year</w:t>
            </w:r>
          </w:p>
        </w:tc>
        <w:tc>
          <w:tcPr>
            <w:tcW w:w="1100" w:type="dxa"/>
            <w:vAlign w:val="bottom"/>
            <w:gridSpan w:val="3"/>
          </w:tcPr>
          <w:p>
            <w:pPr>
              <w:jc w:val="center"/>
              <w:ind w:right="430"/>
              <w:spacing w:after="0"/>
              <w:rPr>
                <w:sz w:val="20"/>
                <w:szCs w:val="20"/>
                <w:color w:val="auto"/>
              </w:rPr>
            </w:pPr>
            <w:r>
              <w:rPr>
                <w:rFonts w:ascii="Arial" w:cs="Arial" w:eastAsia="Arial" w:hAnsi="Arial"/>
                <w:sz w:val="14"/>
                <w:szCs w:val="14"/>
                <w:color w:val="auto"/>
                <w:w w:val="88"/>
              </w:rPr>
              <w:t>1-5 Years</w:t>
            </w:r>
          </w:p>
        </w:tc>
        <w:tc>
          <w:tcPr>
            <w:tcW w:w="780" w:type="dxa"/>
            <w:vAlign w:val="bottom"/>
            <w:gridSpan w:val="3"/>
          </w:tcPr>
          <w:p>
            <w:pPr>
              <w:spacing w:after="0"/>
              <w:rPr>
                <w:sz w:val="20"/>
                <w:szCs w:val="20"/>
                <w:color w:val="auto"/>
              </w:rPr>
            </w:pPr>
            <w:r>
              <w:rPr>
                <w:rFonts w:ascii="Arial" w:cs="Arial" w:eastAsia="Arial" w:hAnsi="Arial"/>
                <w:sz w:val="14"/>
                <w:szCs w:val="14"/>
                <w:color w:val="auto"/>
                <w:w w:val="92"/>
              </w:rPr>
              <w:t>After 5 Years</w:t>
            </w:r>
          </w:p>
        </w:tc>
        <w:tc>
          <w:tcPr>
            <w:tcW w:w="440" w:type="dxa"/>
            <w:vAlign w:val="bottom"/>
          </w:tcPr>
          <w:p>
            <w:pPr>
              <w:spacing w:after="0"/>
              <w:rPr>
                <w:sz w:val="14"/>
                <w:szCs w:val="14"/>
                <w:color w:val="auto"/>
              </w:rPr>
            </w:pPr>
          </w:p>
        </w:tc>
        <w:tc>
          <w:tcPr>
            <w:tcW w:w="760" w:type="dxa"/>
            <w:vAlign w:val="bottom"/>
            <w:gridSpan w:val="2"/>
          </w:tcPr>
          <w:p>
            <w:pPr>
              <w:jc w:val="right"/>
              <w:ind w:right="280"/>
              <w:spacing w:after="0"/>
              <w:rPr>
                <w:sz w:val="20"/>
                <w:szCs w:val="20"/>
                <w:color w:val="auto"/>
              </w:rPr>
            </w:pPr>
            <w:r>
              <w:rPr>
                <w:rFonts w:ascii="Arial" w:cs="Arial" w:eastAsia="Arial" w:hAnsi="Arial"/>
                <w:sz w:val="14"/>
                <w:szCs w:val="14"/>
                <w:color w:val="auto"/>
              </w:rPr>
              <w:t>Total</w:t>
            </w:r>
          </w:p>
        </w:tc>
      </w:tr>
      <w:tr>
        <w:trPr>
          <w:trHeight w:val="196"/>
        </w:trPr>
        <w:tc>
          <w:tcPr>
            <w:tcW w:w="20" w:type="dxa"/>
            <w:vAlign w:val="bottom"/>
          </w:tcPr>
          <w:p>
            <w:pPr>
              <w:spacing w:after="0"/>
              <w:rPr>
                <w:sz w:val="17"/>
                <w:szCs w:val="17"/>
                <w:color w:val="auto"/>
              </w:rPr>
            </w:pPr>
          </w:p>
        </w:tc>
        <w:tc>
          <w:tcPr>
            <w:tcW w:w="4400" w:type="dxa"/>
            <w:vAlign w:val="bottom"/>
            <w:tcBorders>
              <w:top w:val="single" w:sz="8" w:color="CCEEFF"/>
            </w:tcBorders>
            <w:gridSpan w:val="2"/>
            <w:shd w:val="clear" w:color="auto" w:fill="CCEEFF"/>
          </w:tcPr>
          <w:p>
            <w:pPr>
              <w:spacing w:after="0" w:line="196" w:lineRule="exact"/>
              <w:rPr>
                <w:sz w:val="20"/>
                <w:szCs w:val="20"/>
                <w:color w:val="auto"/>
              </w:rPr>
            </w:pPr>
            <w:r>
              <w:rPr>
                <w:rFonts w:ascii="Arial" w:cs="Arial" w:eastAsia="Arial" w:hAnsi="Arial"/>
                <w:sz w:val="18"/>
                <w:szCs w:val="18"/>
                <w:color w:val="auto"/>
              </w:rPr>
              <w:t>June 30, 2018</w:t>
            </w:r>
          </w:p>
        </w:tc>
        <w:tc>
          <w:tcPr>
            <w:tcW w:w="1320" w:type="dxa"/>
            <w:vAlign w:val="bottom"/>
            <w:tcBorders>
              <w:top w:val="single" w:sz="8" w:color="CCEEFF"/>
            </w:tcBorders>
            <w:shd w:val="clear" w:color="auto" w:fill="CCEEFF"/>
          </w:tcPr>
          <w:p>
            <w:pPr>
              <w:spacing w:after="0"/>
              <w:rPr>
                <w:sz w:val="17"/>
                <w:szCs w:val="17"/>
                <w:color w:val="auto"/>
              </w:rPr>
            </w:pPr>
          </w:p>
        </w:tc>
        <w:tc>
          <w:tcPr>
            <w:tcW w:w="820" w:type="dxa"/>
            <w:vAlign w:val="bottom"/>
            <w:tcBorders>
              <w:top w:val="single" w:sz="8" w:color="auto"/>
            </w:tcBorders>
            <w:shd w:val="clear" w:color="auto" w:fill="CCEEFF"/>
          </w:tcPr>
          <w:p>
            <w:pPr>
              <w:spacing w:after="0"/>
              <w:rPr>
                <w:sz w:val="17"/>
                <w:szCs w:val="17"/>
                <w:color w:val="auto"/>
              </w:rPr>
            </w:pPr>
          </w:p>
        </w:tc>
        <w:tc>
          <w:tcPr>
            <w:tcW w:w="500" w:type="dxa"/>
            <w:vAlign w:val="bottom"/>
            <w:tcBorders>
              <w:top w:val="single" w:sz="8" w:color="CCEEFF"/>
            </w:tcBorders>
            <w:shd w:val="clear" w:color="auto" w:fill="CCEEFF"/>
          </w:tcPr>
          <w:p>
            <w:pPr>
              <w:spacing w:after="0"/>
              <w:rPr>
                <w:sz w:val="17"/>
                <w:szCs w:val="17"/>
                <w:color w:val="auto"/>
              </w:rPr>
            </w:pPr>
          </w:p>
        </w:tc>
        <w:tc>
          <w:tcPr>
            <w:tcW w:w="620" w:type="dxa"/>
            <w:vAlign w:val="bottom"/>
            <w:tcBorders>
              <w:top w:val="single" w:sz="8" w:color="auto"/>
            </w:tcBorders>
            <w:shd w:val="clear" w:color="auto" w:fill="CCEEFF"/>
          </w:tcPr>
          <w:p>
            <w:pPr>
              <w:spacing w:after="0"/>
              <w:rPr>
                <w:sz w:val="17"/>
                <w:szCs w:val="17"/>
                <w:color w:val="auto"/>
              </w:rPr>
            </w:pPr>
          </w:p>
        </w:tc>
        <w:tc>
          <w:tcPr>
            <w:tcW w:w="26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640" w:type="dxa"/>
            <w:vAlign w:val="bottom"/>
            <w:tcBorders>
              <w:top w:val="single" w:sz="8" w:color="auto"/>
              <w:right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440" w:type="dxa"/>
            <w:vAlign w:val="bottom"/>
            <w:tcBorders>
              <w:top w:val="single" w:sz="8" w:color="CCEEFF"/>
            </w:tcBorders>
            <w:shd w:val="clear" w:color="auto" w:fill="CCEEFF"/>
          </w:tcPr>
          <w:p>
            <w:pPr>
              <w:spacing w:after="0"/>
              <w:rPr>
                <w:sz w:val="17"/>
                <w:szCs w:val="17"/>
                <w:color w:val="auto"/>
              </w:rPr>
            </w:pPr>
          </w:p>
        </w:tc>
        <w:tc>
          <w:tcPr>
            <w:tcW w:w="66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r>
      <w:tr>
        <w:trPr>
          <w:trHeight w:val="216"/>
        </w:trPr>
        <w:tc>
          <w:tcPr>
            <w:tcW w:w="20" w:type="dxa"/>
            <w:vAlign w:val="bottom"/>
          </w:tcPr>
          <w:p>
            <w:pPr>
              <w:spacing w:after="0"/>
              <w:rPr>
                <w:sz w:val="18"/>
                <w:szCs w:val="18"/>
                <w:color w:val="auto"/>
              </w:rPr>
            </w:pPr>
          </w:p>
        </w:tc>
        <w:tc>
          <w:tcPr>
            <w:tcW w:w="4400" w:type="dxa"/>
            <w:vAlign w:val="bottom"/>
            <w:gridSpan w:val="2"/>
          </w:tcPr>
          <w:p>
            <w:pPr>
              <w:spacing w:after="0"/>
              <w:rPr>
                <w:sz w:val="20"/>
                <w:szCs w:val="20"/>
                <w:color w:val="auto"/>
              </w:rPr>
            </w:pPr>
            <w:r>
              <w:rPr>
                <w:rFonts w:ascii="Arial" w:cs="Arial" w:eastAsia="Arial" w:hAnsi="Arial"/>
                <w:sz w:val="18"/>
                <w:szCs w:val="18"/>
                <w:color w:val="auto"/>
              </w:rPr>
              <w:t>Lease Payments</w:t>
            </w:r>
          </w:p>
        </w:tc>
        <w:tc>
          <w:tcPr>
            <w:tcW w:w="2140" w:type="dxa"/>
            <w:vAlign w:val="bottom"/>
            <w:gridSpan w:val="2"/>
          </w:tcPr>
          <w:p>
            <w:pPr>
              <w:jc w:val="right"/>
              <w:spacing w:after="0"/>
              <w:rPr>
                <w:sz w:val="20"/>
                <w:szCs w:val="20"/>
                <w:color w:val="auto"/>
              </w:rPr>
            </w:pPr>
            <w:r>
              <w:rPr>
                <w:rFonts w:ascii="Arial" w:cs="Arial" w:eastAsia="Arial" w:hAnsi="Arial"/>
                <w:sz w:val="18"/>
                <w:szCs w:val="18"/>
                <w:color w:val="auto"/>
              </w:rPr>
              <w:t>114,650</w:t>
            </w:r>
          </w:p>
        </w:tc>
        <w:tc>
          <w:tcPr>
            <w:tcW w:w="50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92,515</w:t>
            </w: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760" w:type="dxa"/>
            <w:vAlign w:val="bottom"/>
            <w:gridSpan w:val="2"/>
          </w:tcPr>
          <w:p>
            <w:pPr>
              <w:ind w:left="480"/>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spacing w:after="0"/>
              <w:rPr>
                <w:sz w:val="20"/>
                <w:szCs w:val="20"/>
                <w:color w:val="auto"/>
              </w:rPr>
            </w:pPr>
            <w:r>
              <w:rPr>
                <w:rFonts w:ascii="Arial" w:cs="Arial" w:eastAsia="Arial" w:hAnsi="Arial"/>
                <w:sz w:val="18"/>
                <w:szCs w:val="18"/>
                <w:color w:val="auto"/>
              </w:rPr>
              <w:t>207,165</w:t>
            </w: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4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Finance charges</w:t>
            </w:r>
          </w:p>
        </w:tc>
        <w:tc>
          <w:tcPr>
            <w:tcW w:w="2640" w:type="dxa"/>
            <w:vAlign w:val="bottom"/>
            <w:gridSpan w:val="3"/>
            <w:shd w:val="clear" w:color="auto" w:fill="CCEEFF"/>
          </w:tcPr>
          <w:p>
            <w:pPr>
              <w:jc w:val="right"/>
              <w:ind w:right="460"/>
              <w:spacing w:after="0"/>
              <w:rPr>
                <w:sz w:val="20"/>
                <w:szCs w:val="20"/>
                <w:color w:val="auto"/>
              </w:rPr>
            </w:pPr>
            <w:r>
              <w:rPr>
                <w:rFonts w:ascii="Arial" w:cs="Arial" w:eastAsia="Arial" w:hAnsi="Arial"/>
                <w:sz w:val="18"/>
                <w:szCs w:val="18"/>
                <w:color w:val="auto"/>
              </w:rPr>
              <w:t>(27,767)</w:t>
            </w:r>
          </w:p>
        </w:tc>
        <w:tc>
          <w:tcPr>
            <w:tcW w:w="880" w:type="dxa"/>
            <w:vAlign w:val="bottom"/>
            <w:gridSpan w:val="2"/>
            <w:shd w:val="clear" w:color="auto" w:fill="CCEEFF"/>
          </w:tcPr>
          <w:p>
            <w:pPr>
              <w:jc w:val="right"/>
              <w:ind w:right="130"/>
              <w:spacing w:after="0"/>
              <w:rPr>
                <w:sz w:val="20"/>
                <w:szCs w:val="20"/>
                <w:color w:val="auto"/>
              </w:rPr>
            </w:pPr>
            <w:r>
              <w:rPr>
                <w:rFonts w:ascii="Arial" w:cs="Arial" w:eastAsia="Arial" w:hAnsi="Arial"/>
                <w:sz w:val="18"/>
                <w:szCs w:val="18"/>
                <w:color w:val="auto"/>
                <w:w w:val="95"/>
              </w:rPr>
              <w:t>(20,355)</w:t>
            </w: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ind w:left="480"/>
              <w:spacing w:after="0"/>
              <w:rPr>
                <w:sz w:val="20"/>
                <w:szCs w:val="20"/>
                <w:color w:val="auto"/>
              </w:rPr>
            </w:pPr>
            <w:r>
              <w:rPr>
                <w:rFonts w:ascii="Arial" w:cs="Arial" w:eastAsia="Arial" w:hAnsi="Arial"/>
                <w:sz w:val="18"/>
                <w:szCs w:val="18"/>
                <w:color w:val="auto"/>
              </w:rPr>
              <w:t>—</w:t>
            </w:r>
          </w:p>
        </w:tc>
        <w:tc>
          <w:tcPr>
            <w:tcW w:w="120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(48,122)</w:t>
            </w:r>
          </w:p>
        </w:tc>
      </w:tr>
      <w:tr>
        <w:trPr>
          <w:trHeight w:val="216"/>
        </w:trPr>
        <w:tc>
          <w:tcPr>
            <w:tcW w:w="20" w:type="dxa"/>
            <w:vAlign w:val="bottom"/>
          </w:tcPr>
          <w:p>
            <w:pPr>
              <w:spacing w:after="0"/>
              <w:rPr>
                <w:sz w:val="18"/>
                <w:szCs w:val="18"/>
                <w:color w:val="auto"/>
              </w:rPr>
            </w:pPr>
          </w:p>
        </w:tc>
        <w:tc>
          <w:tcPr>
            <w:tcW w:w="4400" w:type="dxa"/>
            <w:vAlign w:val="bottom"/>
            <w:gridSpan w:val="2"/>
          </w:tcPr>
          <w:p>
            <w:pPr>
              <w:spacing w:after="0"/>
              <w:rPr>
                <w:sz w:val="20"/>
                <w:szCs w:val="20"/>
                <w:color w:val="auto"/>
              </w:rPr>
            </w:pPr>
            <w:r>
              <w:rPr>
                <w:rFonts w:ascii="Arial" w:cs="Arial" w:eastAsia="Arial" w:hAnsi="Arial"/>
                <w:sz w:val="18"/>
                <w:szCs w:val="18"/>
                <w:color w:val="auto"/>
              </w:rPr>
              <w:t>Net Present Values</w:t>
            </w:r>
          </w:p>
        </w:tc>
        <w:tc>
          <w:tcPr>
            <w:tcW w:w="1320" w:type="dxa"/>
            <w:vAlign w:val="bottom"/>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86,883</w:t>
            </w:r>
          </w:p>
        </w:tc>
        <w:tc>
          <w:tcPr>
            <w:tcW w:w="500" w:type="dxa"/>
            <w:vAlign w:val="bottom"/>
          </w:tcPr>
          <w:p>
            <w:pPr>
              <w:spacing w:after="0"/>
              <w:rPr>
                <w:sz w:val="18"/>
                <w:szCs w:val="18"/>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72,160</w:t>
            </w: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760" w:type="dxa"/>
            <w:vAlign w:val="bottom"/>
            <w:tcBorders>
              <w:bottom w:val="single" w:sz="8" w:color="auto"/>
            </w:tcBorders>
            <w:gridSpan w:val="2"/>
          </w:tcPr>
          <w:p>
            <w:pPr>
              <w:ind w:left="480"/>
              <w:spacing w:after="0"/>
              <w:rPr>
                <w:sz w:val="20"/>
                <w:szCs w:val="20"/>
                <w:color w:val="auto"/>
              </w:rPr>
            </w:pPr>
            <w:r>
              <w:rPr>
                <w:rFonts w:ascii="Arial" w:cs="Arial" w:eastAsia="Arial" w:hAnsi="Arial"/>
                <w:sz w:val="18"/>
                <w:szCs w:val="18"/>
                <w:color w:val="auto"/>
              </w:rPr>
              <w:t>—</w:t>
            </w:r>
          </w:p>
        </w:tc>
        <w:tc>
          <w:tcPr>
            <w:tcW w:w="440" w:type="dxa"/>
            <w:vAlign w:val="bottom"/>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8"/>
              </w:rPr>
              <w:t>159,043</w:t>
            </w:r>
          </w:p>
        </w:tc>
        <w:tc>
          <w:tcPr>
            <w:tcW w:w="100" w:type="dxa"/>
            <w:vAlign w:val="bottom"/>
          </w:tcPr>
          <w:p>
            <w:pPr>
              <w:spacing w:after="0"/>
              <w:rPr>
                <w:sz w:val="18"/>
                <w:szCs w:val="18"/>
                <w:color w:val="auto"/>
              </w:rPr>
            </w:pPr>
          </w:p>
        </w:tc>
      </w:tr>
    </w:tbl>
    <w:p>
      <w:pPr>
        <w:spacing w:after="0" w:line="319"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Operating leases as lessee</w:t>
      </w:r>
    </w:p>
    <w:p>
      <w:pPr>
        <w:spacing w:after="0" w:line="121" w:lineRule="exact"/>
        <w:rPr>
          <w:sz w:val="20"/>
          <w:szCs w:val="20"/>
          <w:color w:val="auto"/>
        </w:rPr>
      </w:pPr>
    </w:p>
    <w:p>
      <w:pPr>
        <w:ind w:left="200"/>
        <w:spacing w:after="0"/>
        <w:rPr>
          <w:sz w:val="20"/>
          <w:szCs w:val="20"/>
          <w:color w:val="auto"/>
        </w:rPr>
      </w:pPr>
      <w:r>
        <w:rPr>
          <w:rFonts w:ascii="Arial" w:cs="Arial" w:eastAsia="Arial" w:hAnsi="Arial"/>
          <w:sz w:val="18"/>
          <w:szCs w:val="18"/>
          <w:color w:val="auto"/>
        </w:rPr>
        <w:t>The Company leases space under operating leases. Future minimum lease payments as of June 30, 2018 are as follows:</w:t>
      </w:r>
    </w:p>
    <w:p>
      <w:pPr>
        <w:spacing w:after="0" w:line="235" w:lineRule="exact"/>
        <w:rPr>
          <w:sz w:val="20"/>
          <w:szCs w:val="20"/>
          <w:color w:val="auto"/>
        </w:rPr>
      </w:pPr>
    </w:p>
    <w:tbl>
      <w:tblPr>
        <w:tblLayout w:type="fixed"/>
        <w:tblInd w:w="6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340" w:type="dxa"/>
            <w:vAlign w:val="bottom"/>
          </w:tcPr>
          <w:p>
            <w:pPr>
              <w:spacing w:after="0"/>
              <w:rPr>
                <w:sz w:val="14"/>
                <w:szCs w:val="14"/>
                <w:color w:val="auto"/>
              </w:rPr>
            </w:pPr>
          </w:p>
        </w:tc>
        <w:tc>
          <w:tcPr>
            <w:tcW w:w="2340" w:type="dxa"/>
            <w:vAlign w:val="bottom"/>
          </w:tcPr>
          <w:p>
            <w:pPr>
              <w:spacing w:after="0"/>
              <w:rPr>
                <w:sz w:val="14"/>
                <w:szCs w:val="14"/>
                <w:color w:val="auto"/>
              </w:rPr>
            </w:pPr>
          </w:p>
        </w:tc>
        <w:tc>
          <w:tcPr>
            <w:tcW w:w="3600" w:type="dxa"/>
            <w:vAlign w:val="bottom"/>
            <w:gridSpan w:val="6"/>
          </w:tcPr>
          <w:p>
            <w:pPr>
              <w:ind w:left="680"/>
              <w:spacing w:after="0"/>
              <w:rPr>
                <w:sz w:val="20"/>
                <w:szCs w:val="20"/>
                <w:color w:val="auto"/>
              </w:rPr>
            </w:pPr>
            <w:r>
              <w:rPr>
                <w:rFonts w:ascii="Arial" w:cs="Arial" w:eastAsia="Arial" w:hAnsi="Arial"/>
                <w:sz w:val="14"/>
                <w:szCs w:val="14"/>
                <w:color w:val="auto"/>
              </w:rPr>
              <w:t>Minimum Lease Payment Due</w:t>
            </w:r>
          </w:p>
        </w:tc>
        <w:tc>
          <w:tcPr>
            <w:tcW w:w="800" w:type="dxa"/>
            <w:vAlign w:val="bottom"/>
          </w:tcPr>
          <w:p>
            <w:pPr>
              <w:spacing w:after="0"/>
              <w:rPr>
                <w:sz w:val="14"/>
                <w:szCs w:val="14"/>
                <w:color w:val="auto"/>
              </w:rPr>
            </w:pPr>
          </w:p>
        </w:tc>
        <w:tc>
          <w:tcPr>
            <w:tcW w:w="40" w:type="dxa"/>
            <w:vAlign w:val="bottom"/>
          </w:tcPr>
          <w:p>
            <w:pPr>
              <w:spacing w:after="0"/>
              <w:rPr>
                <w:sz w:val="14"/>
                <w:szCs w:val="14"/>
                <w:color w:val="auto"/>
              </w:rPr>
            </w:pPr>
          </w:p>
        </w:tc>
      </w:tr>
      <w:tr>
        <w:trPr>
          <w:trHeight w:val="167"/>
        </w:trPr>
        <w:tc>
          <w:tcPr>
            <w:tcW w:w="20" w:type="dxa"/>
            <w:vAlign w:val="bottom"/>
          </w:tcPr>
          <w:p>
            <w:pPr>
              <w:spacing w:after="0"/>
              <w:rPr>
                <w:sz w:val="14"/>
                <w:szCs w:val="14"/>
                <w:color w:val="auto"/>
              </w:rPr>
            </w:pPr>
          </w:p>
        </w:tc>
        <w:tc>
          <w:tcPr>
            <w:tcW w:w="3340" w:type="dxa"/>
            <w:vAlign w:val="bottom"/>
          </w:tcPr>
          <w:p>
            <w:pPr>
              <w:spacing w:after="0"/>
              <w:rPr>
                <w:sz w:val="14"/>
                <w:szCs w:val="14"/>
                <w:color w:val="auto"/>
              </w:rPr>
            </w:pPr>
          </w:p>
        </w:tc>
        <w:tc>
          <w:tcPr>
            <w:tcW w:w="3620" w:type="dxa"/>
            <w:vAlign w:val="bottom"/>
            <w:gridSpan w:val="3"/>
          </w:tcPr>
          <w:p>
            <w:pPr>
              <w:jc w:val="right"/>
              <w:ind w:right="480"/>
              <w:spacing w:after="0"/>
              <w:rPr>
                <w:sz w:val="20"/>
                <w:szCs w:val="20"/>
                <w:color w:val="auto"/>
              </w:rPr>
            </w:pPr>
            <w:r>
              <w:rPr>
                <w:rFonts w:ascii="Arial" w:cs="Arial" w:eastAsia="Arial" w:hAnsi="Arial"/>
                <w:sz w:val="14"/>
                <w:szCs w:val="14"/>
                <w:color w:val="auto"/>
              </w:rPr>
              <w:t>Within 1 Year</w:t>
            </w:r>
          </w:p>
        </w:tc>
        <w:tc>
          <w:tcPr>
            <w:tcW w:w="640" w:type="dxa"/>
            <w:vAlign w:val="bottom"/>
          </w:tcPr>
          <w:p>
            <w:pPr>
              <w:ind w:left="40"/>
              <w:spacing w:after="0"/>
              <w:rPr>
                <w:sz w:val="20"/>
                <w:szCs w:val="20"/>
                <w:color w:val="auto"/>
              </w:rPr>
            </w:pPr>
            <w:r>
              <w:rPr>
                <w:rFonts w:ascii="Arial" w:cs="Arial" w:eastAsia="Arial" w:hAnsi="Arial"/>
                <w:sz w:val="14"/>
                <w:szCs w:val="14"/>
                <w:color w:val="auto"/>
                <w:w w:val="95"/>
              </w:rPr>
              <w:t>1-5 Years</w:t>
            </w:r>
          </w:p>
        </w:tc>
        <w:tc>
          <w:tcPr>
            <w:tcW w:w="1680" w:type="dxa"/>
            <w:vAlign w:val="bottom"/>
            <w:gridSpan w:val="3"/>
          </w:tcPr>
          <w:p>
            <w:pPr>
              <w:ind w:left="460"/>
              <w:spacing w:after="0"/>
              <w:rPr>
                <w:sz w:val="20"/>
                <w:szCs w:val="20"/>
                <w:color w:val="auto"/>
              </w:rPr>
            </w:pPr>
            <w:r>
              <w:rPr>
                <w:rFonts w:ascii="Arial" w:cs="Arial" w:eastAsia="Arial" w:hAnsi="Arial"/>
                <w:sz w:val="14"/>
                <w:szCs w:val="14"/>
                <w:color w:val="auto"/>
              </w:rPr>
              <w:t>After 5 Years</w:t>
            </w:r>
          </w:p>
        </w:tc>
        <w:tc>
          <w:tcPr>
            <w:tcW w:w="840" w:type="dxa"/>
            <w:vAlign w:val="bottom"/>
            <w:gridSpan w:val="2"/>
          </w:tcPr>
          <w:p>
            <w:pPr>
              <w:ind w:left="240"/>
              <w:spacing w:after="0"/>
              <w:rPr>
                <w:sz w:val="20"/>
                <w:szCs w:val="20"/>
                <w:color w:val="auto"/>
              </w:rPr>
            </w:pPr>
            <w:r>
              <w:rPr>
                <w:rFonts w:ascii="Arial" w:cs="Arial" w:eastAsia="Arial" w:hAnsi="Arial"/>
                <w:sz w:val="14"/>
                <w:szCs w:val="14"/>
                <w:color w:val="auto"/>
              </w:rPr>
              <w:t>Total</w:t>
            </w:r>
          </w:p>
        </w:tc>
      </w:tr>
      <w:tr>
        <w:trPr>
          <w:trHeight w:val="210"/>
        </w:trPr>
        <w:tc>
          <w:tcPr>
            <w:tcW w:w="20" w:type="dxa"/>
            <w:vAlign w:val="bottom"/>
          </w:tcPr>
          <w:p>
            <w:pPr>
              <w:spacing w:after="0"/>
              <w:rPr>
                <w:sz w:val="18"/>
                <w:szCs w:val="18"/>
                <w:color w:val="auto"/>
              </w:rPr>
            </w:pPr>
          </w:p>
        </w:tc>
        <w:tc>
          <w:tcPr>
            <w:tcW w:w="33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June 30, 2018</w:t>
            </w:r>
          </w:p>
        </w:tc>
        <w:tc>
          <w:tcPr>
            <w:tcW w:w="2340" w:type="dxa"/>
            <w:vAlign w:val="bottom"/>
            <w:tcBorders>
              <w:top w:val="single" w:sz="8" w:color="CCEEFF"/>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525,919</w:t>
            </w:r>
          </w:p>
        </w:tc>
        <w:tc>
          <w:tcPr>
            <w:tcW w:w="460" w:type="dxa"/>
            <w:vAlign w:val="bottom"/>
            <w:tcBorders>
              <w:top w:val="single" w:sz="8" w:color="CCEEFF"/>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ind w:left="40"/>
              <w:spacing w:after="0"/>
              <w:rPr>
                <w:sz w:val="20"/>
                <w:szCs w:val="20"/>
                <w:color w:val="auto"/>
              </w:rPr>
            </w:pPr>
            <w:r>
              <w:rPr>
                <w:rFonts w:ascii="Arial" w:cs="Arial" w:eastAsia="Arial" w:hAnsi="Arial"/>
                <w:sz w:val="18"/>
                <w:szCs w:val="18"/>
                <w:color w:val="auto"/>
                <w:w w:val="89"/>
              </w:rPr>
              <w:t>856,541</w:t>
            </w:r>
          </w:p>
        </w:tc>
        <w:tc>
          <w:tcPr>
            <w:tcW w:w="460" w:type="dxa"/>
            <w:vAlign w:val="bottom"/>
            <w:tcBorders>
              <w:top w:val="single" w:sz="8" w:color="CCEEFF"/>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ind w:left="500"/>
              <w:spacing w:after="0"/>
              <w:rPr>
                <w:sz w:val="20"/>
                <w:szCs w:val="20"/>
                <w:color w:val="auto"/>
              </w:rPr>
            </w:pPr>
            <w:r>
              <w:rPr>
                <w:rFonts w:ascii="Arial" w:cs="Arial" w:eastAsia="Arial" w:hAnsi="Arial"/>
                <w:sz w:val="18"/>
                <w:szCs w:val="18"/>
                <w:color w:val="auto"/>
              </w:rPr>
              <w:t>—</w:t>
            </w:r>
          </w:p>
        </w:tc>
        <w:tc>
          <w:tcPr>
            <w:tcW w:w="460" w:type="dxa"/>
            <w:vAlign w:val="bottom"/>
            <w:tcBorders>
              <w:top w:val="single" w:sz="8" w:color="CCEEFF"/>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4"/>
              </w:rPr>
              <w:t>1,382,460</w:t>
            </w:r>
          </w:p>
        </w:tc>
        <w:tc>
          <w:tcPr>
            <w:tcW w:w="40" w:type="dxa"/>
            <w:vAlign w:val="bottom"/>
            <w:tcBorders>
              <w:top w:val="single" w:sz="8" w:color="CCEEFF"/>
            </w:tcBorders>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340" w:type="dxa"/>
            <w:vAlign w:val="bottom"/>
          </w:tcPr>
          <w:p>
            <w:pPr>
              <w:spacing w:after="0"/>
              <w:rPr>
                <w:sz w:val="20"/>
                <w:szCs w:val="20"/>
                <w:color w:val="auto"/>
              </w:rPr>
            </w:pPr>
            <w:r>
              <w:rPr>
                <w:rFonts w:ascii="Arial" w:cs="Arial" w:eastAsia="Arial" w:hAnsi="Arial"/>
                <w:sz w:val="18"/>
                <w:szCs w:val="18"/>
                <w:color w:val="auto"/>
              </w:rPr>
              <w:t>June 30, 2017</w:t>
            </w:r>
          </w:p>
        </w:tc>
        <w:tc>
          <w:tcPr>
            <w:tcW w:w="3160" w:type="dxa"/>
            <w:vAlign w:val="bottom"/>
            <w:gridSpan w:val="2"/>
          </w:tcPr>
          <w:p>
            <w:pPr>
              <w:jc w:val="right"/>
              <w:spacing w:after="0"/>
              <w:rPr>
                <w:sz w:val="20"/>
                <w:szCs w:val="20"/>
                <w:color w:val="auto"/>
              </w:rPr>
            </w:pPr>
            <w:r>
              <w:rPr>
                <w:rFonts w:ascii="Arial" w:cs="Arial" w:eastAsia="Arial" w:hAnsi="Arial"/>
                <w:sz w:val="18"/>
                <w:szCs w:val="18"/>
                <w:color w:val="auto"/>
              </w:rPr>
              <w:t>344,431</w:t>
            </w:r>
          </w:p>
        </w:tc>
        <w:tc>
          <w:tcPr>
            <w:tcW w:w="460" w:type="dxa"/>
            <w:vAlign w:val="bottom"/>
          </w:tcPr>
          <w:p>
            <w:pPr>
              <w:spacing w:after="0"/>
              <w:rPr>
                <w:sz w:val="18"/>
                <w:szCs w:val="18"/>
                <w:color w:val="auto"/>
              </w:rPr>
            </w:pPr>
          </w:p>
        </w:tc>
        <w:tc>
          <w:tcPr>
            <w:tcW w:w="640" w:type="dxa"/>
            <w:vAlign w:val="bottom"/>
          </w:tcPr>
          <w:p>
            <w:pPr>
              <w:ind w:left="40"/>
              <w:spacing w:after="0"/>
              <w:rPr>
                <w:sz w:val="20"/>
                <w:szCs w:val="20"/>
                <w:color w:val="auto"/>
              </w:rPr>
            </w:pPr>
            <w:r>
              <w:rPr>
                <w:rFonts w:ascii="Arial" w:cs="Arial" w:eastAsia="Arial" w:hAnsi="Arial"/>
                <w:sz w:val="18"/>
                <w:szCs w:val="18"/>
                <w:color w:val="auto"/>
                <w:w w:val="89"/>
              </w:rPr>
              <w:t>879,079</w:t>
            </w:r>
          </w:p>
        </w:tc>
        <w:tc>
          <w:tcPr>
            <w:tcW w:w="460" w:type="dxa"/>
            <w:vAlign w:val="bottom"/>
          </w:tcPr>
          <w:p>
            <w:pPr>
              <w:spacing w:after="0"/>
              <w:rPr>
                <w:sz w:val="18"/>
                <w:szCs w:val="18"/>
                <w:color w:val="auto"/>
              </w:rPr>
            </w:pPr>
          </w:p>
        </w:tc>
        <w:tc>
          <w:tcPr>
            <w:tcW w:w="1220" w:type="dxa"/>
            <w:vAlign w:val="bottom"/>
            <w:gridSpan w:val="2"/>
          </w:tcPr>
          <w:p>
            <w:pPr>
              <w:ind w:left="500"/>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w w:val="94"/>
              </w:rPr>
              <w:t>1,223,509</w:t>
            </w:r>
          </w:p>
        </w:tc>
        <w:tc>
          <w:tcPr>
            <w:tcW w:w="4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340" w:type="dxa"/>
            <w:vAlign w:val="bottom"/>
            <w:shd w:val="clear" w:color="auto" w:fill="CCEEFF"/>
          </w:tcPr>
          <w:p>
            <w:pPr>
              <w:spacing w:after="0"/>
              <w:rPr>
                <w:sz w:val="20"/>
                <w:szCs w:val="20"/>
                <w:color w:val="auto"/>
              </w:rPr>
            </w:pPr>
            <w:r>
              <w:rPr>
                <w:rFonts w:ascii="Arial" w:cs="Arial" w:eastAsia="Arial" w:hAnsi="Arial"/>
                <w:sz w:val="18"/>
                <w:szCs w:val="18"/>
                <w:color w:val="auto"/>
              </w:rPr>
              <w:t>June 30, 2016</w:t>
            </w:r>
          </w:p>
        </w:tc>
        <w:tc>
          <w:tcPr>
            <w:tcW w:w="3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190,706</w:t>
            </w:r>
          </w:p>
        </w:tc>
        <w:tc>
          <w:tcPr>
            <w:tcW w:w="460" w:type="dxa"/>
            <w:vAlign w:val="bottom"/>
            <w:shd w:val="clear" w:color="auto" w:fill="CCEEFF"/>
          </w:tcPr>
          <w:p>
            <w:pPr>
              <w:spacing w:after="0"/>
              <w:rPr>
                <w:sz w:val="18"/>
                <w:szCs w:val="18"/>
                <w:color w:val="auto"/>
              </w:rPr>
            </w:pPr>
          </w:p>
        </w:tc>
        <w:tc>
          <w:tcPr>
            <w:tcW w:w="640" w:type="dxa"/>
            <w:vAlign w:val="bottom"/>
            <w:shd w:val="clear" w:color="auto" w:fill="CCEEFF"/>
          </w:tcPr>
          <w:p>
            <w:pPr>
              <w:ind w:left="40"/>
              <w:spacing w:after="0"/>
              <w:rPr>
                <w:sz w:val="20"/>
                <w:szCs w:val="20"/>
                <w:color w:val="auto"/>
              </w:rPr>
            </w:pPr>
            <w:r>
              <w:rPr>
                <w:rFonts w:ascii="Arial" w:cs="Arial" w:eastAsia="Arial" w:hAnsi="Arial"/>
                <w:sz w:val="18"/>
                <w:szCs w:val="18"/>
                <w:color w:val="auto"/>
                <w:w w:val="89"/>
              </w:rPr>
              <w:t>438,554</w:t>
            </w:r>
          </w:p>
        </w:tc>
        <w:tc>
          <w:tcPr>
            <w:tcW w:w="46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ind w:left="500"/>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629,260</w:t>
            </w:r>
          </w:p>
        </w:tc>
        <w:tc>
          <w:tcPr>
            <w:tcW w:w="40" w:type="dxa"/>
            <w:vAlign w:val="bottom"/>
            <w:shd w:val="clear" w:color="auto" w:fill="CCEEFF"/>
          </w:tcPr>
          <w:p>
            <w:pPr>
              <w:spacing w:after="0"/>
              <w:rPr>
                <w:sz w:val="18"/>
                <w:szCs w:val="18"/>
                <w:color w:val="auto"/>
              </w:rPr>
            </w:pPr>
          </w:p>
        </w:tc>
      </w:tr>
    </w:tbl>
    <w:p>
      <w:pPr>
        <w:spacing w:after="0" w:line="346" w:lineRule="exact"/>
        <w:rPr>
          <w:sz w:val="20"/>
          <w:szCs w:val="20"/>
          <w:color w:val="auto"/>
        </w:rPr>
      </w:pPr>
    </w:p>
    <w:p>
      <w:pPr>
        <w:ind w:left="640" w:hanging="436"/>
        <w:spacing w:after="0"/>
        <w:tabs>
          <w:tab w:leader="none" w:pos="640" w:val="left"/>
        </w:tabs>
        <w:numPr>
          <w:ilvl w:val="0"/>
          <w:numId w:val="187"/>
        </w:numPr>
        <w:rPr>
          <w:rFonts w:ascii="Arial" w:cs="Arial" w:eastAsia="Arial" w:hAnsi="Arial"/>
          <w:sz w:val="18"/>
          <w:szCs w:val="18"/>
          <w:b w:val="1"/>
          <w:bCs w:val="1"/>
          <w:color w:val="auto"/>
        </w:rPr>
      </w:pPr>
      <w:r>
        <w:rPr>
          <w:rFonts w:ascii="Arial" w:cs="Arial" w:eastAsia="Arial" w:hAnsi="Arial"/>
          <w:sz w:val="18"/>
          <w:szCs w:val="18"/>
          <w:b w:val="1"/>
          <w:bCs w:val="1"/>
          <w:color w:val="auto"/>
        </w:rPr>
        <w:t>AUDITORS’ REMUNERATION</w:t>
      </w:r>
    </w:p>
    <w:p>
      <w:pPr>
        <w:spacing w:after="0" w:line="121" w:lineRule="exact"/>
        <w:rPr>
          <w:sz w:val="20"/>
          <w:szCs w:val="20"/>
          <w:color w:val="auto"/>
        </w:rPr>
      </w:pPr>
    </w:p>
    <w:p>
      <w:pPr>
        <w:ind w:left="200"/>
        <w:spacing w:after="0"/>
        <w:rPr>
          <w:sz w:val="20"/>
          <w:szCs w:val="20"/>
          <w:color w:val="auto"/>
        </w:rPr>
      </w:pPr>
      <w:r>
        <w:rPr>
          <w:rFonts w:ascii="Arial" w:cs="Arial" w:eastAsia="Arial" w:hAnsi="Arial"/>
          <w:sz w:val="18"/>
          <w:szCs w:val="18"/>
          <w:color w:val="auto"/>
        </w:rPr>
        <w:t>The auditors of Avita Medical Limited and its subsidiaries are Grant Thornton Audit Pty Ltd.</w:t>
      </w:r>
    </w:p>
    <w:p>
      <w:pPr>
        <w:spacing w:after="0" w:line="231" w:lineRule="exact"/>
        <w:rPr>
          <w:sz w:val="20"/>
          <w:szCs w:val="20"/>
          <w:color w:val="auto"/>
        </w:rPr>
      </w:pPr>
    </w:p>
    <w:tbl>
      <w:tblPr>
        <w:tblLayout w:type="fixed"/>
        <w:tblInd w:w="20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660" w:type="dxa"/>
            <w:vAlign w:val="bottom"/>
          </w:tcPr>
          <w:p>
            <w:pPr>
              <w:spacing w:after="0"/>
              <w:rPr>
                <w:sz w:val="14"/>
                <w:szCs w:val="14"/>
                <w:color w:val="auto"/>
              </w:rPr>
            </w:pPr>
          </w:p>
        </w:tc>
        <w:tc>
          <w:tcPr>
            <w:tcW w:w="1360" w:type="dxa"/>
            <w:vAlign w:val="bottom"/>
            <w:gridSpan w:val="2"/>
            <w:vMerge w:val="restart"/>
          </w:tcPr>
          <w:p>
            <w:pPr>
              <w:jc w:val="right"/>
              <w:ind w:right="190"/>
              <w:spacing w:after="0"/>
              <w:rPr>
                <w:sz w:val="20"/>
                <w:szCs w:val="20"/>
                <w:color w:val="auto"/>
              </w:rPr>
            </w:pPr>
            <w:r>
              <w:rPr>
                <w:rFonts w:ascii="Arial" w:cs="Arial" w:eastAsia="Arial" w:hAnsi="Arial"/>
                <w:sz w:val="14"/>
                <w:szCs w:val="14"/>
                <w:b w:val="1"/>
                <w:bCs w:val="1"/>
                <w:color w:val="auto"/>
              </w:rPr>
              <w:t>2018</w:t>
            </w:r>
          </w:p>
        </w:tc>
        <w:tc>
          <w:tcPr>
            <w:tcW w:w="1880" w:type="dxa"/>
            <w:vAlign w:val="bottom"/>
            <w:gridSpan w:val="3"/>
          </w:tcPr>
          <w:p>
            <w:pPr>
              <w:jc w:val="center"/>
              <w:ind w:left="119"/>
              <w:spacing w:after="0"/>
              <w:rPr>
                <w:sz w:val="20"/>
                <w:szCs w:val="20"/>
                <w:color w:val="auto"/>
              </w:rPr>
            </w:pPr>
            <w:r>
              <w:rPr>
                <w:rFonts w:ascii="Arial" w:cs="Arial" w:eastAsia="Arial" w:hAnsi="Arial"/>
                <w:sz w:val="14"/>
                <w:szCs w:val="14"/>
                <w:b w:val="1"/>
                <w:bCs w:val="1"/>
                <w:color w:val="auto"/>
                <w:w w:val="91"/>
              </w:rPr>
              <w:t>Year ended June 30,</w:t>
            </w:r>
          </w:p>
        </w:tc>
        <w:tc>
          <w:tcPr>
            <w:tcW w:w="1060" w:type="dxa"/>
            <w:vAlign w:val="bottom"/>
            <w:gridSpan w:val="2"/>
            <w:vMerge w:val="restart"/>
          </w:tcPr>
          <w:p>
            <w:pPr>
              <w:jc w:val="right"/>
              <w:ind w:right="190"/>
              <w:spacing w:after="0"/>
              <w:rPr>
                <w:sz w:val="20"/>
                <w:szCs w:val="20"/>
                <w:color w:val="auto"/>
              </w:rPr>
            </w:pPr>
            <w:r>
              <w:rPr>
                <w:rFonts w:ascii="Arial" w:cs="Arial" w:eastAsia="Arial" w:hAnsi="Arial"/>
                <w:sz w:val="14"/>
                <w:szCs w:val="14"/>
                <w:b w:val="1"/>
                <w:bCs w:val="1"/>
                <w:color w:val="auto"/>
              </w:rPr>
              <w:t>2016</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6660" w:type="dxa"/>
            <w:vAlign w:val="bottom"/>
          </w:tcPr>
          <w:p>
            <w:pPr>
              <w:spacing w:after="0"/>
              <w:rPr>
                <w:sz w:val="14"/>
                <w:szCs w:val="14"/>
                <w:color w:val="auto"/>
              </w:rPr>
            </w:pPr>
          </w:p>
        </w:tc>
        <w:tc>
          <w:tcPr>
            <w:tcW w:w="1360" w:type="dxa"/>
            <w:vAlign w:val="bottom"/>
            <w:gridSpan w:val="2"/>
            <w:vMerge w:val="continue"/>
          </w:tcPr>
          <w:p>
            <w:pPr>
              <w:spacing w:after="0"/>
              <w:rPr>
                <w:sz w:val="14"/>
                <w:szCs w:val="14"/>
                <w:color w:val="auto"/>
              </w:rPr>
            </w:pPr>
          </w:p>
        </w:tc>
        <w:tc>
          <w:tcPr>
            <w:tcW w:w="1460" w:type="dxa"/>
            <w:vAlign w:val="bottom"/>
            <w:gridSpan w:val="2"/>
          </w:tcPr>
          <w:p>
            <w:pPr>
              <w:jc w:val="center"/>
              <w:ind w:left="559"/>
              <w:spacing w:after="0"/>
              <w:rPr>
                <w:sz w:val="20"/>
                <w:szCs w:val="20"/>
                <w:color w:val="auto"/>
              </w:rPr>
            </w:pPr>
            <w:r>
              <w:rPr>
                <w:rFonts w:ascii="Arial" w:cs="Arial" w:eastAsia="Arial" w:hAnsi="Arial"/>
                <w:sz w:val="14"/>
                <w:szCs w:val="14"/>
                <w:b w:val="1"/>
                <w:bCs w:val="1"/>
                <w:color w:val="auto"/>
                <w:w w:val="96"/>
              </w:rPr>
              <w:t>2017</w:t>
            </w:r>
          </w:p>
        </w:tc>
        <w:tc>
          <w:tcPr>
            <w:tcW w:w="420" w:type="dxa"/>
            <w:vAlign w:val="bottom"/>
          </w:tcPr>
          <w:p>
            <w:pPr>
              <w:spacing w:after="0"/>
              <w:rPr>
                <w:sz w:val="14"/>
                <w:szCs w:val="14"/>
                <w:color w:val="auto"/>
              </w:rPr>
            </w:pPr>
          </w:p>
        </w:tc>
        <w:tc>
          <w:tcPr>
            <w:tcW w:w="1060" w:type="dxa"/>
            <w:vAlign w:val="bottom"/>
            <w:gridSpan w:val="2"/>
            <w:vMerge w:val="continue"/>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666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i w:val="1"/>
                <w:iCs w:val="1"/>
                <w:color w:val="auto"/>
              </w:rPr>
              <w:t>Amounts received or due and receivable by Grant Thornton Audit Pty Ltd for:</w:t>
            </w:r>
          </w:p>
        </w:tc>
        <w:tc>
          <w:tcPr>
            <w:tcW w:w="520" w:type="dxa"/>
            <w:vAlign w:val="bottom"/>
            <w:tcBorders>
              <w:top w:val="single" w:sz="8" w:color="CCEEFF"/>
            </w:tcBorders>
            <w:shd w:val="clear" w:color="auto" w:fill="CCEEFF"/>
          </w:tcPr>
          <w:p>
            <w:pPr>
              <w:spacing w:after="0"/>
              <w:rPr>
                <w:sz w:val="17"/>
                <w:szCs w:val="17"/>
                <w:color w:val="auto"/>
              </w:rPr>
            </w:pPr>
          </w:p>
        </w:tc>
        <w:tc>
          <w:tcPr>
            <w:tcW w:w="840" w:type="dxa"/>
            <w:vAlign w:val="bottom"/>
            <w:tcBorders>
              <w:top w:val="single" w:sz="8" w:color="auto"/>
            </w:tcBorders>
            <w:shd w:val="clear" w:color="auto" w:fill="CCEEFF"/>
          </w:tcPr>
          <w:p>
            <w:pPr>
              <w:spacing w:after="0"/>
              <w:rPr>
                <w:sz w:val="17"/>
                <w:szCs w:val="17"/>
                <w:color w:val="auto"/>
              </w:rPr>
            </w:pPr>
          </w:p>
        </w:tc>
        <w:tc>
          <w:tcPr>
            <w:tcW w:w="640" w:type="dxa"/>
            <w:vAlign w:val="bottom"/>
            <w:tcBorders>
              <w:top w:val="single" w:sz="8" w:color="CCEEFF"/>
            </w:tcBorders>
            <w:shd w:val="clear" w:color="auto" w:fill="CCEEFF"/>
          </w:tcPr>
          <w:p>
            <w:pPr>
              <w:spacing w:after="0"/>
              <w:rPr>
                <w:sz w:val="17"/>
                <w:szCs w:val="17"/>
                <w:color w:val="auto"/>
              </w:rPr>
            </w:pPr>
          </w:p>
        </w:tc>
        <w:tc>
          <w:tcPr>
            <w:tcW w:w="820" w:type="dxa"/>
            <w:vAlign w:val="bottom"/>
            <w:tcBorders>
              <w:top w:val="single" w:sz="8" w:color="auto"/>
            </w:tcBorders>
            <w:shd w:val="clear" w:color="auto" w:fill="CCEEFF"/>
          </w:tcPr>
          <w:p>
            <w:pPr>
              <w:spacing w:after="0"/>
              <w:rPr>
                <w:sz w:val="17"/>
                <w:szCs w:val="17"/>
                <w:color w:val="auto"/>
              </w:rPr>
            </w:pPr>
          </w:p>
        </w:tc>
        <w:tc>
          <w:tcPr>
            <w:tcW w:w="42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CCEEFF"/>
            </w:tcBorders>
            <w:shd w:val="clear" w:color="auto" w:fill="CCEEFF"/>
          </w:tcPr>
          <w:p>
            <w:pPr>
              <w:spacing w:after="0"/>
              <w:rPr>
                <w:sz w:val="17"/>
                <w:szCs w:val="17"/>
                <w:color w:val="auto"/>
              </w:rPr>
            </w:pPr>
          </w:p>
        </w:tc>
        <w:tc>
          <w:tcPr>
            <w:tcW w:w="820" w:type="dxa"/>
            <w:vAlign w:val="bottom"/>
            <w:tcBorders>
              <w:top w:val="single" w:sz="8" w:color="auto"/>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6660" w:type="dxa"/>
            <w:vAlign w:val="bottom"/>
          </w:tcPr>
          <w:p>
            <w:pPr>
              <w:spacing w:after="0" w:line="201" w:lineRule="exact"/>
              <w:rPr>
                <w:sz w:val="20"/>
                <w:szCs w:val="20"/>
                <w:color w:val="auto"/>
              </w:rPr>
            </w:pPr>
            <w:r>
              <w:rPr>
                <w:rFonts w:ascii="Arial" w:cs="Arial" w:eastAsia="Arial" w:hAnsi="Arial"/>
                <w:sz w:val="18"/>
                <w:szCs w:val="18"/>
                <w:color w:val="auto"/>
              </w:rPr>
              <w:t>An audit or review of the financial report of the Company and any other entity in the</w:t>
            </w:r>
          </w:p>
        </w:tc>
        <w:tc>
          <w:tcPr>
            <w:tcW w:w="5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6660" w:type="dxa"/>
            <w:vAlign w:val="bottom"/>
          </w:tcPr>
          <w:p>
            <w:pPr>
              <w:ind w:left="160"/>
              <w:spacing w:after="0"/>
              <w:rPr>
                <w:sz w:val="20"/>
                <w:szCs w:val="20"/>
                <w:color w:val="auto"/>
              </w:rPr>
            </w:pPr>
            <w:r>
              <w:rPr>
                <w:rFonts w:ascii="Arial" w:cs="Arial" w:eastAsia="Arial" w:hAnsi="Arial"/>
                <w:sz w:val="18"/>
                <w:szCs w:val="18"/>
                <w:color w:val="auto"/>
              </w:rPr>
              <w:t>Company</w:t>
            </w:r>
          </w:p>
        </w:tc>
        <w:tc>
          <w:tcPr>
            <w:tcW w:w="1360" w:type="dxa"/>
            <w:vAlign w:val="bottom"/>
            <w:gridSpan w:val="2"/>
          </w:tcPr>
          <w:p>
            <w:pPr>
              <w:jc w:val="right"/>
              <w:spacing w:after="0"/>
              <w:rPr>
                <w:sz w:val="20"/>
                <w:szCs w:val="20"/>
                <w:color w:val="auto"/>
              </w:rPr>
            </w:pPr>
            <w:r>
              <w:rPr>
                <w:rFonts w:ascii="Arial" w:cs="Arial" w:eastAsia="Arial" w:hAnsi="Arial"/>
                <w:sz w:val="18"/>
                <w:szCs w:val="18"/>
                <w:color w:val="auto"/>
              </w:rPr>
              <w:t>A$182,440</w:t>
            </w:r>
          </w:p>
        </w:tc>
        <w:tc>
          <w:tcPr>
            <w:tcW w:w="1880" w:type="dxa"/>
            <w:vAlign w:val="bottom"/>
            <w:gridSpan w:val="3"/>
          </w:tcPr>
          <w:p>
            <w:pPr>
              <w:jc w:val="center"/>
              <w:ind w:left="139"/>
              <w:spacing w:after="0"/>
              <w:rPr>
                <w:sz w:val="20"/>
                <w:szCs w:val="20"/>
                <w:color w:val="auto"/>
              </w:rPr>
            </w:pPr>
            <w:r>
              <w:rPr>
                <w:rFonts w:ascii="Arial" w:cs="Arial" w:eastAsia="Arial" w:hAnsi="Arial"/>
                <w:sz w:val="18"/>
                <w:szCs w:val="18"/>
                <w:color w:val="auto"/>
                <w:w w:val="94"/>
              </w:rPr>
              <w:t>A$120,366</w:t>
            </w:r>
          </w:p>
        </w:tc>
        <w:tc>
          <w:tcPr>
            <w:tcW w:w="1120" w:type="dxa"/>
            <w:vAlign w:val="bottom"/>
            <w:gridSpan w:val="3"/>
          </w:tcPr>
          <w:p>
            <w:pPr>
              <w:jc w:val="right"/>
              <w:ind w:right="60"/>
              <w:spacing w:after="0"/>
              <w:rPr>
                <w:sz w:val="20"/>
                <w:szCs w:val="20"/>
                <w:color w:val="auto"/>
              </w:rPr>
            </w:pPr>
            <w:r>
              <w:rPr>
                <w:rFonts w:ascii="Arial" w:cs="Arial" w:eastAsia="Arial" w:hAnsi="Arial"/>
                <w:sz w:val="18"/>
                <w:szCs w:val="18"/>
                <w:color w:val="auto"/>
              </w:rPr>
              <w:t>A$131,586</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666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8"/>
              </w:rPr>
              <w:t>Other services in relation to the entity and any other entity in the Company - Taxation</w:t>
            </w:r>
          </w:p>
        </w:tc>
        <w:tc>
          <w:tcPr>
            <w:tcW w:w="52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66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services</w:t>
            </w:r>
          </w:p>
        </w:tc>
        <w:tc>
          <w:tcPr>
            <w:tcW w:w="1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46,811</w:t>
            </w:r>
          </w:p>
        </w:tc>
        <w:tc>
          <w:tcPr>
            <w:tcW w:w="14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62,635</w:t>
            </w:r>
          </w:p>
        </w:tc>
        <w:tc>
          <w:tcPr>
            <w:tcW w:w="420" w:type="dxa"/>
            <w:vAlign w:val="bottom"/>
            <w:shd w:val="clear" w:color="auto" w:fill="CCEEFF"/>
          </w:tcPr>
          <w:p>
            <w:pPr>
              <w:spacing w:after="0"/>
              <w:rPr>
                <w:sz w:val="20"/>
                <w:szCs w:val="20"/>
                <w:color w:val="auto"/>
              </w:rPr>
            </w:pPr>
          </w:p>
        </w:tc>
        <w:tc>
          <w:tcPr>
            <w:tcW w:w="10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30,397</w:t>
            </w:r>
          </w:p>
        </w:tc>
        <w:tc>
          <w:tcPr>
            <w:tcW w:w="6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66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u w:val="single" w:color="auto"/>
                <w:color w:val="auto"/>
                <w:w w:val="90"/>
              </w:rPr>
              <w:t>A$</w:t>
            </w:r>
            <w:r>
              <w:rPr>
                <w:rFonts w:ascii="Arial" w:cs="Arial" w:eastAsia="Arial" w:hAnsi="Arial"/>
                <w:sz w:val="18"/>
                <w:szCs w:val="18"/>
                <w:b w:val="1"/>
                <w:bCs w:val="1"/>
                <w:color w:val="auto"/>
                <w:w w:val="90"/>
              </w:rPr>
              <w:t>229,251</w:t>
            </w:r>
          </w:p>
        </w:tc>
        <w:tc>
          <w:tcPr>
            <w:tcW w:w="640" w:type="dxa"/>
            <w:vAlign w:val="bottom"/>
          </w:tcPr>
          <w:p>
            <w:pPr>
              <w:spacing w:after="0"/>
              <w:rPr>
                <w:sz w:val="19"/>
                <w:szCs w:val="19"/>
                <w:color w:val="auto"/>
              </w:rPr>
            </w:pPr>
          </w:p>
        </w:tc>
        <w:tc>
          <w:tcPr>
            <w:tcW w:w="82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8"/>
                <w:szCs w:val="18"/>
                <w:b w:val="1"/>
                <w:bCs w:val="1"/>
                <w:u w:val="single" w:color="auto"/>
                <w:color w:val="auto"/>
                <w:w w:val="93"/>
              </w:rPr>
              <w:t>A$</w:t>
            </w:r>
            <w:r>
              <w:rPr>
                <w:rFonts w:ascii="Arial" w:cs="Arial" w:eastAsia="Arial" w:hAnsi="Arial"/>
                <w:sz w:val="18"/>
                <w:szCs w:val="18"/>
                <w:b w:val="1"/>
                <w:bCs w:val="1"/>
                <w:color w:val="auto"/>
                <w:w w:val="93"/>
              </w:rPr>
              <w:t>183,001</w:t>
            </w:r>
          </w:p>
        </w:tc>
        <w:tc>
          <w:tcPr>
            <w:tcW w:w="4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u w:val="single" w:color="auto"/>
                <w:color w:val="auto"/>
                <w:w w:val="90"/>
              </w:rPr>
              <w:t>A$</w:t>
            </w:r>
            <w:r>
              <w:rPr>
                <w:rFonts w:ascii="Arial" w:cs="Arial" w:eastAsia="Arial" w:hAnsi="Arial"/>
                <w:sz w:val="18"/>
                <w:szCs w:val="18"/>
                <w:b w:val="1"/>
                <w:bCs w:val="1"/>
                <w:color w:val="auto"/>
                <w:w w:val="90"/>
              </w:rPr>
              <w:t>161,983</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660" w:type="dxa"/>
            <w:vAlign w:val="bottom"/>
            <w:vMerge w:val="restart"/>
          </w:tcPr>
          <w:p>
            <w:pPr>
              <w:ind w:left="5320"/>
              <w:spacing w:after="0"/>
              <w:rPr>
                <w:sz w:val="20"/>
                <w:szCs w:val="20"/>
                <w:color w:val="auto"/>
              </w:rPr>
            </w:pPr>
            <w:r>
              <w:rPr>
                <w:rFonts w:ascii="Arial" w:cs="Arial" w:eastAsia="Arial" w:hAnsi="Arial"/>
                <w:sz w:val="18"/>
                <w:szCs w:val="18"/>
                <w:color w:val="auto"/>
              </w:rPr>
              <w:t>F-48</w:t>
            </w:r>
          </w:p>
        </w:tc>
        <w:tc>
          <w:tcPr>
            <w:tcW w:w="52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20" w:type="dxa"/>
            <w:vAlign w:val="bottom"/>
          </w:tcPr>
          <w:p>
            <w:pPr>
              <w:spacing w:after="0"/>
              <w:rPr>
                <w:sz w:val="24"/>
                <w:szCs w:val="24"/>
                <w:color w:val="auto"/>
              </w:rPr>
            </w:pPr>
          </w:p>
        </w:tc>
        <w:tc>
          <w:tcPr>
            <w:tcW w:w="6660" w:type="dxa"/>
            <w:vAlign w:val="bottom"/>
            <w:vMerge w:val="continue"/>
          </w:tcPr>
          <w:p>
            <w:pPr>
              <w:spacing w:after="0"/>
              <w:rPr>
                <w:sz w:val="24"/>
                <w:szCs w:val="24"/>
                <w:color w:val="auto"/>
              </w:rPr>
            </w:pPr>
          </w:p>
        </w:tc>
        <w:tc>
          <w:tcPr>
            <w:tcW w:w="5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240" w:top="459" w:right="419" w:bottom="1440" w:gutter="0" w:footer="0" w:header="0"/>
        </w:sectPr>
      </w:pPr>
    </w:p>
    <w:bookmarkStart w:id="147" w:name="page148"/>
    <w:bookmarkEnd w:id="14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9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AVITA MEDICAL LIMITED</w:t>
      </w:r>
    </w:p>
    <w:p>
      <w:pPr>
        <w:spacing w:after="0" w:line="27"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9"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(IN AUSTRALIAN DOLLARS)</w:t>
      </w:r>
    </w:p>
    <w:p>
      <w:pPr>
        <w:spacing w:after="0" w:line="234" w:lineRule="exact"/>
        <w:rPr>
          <w:sz w:val="20"/>
          <w:szCs w:val="20"/>
          <w:color w:val="auto"/>
        </w:rPr>
      </w:pPr>
    </w:p>
    <w:p>
      <w:pPr>
        <w:ind w:left="200"/>
        <w:spacing w:after="0"/>
        <w:tabs>
          <w:tab w:leader="none" w:pos="620" w:val="left"/>
        </w:tabs>
        <w:rPr>
          <w:sz w:val="20"/>
          <w:szCs w:val="20"/>
          <w:color w:val="auto"/>
        </w:rPr>
      </w:pPr>
      <w:r>
        <w:rPr>
          <w:rFonts w:ascii="Arial" w:cs="Arial" w:eastAsia="Arial" w:hAnsi="Arial"/>
          <w:sz w:val="18"/>
          <w:szCs w:val="18"/>
          <w:b w:val="1"/>
          <w:bCs w:val="1"/>
          <w:color w:val="auto"/>
        </w:rPr>
        <w:t>22.</w:t>
        <w:tab/>
        <w:t>PARENT ENTITY INFORMATION</w:t>
      </w:r>
    </w:p>
    <w:p>
      <w:pPr>
        <w:spacing w:after="0" w:line="114" w:lineRule="exact"/>
        <w:rPr>
          <w:sz w:val="20"/>
          <w:szCs w:val="20"/>
          <w:color w:val="auto"/>
        </w:rPr>
      </w:pPr>
    </w:p>
    <w:tbl>
      <w:tblPr>
        <w:tblLayout w:type="fixed"/>
        <w:tblInd w:w="200" w:type="dxa"/>
        <w:tblCellMar>
          <w:top w:w="0" w:type="dxa"/>
          <w:left w:w="0" w:type="dxa"/>
          <w:bottom w:w="0" w:type="dxa"/>
          <w:right w:w="0" w:type="dxa"/>
        </w:tblCellMar>
      </w:tblPr>
      <w:tr>
        <w:trPr>
          <w:trHeight w:val="161"/>
        </w:trPr>
        <w:tc>
          <w:tcPr>
            <w:tcW w:w="7580" w:type="dxa"/>
            <w:vAlign w:val="bottom"/>
            <w:gridSpan w:val="2"/>
          </w:tcPr>
          <w:p>
            <w:pPr>
              <w:spacing w:after="0"/>
              <w:rPr>
                <w:sz w:val="20"/>
                <w:szCs w:val="20"/>
                <w:color w:val="auto"/>
              </w:rPr>
            </w:pPr>
            <w:r>
              <w:rPr>
                <w:rFonts w:ascii="Arial" w:cs="Arial" w:eastAsia="Arial" w:hAnsi="Arial"/>
                <w:sz w:val="14"/>
                <w:szCs w:val="14"/>
                <w:color w:val="auto"/>
              </w:rPr>
              <w:t>Information relating to Avita Medical Limited:</w:t>
            </w:r>
          </w:p>
        </w:tc>
        <w:tc>
          <w:tcPr>
            <w:tcW w:w="3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820" w:type="dxa"/>
            <w:vAlign w:val="bottom"/>
            <w:gridSpan w:val="4"/>
          </w:tcPr>
          <w:p>
            <w:pPr>
              <w:ind w:left="860"/>
              <w:spacing w:after="0"/>
              <w:rPr>
                <w:sz w:val="20"/>
                <w:szCs w:val="20"/>
                <w:color w:val="auto"/>
              </w:rPr>
            </w:pPr>
            <w:r>
              <w:rPr>
                <w:rFonts w:ascii="Arial" w:cs="Arial" w:eastAsia="Arial" w:hAnsi="Arial"/>
                <w:sz w:val="14"/>
                <w:szCs w:val="14"/>
                <w:b w:val="1"/>
                <w:bCs w:val="1"/>
                <w:color w:val="auto"/>
                <w:w w:val="98"/>
              </w:rPr>
              <w:t>As of June 30,</w:t>
            </w:r>
          </w:p>
        </w:tc>
        <w:tc>
          <w:tcPr>
            <w:tcW w:w="980" w:type="dxa"/>
            <w:vAlign w:val="bottom"/>
            <w:vMerge w:val="restart"/>
          </w:tcPr>
          <w:p>
            <w:pPr>
              <w:jc w:val="right"/>
              <w:ind w:right="371"/>
              <w:spacing w:after="0"/>
              <w:rPr>
                <w:sz w:val="20"/>
                <w:szCs w:val="20"/>
                <w:color w:val="auto"/>
              </w:rPr>
            </w:pPr>
            <w:r>
              <w:rPr>
                <w:rFonts w:ascii="Arial" w:cs="Arial" w:eastAsia="Arial" w:hAnsi="Arial"/>
                <w:sz w:val="14"/>
                <w:szCs w:val="14"/>
                <w:b w:val="1"/>
                <w:bCs w:val="1"/>
                <w:color w:val="auto"/>
              </w:rPr>
              <w:t>2017</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560" w:type="dxa"/>
            <w:vAlign w:val="bottom"/>
            <w:tcBorders>
              <w:bottom w:val="single" w:sz="8" w:color="CCEEFF"/>
            </w:tcBorders>
          </w:tcPr>
          <w:p>
            <w:pPr>
              <w:spacing w:after="0"/>
              <w:rPr>
                <w:sz w:val="14"/>
                <w:szCs w:val="14"/>
                <w:color w:val="auto"/>
              </w:rPr>
            </w:pPr>
          </w:p>
        </w:tc>
        <w:tc>
          <w:tcPr>
            <w:tcW w:w="320" w:type="dxa"/>
            <w:vAlign w:val="bottom"/>
            <w:tcBorders>
              <w:bottom w:val="single" w:sz="8" w:color="CCEEFF"/>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jc w:val="right"/>
              <w:ind w:right="372"/>
              <w:spacing w:after="0"/>
              <w:rPr>
                <w:sz w:val="20"/>
                <w:szCs w:val="20"/>
                <w:color w:val="auto"/>
              </w:rPr>
            </w:pPr>
            <w:r>
              <w:rPr>
                <w:rFonts w:ascii="Arial" w:cs="Arial" w:eastAsia="Arial" w:hAnsi="Arial"/>
                <w:sz w:val="14"/>
                <w:szCs w:val="14"/>
                <w:b w:val="1"/>
                <w:bCs w:val="1"/>
                <w:color w:val="auto"/>
              </w:rPr>
              <w:t>2018</w:t>
            </w:r>
          </w:p>
        </w:tc>
        <w:tc>
          <w:tcPr>
            <w:tcW w:w="340" w:type="dxa"/>
            <w:vAlign w:val="bottom"/>
            <w:tcBorders>
              <w:bottom w:val="single" w:sz="8" w:color="CCEEFF"/>
            </w:tcBorders>
          </w:tcPr>
          <w:p>
            <w:pPr>
              <w:spacing w:after="0"/>
              <w:rPr>
                <w:sz w:val="14"/>
                <w:szCs w:val="14"/>
                <w:color w:val="auto"/>
              </w:rPr>
            </w:pPr>
          </w:p>
        </w:tc>
        <w:tc>
          <w:tcPr>
            <w:tcW w:w="280" w:type="dxa"/>
            <w:vAlign w:val="bottom"/>
            <w:tcBorders>
              <w:bottom w:val="single" w:sz="8" w:color="CCEEFF"/>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vMerge w:val="continue"/>
          </w:tcPr>
          <w:p>
            <w:pPr>
              <w:spacing w:after="0"/>
              <w:rPr>
                <w:sz w:val="14"/>
                <w:szCs w:val="14"/>
                <w:color w:val="auto"/>
              </w:rPr>
            </w:pPr>
          </w:p>
        </w:tc>
        <w:tc>
          <w:tcPr>
            <w:tcW w:w="12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560" w:type="dxa"/>
            <w:vAlign w:val="bottom"/>
            <w:shd w:val="clear" w:color="auto" w:fill="CCEEFF"/>
          </w:tcPr>
          <w:p>
            <w:pPr>
              <w:spacing w:after="0"/>
              <w:rPr>
                <w:sz w:val="20"/>
                <w:szCs w:val="20"/>
                <w:color w:val="auto"/>
              </w:rPr>
            </w:pPr>
            <w:r>
              <w:rPr>
                <w:rFonts w:ascii="Arial" w:cs="Arial" w:eastAsia="Arial" w:hAnsi="Arial"/>
                <w:sz w:val="18"/>
                <w:szCs w:val="18"/>
                <w:color w:val="auto"/>
              </w:rPr>
              <w:t>Current assets</w:t>
            </w:r>
          </w:p>
        </w:tc>
        <w:tc>
          <w:tcPr>
            <w:tcW w:w="320" w:type="dxa"/>
            <w:vAlign w:val="bottom"/>
            <w:shd w:val="clear" w:color="auto" w:fill="CCEEFF"/>
          </w:tcPr>
          <w:p>
            <w:pPr>
              <w:spacing w:after="0"/>
              <w:rPr>
                <w:sz w:val="18"/>
                <w:szCs w:val="18"/>
                <w:color w:val="auto"/>
              </w:rPr>
            </w:pPr>
          </w:p>
        </w:tc>
        <w:tc>
          <w:tcPr>
            <w:tcW w:w="2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0"/>
              </w:rPr>
              <w:t>A$</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4,098,378</w:t>
            </w:r>
          </w:p>
        </w:tc>
        <w:tc>
          <w:tcPr>
            <w:tcW w:w="3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20"/>
                <w:szCs w:val="20"/>
                <w:color w:val="auto"/>
              </w:rPr>
            </w:pPr>
            <w:r>
              <w:rPr>
                <w:rFonts w:ascii="Arial" w:cs="Arial" w:eastAsia="Arial" w:hAnsi="Arial"/>
                <w:sz w:val="18"/>
                <w:szCs w:val="18"/>
                <w:color w:val="auto"/>
                <w:w w:val="90"/>
              </w:rPr>
              <w:t>A$</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3,156,011</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60" w:type="dxa"/>
            <w:vAlign w:val="bottom"/>
          </w:tcPr>
          <w:p>
            <w:pPr>
              <w:spacing w:after="0"/>
              <w:rPr>
                <w:sz w:val="20"/>
                <w:szCs w:val="20"/>
                <w:color w:val="auto"/>
              </w:rPr>
            </w:pPr>
            <w:r>
              <w:rPr>
                <w:rFonts w:ascii="Arial" w:cs="Arial" w:eastAsia="Arial" w:hAnsi="Arial"/>
                <w:sz w:val="18"/>
                <w:szCs w:val="18"/>
                <w:color w:val="auto"/>
              </w:rPr>
              <w:t>Total assets</w:t>
            </w:r>
          </w:p>
        </w:tc>
        <w:tc>
          <w:tcPr>
            <w:tcW w:w="3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4,098,378</w:t>
            </w:r>
          </w:p>
        </w:tc>
        <w:tc>
          <w:tcPr>
            <w:tcW w:w="3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3,156,011</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60" w:type="dxa"/>
            <w:vAlign w:val="bottom"/>
            <w:shd w:val="clear" w:color="auto" w:fill="CCEEFF"/>
          </w:tcPr>
          <w:p>
            <w:pPr>
              <w:spacing w:after="0"/>
              <w:rPr>
                <w:sz w:val="20"/>
                <w:szCs w:val="20"/>
                <w:color w:val="auto"/>
              </w:rPr>
            </w:pPr>
            <w:r>
              <w:rPr>
                <w:rFonts w:ascii="Arial" w:cs="Arial" w:eastAsia="Arial" w:hAnsi="Arial"/>
                <w:sz w:val="18"/>
                <w:szCs w:val="18"/>
                <w:color w:val="auto"/>
              </w:rPr>
              <w:t>Current liabilities</w:t>
            </w:r>
          </w:p>
        </w:tc>
        <w:tc>
          <w:tcPr>
            <w:tcW w:w="3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(337,040)</w:t>
            </w: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(179,934)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60" w:type="dxa"/>
            <w:vAlign w:val="bottom"/>
          </w:tcPr>
          <w:p>
            <w:pPr>
              <w:spacing w:after="0"/>
              <w:rPr>
                <w:sz w:val="20"/>
                <w:szCs w:val="20"/>
                <w:color w:val="auto"/>
              </w:rPr>
            </w:pPr>
            <w:r>
              <w:rPr>
                <w:rFonts w:ascii="Arial" w:cs="Arial" w:eastAsia="Arial" w:hAnsi="Arial"/>
                <w:sz w:val="18"/>
                <w:szCs w:val="18"/>
                <w:color w:val="auto"/>
              </w:rPr>
              <w:t>Total liabilities</w:t>
            </w:r>
          </w:p>
        </w:tc>
        <w:tc>
          <w:tcPr>
            <w:tcW w:w="3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20" w:type="dxa"/>
            <w:vAlign w:val="bottom"/>
            <w:gridSpan w:val="2"/>
          </w:tcPr>
          <w:p>
            <w:pPr>
              <w:jc w:val="right"/>
              <w:ind w:right="280"/>
              <w:spacing w:after="0"/>
              <w:rPr>
                <w:sz w:val="20"/>
                <w:szCs w:val="20"/>
                <w:color w:val="auto"/>
              </w:rPr>
            </w:pPr>
            <w:r>
              <w:rPr>
                <w:rFonts w:ascii="Arial" w:cs="Arial" w:eastAsia="Arial" w:hAnsi="Arial"/>
                <w:sz w:val="18"/>
                <w:szCs w:val="18"/>
                <w:color w:val="auto"/>
              </w:rPr>
              <w:t>(337,040)</w:t>
            </w: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gridSpan w:val="2"/>
          </w:tcPr>
          <w:p>
            <w:pPr>
              <w:jc w:val="right"/>
              <w:ind w:right="60"/>
              <w:spacing w:after="0"/>
              <w:rPr>
                <w:sz w:val="20"/>
                <w:szCs w:val="20"/>
                <w:color w:val="auto"/>
              </w:rPr>
            </w:pPr>
            <w:r>
              <w:rPr>
                <w:rFonts w:ascii="Arial" w:cs="Arial" w:eastAsia="Arial" w:hAnsi="Arial"/>
                <w:sz w:val="18"/>
                <w:szCs w:val="18"/>
                <w:color w:val="auto"/>
              </w:rPr>
              <w:t>(179,934)</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7560" w:type="dxa"/>
            <w:vAlign w:val="bottom"/>
          </w:tcPr>
          <w:p>
            <w:pPr>
              <w:spacing w:after="0"/>
              <w:rPr>
                <w:sz w:val="2"/>
                <w:szCs w:val="2"/>
                <w:color w:val="auto"/>
              </w:rPr>
            </w:pPr>
          </w:p>
        </w:tc>
        <w:tc>
          <w:tcPr>
            <w:tcW w:w="32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28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0"/>
        </w:trPr>
        <w:tc>
          <w:tcPr>
            <w:tcW w:w="20" w:type="dxa"/>
            <w:vAlign w:val="bottom"/>
            <w:vMerge w:val="continue"/>
          </w:tcPr>
          <w:p>
            <w:pPr>
              <w:spacing w:after="0"/>
              <w:rPr>
                <w:sz w:val="19"/>
                <w:szCs w:val="19"/>
                <w:color w:val="auto"/>
              </w:rPr>
            </w:pPr>
          </w:p>
        </w:tc>
        <w:tc>
          <w:tcPr>
            <w:tcW w:w="75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Net assets</w:t>
            </w:r>
          </w:p>
        </w:tc>
        <w:tc>
          <w:tcPr>
            <w:tcW w:w="54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A$</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3,761,338</w:t>
            </w:r>
          </w:p>
        </w:tc>
        <w:tc>
          <w:tcPr>
            <w:tcW w:w="340" w:type="dxa"/>
            <w:vAlign w:val="bottom"/>
            <w:shd w:val="clear" w:color="auto" w:fill="CCEEFF"/>
          </w:tcPr>
          <w:p>
            <w:pPr>
              <w:spacing w:after="0"/>
              <w:rPr>
                <w:sz w:val="19"/>
                <w:szCs w:val="19"/>
                <w:color w:val="auto"/>
              </w:rPr>
            </w:pPr>
          </w:p>
        </w:tc>
        <w:tc>
          <w:tcPr>
            <w:tcW w:w="500" w:type="dxa"/>
            <w:vAlign w:val="bottom"/>
            <w:gridSpan w:val="2"/>
            <w:shd w:val="clear" w:color="auto" w:fill="CCEEFF"/>
          </w:tcPr>
          <w:p>
            <w:pPr>
              <w:ind w:left="280"/>
              <w:spacing w:after="0"/>
              <w:rPr>
                <w:sz w:val="20"/>
                <w:szCs w:val="20"/>
                <w:color w:val="auto"/>
              </w:rPr>
            </w:pPr>
            <w:r>
              <w:rPr>
                <w:rFonts w:ascii="Arial" w:cs="Arial" w:eastAsia="Arial" w:hAnsi="Arial"/>
                <w:sz w:val="18"/>
                <w:szCs w:val="18"/>
                <w:b w:val="1"/>
                <w:bCs w:val="1"/>
                <w:color w:val="auto"/>
                <w:w w:val="86"/>
              </w:rPr>
              <w:t>A$</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2,976,077</w:t>
            </w:r>
          </w:p>
        </w:tc>
        <w:tc>
          <w:tcPr>
            <w:tcW w:w="1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324"/>
        </w:trPr>
        <w:tc>
          <w:tcPr>
            <w:tcW w:w="7580" w:type="dxa"/>
            <w:vAlign w:val="bottom"/>
            <w:gridSpan w:val="2"/>
          </w:tcPr>
          <w:p>
            <w:pPr>
              <w:spacing w:after="0"/>
              <w:rPr>
                <w:sz w:val="20"/>
                <w:szCs w:val="20"/>
                <w:color w:val="auto"/>
              </w:rPr>
            </w:pPr>
            <w:r>
              <w:rPr>
                <w:rFonts w:ascii="Arial" w:cs="Arial" w:eastAsia="Arial" w:hAnsi="Arial"/>
                <w:sz w:val="18"/>
                <w:szCs w:val="18"/>
                <w:color w:val="auto"/>
              </w:rPr>
              <w:t>Issued capital</w:t>
            </w:r>
          </w:p>
        </w:tc>
        <w:tc>
          <w:tcPr>
            <w:tcW w:w="540" w:type="dxa"/>
            <w:vAlign w:val="bottom"/>
            <w:gridSpan w:val="2"/>
          </w:tcPr>
          <w:p>
            <w:pPr>
              <w:jc w:val="right"/>
              <w:spacing w:after="0"/>
              <w:rPr>
                <w:sz w:val="20"/>
                <w:szCs w:val="20"/>
                <w:color w:val="auto"/>
              </w:rPr>
            </w:pPr>
            <w:r>
              <w:rPr>
                <w:rFonts w:ascii="Arial" w:cs="Arial" w:eastAsia="Arial" w:hAnsi="Arial"/>
                <w:sz w:val="18"/>
                <w:szCs w:val="18"/>
                <w:color w:val="auto"/>
              </w:rPr>
              <w:t>A$</w:t>
            </w:r>
          </w:p>
        </w:tc>
        <w:tc>
          <w:tcPr>
            <w:tcW w:w="980" w:type="dxa"/>
            <w:vAlign w:val="bottom"/>
          </w:tcPr>
          <w:p>
            <w:pPr>
              <w:jc w:val="right"/>
              <w:spacing w:after="0"/>
              <w:rPr>
                <w:sz w:val="20"/>
                <w:szCs w:val="20"/>
                <w:color w:val="auto"/>
              </w:rPr>
            </w:pPr>
            <w:r>
              <w:rPr>
                <w:rFonts w:ascii="Arial" w:cs="Arial" w:eastAsia="Arial" w:hAnsi="Arial"/>
                <w:sz w:val="18"/>
                <w:szCs w:val="18"/>
                <w:color w:val="auto"/>
                <w:w w:val="95"/>
              </w:rPr>
              <w:t>162,801,028</w:t>
            </w:r>
          </w:p>
        </w:tc>
        <w:tc>
          <w:tcPr>
            <w:tcW w:w="340" w:type="dxa"/>
            <w:vAlign w:val="bottom"/>
          </w:tcPr>
          <w:p>
            <w:pPr>
              <w:spacing w:after="0"/>
              <w:rPr>
                <w:sz w:val="24"/>
                <w:szCs w:val="24"/>
                <w:color w:val="auto"/>
              </w:rPr>
            </w:pPr>
          </w:p>
        </w:tc>
        <w:tc>
          <w:tcPr>
            <w:tcW w:w="500" w:type="dxa"/>
            <w:vAlign w:val="bottom"/>
            <w:gridSpan w:val="2"/>
          </w:tcPr>
          <w:p>
            <w:pPr>
              <w:ind w:left="280"/>
              <w:spacing w:after="0"/>
              <w:rPr>
                <w:sz w:val="20"/>
                <w:szCs w:val="20"/>
                <w:color w:val="auto"/>
              </w:rPr>
            </w:pPr>
            <w:r>
              <w:rPr>
                <w:rFonts w:ascii="Arial" w:cs="Arial" w:eastAsia="Arial" w:hAnsi="Arial"/>
                <w:sz w:val="18"/>
                <w:szCs w:val="18"/>
                <w:color w:val="auto"/>
                <w:w w:val="90"/>
              </w:rPr>
              <w:t>A$</w:t>
            </w:r>
          </w:p>
        </w:tc>
        <w:tc>
          <w:tcPr>
            <w:tcW w:w="980" w:type="dxa"/>
            <w:vAlign w:val="bottom"/>
          </w:tcPr>
          <w:p>
            <w:pPr>
              <w:jc w:val="right"/>
              <w:spacing w:after="0"/>
              <w:rPr>
                <w:sz w:val="20"/>
                <w:szCs w:val="20"/>
                <w:color w:val="auto"/>
              </w:rPr>
            </w:pPr>
            <w:r>
              <w:rPr>
                <w:rFonts w:ascii="Arial" w:cs="Arial" w:eastAsia="Arial" w:hAnsi="Arial"/>
                <w:sz w:val="18"/>
                <w:szCs w:val="18"/>
                <w:color w:val="auto"/>
                <w:w w:val="95"/>
              </w:rPr>
              <w:t>134,806,022</w:t>
            </w: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60" w:type="dxa"/>
            <w:vAlign w:val="bottom"/>
            <w:shd w:val="clear" w:color="auto" w:fill="CCEEFF"/>
          </w:tcPr>
          <w:p>
            <w:pPr>
              <w:spacing w:after="0"/>
              <w:rPr>
                <w:sz w:val="20"/>
                <w:szCs w:val="20"/>
                <w:color w:val="auto"/>
              </w:rPr>
            </w:pPr>
            <w:r>
              <w:rPr>
                <w:rFonts w:ascii="Arial" w:cs="Arial" w:eastAsia="Arial" w:hAnsi="Arial"/>
                <w:sz w:val="18"/>
                <w:szCs w:val="18"/>
                <w:color w:val="auto"/>
              </w:rPr>
              <w:t>Accumulated losses</w:t>
            </w:r>
          </w:p>
        </w:tc>
        <w:tc>
          <w:tcPr>
            <w:tcW w:w="3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w w:val="90"/>
              </w:rPr>
              <w:t>(163,541,196)</w:t>
            </w: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0"/>
              </w:rPr>
              <w:t>(135,034,498)</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560" w:type="dxa"/>
            <w:vAlign w:val="bottom"/>
          </w:tcPr>
          <w:p>
            <w:pPr>
              <w:spacing w:after="0"/>
              <w:rPr>
                <w:sz w:val="20"/>
                <w:szCs w:val="20"/>
                <w:color w:val="auto"/>
              </w:rPr>
            </w:pPr>
            <w:r>
              <w:rPr>
                <w:rFonts w:ascii="Arial" w:cs="Arial" w:eastAsia="Arial" w:hAnsi="Arial"/>
                <w:sz w:val="18"/>
                <w:szCs w:val="18"/>
                <w:color w:val="auto"/>
              </w:rPr>
              <w:t>Share option reserves</w:t>
            </w:r>
          </w:p>
        </w:tc>
        <w:tc>
          <w:tcPr>
            <w:tcW w:w="32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4,501,506</w:t>
            </w:r>
          </w:p>
        </w:tc>
        <w:tc>
          <w:tcPr>
            <w:tcW w:w="3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3,204,553</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 shareholders’ equity</w:t>
            </w:r>
          </w:p>
        </w:tc>
        <w:tc>
          <w:tcPr>
            <w:tcW w:w="54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A$</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3,761,338</w:t>
            </w:r>
          </w:p>
        </w:tc>
        <w:tc>
          <w:tcPr>
            <w:tcW w:w="340" w:type="dxa"/>
            <w:vAlign w:val="bottom"/>
            <w:shd w:val="clear" w:color="auto" w:fill="CCEEFF"/>
          </w:tcPr>
          <w:p>
            <w:pPr>
              <w:spacing w:after="0"/>
              <w:rPr>
                <w:sz w:val="18"/>
                <w:szCs w:val="18"/>
                <w:color w:val="auto"/>
              </w:rPr>
            </w:pPr>
          </w:p>
        </w:tc>
        <w:tc>
          <w:tcPr>
            <w:tcW w:w="500" w:type="dxa"/>
            <w:vAlign w:val="bottom"/>
            <w:gridSpan w:val="2"/>
            <w:shd w:val="clear" w:color="auto" w:fill="CCEEFF"/>
          </w:tcPr>
          <w:p>
            <w:pPr>
              <w:ind w:left="280"/>
              <w:spacing w:after="0"/>
              <w:rPr>
                <w:sz w:val="20"/>
                <w:szCs w:val="20"/>
                <w:color w:val="auto"/>
              </w:rPr>
            </w:pPr>
            <w:r>
              <w:rPr>
                <w:rFonts w:ascii="Arial" w:cs="Arial" w:eastAsia="Arial" w:hAnsi="Arial"/>
                <w:sz w:val="18"/>
                <w:szCs w:val="18"/>
                <w:b w:val="1"/>
                <w:bCs w:val="1"/>
                <w:color w:val="auto"/>
                <w:w w:val="86"/>
              </w:rPr>
              <w:t>A$</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2,976,077</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24"/>
        </w:trPr>
        <w:tc>
          <w:tcPr>
            <w:tcW w:w="7580" w:type="dxa"/>
            <w:vAlign w:val="bottom"/>
            <w:gridSpan w:val="2"/>
          </w:tcPr>
          <w:p>
            <w:pPr>
              <w:spacing w:after="0"/>
              <w:rPr>
                <w:sz w:val="20"/>
                <w:szCs w:val="20"/>
                <w:color w:val="auto"/>
              </w:rPr>
            </w:pPr>
            <w:r>
              <w:rPr>
                <w:rFonts w:ascii="Arial" w:cs="Arial" w:eastAsia="Arial" w:hAnsi="Arial"/>
                <w:sz w:val="18"/>
                <w:szCs w:val="18"/>
                <w:color w:val="auto"/>
              </w:rPr>
              <w:t>Loss of parent entity after income tax</w:t>
            </w:r>
          </w:p>
        </w:tc>
        <w:tc>
          <w:tcPr>
            <w:tcW w:w="540" w:type="dxa"/>
            <w:vAlign w:val="bottom"/>
            <w:gridSpan w:val="2"/>
          </w:tcPr>
          <w:p>
            <w:pPr>
              <w:jc w:val="right"/>
              <w:spacing w:after="0"/>
              <w:rPr>
                <w:sz w:val="20"/>
                <w:szCs w:val="20"/>
                <w:color w:val="auto"/>
              </w:rPr>
            </w:pPr>
            <w:r>
              <w:rPr>
                <w:rFonts w:ascii="Arial" w:cs="Arial" w:eastAsia="Arial" w:hAnsi="Arial"/>
                <w:sz w:val="18"/>
                <w:szCs w:val="18"/>
                <w:color w:val="auto"/>
              </w:rPr>
              <w:t>A$</w:t>
            </w:r>
          </w:p>
        </w:tc>
        <w:tc>
          <w:tcPr>
            <w:tcW w:w="1320" w:type="dxa"/>
            <w:vAlign w:val="bottom"/>
            <w:gridSpan w:val="2"/>
          </w:tcPr>
          <w:p>
            <w:pPr>
              <w:jc w:val="right"/>
              <w:ind w:right="280"/>
              <w:spacing w:after="0"/>
              <w:rPr>
                <w:sz w:val="20"/>
                <w:szCs w:val="20"/>
                <w:color w:val="auto"/>
              </w:rPr>
            </w:pPr>
            <w:r>
              <w:rPr>
                <w:rFonts w:ascii="Arial" w:cs="Arial" w:eastAsia="Arial" w:hAnsi="Arial"/>
                <w:sz w:val="18"/>
                <w:szCs w:val="18"/>
                <w:color w:val="auto"/>
              </w:rPr>
              <w:t>(3,258,675)</w:t>
            </w:r>
          </w:p>
        </w:tc>
        <w:tc>
          <w:tcPr>
            <w:tcW w:w="500" w:type="dxa"/>
            <w:vAlign w:val="bottom"/>
            <w:gridSpan w:val="2"/>
          </w:tcPr>
          <w:p>
            <w:pPr>
              <w:ind w:left="280"/>
              <w:spacing w:after="0"/>
              <w:rPr>
                <w:sz w:val="20"/>
                <w:szCs w:val="20"/>
                <w:color w:val="auto"/>
              </w:rPr>
            </w:pPr>
            <w:r>
              <w:rPr>
                <w:rFonts w:ascii="Arial" w:cs="Arial" w:eastAsia="Arial" w:hAnsi="Arial"/>
                <w:sz w:val="18"/>
                <w:szCs w:val="18"/>
                <w:color w:val="auto"/>
                <w:w w:val="90"/>
              </w:rPr>
              <w:t>A$</w:t>
            </w:r>
          </w:p>
        </w:tc>
        <w:tc>
          <w:tcPr>
            <w:tcW w:w="1100" w:type="dxa"/>
            <w:vAlign w:val="bottom"/>
            <w:gridSpan w:val="2"/>
          </w:tcPr>
          <w:p>
            <w:pPr>
              <w:jc w:val="right"/>
              <w:ind w:right="60"/>
              <w:spacing w:after="0"/>
              <w:rPr>
                <w:sz w:val="20"/>
                <w:szCs w:val="20"/>
                <w:color w:val="auto"/>
              </w:rPr>
            </w:pPr>
            <w:r>
              <w:rPr>
                <w:rFonts w:ascii="Arial" w:cs="Arial" w:eastAsia="Arial" w:hAnsi="Arial"/>
                <w:sz w:val="18"/>
                <w:szCs w:val="18"/>
                <w:color w:val="auto"/>
              </w:rPr>
              <w:t>(4,741,808)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60" w:type="dxa"/>
            <w:vAlign w:val="bottom"/>
            <w:shd w:val="clear" w:color="auto" w:fill="CCEEFF"/>
          </w:tcPr>
          <w:p>
            <w:pPr>
              <w:spacing w:after="0"/>
              <w:rPr>
                <w:sz w:val="20"/>
                <w:szCs w:val="20"/>
                <w:color w:val="auto"/>
              </w:rPr>
            </w:pPr>
            <w:r>
              <w:rPr>
                <w:rFonts w:ascii="Arial" w:cs="Arial" w:eastAsia="Arial" w:hAnsi="Arial"/>
                <w:sz w:val="18"/>
                <w:szCs w:val="18"/>
                <w:color w:val="auto"/>
              </w:rPr>
              <w:t>Total comprehensive loss of the parent entity</w:t>
            </w:r>
          </w:p>
        </w:tc>
        <w:tc>
          <w:tcPr>
            <w:tcW w:w="5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A$</w:t>
            </w:r>
          </w:p>
        </w:tc>
        <w:tc>
          <w:tcPr>
            <w:tcW w:w="13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(3,258,675)</w:t>
            </w:r>
          </w:p>
        </w:tc>
        <w:tc>
          <w:tcPr>
            <w:tcW w:w="50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w w:val="90"/>
              </w:rPr>
              <w:t>A$</w:t>
            </w:r>
          </w:p>
        </w:tc>
        <w:tc>
          <w:tcPr>
            <w:tcW w:w="11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(4,741,808)</w:t>
            </w:r>
          </w:p>
        </w:tc>
        <w:tc>
          <w:tcPr>
            <w:tcW w:w="0" w:type="dxa"/>
            <w:vAlign w:val="bottom"/>
          </w:tcPr>
          <w:p>
            <w:pPr>
              <w:spacing w:after="0"/>
              <w:rPr>
                <w:sz w:val="1"/>
                <w:szCs w:val="1"/>
                <w:color w:val="auto"/>
              </w:rPr>
            </w:pPr>
          </w:p>
        </w:tc>
      </w:tr>
      <w:tr>
        <w:trPr>
          <w:trHeight w:val="324"/>
        </w:trPr>
        <w:tc>
          <w:tcPr>
            <w:tcW w:w="7580" w:type="dxa"/>
            <w:vAlign w:val="bottom"/>
            <w:gridSpan w:val="2"/>
          </w:tcPr>
          <w:p>
            <w:pPr>
              <w:spacing w:after="0"/>
              <w:rPr>
                <w:sz w:val="20"/>
                <w:szCs w:val="20"/>
                <w:color w:val="auto"/>
              </w:rPr>
            </w:pPr>
            <w:r>
              <w:rPr>
                <w:rFonts w:ascii="Arial" w:cs="Arial" w:eastAsia="Arial" w:hAnsi="Arial"/>
                <w:sz w:val="18"/>
                <w:szCs w:val="18"/>
                <w:color w:val="auto"/>
              </w:rPr>
              <w:t>Details of any contingent liabilities of the parent entity</w:t>
            </w:r>
          </w:p>
        </w:tc>
        <w:tc>
          <w:tcPr>
            <w:tcW w:w="3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20" w:type="dxa"/>
            <w:vAlign w:val="bottom"/>
            <w:gridSpan w:val="2"/>
          </w:tcPr>
          <w:p>
            <w:pPr>
              <w:jc w:val="right"/>
              <w:ind w:right="340"/>
              <w:spacing w:after="0"/>
              <w:rPr>
                <w:sz w:val="20"/>
                <w:szCs w:val="20"/>
                <w:color w:val="auto"/>
              </w:rPr>
            </w:pPr>
            <w:r>
              <w:rPr>
                <w:rFonts w:ascii="Arial" w:cs="Arial" w:eastAsia="Arial" w:hAnsi="Arial"/>
                <w:sz w:val="18"/>
                <w:szCs w:val="18"/>
                <w:color w:val="auto"/>
              </w:rPr>
              <w:t>None</w:t>
            </w:r>
          </w:p>
        </w:tc>
        <w:tc>
          <w:tcPr>
            <w:tcW w:w="2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00" w:type="dxa"/>
            <w:vAlign w:val="bottom"/>
            <w:gridSpan w:val="2"/>
          </w:tcPr>
          <w:p>
            <w:pPr>
              <w:jc w:val="right"/>
              <w:ind w:right="120"/>
              <w:spacing w:after="0"/>
              <w:rPr>
                <w:sz w:val="20"/>
                <w:szCs w:val="20"/>
                <w:color w:val="auto"/>
              </w:rPr>
            </w:pPr>
            <w:r>
              <w:rPr>
                <w:rFonts w:ascii="Arial" w:cs="Arial" w:eastAsia="Arial" w:hAnsi="Arial"/>
                <w:sz w:val="18"/>
                <w:szCs w:val="18"/>
                <w:color w:val="auto"/>
              </w:rPr>
              <w:t>None</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756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5"/>
              </w:rPr>
              <w:t>Details of any contractual commitments by the parent entity for the acquisition of property, plant and</w:t>
            </w:r>
          </w:p>
        </w:tc>
        <w:tc>
          <w:tcPr>
            <w:tcW w:w="3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75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equipment</w:t>
            </w:r>
          </w:p>
        </w:tc>
        <w:tc>
          <w:tcPr>
            <w:tcW w:w="32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3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None</w:t>
            </w:r>
          </w:p>
        </w:tc>
        <w:tc>
          <w:tcPr>
            <w:tcW w:w="28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1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None</w:t>
            </w:r>
          </w:p>
        </w:tc>
        <w:tc>
          <w:tcPr>
            <w:tcW w:w="0" w:type="dxa"/>
            <w:vAlign w:val="bottom"/>
          </w:tcPr>
          <w:p>
            <w:pPr>
              <w:spacing w:after="0"/>
              <w:rPr>
                <w:sz w:val="1"/>
                <w:szCs w:val="1"/>
                <w:color w:val="auto"/>
              </w:rPr>
            </w:pPr>
          </w:p>
        </w:tc>
      </w:tr>
    </w:tbl>
    <w:p>
      <w:pPr>
        <w:spacing w:after="0" w:line="202" w:lineRule="exact"/>
        <w:rPr>
          <w:sz w:val="20"/>
          <w:szCs w:val="20"/>
          <w:color w:val="auto"/>
        </w:rPr>
      </w:pPr>
    </w:p>
    <w:p>
      <w:pPr>
        <w:ind w:left="200"/>
        <w:spacing w:after="0"/>
        <w:rPr>
          <w:sz w:val="20"/>
          <w:szCs w:val="20"/>
          <w:color w:val="auto"/>
        </w:rPr>
      </w:pPr>
      <w:r>
        <w:rPr>
          <w:rFonts w:ascii="Arial" w:cs="Arial" w:eastAsia="Arial" w:hAnsi="Arial"/>
          <w:sz w:val="16"/>
          <w:szCs w:val="16"/>
          <w:color w:val="auto"/>
        </w:rPr>
        <w:t>During the period, the parent entity impaired A$21,368,073 (2017: A$5,983,551) of intercompany loans to subsidiaries and investments in subsidiaries.</w:t>
      </w:r>
    </w:p>
    <w:p>
      <w:pPr>
        <w:spacing w:after="0" w:line="46" w:lineRule="exact"/>
        <w:rPr>
          <w:sz w:val="20"/>
          <w:szCs w:val="20"/>
          <w:color w:val="auto"/>
        </w:rPr>
      </w:pPr>
    </w:p>
    <w:p>
      <w:pPr>
        <w:ind w:left="200"/>
        <w:spacing w:after="0"/>
        <w:rPr>
          <w:sz w:val="20"/>
          <w:szCs w:val="20"/>
          <w:color w:val="auto"/>
        </w:rPr>
      </w:pPr>
      <w:r>
        <w:rPr>
          <w:rFonts w:ascii="Arial" w:cs="Arial" w:eastAsia="Arial" w:hAnsi="Arial"/>
          <w:sz w:val="18"/>
          <w:szCs w:val="18"/>
          <w:color w:val="auto"/>
        </w:rPr>
        <w:t>The impairment charges are eliminated on consolidation.</w:t>
      </w:r>
    </w:p>
    <w:p>
      <w:pPr>
        <w:spacing w:after="0" w:line="355" w:lineRule="exact"/>
        <w:rPr>
          <w:sz w:val="20"/>
          <w:szCs w:val="20"/>
          <w:color w:val="auto"/>
        </w:rPr>
      </w:pPr>
    </w:p>
    <w:p>
      <w:pPr>
        <w:ind w:left="640" w:hanging="436"/>
        <w:spacing w:after="0"/>
        <w:tabs>
          <w:tab w:leader="none" w:pos="640" w:val="left"/>
        </w:tabs>
        <w:numPr>
          <w:ilvl w:val="0"/>
          <w:numId w:val="188"/>
        </w:numPr>
        <w:rPr>
          <w:rFonts w:ascii="Arial" w:cs="Arial" w:eastAsia="Arial" w:hAnsi="Arial"/>
          <w:sz w:val="18"/>
          <w:szCs w:val="18"/>
          <w:b w:val="1"/>
          <w:bCs w:val="1"/>
          <w:color w:val="auto"/>
        </w:rPr>
      </w:pPr>
      <w:r>
        <w:rPr>
          <w:rFonts w:ascii="Arial" w:cs="Arial" w:eastAsia="Arial" w:hAnsi="Arial"/>
          <w:sz w:val="18"/>
          <w:szCs w:val="18"/>
          <w:b w:val="1"/>
          <w:bCs w:val="1"/>
          <w:color w:val="auto"/>
        </w:rPr>
        <w:t>DEED OF CROSS GUARANTEE</w:t>
      </w:r>
    </w:p>
    <w:p>
      <w:pPr>
        <w:spacing w:after="0" w:line="121" w:lineRule="exact"/>
        <w:rPr>
          <w:sz w:val="20"/>
          <w:szCs w:val="20"/>
          <w:color w:val="auto"/>
        </w:rPr>
      </w:pPr>
    </w:p>
    <w:p>
      <w:pPr>
        <w:ind w:left="200"/>
        <w:spacing w:after="0"/>
        <w:rPr>
          <w:sz w:val="20"/>
          <w:szCs w:val="20"/>
          <w:color w:val="auto"/>
        </w:rPr>
      </w:pPr>
      <w:r>
        <w:rPr>
          <w:rFonts w:ascii="Arial" w:cs="Arial" w:eastAsia="Arial" w:hAnsi="Arial"/>
          <w:sz w:val="18"/>
          <w:szCs w:val="18"/>
          <w:color w:val="auto"/>
        </w:rPr>
        <w:t>The following entities are party to a deed of cross guarantee under which each company guarantees the debts of the others:</w:t>
      </w:r>
    </w:p>
    <w:p>
      <w:pPr>
        <w:spacing w:after="0" w:line="131" w:lineRule="exact"/>
        <w:rPr>
          <w:sz w:val="20"/>
          <w:szCs w:val="20"/>
          <w:color w:val="auto"/>
        </w:rPr>
      </w:pPr>
    </w:p>
    <w:p>
      <w:pPr>
        <w:ind w:left="1180" w:hanging="436"/>
        <w:spacing w:after="0"/>
        <w:tabs>
          <w:tab w:leader="none" w:pos="1180" w:val="left"/>
        </w:tabs>
        <w:numPr>
          <w:ilvl w:val="0"/>
          <w:numId w:val="189"/>
        </w:numPr>
        <w:rPr>
          <w:rFonts w:ascii="Arial" w:cs="Arial" w:eastAsia="Arial" w:hAnsi="Arial"/>
          <w:sz w:val="18"/>
          <w:szCs w:val="18"/>
          <w:color w:val="auto"/>
        </w:rPr>
      </w:pPr>
      <w:r>
        <w:rPr>
          <w:rFonts w:ascii="Arial" w:cs="Arial" w:eastAsia="Arial" w:hAnsi="Arial"/>
          <w:sz w:val="18"/>
          <w:szCs w:val="18"/>
          <w:color w:val="auto"/>
        </w:rPr>
        <w:t>Avita Medical Limited</w:t>
      </w:r>
    </w:p>
    <w:p>
      <w:pPr>
        <w:spacing w:after="0" w:line="130" w:lineRule="exact"/>
        <w:rPr>
          <w:rFonts w:ascii="Arial" w:cs="Arial" w:eastAsia="Arial" w:hAnsi="Arial"/>
          <w:sz w:val="18"/>
          <w:szCs w:val="18"/>
          <w:color w:val="auto"/>
        </w:rPr>
      </w:pPr>
    </w:p>
    <w:p>
      <w:pPr>
        <w:ind w:left="1180" w:hanging="436"/>
        <w:spacing w:after="0"/>
        <w:tabs>
          <w:tab w:leader="none" w:pos="1180" w:val="left"/>
        </w:tabs>
        <w:numPr>
          <w:ilvl w:val="0"/>
          <w:numId w:val="189"/>
        </w:numPr>
        <w:rPr>
          <w:rFonts w:ascii="Arial" w:cs="Arial" w:eastAsia="Arial" w:hAnsi="Arial"/>
          <w:sz w:val="18"/>
          <w:szCs w:val="18"/>
          <w:color w:val="auto"/>
        </w:rPr>
      </w:pPr>
      <w:r>
        <w:rPr>
          <w:rFonts w:ascii="Arial" w:cs="Arial" w:eastAsia="Arial" w:hAnsi="Arial"/>
          <w:sz w:val="18"/>
          <w:szCs w:val="18"/>
          <w:color w:val="auto"/>
        </w:rPr>
        <w:t>C3 Operations Pty Ltd</w:t>
      </w:r>
    </w:p>
    <w:p>
      <w:pPr>
        <w:spacing w:after="0" w:line="130" w:lineRule="exact"/>
        <w:rPr>
          <w:rFonts w:ascii="Arial" w:cs="Arial" w:eastAsia="Arial" w:hAnsi="Arial"/>
          <w:sz w:val="18"/>
          <w:szCs w:val="18"/>
          <w:color w:val="auto"/>
        </w:rPr>
      </w:pPr>
    </w:p>
    <w:p>
      <w:pPr>
        <w:ind w:left="1180" w:hanging="436"/>
        <w:spacing w:after="0"/>
        <w:tabs>
          <w:tab w:leader="none" w:pos="1180" w:val="left"/>
        </w:tabs>
        <w:numPr>
          <w:ilvl w:val="0"/>
          <w:numId w:val="189"/>
        </w:numPr>
        <w:rPr>
          <w:rFonts w:ascii="Arial" w:cs="Arial" w:eastAsia="Arial" w:hAnsi="Arial"/>
          <w:sz w:val="18"/>
          <w:szCs w:val="18"/>
          <w:color w:val="auto"/>
        </w:rPr>
      </w:pPr>
      <w:r>
        <w:rPr>
          <w:rFonts w:ascii="Arial" w:cs="Arial" w:eastAsia="Arial" w:hAnsi="Arial"/>
          <w:sz w:val="18"/>
          <w:szCs w:val="18"/>
          <w:color w:val="auto"/>
        </w:rPr>
        <w:t>Visiomed Group Pty Ltd</w:t>
      </w:r>
    </w:p>
    <w:p>
      <w:pPr>
        <w:spacing w:after="0" w:line="130" w:lineRule="exact"/>
        <w:rPr>
          <w:rFonts w:ascii="Arial" w:cs="Arial" w:eastAsia="Arial" w:hAnsi="Arial"/>
          <w:sz w:val="18"/>
          <w:szCs w:val="18"/>
          <w:color w:val="auto"/>
        </w:rPr>
      </w:pPr>
    </w:p>
    <w:p>
      <w:pPr>
        <w:ind w:left="1180" w:hanging="436"/>
        <w:spacing w:after="0"/>
        <w:tabs>
          <w:tab w:leader="none" w:pos="1180" w:val="left"/>
        </w:tabs>
        <w:numPr>
          <w:ilvl w:val="0"/>
          <w:numId w:val="189"/>
        </w:numPr>
        <w:rPr>
          <w:rFonts w:ascii="Arial" w:cs="Arial" w:eastAsia="Arial" w:hAnsi="Arial"/>
          <w:sz w:val="18"/>
          <w:szCs w:val="18"/>
          <w:color w:val="auto"/>
        </w:rPr>
      </w:pPr>
      <w:r>
        <w:rPr>
          <w:rFonts w:ascii="Arial" w:cs="Arial" w:eastAsia="Arial" w:hAnsi="Arial"/>
          <w:sz w:val="18"/>
          <w:szCs w:val="18"/>
          <w:color w:val="auto"/>
        </w:rPr>
        <w:t>Infamed Pty Limited</w:t>
      </w:r>
    </w:p>
    <w:p>
      <w:pPr>
        <w:spacing w:after="0" w:line="225" w:lineRule="exact"/>
        <w:rPr>
          <w:sz w:val="20"/>
          <w:szCs w:val="20"/>
          <w:color w:val="auto"/>
        </w:rPr>
      </w:pPr>
    </w:p>
    <w:p>
      <w:pPr>
        <w:ind w:left="200" w:right="200"/>
        <w:spacing w:after="0" w:line="259" w:lineRule="auto"/>
        <w:rPr>
          <w:sz w:val="20"/>
          <w:szCs w:val="20"/>
          <w:color w:val="auto"/>
        </w:rPr>
      </w:pPr>
      <w:r>
        <w:rPr>
          <w:rFonts w:ascii="Arial" w:cs="Arial" w:eastAsia="Arial" w:hAnsi="Arial"/>
          <w:sz w:val="18"/>
          <w:szCs w:val="18"/>
          <w:color w:val="auto"/>
        </w:rPr>
        <w:t>By entering into the deed, the wholly owned entities have been relieved from the requirement to prepare a financial report and Directors’ Report under Australian Securities and Investments Commission (‘ASIC’) Corporations (Wholly-owned Companies) Instrument 2016/785. The above companies represent a ‘Closed Group’ for the purposes of the Class Order, and as there are no other parties to the Deed of Cross guarantee that are controlled by Avita Medical Limited, they also represent the ‘Extended Closed Group’.</w:t>
      </w:r>
    </w:p>
    <w:p>
      <w:pPr>
        <w:spacing w:after="0" w:line="119"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F-49</w:t>
      </w:r>
    </w:p>
    <w:p>
      <w:pPr>
        <w:sectPr>
          <w:pgSz w:w="11900" w:h="16838" w:orient="portrait"/>
          <w:cols w:equalWidth="0" w:num="1">
            <w:col w:w="11240"/>
          </w:cols>
          <w:pgMar w:left="240" w:top="459" w:right="419" w:bottom="1440" w:gutter="0" w:footer="0" w:header="0"/>
        </w:sectPr>
      </w:pPr>
    </w:p>
    <w:bookmarkStart w:id="148" w:name="page149"/>
    <w:bookmarkEnd w:id="14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9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AVITA MEDICAL LIMITED</w:t>
      </w:r>
    </w:p>
    <w:p>
      <w:pPr>
        <w:spacing w:after="0" w:line="27"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9"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(IN AUSTRALIAN DOLLARS)</w:t>
      </w:r>
    </w:p>
    <w:p>
      <w:pPr>
        <w:spacing w:after="0" w:line="234" w:lineRule="exact"/>
        <w:rPr>
          <w:sz w:val="20"/>
          <w:szCs w:val="20"/>
          <w:color w:val="auto"/>
        </w:rPr>
      </w:pPr>
    </w:p>
    <w:p>
      <w:pPr>
        <w:ind w:left="640" w:hanging="436"/>
        <w:spacing w:after="0"/>
        <w:tabs>
          <w:tab w:leader="none" w:pos="640" w:val="left"/>
        </w:tabs>
        <w:numPr>
          <w:ilvl w:val="0"/>
          <w:numId w:val="190"/>
        </w:numPr>
        <w:rPr>
          <w:rFonts w:ascii="Arial" w:cs="Arial" w:eastAsia="Arial" w:hAnsi="Arial"/>
          <w:sz w:val="18"/>
          <w:szCs w:val="18"/>
          <w:b w:val="1"/>
          <w:bCs w:val="1"/>
          <w:color w:val="auto"/>
        </w:rPr>
      </w:pPr>
      <w:r>
        <w:rPr>
          <w:rFonts w:ascii="Arial" w:cs="Arial" w:eastAsia="Arial" w:hAnsi="Arial"/>
          <w:sz w:val="18"/>
          <w:szCs w:val="18"/>
          <w:b w:val="1"/>
          <w:bCs w:val="1"/>
          <w:color w:val="auto"/>
        </w:rPr>
        <w:t>DEED OF CROSS GUARANTEE (CONTINUED)</w:t>
      </w:r>
    </w:p>
    <w:p>
      <w:pPr>
        <w:spacing w:after="0" w:line="135" w:lineRule="exact"/>
        <w:rPr>
          <w:sz w:val="20"/>
          <w:szCs w:val="20"/>
          <w:color w:val="auto"/>
        </w:rPr>
      </w:pPr>
    </w:p>
    <w:p>
      <w:pPr>
        <w:ind w:left="200" w:right="520"/>
        <w:spacing w:after="0" w:line="277" w:lineRule="auto"/>
        <w:rPr>
          <w:sz w:val="20"/>
          <w:szCs w:val="20"/>
          <w:color w:val="auto"/>
        </w:rPr>
      </w:pPr>
      <w:r>
        <w:rPr>
          <w:rFonts w:ascii="Arial" w:cs="Arial" w:eastAsia="Arial" w:hAnsi="Arial"/>
          <w:sz w:val="18"/>
          <w:szCs w:val="18"/>
          <w:color w:val="auto"/>
        </w:rPr>
        <w:t>Set out below is a consolidated statement of profit or loss and other comprehensive income and consolidated statement of financial position of the ‘Closed Group’.</w:t>
      </w:r>
    </w:p>
    <w:p>
      <w:pPr>
        <w:spacing w:after="0" w:line="177" w:lineRule="exact"/>
        <w:rPr>
          <w:sz w:val="20"/>
          <w:szCs w:val="20"/>
          <w:color w:val="auto"/>
        </w:rPr>
      </w:pPr>
    </w:p>
    <w:tbl>
      <w:tblPr>
        <w:tblLayout w:type="fixed"/>
        <w:tblInd w:w="200" w:type="dxa"/>
        <w:tblCellMar>
          <w:top w:w="0" w:type="dxa"/>
          <w:left w:w="0" w:type="dxa"/>
          <w:bottom w:w="0" w:type="dxa"/>
          <w:right w:w="0" w:type="dxa"/>
        </w:tblCellMar>
      </w:tblPr>
      <w:tr>
        <w:trPr>
          <w:trHeight w:val="161"/>
        </w:trPr>
        <w:tc>
          <w:tcPr>
            <w:tcW w:w="4620" w:type="dxa"/>
            <w:vAlign w:val="bottom"/>
            <w:gridSpan w:val="2"/>
          </w:tcPr>
          <w:p>
            <w:pPr>
              <w:spacing w:after="0"/>
              <w:rPr>
                <w:sz w:val="20"/>
                <w:szCs w:val="20"/>
                <w:color w:val="auto"/>
              </w:rPr>
            </w:pPr>
            <w:r>
              <w:rPr>
                <w:rFonts w:ascii="Arial" w:cs="Arial" w:eastAsia="Arial" w:hAnsi="Arial"/>
                <w:sz w:val="14"/>
                <w:szCs w:val="14"/>
                <w:b w:val="1"/>
                <w:bCs w:val="1"/>
                <w:color w:val="auto"/>
              </w:rPr>
              <w:t>Continuing operations</w:t>
            </w:r>
          </w:p>
        </w:tc>
        <w:tc>
          <w:tcPr>
            <w:tcW w:w="17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00" w:type="dxa"/>
            <w:vAlign w:val="bottom"/>
            <w:vMerge w:val="restart"/>
          </w:tcPr>
          <w:p>
            <w:pPr>
              <w:jc w:val="right"/>
              <w:ind w:right="331"/>
              <w:spacing w:after="0"/>
              <w:rPr>
                <w:sz w:val="20"/>
                <w:szCs w:val="20"/>
                <w:color w:val="auto"/>
              </w:rPr>
            </w:pPr>
            <w:r>
              <w:rPr>
                <w:rFonts w:ascii="Arial" w:cs="Arial" w:eastAsia="Arial" w:hAnsi="Arial"/>
                <w:sz w:val="14"/>
                <w:szCs w:val="14"/>
                <w:b w:val="1"/>
                <w:bCs w:val="1"/>
                <w:color w:val="auto"/>
              </w:rPr>
              <w:t>2018</w:t>
            </w:r>
          </w:p>
        </w:tc>
        <w:tc>
          <w:tcPr>
            <w:tcW w:w="280" w:type="dxa"/>
            <w:vAlign w:val="bottom"/>
          </w:tcPr>
          <w:p>
            <w:pPr>
              <w:spacing w:after="0"/>
              <w:rPr>
                <w:sz w:val="14"/>
                <w:szCs w:val="14"/>
                <w:color w:val="auto"/>
              </w:rPr>
            </w:pPr>
          </w:p>
        </w:tc>
        <w:tc>
          <w:tcPr>
            <w:tcW w:w="1760" w:type="dxa"/>
            <w:vAlign w:val="bottom"/>
            <w:gridSpan w:val="4"/>
          </w:tcPr>
          <w:p>
            <w:pPr>
              <w:jc w:val="right"/>
              <w:ind w:right="200"/>
              <w:spacing w:after="0"/>
              <w:rPr>
                <w:sz w:val="20"/>
                <w:szCs w:val="20"/>
                <w:color w:val="auto"/>
              </w:rPr>
            </w:pPr>
            <w:r>
              <w:rPr>
                <w:rFonts w:ascii="Arial" w:cs="Arial" w:eastAsia="Arial" w:hAnsi="Arial"/>
                <w:sz w:val="14"/>
                <w:szCs w:val="14"/>
                <w:b w:val="1"/>
                <w:bCs w:val="1"/>
                <w:color w:val="auto"/>
              </w:rPr>
              <w:t>Year ended June 30,</w:t>
            </w:r>
          </w:p>
        </w:tc>
        <w:tc>
          <w:tcPr>
            <w:tcW w:w="2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80" w:type="dxa"/>
            <w:vAlign w:val="bottom"/>
            <w:vMerge w:val="restart"/>
          </w:tcPr>
          <w:p>
            <w:pPr>
              <w:jc w:val="right"/>
              <w:ind w:right="331"/>
              <w:spacing w:after="0"/>
              <w:rPr>
                <w:sz w:val="20"/>
                <w:szCs w:val="20"/>
                <w:color w:val="auto"/>
              </w:rPr>
            </w:pPr>
            <w:r>
              <w:rPr>
                <w:rFonts w:ascii="Arial" w:cs="Arial" w:eastAsia="Arial" w:hAnsi="Arial"/>
                <w:sz w:val="14"/>
                <w:szCs w:val="14"/>
                <w:b w:val="1"/>
                <w:bCs w:val="1"/>
                <w:color w:val="auto"/>
              </w:rPr>
              <w:t>2016</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4600" w:type="dxa"/>
            <w:vAlign w:val="bottom"/>
            <w:tcBorders>
              <w:bottom w:val="single" w:sz="8" w:color="CCEEFF"/>
            </w:tcBorders>
          </w:tcPr>
          <w:p>
            <w:pPr>
              <w:spacing w:after="0"/>
              <w:rPr>
                <w:sz w:val="14"/>
                <w:szCs w:val="14"/>
                <w:color w:val="auto"/>
              </w:rPr>
            </w:pPr>
          </w:p>
        </w:tc>
        <w:tc>
          <w:tcPr>
            <w:tcW w:w="1760" w:type="dxa"/>
            <w:vAlign w:val="bottom"/>
            <w:tcBorders>
              <w:bottom w:val="single" w:sz="8" w:color="CCEEFF"/>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vMerge w:val="continue"/>
          </w:tcPr>
          <w:p>
            <w:pPr>
              <w:spacing w:after="0"/>
              <w:rPr>
                <w:sz w:val="14"/>
                <w:szCs w:val="14"/>
                <w:color w:val="auto"/>
              </w:rPr>
            </w:pPr>
          </w:p>
        </w:tc>
        <w:tc>
          <w:tcPr>
            <w:tcW w:w="280" w:type="dxa"/>
            <w:vAlign w:val="bottom"/>
            <w:tcBorders>
              <w:bottom w:val="single" w:sz="8" w:color="CCEEFF"/>
            </w:tcBorders>
          </w:tcPr>
          <w:p>
            <w:pPr>
              <w:spacing w:after="0"/>
              <w:rPr>
                <w:sz w:val="14"/>
                <w:szCs w:val="14"/>
                <w:color w:val="auto"/>
              </w:rPr>
            </w:pPr>
          </w:p>
        </w:tc>
        <w:tc>
          <w:tcPr>
            <w:tcW w:w="320" w:type="dxa"/>
            <w:vAlign w:val="bottom"/>
            <w:tcBorders>
              <w:bottom w:val="single" w:sz="8" w:color="CCEEFF"/>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jc w:val="right"/>
              <w:ind w:right="311"/>
              <w:spacing w:after="0"/>
              <w:rPr>
                <w:sz w:val="20"/>
                <w:szCs w:val="20"/>
                <w:color w:val="auto"/>
              </w:rPr>
            </w:pPr>
            <w:r>
              <w:rPr>
                <w:rFonts w:ascii="Arial" w:cs="Arial" w:eastAsia="Arial" w:hAnsi="Arial"/>
                <w:sz w:val="14"/>
                <w:szCs w:val="14"/>
                <w:b w:val="1"/>
                <w:bCs w:val="1"/>
                <w:color w:val="auto"/>
              </w:rPr>
              <w:t>2017</w:t>
            </w:r>
          </w:p>
        </w:tc>
        <w:tc>
          <w:tcPr>
            <w:tcW w:w="340" w:type="dxa"/>
            <w:vAlign w:val="bottom"/>
            <w:tcBorders>
              <w:bottom w:val="single" w:sz="8" w:color="CCEEFF"/>
            </w:tcBorders>
          </w:tcPr>
          <w:p>
            <w:pPr>
              <w:spacing w:after="0"/>
              <w:rPr>
                <w:sz w:val="14"/>
                <w:szCs w:val="14"/>
                <w:color w:val="auto"/>
              </w:rPr>
            </w:pPr>
          </w:p>
        </w:tc>
        <w:tc>
          <w:tcPr>
            <w:tcW w:w="280" w:type="dxa"/>
            <w:vAlign w:val="bottom"/>
            <w:tcBorders>
              <w:bottom w:val="single" w:sz="8" w:color="CCEEFF"/>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vMerge w:val="continue"/>
          </w:tcPr>
          <w:p>
            <w:pPr>
              <w:spacing w:after="0"/>
              <w:rPr>
                <w:sz w:val="14"/>
                <w:szCs w:val="14"/>
                <w:color w:val="auto"/>
              </w:rPr>
            </w:pPr>
          </w:p>
        </w:tc>
        <w:tc>
          <w:tcPr>
            <w:tcW w:w="12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600" w:type="dxa"/>
            <w:vAlign w:val="bottom"/>
            <w:shd w:val="clear" w:color="auto" w:fill="CCEEFF"/>
          </w:tcPr>
          <w:p>
            <w:pPr>
              <w:spacing w:after="0"/>
              <w:rPr>
                <w:sz w:val="20"/>
                <w:szCs w:val="20"/>
                <w:color w:val="auto"/>
              </w:rPr>
            </w:pPr>
            <w:r>
              <w:rPr>
                <w:rFonts w:ascii="Arial" w:cs="Arial" w:eastAsia="Arial" w:hAnsi="Arial"/>
                <w:sz w:val="18"/>
                <w:szCs w:val="18"/>
                <w:color w:val="auto"/>
              </w:rPr>
              <w:t>Sale of goods</w:t>
            </w:r>
          </w:p>
        </w:tc>
        <w:tc>
          <w:tcPr>
            <w:tcW w:w="17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20"/>
                <w:szCs w:val="20"/>
                <w:color w:val="auto"/>
              </w:rPr>
            </w:pPr>
            <w:r>
              <w:rPr>
                <w:rFonts w:ascii="Arial" w:cs="Arial" w:eastAsia="Arial" w:hAnsi="Arial"/>
                <w:sz w:val="18"/>
                <w:szCs w:val="18"/>
                <w:color w:val="auto"/>
                <w:w w:val="90"/>
              </w:rPr>
              <w:t>A$</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709,907</w:t>
            </w:r>
          </w:p>
        </w:tc>
        <w:tc>
          <w:tcPr>
            <w:tcW w:w="2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20"/>
                <w:szCs w:val="20"/>
                <w:color w:val="auto"/>
              </w:rPr>
            </w:pPr>
            <w:r>
              <w:rPr>
                <w:rFonts w:ascii="Arial" w:cs="Arial" w:eastAsia="Arial" w:hAnsi="Arial"/>
                <w:sz w:val="18"/>
                <w:szCs w:val="18"/>
                <w:color w:val="auto"/>
                <w:w w:val="90"/>
              </w:rPr>
              <w:t>A$</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452,662</w:t>
            </w:r>
          </w:p>
        </w:tc>
        <w:tc>
          <w:tcPr>
            <w:tcW w:w="3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20"/>
                <w:szCs w:val="20"/>
                <w:color w:val="auto"/>
              </w:rPr>
            </w:pPr>
            <w:r>
              <w:rPr>
                <w:rFonts w:ascii="Arial" w:cs="Arial" w:eastAsia="Arial" w:hAnsi="Arial"/>
                <w:sz w:val="18"/>
                <w:szCs w:val="18"/>
                <w:color w:val="auto"/>
                <w:w w:val="90"/>
              </w:rPr>
              <w:t>A$</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436,101</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600" w:type="dxa"/>
            <w:vAlign w:val="bottom"/>
          </w:tcPr>
          <w:p>
            <w:pPr>
              <w:spacing w:after="0"/>
              <w:rPr>
                <w:sz w:val="20"/>
                <w:szCs w:val="20"/>
                <w:color w:val="auto"/>
              </w:rPr>
            </w:pPr>
            <w:r>
              <w:rPr>
                <w:rFonts w:ascii="Arial" w:cs="Arial" w:eastAsia="Arial" w:hAnsi="Arial"/>
                <w:sz w:val="18"/>
                <w:szCs w:val="18"/>
                <w:color w:val="auto"/>
              </w:rPr>
              <w:t>Other revenue</w:t>
            </w:r>
          </w:p>
        </w:tc>
        <w:tc>
          <w:tcPr>
            <w:tcW w:w="176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59,552</w:t>
            </w:r>
          </w:p>
        </w:tc>
        <w:tc>
          <w:tcPr>
            <w:tcW w:w="2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129,958</w:t>
            </w:r>
          </w:p>
        </w:tc>
        <w:tc>
          <w:tcPr>
            <w:tcW w:w="3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109,789</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Revenue</w:t>
            </w:r>
          </w:p>
        </w:tc>
        <w:tc>
          <w:tcPr>
            <w:tcW w:w="17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769,459</w:t>
            </w:r>
          </w:p>
        </w:tc>
        <w:tc>
          <w:tcPr>
            <w:tcW w:w="2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582,620</w:t>
            </w:r>
          </w:p>
        </w:tc>
        <w:tc>
          <w:tcPr>
            <w:tcW w:w="3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545,890</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31"/>
        </w:trPr>
        <w:tc>
          <w:tcPr>
            <w:tcW w:w="4620" w:type="dxa"/>
            <w:vAlign w:val="bottom"/>
            <w:gridSpan w:val="2"/>
          </w:tcPr>
          <w:p>
            <w:pPr>
              <w:spacing w:after="0"/>
              <w:rPr>
                <w:sz w:val="20"/>
                <w:szCs w:val="20"/>
                <w:color w:val="auto"/>
              </w:rPr>
            </w:pPr>
            <w:r>
              <w:rPr>
                <w:rFonts w:ascii="Arial" w:cs="Arial" w:eastAsia="Arial" w:hAnsi="Arial"/>
                <w:sz w:val="18"/>
                <w:szCs w:val="18"/>
                <w:color w:val="auto"/>
              </w:rPr>
              <w:t>Cost of sales</w:t>
            </w:r>
          </w:p>
        </w:tc>
        <w:tc>
          <w:tcPr>
            <w:tcW w:w="17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80" w:type="dxa"/>
            <w:vAlign w:val="bottom"/>
            <w:gridSpan w:val="2"/>
          </w:tcPr>
          <w:p>
            <w:pPr>
              <w:jc w:val="right"/>
              <w:ind w:right="200"/>
              <w:spacing w:after="0"/>
              <w:rPr>
                <w:sz w:val="20"/>
                <w:szCs w:val="20"/>
                <w:color w:val="auto"/>
              </w:rPr>
            </w:pPr>
            <w:r>
              <w:rPr>
                <w:rFonts w:ascii="Arial" w:cs="Arial" w:eastAsia="Arial" w:hAnsi="Arial"/>
                <w:sz w:val="18"/>
                <w:szCs w:val="18"/>
                <w:color w:val="auto"/>
              </w:rPr>
              <w:t>(331,244)</w:t>
            </w:r>
          </w:p>
        </w:tc>
        <w:tc>
          <w:tcPr>
            <w:tcW w:w="3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20" w:type="dxa"/>
            <w:vAlign w:val="bottom"/>
            <w:gridSpan w:val="2"/>
          </w:tcPr>
          <w:p>
            <w:pPr>
              <w:jc w:val="right"/>
              <w:ind w:right="200"/>
              <w:spacing w:after="0"/>
              <w:rPr>
                <w:sz w:val="20"/>
                <w:szCs w:val="20"/>
                <w:color w:val="auto"/>
              </w:rPr>
            </w:pPr>
            <w:r>
              <w:rPr>
                <w:rFonts w:ascii="Arial" w:cs="Arial" w:eastAsia="Arial" w:hAnsi="Arial"/>
                <w:sz w:val="18"/>
                <w:szCs w:val="18"/>
                <w:color w:val="auto"/>
              </w:rPr>
              <w:t>(243,708)</w:t>
            </w:r>
          </w:p>
        </w:tc>
        <w:tc>
          <w:tcPr>
            <w:tcW w:w="2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0" w:type="dxa"/>
            <w:vAlign w:val="bottom"/>
            <w:gridSpan w:val="2"/>
          </w:tcPr>
          <w:p>
            <w:pPr>
              <w:jc w:val="right"/>
              <w:spacing w:after="0"/>
              <w:rPr>
                <w:sz w:val="20"/>
                <w:szCs w:val="20"/>
                <w:color w:val="auto"/>
              </w:rPr>
            </w:pPr>
            <w:r>
              <w:rPr>
                <w:rFonts w:ascii="Arial" w:cs="Arial" w:eastAsia="Arial" w:hAnsi="Arial"/>
                <w:sz w:val="18"/>
                <w:szCs w:val="18"/>
                <w:color w:val="auto"/>
              </w:rPr>
              <w:t>(210,200)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Gross profit</w:t>
            </w:r>
          </w:p>
        </w:tc>
        <w:tc>
          <w:tcPr>
            <w:tcW w:w="1760" w:type="dxa"/>
            <w:vAlign w:val="bottom"/>
            <w:shd w:val="clear" w:color="auto" w:fill="CCEEFF"/>
          </w:tcPr>
          <w:p>
            <w:pPr>
              <w:spacing w:after="0"/>
              <w:rPr>
                <w:sz w:val="18"/>
                <w:szCs w:val="18"/>
                <w:color w:val="auto"/>
              </w:rPr>
            </w:pPr>
          </w:p>
        </w:tc>
        <w:tc>
          <w:tcPr>
            <w:tcW w:w="220" w:type="dxa"/>
            <w:vAlign w:val="bottom"/>
            <w:tcBorders>
              <w:top w:val="single" w:sz="8" w:color="auto"/>
              <w:bottom w:val="single" w:sz="8" w:color="auto"/>
            </w:tcBorders>
            <w:shd w:val="clear" w:color="auto" w:fill="CCEEFF"/>
          </w:tcPr>
          <w:p>
            <w:pPr>
              <w:spacing w:after="0"/>
              <w:rPr>
                <w:sz w:val="18"/>
                <w:szCs w:val="18"/>
                <w:color w:val="auto"/>
              </w:rPr>
            </w:pP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438,215</w:t>
            </w:r>
          </w:p>
        </w:tc>
        <w:tc>
          <w:tcPr>
            <w:tcW w:w="2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20" w:type="dxa"/>
            <w:vAlign w:val="bottom"/>
            <w:tcBorders>
              <w:top w:val="single" w:sz="8" w:color="auto"/>
              <w:bottom w:val="single" w:sz="8" w:color="auto"/>
            </w:tcBorders>
            <w:shd w:val="clear" w:color="auto" w:fill="CCEEFF"/>
          </w:tcPr>
          <w:p>
            <w:pPr>
              <w:spacing w:after="0"/>
              <w:rPr>
                <w:sz w:val="18"/>
                <w:szCs w:val="18"/>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338,912</w:t>
            </w:r>
          </w:p>
        </w:tc>
        <w:tc>
          <w:tcPr>
            <w:tcW w:w="3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20" w:type="dxa"/>
            <w:vAlign w:val="bottom"/>
            <w:tcBorders>
              <w:top w:val="single" w:sz="8" w:color="auto"/>
              <w:bottom w:val="single" w:sz="8" w:color="auto"/>
            </w:tcBorders>
            <w:shd w:val="clear" w:color="auto" w:fill="CCEEFF"/>
          </w:tcPr>
          <w:p>
            <w:pPr>
              <w:spacing w:after="0"/>
              <w:rPr>
                <w:sz w:val="18"/>
                <w:szCs w:val="18"/>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335,690</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4620" w:type="dxa"/>
            <w:vAlign w:val="bottom"/>
            <w:gridSpan w:val="2"/>
          </w:tcPr>
          <w:p>
            <w:pPr>
              <w:spacing w:after="0"/>
              <w:rPr>
                <w:sz w:val="20"/>
                <w:szCs w:val="20"/>
                <w:color w:val="auto"/>
              </w:rPr>
            </w:pPr>
            <w:r>
              <w:rPr>
                <w:rFonts w:ascii="Arial" w:cs="Arial" w:eastAsia="Arial" w:hAnsi="Arial"/>
                <w:sz w:val="18"/>
                <w:szCs w:val="18"/>
                <w:b w:val="1"/>
                <w:bCs w:val="1"/>
                <w:color w:val="auto"/>
              </w:rPr>
              <w:t>Other income</w:t>
            </w:r>
          </w:p>
        </w:tc>
        <w:tc>
          <w:tcPr>
            <w:tcW w:w="17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0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184,088</w:t>
            </w:r>
          </w:p>
        </w:tc>
        <w:tc>
          <w:tcPr>
            <w:tcW w:w="3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2,226,911</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7"/>
        </w:trPr>
        <w:tc>
          <w:tcPr>
            <w:tcW w:w="20" w:type="dxa"/>
            <w:vAlign w:val="bottom"/>
            <w:vMerge w:val="restart"/>
          </w:tcPr>
          <w:p>
            <w:pPr>
              <w:spacing w:after="0"/>
              <w:rPr>
                <w:sz w:val="9"/>
                <w:szCs w:val="9"/>
                <w:color w:val="auto"/>
              </w:rPr>
            </w:pPr>
          </w:p>
        </w:tc>
        <w:tc>
          <w:tcPr>
            <w:tcW w:w="4600" w:type="dxa"/>
            <w:vAlign w:val="bottom"/>
          </w:tcPr>
          <w:p>
            <w:pPr>
              <w:spacing w:after="0"/>
              <w:rPr>
                <w:sz w:val="9"/>
                <w:szCs w:val="9"/>
                <w:color w:val="auto"/>
              </w:rPr>
            </w:pPr>
          </w:p>
        </w:tc>
        <w:tc>
          <w:tcPr>
            <w:tcW w:w="1760" w:type="dxa"/>
            <w:vAlign w:val="bottom"/>
          </w:tcPr>
          <w:p>
            <w:pPr>
              <w:spacing w:after="0"/>
              <w:rPr>
                <w:sz w:val="9"/>
                <w:szCs w:val="9"/>
                <w:color w:val="auto"/>
              </w:rPr>
            </w:pPr>
          </w:p>
        </w:tc>
        <w:tc>
          <w:tcPr>
            <w:tcW w:w="220" w:type="dxa"/>
            <w:vAlign w:val="bottom"/>
          </w:tcPr>
          <w:p>
            <w:pPr>
              <w:spacing w:after="0"/>
              <w:rPr>
                <w:sz w:val="9"/>
                <w:szCs w:val="9"/>
                <w:color w:val="auto"/>
              </w:rPr>
            </w:pPr>
          </w:p>
        </w:tc>
        <w:tc>
          <w:tcPr>
            <w:tcW w:w="900" w:type="dxa"/>
            <w:vAlign w:val="bottom"/>
          </w:tcPr>
          <w:p>
            <w:pPr>
              <w:spacing w:after="0"/>
              <w:rPr>
                <w:sz w:val="9"/>
                <w:szCs w:val="9"/>
                <w:color w:val="auto"/>
              </w:rPr>
            </w:pPr>
          </w:p>
        </w:tc>
        <w:tc>
          <w:tcPr>
            <w:tcW w:w="280" w:type="dxa"/>
            <w:vAlign w:val="bottom"/>
          </w:tcPr>
          <w:p>
            <w:pPr>
              <w:spacing w:after="0"/>
              <w:rPr>
                <w:sz w:val="9"/>
                <w:szCs w:val="9"/>
                <w:color w:val="auto"/>
              </w:rPr>
            </w:pPr>
          </w:p>
        </w:tc>
        <w:tc>
          <w:tcPr>
            <w:tcW w:w="320" w:type="dxa"/>
            <w:vAlign w:val="bottom"/>
          </w:tcPr>
          <w:p>
            <w:pPr>
              <w:spacing w:after="0"/>
              <w:rPr>
                <w:sz w:val="9"/>
                <w:szCs w:val="9"/>
                <w:color w:val="auto"/>
              </w:rPr>
            </w:pPr>
          </w:p>
        </w:tc>
        <w:tc>
          <w:tcPr>
            <w:tcW w:w="220" w:type="dxa"/>
            <w:vAlign w:val="bottom"/>
          </w:tcPr>
          <w:p>
            <w:pPr>
              <w:spacing w:after="0"/>
              <w:rPr>
                <w:sz w:val="9"/>
                <w:szCs w:val="9"/>
                <w:color w:val="auto"/>
              </w:rPr>
            </w:pPr>
          </w:p>
        </w:tc>
        <w:tc>
          <w:tcPr>
            <w:tcW w:w="880" w:type="dxa"/>
            <w:vAlign w:val="bottom"/>
          </w:tcPr>
          <w:p>
            <w:pPr>
              <w:spacing w:after="0"/>
              <w:rPr>
                <w:sz w:val="9"/>
                <w:szCs w:val="9"/>
                <w:color w:val="auto"/>
              </w:rPr>
            </w:pPr>
          </w:p>
        </w:tc>
        <w:tc>
          <w:tcPr>
            <w:tcW w:w="340" w:type="dxa"/>
            <w:vAlign w:val="bottom"/>
          </w:tcPr>
          <w:p>
            <w:pPr>
              <w:spacing w:after="0"/>
              <w:rPr>
                <w:sz w:val="9"/>
                <w:szCs w:val="9"/>
                <w:color w:val="auto"/>
              </w:rPr>
            </w:pPr>
          </w:p>
        </w:tc>
        <w:tc>
          <w:tcPr>
            <w:tcW w:w="280" w:type="dxa"/>
            <w:vAlign w:val="bottom"/>
          </w:tcPr>
          <w:p>
            <w:pPr>
              <w:spacing w:after="0"/>
              <w:rPr>
                <w:sz w:val="9"/>
                <w:szCs w:val="9"/>
                <w:color w:val="auto"/>
              </w:rPr>
            </w:pPr>
          </w:p>
        </w:tc>
        <w:tc>
          <w:tcPr>
            <w:tcW w:w="220" w:type="dxa"/>
            <w:vAlign w:val="bottom"/>
          </w:tcPr>
          <w:p>
            <w:pPr>
              <w:spacing w:after="0"/>
              <w:rPr>
                <w:sz w:val="9"/>
                <w:szCs w:val="9"/>
                <w:color w:val="auto"/>
              </w:rPr>
            </w:pPr>
          </w:p>
        </w:tc>
        <w:tc>
          <w:tcPr>
            <w:tcW w:w="880" w:type="dxa"/>
            <w:vAlign w:val="bottom"/>
          </w:tcPr>
          <w:p>
            <w:pPr>
              <w:spacing w:after="0"/>
              <w:rPr>
                <w:sz w:val="9"/>
                <w:szCs w:val="9"/>
                <w:color w:val="auto"/>
              </w:rPr>
            </w:pP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6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Operating costs</w:t>
            </w:r>
          </w:p>
        </w:tc>
        <w:tc>
          <w:tcPr>
            <w:tcW w:w="17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00" w:type="dxa"/>
            <w:vAlign w:val="bottom"/>
          </w:tcPr>
          <w:p>
            <w:pPr>
              <w:spacing w:after="0"/>
              <w:rPr>
                <w:sz w:val="20"/>
                <w:szCs w:val="20"/>
                <w:color w:val="auto"/>
              </w:rPr>
            </w:pPr>
            <w:r>
              <w:rPr>
                <w:rFonts w:ascii="Arial" w:cs="Arial" w:eastAsia="Arial" w:hAnsi="Arial"/>
                <w:sz w:val="18"/>
                <w:szCs w:val="18"/>
                <w:color w:val="auto"/>
              </w:rPr>
              <w:t>Administrative expenses</w:t>
            </w:r>
          </w:p>
        </w:tc>
        <w:tc>
          <w:tcPr>
            <w:tcW w:w="1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80" w:type="dxa"/>
            <w:vAlign w:val="bottom"/>
            <w:gridSpan w:val="2"/>
          </w:tcPr>
          <w:p>
            <w:pPr>
              <w:jc w:val="right"/>
              <w:ind w:right="200"/>
              <w:spacing w:after="0"/>
              <w:rPr>
                <w:sz w:val="20"/>
                <w:szCs w:val="20"/>
                <w:color w:val="auto"/>
              </w:rPr>
            </w:pPr>
            <w:r>
              <w:rPr>
                <w:rFonts w:ascii="Arial" w:cs="Arial" w:eastAsia="Arial" w:hAnsi="Arial"/>
                <w:sz w:val="18"/>
                <w:szCs w:val="18"/>
                <w:color w:val="auto"/>
                <w:w w:val="99"/>
              </w:rPr>
              <w:t>(4,660,971)</w:t>
            </w:r>
          </w:p>
        </w:tc>
        <w:tc>
          <w:tcPr>
            <w:tcW w:w="3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20" w:type="dxa"/>
            <w:vAlign w:val="bottom"/>
            <w:gridSpan w:val="2"/>
          </w:tcPr>
          <w:p>
            <w:pPr>
              <w:jc w:val="right"/>
              <w:ind w:right="200"/>
              <w:spacing w:after="0"/>
              <w:rPr>
                <w:sz w:val="20"/>
                <w:szCs w:val="20"/>
                <w:color w:val="auto"/>
              </w:rPr>
            </w:pPr>
            <w:r>
              <w:rPr>
                <w:rFonts w:ascii="Arial" w:cs="Arial" w:eastAsia="Arial" w:hAnsi="Arial"/>
                <w:sz w:val="18"/>
                <w:szCs w:val="18"/>
                <w:color w:val="auto"/>
                <w:w w:val="99"/>
              </w:rPr>
              <w:t>(3,085,503)</w:t>
            </w: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gridSpan w:val="2"/>
          </w:tcPr>
          <w:p>
            <w:pPr>
              <w:jc w:val="right"/>
              <w:spacing w:after="0"/>
              <w:rPr>
                <w:sz w:val="20"/>
                <w:szCs w:val="20"/>
                <w:color w:val="auto"/>
              </w:rPr>
            </w:pPr>
            <w:r>
              <w:rPr>
                <w:rFonts w:ascii="Arial" w:cs="Arial" w:eastAsia="Arial" w:hAnsi="Arial"/>
                <w:sz w:val="18"/>
                <w:szCs w:val="18"/>
                <w:color w:val="auto"/>
                <w:w w:val="99"/>
              </w:rPr>
              <w:t>(3,782,183)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00" w:type="dxa"/>
            <w:vAlign w:val="bottom"/>
            <w:shd w:val="clear" w:color="auto" w:fill="CCEEFF"/>
          </w:tcPr>
          <w:p>
            <w:pPr>
              <w:spacing w:after="0"/>
              <w:rPr>
                <w:sz w:val="20"/>
                <w:szCs w:val="20"/>
                <w:color w:val="auto"/>
              </w:rPr>
            </w:pPr>
            <w:r>
              <w:rPr>
                <w:rFonts w:ascii="Arial" w:cs="Arial" w:eastAsia="Arial" w:hAnsi="Arial"/>
                <w:sz w:val="18"/>
                <w:szCs w:val="18"/>
                <w:color w:val="auto"/>
              </w:rPr>
              <w:t>Research and development expenses</w:t>
            </w:r>
          </w:p>
        </w:tc>
        <w:tc>
          <w:tcPr>
            <w:tcW w:w="17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(43,048)</w:t>
            </w:r>
          </w:p>
        </w:tc>
        <w:tc>
          <w:tcPr>
            <w:tcW w:w="3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99"/>
              </w:rPr>
              <w:t>(2,365,647)</w:t>
            </w: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9"/>
              </w:rPr>
              <w:t>(2,136,849)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00" w:type="dxa"/>
            <w:vAlign w:val="bottom"/>
          </w:tcPr>
          <w:p>
            <w:pPr>
              <w:spacing w:after="0"/>
              <w:rPr>
                <w:sz w:val="20"/>
                <w:szCs w:val="20"/>
                <w:color w:val="auto"/>
              </w:rPr>
            </w:pPr>
            <w:r>
              <w:rPr>
                <w:rFonts w:ascii="Arial" w:cs="Arial" w:eastAsia="Arial" w:hAnsi="Arial"/>
                <w:sz w:val="18"/>
                <w:szCs w:val="18"/>
                <w:color w:val="auto"/>
              </w:rPr>
              <w:t>Impairment of inter-company loans</w:t>
            </w:r>
          </w:p>
        </w:tc>
        <w:tc>
          <w:tcPr>
            <w:tcW w:w="1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80" w:type="dxa"/>
            <w:vAlign w:val="bottom"/>
            <w:gridSpan w:val="2"/>
          </w:tcPr>
          <w:p>
            <w:pPr>
              <w:jc w:val="right"/>
              <w:ind w:right="200"/>
              <w:spacing w:after="0"/>
              <w:rPr>
                <w:sz w:val="20"/>
                <w:szCs w:val="20"/>
                <w:color w:val="auto"/>
              </w:rPr>
            </w:pPr>
            <w:r>
              <w:rPr>
                <w:rFonts w:ascii="Arial" w:cs="Arial" w:eastAsia="Arial" w:hAnsi="Arial"/>
                <w:sz w:val="18"/>
                <w:szCs w:val="18"/>
                <w:color w:val="auto"/>
                <w:w w:val="90"/>
              </w:rPr>
              <w:t>(21,368,073)</w:t>
            </w:r>
          </w:p>
        </w:tc>
        <w:tc>
          <w:tcPr>
            <w:tcW w:w="3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20" w:type="dxa"/>
            <w:vAlign w:val="bottom"/>
            <w:gridSpan w:val="2"/>
          </w:tcPr>
          <w:p>
            <w:pPr>
              <w:jc w:val="right"/>
              <w:ind w:right="200"/>
              <w:spacing w:after="0"/>
              <w:rPr>
                <w:sz w:val="20"/>
                <w:szCs w:val="20"/>
                <w:color w:val="auto"/>
              </w:rPr>
            </w:pPr>
            <w:r>
              <w:rPr>
                <w:rFonts w:ascii="Arial" w:cs="Arial" w:eastAsia="Arial" w:hAnsi="Arial"/>
                <w:sz w:val="18"/>
                <w:szCs w:val="18"/>
                <w:color w:val="auto"/>
                <w:w w:val="99"/>
              </w:rPr>
              <w:t>(5,983,551)</w:t>
            </w: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gridSpan w:val="2"/>
          </w:tcPr>
          <w:p>
            <w:pPr>
              <w:jc w:val="right"/>
              <w:spacing w:after="0"/>
              <w:rPr>
                <w:sz w:val="20"/>
                <w:szCs w:val="20"/>
                <w:color w:val="auto"/>
              </w:rPr>
            </w:pPr>
            <w:r>
              <w:rPr>
                <w:rFonts w:ascii="Arial" w:cs="Arial" w:eastAsia="Arial" w:hAnsi="Arial"/>
                <w:sz w:val="18"/>
                <w:szCs w:val="18"/>
                <w:color w:val="auto"/>
                <w:w w:val="99"/>
              </w:rPr>
              <w:t>(7,515,021)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00" w:type="dxa"/>
            <w:vAlign w:val="bottom"/>
            <w:shd w:val="clear" w:color="auto" w:fill="CCEEFF"/>
          </w:tcPr>
          <w:p>
            <w:pPr>
              <w:spacing w:after="0"/>
              <w:rPr>
                <w:sz w:val="20"/>
                <w:szCs w:val="20"/>
                <w:color w:val="auto"/>
              </w:rPr>
            </w:pPr>
            <w:r>
              <w:rPr>
                <w:rFonts w:ascii="Arial" w:cs="Arial" w:eastAsia="Arial" w:hAnsi="Arial"/>
                <w:sz w:val="18"/>
                <w:szCs w:val="18"/>
                <w:color w:val="auto"/>
              </w:rPr>
              <w:t>Sales and marketing expenses</w:t>
            </w:r>
          </w:p>
        </w:tc>
        <w:tc>
          <w:tcPr>
            <w:tcW w:w="17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99"/>
              </w:rPr>
              <w:t>(1,250,976)</w:t>
            </w:r>
          </w:p>
        </w:tc>
        <w:tc>
          <w:tcPr>
            <w:tcW w:w="3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(834,600)</w:t>
            </w: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(978,429)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00" w:type="dxa"/>
            <w:vAlign w:val="bottom"/>
          </w:tcPr>
          <w:p>
            <w:pPr>
              <w:spacing w:after="0"/>
              <w:rPr>
                <w:sz w:val="20"/>
                <w:szCs w:val="20"/>
                <w:color w:val="auto"/>
              </w:rPr>
            </w:pPr>
            <w:r>
              <w:rPr>
                <w:rFonts w:ascii="Arial" w:cs="Arial" w:eastAsia="Arial" w:hAnsi="Arial"/>
                <w:sz w:val="18"/>
                <w:szCs w:val="18"/>
                <w:color w:val="auto"/>
              </w:rPr>
              <w:t>Finance costs</w:t>
            </w:r>
          </w:p>
        </w:tc>
        <w:tc>
          <w:tcPr>
            <w:tcW w:w="1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20" w:type="dxa"/>
            <w:vAlign w:val="bottom"/>
            <w:gridSpan w:val="2"/>
          </w:tcPr>
          <w:p>
            <w:pPr>
              <w:jc w:val="right"/>
              <w:ind w:right="200"/>
              <w:spacing w:after="0"/>
              <w:rPr>
                <w:sz w:val="20"/>
                <w:szCs w:val="20"/>
                <w:color w:val="auto"/>
              </w:rPr>
            </w:pPr>
            <w:r>
              <w:rPr>
                <w:rFonts w:ascii="Arial" w:cs="Arial" w:eastAsia="Arial" w:hAnsi="Arial"/>
                <w:sz w:val="18"/>
                <w:szCs w:val="18"/>
                <w:color w:val="auto"/>
              </w:rPr>
              <w:t>(41)</w:t>
            </w: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gridSpan w:val="2"/>
          </w:tcPr>
          <w:p>
            <w:pPr>
              <w:jc w:val="right"/>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600" w:type="dxa"/>
            <w:vAlign w:val="bottom"/>
          </w:tcPr>
          <w:p>
            <w:pPr>
              <w:spacing w:after="0"/>
              <w:rPr>
                <w:sz w:val="2"/>
                <w:szCs w:val="2"/>
                <w:color w:val="auto"/>
              </w:rPr>
            </w:pPr>
          </w:p>
        </w:tc>
        <w:tc>
          <w:tcPr>
            <w:tcW w:w="176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32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28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6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Loss from continuing operations before income tax</w:t>
            </w:r>
          </w:p>
        </w:tc>
        <w:tc>
          <w:tcPr>
            <w:tcW w:w="17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b w:val="1"/>
                <w:bCs w:val="1"/>
                <w:color w:val="auto"/>
                <w:w w:val="90"/>
              </w:rPr>
              <w:t>(26,884,853)</w:t>
            </w:r>
          </w:p>
        </w:tc>
        <w:tc>
          <w:tcPr>
            <w:tcW w:w="3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b w:val="1"/>
                <w:bCs w:val="1"/>
                <w:color w:val="auto"/>
                <w:w w:val="90"/>
              </w:rPr>
              <w:t>(11,746,342)</w:t>
            </w: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w w:val="90"/>
              </w:rPr>
              <w:t>(11,849,884)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00" w:type="dxa"/>
            <w:vAlign w:val="bottom"/>
          </w:tcPr>
          <w:p>
            <w:pPr>
              <w:spacing w:after="0"/>
              <w:rPr>
                <w:sz w:val="20"/>
                <w:szCs w:val="20"/>
                <w:color w:val="auto"/>
              </w:rPr>
            </w:pPr>
            <w:r>
              <w:rPr>
                <w:rFonts w:ascii="Arial" w:cs="Arial" w:eastAsia="Arial" w:hAnsi="Arial"/>
                <w:sz w:val="18"/>
                <w:szCs w:val="18"/>
                <w:color w:val="auto"/>
              </w:rPr>
              <w:t>Profit from discontinued operations</w:t>
            </w:r>
          </w:p>
        </w:tc>
        <w:tc>
          <w:tcPr>
            <w:tcW w:w="1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8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2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269,394</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00" w:type="dxa"/>
            <w:vAlign w:val="bottom"/>
            <w:shd w:val="clear" w:color="auto" w:fill="CCEEFF"/>
          </w:tcPr>
          <w:p>
            <w:pPr>
              <w:spacing w:after="0"/>
              <w:rPr>
                <w:sz w:val="20"/>
                <w:szCs w:val="20"/>
                <w:color w:val="auto"/>
              </w:rPr>
            </w:pPr>
            <w:r>
              <w:rPr>
                <w:rFonts w:ascii="Arial" w:cs="Arial" w:eastAsia="Arial" w:hAnsi="Arial"/>
                <w:sz w:val="18"/>
                <w:szCs w:val="18"/>
                <w:color w:val="auto"/>
              </w:rPr>
              <w:t>Income tax benefit</w:t>
            </w:r>
          </w:p>
        </w:tc>
        <w:tc>
          <w:tcPr>
            <w:tcW w:w="176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1,385,796</w:t>
            </w:r>
          </w:p>
        </w:tc>
        <w:tc>
          <w:tcPr>
            <w:tcW w:w="2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1,048,634</w:t>
            </w:r>
          </w:p>
        </w:tc>
        <w:tc>
          <w:tcPr>
            <w:tcW w:w="3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972,282</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4620" w:type="dxa"/>
            <w:vAlign w:val="bottom"/>
            <w:gridSpan w:val="2"/>
          </w:tcPr>
          <w:p>
            <w:pPr>
              <w:spacing w:after="0"/>
              <w:rPr>
                <w:sz w:val="20"/>
                <w:szCs w:val="20"/>
                <w:color w:val="auto"/>
              </w:rPr>
            </w:pPr>
            <w:r>
              <w:rPr>
                <w:rFonts w:ascii="Arial" w:cs="Arial" w:eastAsia="Arial" w:hAnsi="Arial"/>
                <w:sz w:val="18"/>
                <w:szCs w:val="18"/>
                <w:b w:val="1"/>
                <w:bCs w:val="1"/>
                <w:color w:val="auto"/>
              </w:rPr>
              <w:t>Total comprehensive loss for the period</w:t>
            </w:r>
          </w:p>
        </w:tc>
        <w:tc>
          <w:tcPr>
            <w:tcW w:w="1760" w:type="dxa"/>
            <w:vAlign w:val="bottom"/>
          </w:tcPr>
          <w:p>
            <w:pPr>
              <w:spacing w:after="0"/>
              <w:rPr>
                <w:sz w:val="19"/>
                <w:szCs w:val="19"/>
                <w:color w:val="auto"/>
              </w:rPr>
            </w:pPr>
          </w:p>
        </w:tc>
        <w:tc>
          <w:tcPr>
            <w:tcW w:w="22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u w:val="single" w:color="auto"/>
                <w:color w:val="auto"/>
                <w:w w:val="86"/>
              </w:rPr>
              <w:t>A$</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89"/>
              </w:rPr>
              <w:t>(25,499,057</w:t>
            </w:r>
          </w:p>
        </w:tc>
        <w:tc>
          <w:tcPr>
            <w:tcW w:w="280" w:type="dxa"/>
            <w:vAlign w:val="bottom"/>
          </w:tcPr>
          <w:p>
            <w:pPr>
              <w:jc w:val="right"/>
              <w:ind w:right="200"/>
              <w:spacing w:after="0"/>
              <w:rPr>
                <w:sz w:val="20"/>
                <w:szCs w:val="20"/>
                <w:color w:val="auto"/>
              </w:rPr>
            </w:pPr>
            <w:r>
              <w:rPr>
                <w:rFonts w:ascii="Arial" w:cs="Arial" w:eastAsia="Arial" w:hAnsi="Arial"/>
                <w:sz w:val="8"/>
                <w:szCs w:val="8"/>
                <w:b w:val="1"/>
                <w:bCs w:val="1"/>
                <w:color w:val="auto"/>
                <w:w w:val="73"/>
              </w:rPr>
              <w:t>)</w:t>
            </w:r>
          </w:p>
        </w:tc>
        <w:tc>
          <w:tcPr>
            <w:tcW w:w="320" w:type="dxa"/>
            <w:vAlign w:val="bottom"/>
          </w:tcPr>
          <w:p>
            <w:pPr>
              <w:spacing w:after="0"/>
              <w:rPr>
                <w:sz w:val="19"/>
                <w:szCs w:val="19"/>
                <w:color w:val="auto"/>
              </w:rPr>
            </w:pPr>
          </w:p>
        </w:tc>
        <w:tc>
          <w:tcPr>
            <w:tcW w:w="22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u w:val="single" w:color="auto"/>
                <w:color w:val="auto"/>
                <w:w w:val="86"/>
              </w:rPr>
              <w:t>A$</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89"/>
              </w:rPr>
              <w:t>(10,697,708</w:t>
            </w:r>
          </w:p>
        </w:tc>
        <w:tc>
          <w:tcPr>
            <w:tcW w:w="340" w:type="dxa"/>
            <w:vAlign w:val="bottom"/>
          </w:tcPr>
          <w:p>
            <w:pPr>
              <w:jc w:val="right"/>
              <w:ind w:right="200"/>
              <w:spacing w:after="0"/>
              <w:rPr>
                <w:sz w:val="20"/>
                <w:szCs w:val="20"/>
                <w:color w:val="auto"/>
              </w:rPr>
            </w:pPr>
            <w:r>
              <w:rPr>
                <w:rFonts w:ascii="Arial" w:cs="Arial" w:eastAsia="Arial" w:hAnsi="Arial"/>
                <w:sz w:val="16"/>
                <w:szCs w:val="16"/>
                <w:b w:val="1"/>
                <w:bCs w:val="1"/>
                <w:color w:val="auto"/>
                <w:w w:val="74"/>
              </w:rPr>
              <w:t>)</w:t>
            </w:r>
          </w:p>
        </w:tc>
        <w:tc>
          <w:tcPr>
            <w:tcW w:w="280" w:type="dxa"/>
            <w:vAlign w:val="bottom"/>
          </w:tcPr>
          <w:p>
            <w:pPr>
              <w:spacing w:after="0"/>
              <w:rPr>
                <w:sz w:val="19"/>
                <w:szCs w:val="19"/>
                <w:color w:val="auto"/>
              </w:rPr>
            </w:pPr>
          </w:p>
        </w:tc>
        <w:tc>
          <w:tcPr>
            <w:tcW w:w="22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u w:val="single" w:color="auto"/>
                <w:color w:val="auto"/>
                <w:w w:val="86"/>
              </w:rPr>
              <w:t>A$</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89"/>
              </w:rPr>
              <w:t>(10,608,208</w:t>
            </w:r>
          </w:p>
        </w:tc>
        <w:tc>
          <w:tcPr>
            <w:tcW w:w="120" w:type="dxa"/>
            <w:vAlign w:val="bottom"/>
          </w:tcPr>
          <w:p>
            <w:pPr>
              <w:jc w:val="right"/>
              <w:spacing w:after="0"/>
              <w:rPr>
                <w:sz w:val="20"/>
                <w:szCs w:val="20"/>
                <w:color w:val="auto"/>
              </w:rPr>
            </w:pPr>
            <w:r>
              <w:rPr>
                <w:rFonts w:ascii="Arial" w:cs="Arial" w:eastAsia="Arial" w:hAnsi="Arial"/>
                <w:sz w:val="16"/>
                <w:szCs w:val="16"/>
                <w:b w:val="1"/>
                <w:bCs w:val="1"/>
                <w:color w:val="auto"/>
                <w:w w:val="74"/>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60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20" w:type="dxa"/>
            <w:vAlign w:val="bottom"/>
          </w:tcPr>
          <w:p>
            <w:pPr>
              <w:spacing w:after="0"/>
              <w:rPr>
                <w:sz w:val="24"/>
                <w:szCs w:val="24"/>
                <w:color w:val="auto"/>
              </w:rPr>
            </w:pPr>
          </w:p>
        </w:tc>
        <w:tc>
          <w:tcPr>
            <w:tcW w:w="4600" w:type="dxa"/>
            <w:vAlign w:val="bottom"/>
          </w:tcPr>
          <w:p>
            <w:pPr>
              <w:spacing w:after="0"/>
              <w:rPr>
                <w:sz w:val="24"/>
                <w:szCs w:val="24"/>
                <w:color w:val="auto"/>
              </w:rPr>
            </w:pPr>
          </w:p>
        </w:tc>
        <w:tc>
          <w:tcPr>
            <w:tcW w:w="1980" w:type="dxa"/>
            <w:vAlign w:val="bottom"/>
            <w:gridSpan w:val="2"/>
          </w:tcPr>
          <w:p>
            <w:pPr>
              <w:ind w:left="720"/>
              <w:spacing w:after="0"/>
              <w:rPr>
                <w:sz w:val="20"/>
                <w:szCs w:val="20"/>
                <w:color w:val="auto"/>
              </w:rPr>
            </w:pPr>
            <w:r>
              <w:rPr>
                <w:rFonts w:ascii="Arial" w:cs="Arial" w:eastAsia="Arial" w:hAnsi="Arial"/>
                <w:sz w:val="18"/>
                <w:szCs w:val="18"/>
                <w:color w:val="auto"/>
              </w:rPr>
              <w:t>F-50</w:t>
            </w:r>
          </w:p>
        </w:tc>
        <w:tc>
          <w:tcPr>
            <w:tcW w:w="9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240" w:top="459" w:right="419" w:bottom="1440" w:gutter="0" w:footer="0" w:header="0"/>
        </w:sectPr>
      </w:pPr>
    </w:p>
    <w:bookmarkStart w:id="149" w:name="page150"/>
    <w:bookmarkEnd w:id="14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9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319"/>
        <w:spacing w:after="0"/>
        <w:rPr>
          <w:sz w:val="20"/>
          <w:szCs w:val="20"/>
          <w:color w:val="auto"/>
        </w:rPr>
      </w:pPr>
      <w:r>
        <w:rPr>
          <w:rFonts w:ascii="Arial" w:cs="Arial" w:eastAsia="Arial" w:hAnsi="Arial"/>
          <w:sz w:val="18"/>
          <w:szCs w:val="18"/>
          <w:b w:val="1"/>
          <w:bCs w:val="1"/>
          <w:color w:val="auto"/>
        </w:rPr>
        <w:t>AVITA MEDICAL LIMITED</w:t>
      </w:r>
    </w:p>
    <w:p>
      <w:pPr>
        <w:spacing w:after="0" w:line="27" w:lineRule="exact"/>
        <w:rPr>
          <w:sz w:val="20"/>
          <w:szCs w:val="20"/>
          <w:color w:val="auto"/>
        </w:rPr>
      </w:pPr>
    </w:p>
    <w:p>
      <w:pPr>
        <w:jc w:val="center"/>
        <w:ind w:right="-319"/>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9" w:lineRule="exact"/>
        <w:rPr>
          <w:sz w:val="20"/>
          <w:szCs w:val="20"/>
          <w:color w:val="auto"/>
        </w:rPr>
      </w:pPr>
    </w:p>
    <w:p>
      <w:pPr>
        <w:jc w:val="center"/>
        <w:ind w:right="-319"/>
        <w:spacing w:after="0"/>
        <w:rPr>
          <w:sz w:val="20"/>
          <w:szCs w:val="20"/>
          <w:color w:val="auto"/>
        </w:rPr>
      </w:pPr>
      <w:r>
        <w:rPr>
          <w:rFonts w:ascii="Arial" w:cs="Arial" w:eastAsia="Arial" w:hAnsi="Arial"/>
          <w:sz w:val="18"/>
          <w:szCs w:val="18"/>
          <w:b w:val="1"/>
          <w:bCs w:val="1"/>
          <w:color w:val="auto"/>
        </w:rPr>
        <w:t>(IN AUSTRALIAN DOLLARS)</w:t>
      </w:r>
    </w:p>
    <w:p>
      <w:pPr>
        <w:spacing w:after="0" w:line="234" w:lineRule="exact"/>
        <w:rPr>
          <w:sz w:val="20"/>
          <w:szCs w:val="20"/>
          <w:color w:val="auto"/>
        </w:rPr>
      </w:pPr>
    </w:p>
    <w:p>
      <w:pPr>
        <w:ind w:left="640" w:hanging="436"/>
        <w:spacing w:after="0"/>
        <w:tabs>
          <w:tab w:leader="none" w:pos="640" w:val="left"/>
        </w:tabs>
        <w:numPr>
          <w:ilvl w:val="0"/>
          <w:numId w:val="191"/>
        </w:numPr>
        <w:rPr>
          <w:rFonts w:ascii="Arial" w:cs="Arial" w:eastAsia="Arial" w:hAnsi="Arial"/>
          <w:sz w:val="18"/>
          <w:szCs w:val="18"/>
          <w:b w:val="1"/>
          <w:bCs w:val="1"/>
          <w:color w:val="auto"/>
        </w:rPr>
      </w:pPr>
      <w:r>
        <w:rPr>
          <w:rFonts w:ascii="Arial" w:cs="Arial" w:eastAsia="Arial" w:hAnsi="Arial"/>
          <w:sz w:val="18"/>
          <w:szCs w:val="18"/>
          <w:b w:val="1"/>
          <w:bCs w:val="1"/>
          <w:color w:val="auto"/>
        </w:rPr>
        <w:t>DEED OF CROSS GUARANTEE (CONTINUED)</w:t>
      </w:r>
    </w:p>
    <w:p>
      <w:pPr>
        <w:spacing w:after="0" w:line="126" w:lineRule="exact"/>
        <w:rPr>
          <w:sz w:val="20"/>
          <w:szCs w:val="20"/>
          <w:color w:val="auto"/>
        </w:rPr>
      </w:pPr>
    </w:p>
    <w:tbl>
      <w:tblPr>
        <w:tblLayout w:type="fixed"/>
        <w:tblInd w:w="1520" w:type="dxa"/>
        <w:tblCellMar>
          <w:top w:w="0" w:type="dxa"/>
          <w:left w:w="0" w:type="dxa"/>
          <w:bottom w:w="0" w:type="dxa"/>
          <w:right w:w="0" w:type="dxa"/>
        </w:tblCellMar>
      </w:tblPr>
      <w:tr>
        <w:trPr>
          <w:trHeight w:val="186"/>
        </w:trPr>
        <w:tc>
          <w:tcPr>
            <w:tcW w:w="20" w:type="dxa"/>
            <w:vAlign w:val="bottom"/>
          </w:tcPr>
          <w:p>
            <w:pPr>
              <w:spacing w:after="0"/>
              <w:rPr>
                <w:sz w:val="16"/>
                <w:szCs w:val="16"/>
                <w:color w:val="auto"/>
              </w:rPr>
            </w:pPr>
          </w:p>
        </w:tc>
        <w:tc>
          <w:tcPr>
            <w:tcW w:w="3400" w:type="dxa"/>
            <w:vAlign w:val="bottom"/>
          </w:tcPr>
          <w:p>
            <w:pPr>
              <w:spacing w:after="0"/>
              <w:rPr>
                <w:sz w:val="16"/>
                <w:szCs w:val="16"/>
                <w:color w:val="auto"/>
              </w:rPr>
            </w:pPr>
          </w:p>
        </w:tc>
        <w:tc>
          <w:tcPr>
            <w:tcW w:w="14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80" w:type="dxa"/>
            <w:vAlign w:val="bottom"/>
            <w:vMerge w:val="restart"/>
          </w:tcPr>
          <w:p>
            <w:pPr>
              <w:jc w:val="right"/>
              <w:ind w:right="391"/>
              <w:spacing w:after="0"/>
              <w:rPr>
                <w:sz w:val="20"/>
                <w:szCs w:val="20"/>
                <w:color w:val="auto"/>
              </w:rPr>
            </w:pPr>
            <w:r>
              <w:rPr>
                <w:rFonts w:ascii="Arial" w:cs="Arial" w:eastAsia="Arial" w:hAnsi="Arial"/>
                <w:sz w:val="14"/>
                <w:szCs w:val="14"/>
                <w:b w:val="1"/>
                <w:bCs w:val="1"/>
                <w:color w:val="auto"/>
              </w:rPr>
              <w:t>2018</w:t>
            </w:r>
          </w:p>
        </w:tc>
        <w:tc>
          <w:tcPr>
            <w:tcW w:w="60" w:type="dxa"/>
            <w:vAlign w:val="bottom"/>
          </w:tcPr>
          <w:p>
            <w:pPr>
              <w:spacing w:after="0"/>
              <w:rPr>
                <w:sz w:val="16"/>
                <w:szCs w:val="16"/>
                <w:color w:val="auto"/>
              </w:rPr>
            </w:pPr>
          </w:p>
        </w:tc>
        <w:tc>
          <w:tcPr>
            <w:tcW w:w="1180" w:type="dxa"/>
            <w:vAlign w:val="bottom"/>
            <w:gridSpan w:val="2"/>
          </w:tcPr>
          <w:p>
            <w:pPr>
              <w:spacing w:after="0"/>
              <w:rPr>
                <w:sz w:val="20"/>
                <w:szCs w:val="20"/>
                <w:color w:val="auto"/>
              </w:rPr>
            </w:pPr>
            <w:r>
              <w:rPr>
                <w:rFonts w:ascii="Arial" w:cs="Arial" w:eastAsia="Arial" w:hAnsi="Arial"/>
                <w:sz w:val="14"/>
                <w:szCs w:val="14"/>
                <w:b w:val="1"/>
                <w:bCs w:val="1"/>
                <w:color w:val="auto"/>
              </w:rPr>
              <w:t>As of June 30,</w:t>
            </w:r>
          </w:p>
        </w:tc>
        <w:tc>
          <w:tcPr>
            <w:tcW w:w="980" w:type="dxa"/>
            <w:vAlign w:val="bottom"/>
            <w:vMerge w:val="restart"/>
          </w:tcPr>
          <w:p>
            <w:pPr>
              <w:jc w:val="right"/>
              <w:ind w:right="371"/>
              <w:spacing w:after="0"/>
              <w:rPr>
                <w:sz w:val="20"/>
                <w:szCs w:val="20"/>
                <w:color w:val="auto"/>
              </w:rPr>
            </w:pPr>
            <w:r>
              <w:rPr>
                <w:rFonts w:ascii="Arial" w:cs="Arial" w:eastAsia="Arial" w:hAnsi="Arial"/>
                <w:sz w:val="14"/>
                <w:szCs w:val="14"/>
                <w:b w:val="1"/>
                <w:bCs w:val="1"/>
                <w:color w:val="auto"/>
              </w:rPr>
              <w:t>2017</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3400" w:type="dxa"/>
            <w:vAlign w:val="bottom"/>
            <w:tcBorders>
              <w:bottom w:val="single" w:sz="8" w:color="CCEEFF"/>
            </w:tcBorders>
          </w:tcPr>
          <w:p>
            <w:pPr>
              <w:spacing w:after="0"/>
              <w:rPr>
                <w:sz w:val="11"/>
                <w:szCs w:val="11"/>
                <w:color w:val="auto"/>
              </w:rPr>
            </w:pPr>
          </w:p>
        </w:tc>
        <w:tc>
          <w:tcPr>
            <w:tcW w:w="1420" w:type="dxa"/>
            <w:vAlign w:val="bottom"/>
            <w:tcBorders>
              <w:bottom w:val="single" w:sz="8" w:color="CCEEFF"/>
            </w:tcBorders>
          </w:tcPr>
          <w:p>
            <w:pPr>
              <w:spacing w:after="0"/>
              <w:rPr>
                <w:sz w:val="11"/>
                <w:szCs w:val="11"/>
                <w:color w:val="auto"/>
              </w:rPr>
            </w:pPr>
          </w:p>
        </w:tc>
        <w:tc>
          <w:tcPr>
            <w:tcW w:w="240" w:type="dxa"/>
            <w:vAlign w:val="bottom"/>
            <w:tcBorders>
              <w:bottom w:val="single" w:sz="8" w:color="auto"/>
            </w:tcBorders>
          </w:tcPr>
          <w:p>
            <w:pPr>
              <w:spacing w:after="0"/>
              <w:rPr>
                <w:sz w:val="11"/>
                <w:szCs w:val="11"/>
                <w:color w:val="auto"/>
              </w:rPr>
            </w:pPr>
          </w:p>
        </w:tc>
        <w:tc>
          <w:tcPr>
            <w:tcW w:w="980" w:type="dxa"/>
            <w:vAlign w:val="bottom"/>
            <w:tcBorders>
              <w:bottom w:val="single" w:sz="8" w:color="auto"/>
            </w:tcBorders>
            <w:vMerge w:val="continue"/>
          </w:tcPr>
          <w:p>
            <w:pPr>
              <w:spacing w:after="0"/>
              <w:rPr>
                <w:sz w:val="11"/>
                <w:szCs w:val="11"/>
                <w:color w:val="auto"/>
              </w:rPr>
            </w:pPr>
          </w:p>
        </w:tc>
        <w:tc>
          <w:tcPr>
            <w:tcW w:w="60" w:type="dxa"/>
            <w:vAlign w:val="bottom"/>
            <w:tcBorders>
              <w:bottom w:val="single" w:sz="8" w:color="CCEEFF"/>
            </w:tcBorders>
          </w:tcPr>
          <w:p>
            <w:pPr>
              <w:spacing w:after="0"/>
              <w:rPr>
                <w:sz w:val="11"/>
                <w:szCs w:val="11"/>
                <w:color w:val="auto"/>
              </w:rPr>
            </w:pPr>
          </w:p>
        </w:tc>
        <w:tc>
          <w:tcPr>
            <w:tcW w:w="960" w:type="dxa"/>
            <w:vAlign w:val="bottom"/>
            <w:tcBorders>
              <w:bottom w:val="single" w:sz="8" w:color="CCEEFF"/>
            </w:tcBorders>
          </w:tcPr>
          <w:p>
            <w:pPr>
              <w:spacing w:after="0"/>
              <w:rPr>
                <w:sz w:val="11"/>
                <w:szCs w:val="11"/>
                <w:color w:val="auto"/>
              </w:rPr>
            </w:pPr>
          </w:p>
        </w:tc>
        <w:tc>
          <w:tcPr>
            <w:tcW w:w="220" w:type="dxa"/>
            <w:vAlign w:val="bottom"/>
            <w:tcBorders>
              <w:bottom w:val="single" w:sz="8" w:color="auto"/>
            </w:tcBorders>
          </w:tcPr>
          <w:p>
            <w:pPr>
              <w:spacing w:after="0"/>
              <w:rPr>
                <w:sz w:val="11"/>
                <w:szCs w:val="11"/>
                <w:color w:val="auto"/>
              </w:rPr>
            </w:pPr>
          </w:p>
        </w:tc>
        <w:tc>
          <w:tcPr>
            <w:tcW w:w="980" w:type="dxa"/>
            <w:vAlign w:val="bottom"/>
            <w:tcBorders>
              <w:bottom w:val="single" w:sz="8" w:color="auto"/>
            </w:tcBorders>
            <w:vMerge w:val="continue"/>
          </w:tcPr>
          <w:p>
            <w:pPr>
              <w:spacing w:after="0"/>
              <w:rPr>
                <w:sz w:val="11"/>
                <w:szCs w:val="11"/>
                <w:color w:val="auto"/>
              </w:rPr>
            </w:pPr>
          </w:p>
        </w:tc>
        <w:tc>
          <w:tcPr>
            <w:tcW w:w="100" w:type="dxa"/>
            <w:vAlign w:val="bottom"/>
            <w:tcBorders>
              <w:bottom w:val="single" w:sz="8" w:color="CCEEFF"/>
            </w:tcBorders>
          </w:tcPr>
          <w:p>
            <w:pPr>
              <w:spacing w:after="0"/>
              <w:rPr>
                <w:sz w:val="11"/>
                <w:szCs w:val="11"/>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3400" w:type="dxa"/>
            <w:vAlign w:val="bottom"/>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Current Assets</w:t>
            </w:r>
          </w:p>
        </w:tc>
        <w:tc>
          <w:tcPr>
            <w:tcW w:w="14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00" w:type="dxa"/>
            <w:vAlign w:val="bottom"/>
          </w:tcPr>
          <w:p>
            <w:pPr>
              <w:spacing w:after="0"/>
              <w:rPr>
                <w:sz w:val="20"/>
                <w:szCs w:val="20"/>
                <w:color w:val="auto"/>
              </w:rPr>
            </w:pPr>
            <w:r>
              <w:rPr>
                <w:rFonts w:ascii="Arial" w:cs="Arial" w:eastAsia="Arial" w:hAnsi="Arial"/>
                <w:sz w:val="18"/>
                <w:szCs w:val="18"/>
                <w:color w:val="auto"/>
              </w:rPr>
              <w:t>Cash and cash equivalents</w:t>
            </w:r>
          </w:p>
        </w:tc>
        <w:tc>
          <w:tcPr>
            <w:tcW w:w="1660" w:type="dxa"/>
            <w:vAlign w:val="bottom"/>
            <w:gridSpan w:val="2"/>
          </w:tcPr>
          <w:p>
            <w:pPr>
              <w:ind w:left="1420"/>
              <w:spacing w:after="0"/>
              <w:rPr>
                <w:sz w:val="20"/>
                <w:szCs w:val="20"/>
                <w:color w:val="auto"/>
              </w:rPr>
            </w:pPr>
            <w:r>
              <w:rPr>
                <w:rFonts w:ascii="Arial" w:cs="Arial" w:eastAsia="Arial" w:hAnsi="Arial"/>
                <w:sz w:val="18"/>
                <w:szCs w:val="18"/>
                <w:color w:val="auto"/>
                <w:w w:val="99"/>
              </w:rPr>
              <w:t>A$</w:t>
            </w:r>
          </w:p>
        </w:tc>
        <w:tc>
          <w:tcPr>
            <w:tcW w:w="980" w:type="dxa"/>
            <w:vAlign w:val="bottom"/>
          </w:tcPr>
          <w:p>
            <w:pPr>
              <w:jc w:val="right"/>
              <w:spacing w:after="0"/>
              <w:rPr>
                <w:sz w:val="20"/>
                <w:szCs w:val="20"/>
                <w:color w:val="auto"/>
              </w:rPr>
            </w:pPr>
            <w:r>
              <w:rPr>
                <w:rFonts w:ascii="Arial" w:cs="Arial" w:eastAsia="Arial" w:hAnsi="Arial"/>
                <w:sz w:val="18"/>
                <w:szCs w:val="18"/>
                <w:color w:val="auto"/>
              </w:rPr>
              <w:t>1,779,019</w:t>
            </w:r>
          </w:p>
        </w:tc>
        <w:tc>
          <w:tcPr>
            <w:tcW w:w="60" w:type="dxa"/>
            <w:vAlign w:val="bottom"/>
          </w:tcPr>
          <w:p>
            <w:pPr>
              <w:spacing w:after="0"/>
              <w:rPr>
                <w:sz w:val="18"/>
                <w:szCs w:val="18"/>
                <w:color w:val="auto"/>
              </w:rPr>
            </w:pPr>
          </w:p>
        </w:tc>
        <w:tc>
          <w:tcPr>
            <w:tcW w:w="1180" w:type="dxa"/>
            <w:vAlign w:val="bottom"/>
            <w:gridSpan w:val="2"/>
          </w:tcPr>
          <w:p>
            <w:pPr>
              <w:ind w:left="960"/>
              <w:spacing w:after="0"/>
              <w:rPr>
                <w:sz w:val="20"/>
                <w:szCs w:val="20"/>
                <w:color w:val="auto"/>
              </w:rPr>
            </w:pPr>
            <w:r>
              <w:rPr>
                <w:rFonts w:ascii="Arial" w:cs="Arial" w:eastAsia="Arial" w:hAnsi="Arial"/>
                <w:sz w:val="18"/>
                <w:szCs w:val="18"/>
                <w:color w:val="auto"/>
                <w:w w:val="90"/>
              </w:rPr>
              <w:t>A$</w:t>
            </w:r>
          </w:p>
        </w:tc>
        <w:tc>
          <w:tcPr>
            <w:tcW w:w="980" w:type="dxa"/>
            <w:vAlign w:val="bottom"/>
          </w:tcPr>
          <w:p>
            <w:pPr>
              <w:jc w:val="right"/>
              <w:spacing w:after="0"/>
              <w:rPr>
                <w:sz w:val="20"/>
                <w:szCs w:val="20"/>
                <w:color w:val="auto"/>
              </w:rPr>
            </w:pPr>
            <w:r>
              <w:rPr>
                <w:rFonts w:ascii="Arial" w:cs="Arial" w:eastAsia="Arial" w:hAnsi="Arial"/>
                <w:sz w:val="18"/>
                <w:szCs w:val="18"/>
                <w:color w:val="auto"/>
              </w:rPr>
              <w:t>2,063,923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00" w:type="dxa"/>
            <w:vAlign w:val="bottom"/>
            <w:shd w:val="clear" w:color="auto" w:fill="CCEEFF"/>
          </w:tcPr>
          <w:p>
            <w:pPr>
              <w:spacing w:after="0"/>
              <w:rPr>
                <w:sz w:val="20"/>
                <w:szCs w:val="20"/>
                <w:color w:val="auto"/>
              </w:rPr>
            </w:pPr>
            <w:r>
              <w:rPr>
                <w:rFonts w:ascii="Arial" w:cs="Arial" w:eastAsia="Arial" w:hAnsi="Arial"/>
                <w:sz w:val="18"/>
                <w:szCs w:val="18"/>
                <w:color w:val="auto"/>
              </w:rPr>
              <w:t>Trade and other receivables</w:t>
            </w:r>
          </w:p>
        </w:tc>
        <w:tc>
          <w:tcPr>
            <w:tcW w:w="14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2,589,816</w:t>
            </w:r>
          </w:p>
        </w:tc>
        <w:tc>
          <w:tcPr>
            <w:tcW w:w="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1,144,033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00" w:type="dxa"/>
            <w:vAlign w:val="bottom"/>
          </w:tcPr>
          <w:p>
            <w:pPr>
              <w:spacing w:after="0"/>
              <w:rPr>
                <w:sz w:val="20"/>
                <w:szCs w:val="20"/>
                <w:color w:val="auto"/>
              </w:rPr>
            </w:pPr>
            <w:r>
              <w:rPr>
                <w:rFonts w:ascii="Arial" w:cs="Arial" w:eastAsia="Arial" w:hAnsi="Arial"/>
                <w:sz w:val="18"/>
                <w:szCs w:val="18"/>
                <w:color w:val="auto"/>
              </w:rPr>
              <w:t>Prepayments</w:t>
            </w:r>
          </w:p>
        </w:tc>
        <w:tc>
          <w:tcPr>
            <w:tcW w:w="14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130,055</w:t>
            </w:r>
          </w:p>
        </w:tc>
        <w:tc>
          <w:tcPr>
            <w:tcW w:w="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155,112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00" w:type="dxa"/>
            <w:vAlign w:val="bottom"/>
            <w:shd w:val="clear" w:color="auto" w:fill="CCEEFF"/>
          </w:tcPr>
          <w:p>
            <w:pPr>
              <w:spacing w:after="0"/>
              <w:rPr>
                <w:sz w:val="20"/>
                <w:szCs w:val="20"/>
                <w:color w:val="auto"/>
              </w:rPr>
            </w:pPr>
            <w:r>
              <w:rPr>
                <w:rFonts w:ascii="Arial" w:cs="Arial" w:eastAsia="Arial" w:hAnsi="Arial"/>
                <w:sz w:val="18"/>
                <w:szCs w:val="18"/>
                <w:color w:val="auto"/>
              </w:rPr>
              <w:t>Inventories</w:t>
            </w:r>
          </w:p>
        </w:tc>
        <w:tc>
          <w:tcPr>
            <w:tcW w:w="14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132,414</w:t>
            </w:r>
          </w:p>
        </w:tc>
        <w:tc>
          <w:tcPr>
            <w:tcW w:w="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26,925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400" w:type="dxa"/>
            <w:vAlign w:val="bottom"/>
          </w:tcPr>
          <w:p>
            <w:pPr>
              <w:spacing w:after="0"/>
              <w:rPr>
                <w:sz w:val="20"/>
                <w:szCs w:val="20"/>
                <w:color w:val="auto"/>
              </w:rPr>
            </w:pPr>
            <w:r>
              <w:rPr>
                <w:rFonts w:ascii="Arial" w:cs="Arial" w:eastAsia="Arial" w:hAnsi="Arial"/>
                <w:sz w:val="18"/>
                <w:szCs w:val="18"/>
                <w:color w:val="auto"/>
              </w:rPr>
              <w:t>Investments</w:t>
            </w:r>
          </w:p>
        </w:tc>
        <w:tc>
          <w:tcPr>
            <w:tcW w:w="14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9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 Current Assets</w:t>
            </w:r>
          </w:p>
        </w:tc>
        <w:tc>
          <w:tcPr>
            <w:tcW w:w="1420" w:type="dxa"/>
            <w:vAlign w:val="bottom"/>
            <w:shd w:val="clear" w:color="auto" w:fill="CCEEFF"/>
          </w:tcPr>
          <w:p>
            <w:pPr>
              <w:spacing w:after="0"/>
              <w:rPr>
                <w:sz w:val="18"/>
                <w:szCs w:val="18"/>
                <w:color w:val="auto"/>
              </w:rPr>
            </w:pPr>
          </w:p>
        </w:tc>
        <w:tc>
          <w:tcPr>
            <w:tcW w:w="240" w:type="dxa"/>
            <w:vAlign w:val="bottom"/>
            <w:tcBorders>
              <w:top w:val="single" w:sz="8" w:color="auto"/>
              <w:bottom w:val="single" w:sz="8" w:color="auto"/>
            </w:tcBorders>
            <w:shd w:val="clear" w:color="auto" w:fill="CCEEFF"/>
          </w:tcPr>
          <w:p>
            <w:pPr>
              <w:spacing w:after="0"/>
              <w:rPr>
                <w:sz w:val="18"/>
                <w:szCs w:val="18"/>
                <w:color w:val="auto"/>
              </w:rPr>
            </w:pP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4,631,304</w:t>
            </w:r>
          </w:p>
        </w:tc>
        <w:tc>
          <w:tcPr>
            <w:tcW w:w="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20" w:type="dxa"/>
            <w:vAlign w:val="bottom"/>
            <w:tcBorders>
              <w:top w:val="single" w:sz="8" w:color="auto"/>
              <w:bottom w:val="single" w:sz="8" w:color="auto"/>
            </w:tcBorders>
            <w:shd w:val="clear" w:color="auto" w:fill="CCEEFF"/>
          </w:tcPr>
          <w:p>
            <w:pPr>
              <w:spacing w:after="0"/>
              <w:rPr>
                <w:sz w:val="18"/>
                <w:szCs w:val="18"/>
                <w:color w:val="auto"/>
              </w:rPr>
            </w:pP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3,389,993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31"/>
        </w:trPr>
        <w:tc>
          <w:tcPr>
            <w:tcW w:w="3420" w:type="dxa"/>
            <w:vAlign w:val="bottom"/>
            <w:gridSpan w:val="2"/>
          </w:tcPr>
          <w:p>
            <w:pPr>
              <w:spacing w:after="0"/>
              <w:rPr>
                <w:sz w:val="20"/>
                <w:szCs w:val="20"/>
                <w:color w:val="auto"/>
              </w:rPr>
            </w:pPr>
            <w:r>
              <w:rPr>
                <w:rFonts w:ascii="Arial" w:cs="Arial" w:eastAsia="Arial" w:hAnsi="Arial"/>
                <w:sz w:val="18"/>
                <w:szCs w:val="18"/>
                <w:b w:val="1"/>
                <w:bCs w:val="1"/>
                <w:color w:val="auto"/>
              </w:rPr>
              <w:t>Non-Current Assets</w:t>
            </w:r>
          </w:p>
        </w:tc>
        <w:tc>
          <w:tcPr>
            <w:tcW w:w="14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00" w:type="dxa"/>
            <w:vAlign w:val="bottom"/>
            <w:shd w:val="clear" w:color="auto" w:fill="CCEEFF"/>
          </w:tcPr>
          <w:p>
            <w:pPr>
              <w:spacing w:after="0"/>
              <w:rPr>
                <w:sz w:val="20"/>
                <w:szCs w:val="20"/>
                <w:color w:val="auto"/>
              </w:rPr>
            </w:pPr>
            <w:r>
              <w:rPr>
                <w:rFonts w:ascii="Arial" w:cs="Arial" w:eastAsia="Arial" w:hAnsi="Arial"/>
                <w:sz w:val="18"/>
                <w:szCs w:val="18"/>
                <w:color w:val="auto"/>
              </w:rPr>
              <w:t>Plant and equipment</w:t>
            </w:r>
          </w:p>
        </w:tc>
        <w:tc>
          <w:tcPr>
            <w:tcW w:w="142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5,662</w:t>
            </w:r>
          </w:p>
        </w:tc>
        <w:tc>
          <w:tcPr>
            <w:tcW w:w="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6,625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3420" w:type="dxa"/>
            <w:vAlign w:val="bottom"/>
            <w:gridSpan w:val="2"/>
          </w:tcPr>
          <w:p>
            <w:pPr>
              <w:spacing w:after="0"/>
              <w:rPr>
                <w:sz w:val="20"/>
                <w:szCs w:val="20"/>
                <w:color w:val="auto"/>
              </w:rPr>
            </w:pPr>
            <w:r>
              <w:rPr>
                <w:rFonts w:ascii="Arial" w:cs="Arial" w:eastAsia="Arial" w:hAnsi="Arial"/>
                <w:sz w:val="18"/>
                <w:szCs w:val="18"/>
                <w:b w:val="1"/>
                <w:bCs w:val="1"/>
                <w:color w:val="auto"/>
              </w:rPr>
              <w:t>Total Non-Current Assets</w:t>
            </w:r>
          </w:p>
        </w:tc>
        <w:tc>
          <w:tcPr>
            <w:tcW w:w="142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5,662</w:t>
            </w:r>
          </w:p>
        </w:tc>
        <w:tc>
          <w:tcPr>
            <w:tcW w:w="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6,625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15"/>
        </w:trPr>
        <w:tc>
          <w:tcPr>
            <w:tcW w:w="20" w:type="dxa"/>
            <w:vAlign w:val="bottom"/>
            <w:vMerge w:val="restart"/>
          </w:tcPr>
          <w:p>
            <w:pPr>
              <w:spacing w:after="0"/>
              <w:rPr>
                <w:sz w:val="10"/>
                <w:szCs w:val="10"/>
                <w:color w:val="auto"/>
              </w:rPr>
            </w:pPr>
          </w:p>
        </w:tc>
        <w:tc>
          <w:tcPr>
            <w:tcW w:w="3400" w:type="dxa"/>
            <w:vAlign w:val="bottom"/>
          </w:tcPr>
          <w:p>
            <w:pPr>
              <w:spacing w:after="0"/>
              <w:rPr>
                <w:sz w:val="10"/>
                <w:szCs w:val="10"/>
                <w:color w:val="auto"/>
              </w:rPr>
            </w:pPr>
          </w:p>
        </w:tc>
        <w:tc>
          <w:tcPr>
            <w:tcW w:w="14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4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 ASSETS</w:t>
            </w:r>
          </w:p>
        </w:tc>
        <w:tc>
          <w:tcPr>
            <w:tcW w:w="142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4,636,966</w:t>
            </w:r>
          </w:p>
        </w:tc>
        <w:tc>
          <w:tcPr>
            <w:tcW w:w="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3,396,618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31"/>
        </w:trPr>
        <w:tc>
          <w:tcPr>
            <w:tcW w:w="3420" w:type="dxa"/>
            <w:vAlign w:val="bottom"/>
            <w:gridSpan w:val="2"/>
          </w:tcPr>
          <w:p>
            <w:pPr>
              <w:spacing w:after="0"/>
              <w:rPr>
                <w:sz w:val="20"/>
                <w:szCs w:val="20"/>
                <w:color w:val="auto"/>
              </w:rPr>
            </w:pPr>
            <w:r>
              <w:rPr>
                <w:rFonts w:ascii="Arial" w:cs="Arial" w:eastAsia="Arial" w:hAnsi="Arial"/>
                <w:sz w:val="18"/>
                <w:szCs w:val="18"/>
                <w:b w:val="1"/>
                <w:bCs w:val="1"/>
                <w:color w:val="auto"/>
              </w:rPr>
              <w:t>LIABILITIES</w:t>
            </w:r>
          </w:p>
        </w:tc>
        <w:tc>
          <w:tcPr>
            <w:tcW w:w="14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Current Liabilities</w:t>
            </w:r>
          </w:p>
        </w:tc>
        <w:tc>
          <w:tcPr>
            <w:tcW w:w="14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00" w:type="dxa"/>
            <w:vAlign w:val="bottom"/>
          </w:tcPr>
          <w:p>
            <w:pPr>
              <w:spacing w:after="0"/>
              <w:rPr>
                <w:sz w:val="20"/>
                <w:szCs w:val="20"/>
                <w:color w:val="auto"/>
              </w:rPr>
            </w:pPr>
            <w:r>
              <w:rPr>
                <w:rFonts w:ascii="Arial" w:cs="Arial" w:eastAsia="Arial" w:hAnsi="Arial"/>
                <w:sz w:val="18"/>
                <w:szCs w:val="18"/>
                <w:color w:val="auto"/>
              </w:rPr>
              <w:t>Trade and other payables</w:t>
            </w:r>
          </w:p>
        </w:tc>
        <w:tc>
          <w:tcPr>
            <w:tcW w:w="14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477,366</w:t>
            </w:r>
          </w:p>
        </w:tc>
        <w:tc>
          <w:tcPr>
            <w:tcW w:w="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248,497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00" w:type="dxa"/>
            <w:vAlign w:val="bottom"/>
            <w:shd w:val="clear" w:color="auto" w:fill="CCEEFF"/>
          </w:tcPr>
          <w:p>
            <w:pPr>
              <w:spacing w:after="0"/>
              <w:rPr>
                <w:sz w:val="20"/>
                <w:szCs w:val="20"/>
                <w:color w:val="auto"/>
              </w:rPr>
            </w:pPr>
            <w:r>
              <w:rPr>
                <w:rFonts w:ascii="Arial" w:cs="Arial" w:eastAsia="Arial" w:hAnsi="Arial"/>
                <w:sz w:val="18"/>
                <w:szCs w:val="18"/>
                <w:color w:val="auto"/>
              </w:rPr>
              <w:t>Provisions</w:t>
            </w:r>
          </w:p>
        </w:tc>
        <w:tc>
          <w:tcPr>
            <w:tcW w:w="142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49,205</w:t>
            </w:r>
          </w:p>
        </w:tc>
        <w:tc>
          <w:tcPr>
            <w:tcW w:w="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84,938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3420" w:type="dxa"/>
            <w:vAlign w:val="bottom"/>
            <w:gridSpan w:val="2"/>
          </w:tcPr>
          <w:p>
            <w:pPr>
              <w:spacing w:after="0"/>
              <w:rPr>
                <w:sz w:val="20"/>
                <w:szCs w:val="20"/>
                <w:color w:val="auto"/>
              </w:rPr>
            </w:pPr>
            <w:r>
              <w:rPr>
                <w:rFonts w:ascii="Arial" w:cs="Arial" w:eastAsia="Arial" w:hAnsi="Arial"/>
                <w:sz w:val="18"/>
                <w:szCs w:val="18"/>
                <w:b w:val="1"/>
                <w:bCs w:val="1"/>
                <w:color w:val="auto"/>
              </w:rPr>
              <w:t>Total Current Liabilities</w:t>
            </w:r>
          </w:p>
        </w:tc>
        <w:tc>
          <w:tcPr>
            <w:tcW w:w="142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526,571</w:t>
            </w:r>
          </w:p>
        </w:tc>
        <w:tc>
          <w:tcPr>
            <w:tcW w:w="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333,435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15"/>
        </w:trPr>
        <w:tc>
          <w:tcPr>
            <w:tcW w:w="20" w:type="dxa"/>
            <w:vAlign w:val="bottom"/>
            <w:vMerge w:val="restart"/>
          </w:tcPr>
          <w:p>
            <w:pPr>
              <w:spacing w:after="0"/>
              <w:rPr>
                <w:sz w:val="10"/>
                <w:szCs w:val="10"/>
                <w:color w:val="auto"/>
              </w:rPr>
            </w:pPr>
          </w:p>
        </w:tc>
        <w:tc>
          <w:tcPr>
            <w:tcW w:w="3400" w:type="dxa"/>
            <w:vAlign w:val="bottom"/>
          </w:tcPr>
          <w:p>
            <w:pPr>
              <w:spacing w:after="0"/>
              <w:rPr>
                <w:sz w:val="10"/>
                <w:szCs w:val="10"/>
                <w:color w:val="auto"/>
              </w:rPr>
            </w:pPr>
          </w:p>
        </w:tc>
        <w:tc>
          <w:tcPr>
            <w:tcW w:w="14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4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 LIABILITIES</w:t>
            </w:r>
          </w:p>
        </w:tc>
        <w:tc>
          <w:tcPr>
            <w:tcW w:w="142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526,571</w:t>
            </w:r>
          </w:p>
        </w:tc>
        <w:tc>
          <w:tcPr>
            <w:tcW w:w="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333,435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31"/>
        </w:trPr>
        <w:tc>
          <w:tcPr>
            <w:tcW w:w="3420" w:type="dxa"/>
            <w:vAlign w:val="bottom"/>
            <w:gridSpan w:val="2"/>
          </w:tcPr>
          <w:p>
            <w:pPr>
              <w:spacing w:after="0"/>
              <w:rPr>
                <w:sz w:val="20"/>
                <w:szCs w:val="20"/>
                <w:color w:val="auto"/>
              </w:rPr>
            </w:pPr>
            <w:r>
              <w:rPr>
                <w:rFonts w:ascii="Arial" w:cs="Arial" w:eastAsia="Arial" w:hAnsi="Arial"/>
                <w:sz w:val="18"/>
                <w:szCs w:val="18"/>
                <w:b w:val="1"/>
                <w:bCs w:val="1"/>
                <w:color w:val="auto"/>
              </w:rPr>
              <w:t>NET ASSETS</w:t>
            </w:r>
          </w:p>
        </w:tc>
        <w:tc>
          <w:tcPr>
            <w:tcW w:w="142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4,110,395</w:t>
            </w:r>
          </w:p>
        </w:tc>
        <w:tc>
          <w:tcPr>
            <w:tcW w:w="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3,063,183</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40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2"/>
        </w:trPr>
        <w:tc>
          <w:tcPr>
            <w:tcW w:w="20" w:type="dxa"/>
            <w:vAlign w:val="bottom"/>
            <w:vMerge w:val="restart"/>
          </w:tcPr>
          <w:p>
            <w:pPr>
              <w:spacing w:after="0"/>
              <w:rPr>
                <w:sz w:val="8"/>
                <w:szCs w:val="8"/>
                <w:color w:val="auto"/>
              </w:rPr>
            </w:pPr>
          </w:p>
        </w:tc>
        <w:tc>
          <w:tcPr>
            <w:tcW w:w="3400" w:type="dxa"/>
            <w:vAlign w:val="bottom"/>
          </w:tcPr>
          <w:p>
            <w:pPr>
              <w:spacing w:after="0"/>
              <w:rPr>
                <w:sz w:val="8"/>
                <w:szCs w:val="8"/>
                <w:color w:val="auto"/>
              </w:rPr>
            </w:pPr>
          </w:p>
        </w:tc>
        <w:tc>
          <w:tcPr>
            <w:tcW w:w="1420" w:type="dxa"/>
            <w:vAlign w:val="bottom"/>
          </w:tcPr>
          <w:p>
            <w:pPr>
              <w:spacing w:after="0"/>
              <w:rPr>
                <w:sz w:val="8"/>
                <w:szCs w:val="8"/>
                <w:color w:val="auto"/>
              </w:rPr>
            </w:pPr>
          </w:p>
        </w:tc>
        <w:tc>
          <w:tcPr>
            <w:tcW w:w="240" w:type="dxa"/>
            <w:vAlign w:val="bottom"/>
          </w:tcPr>
          <w:p>
            <w:pPr>
              <w:spacing w:after="0"/>
              <w:rPr>
                <w:sz w:val="8"/>
                <w:szCs w:val="8"/>
                <w:color w:val="auto"/>
              </w:rPr>
            </w:pPr>
          </w:p>
        </w:tc>
        <w:tc>
          <w:tcPr>
            <w:tcW w:w="980" w:type="dxa"/>
            <w:vAlign w:val="bottom"/>
          </w:tcPr>
          <w:p>
            <w:pPr>
              <w:spacing w:after="0"/>
              <w:rPr>
                <w:sz w:val="8"/>
                <w:szCs w:val="8"/>
                <w:color w:val="auto"/>
              </w:rPr>
            </w:pPr>
          </w:p>
        </w:tc>
        <w:tc>
          <w:tcPr>
            <w:tcW w:w="60" w:type="dxa"/>
            <w:vAlign w:val="bottom"/>
          </w:tcPr>
          <w:p>
            <w:pPr>
              <w:spacing w:after="0"/>
              <w:rPr>
                <w:sz w:val="8"/>
                <w:szCs w:val="8"/>
                <w:color w:val="auto"/>
              </w:rPr>
            </w:pPr>
          </w:p>
        </w:tc>
        <w:tc>
          <w:tcPr>
            <w:tcW w:w="960" w:type="dxa"/>
            <w:vAlign w:val="bottom"/>
          </w:tcPr>
          <w:p>
            <w:pPr>
              <w:spacing w:after="0"/>
              <w:rPr>
                <w:sz w:val="8"/>
                <w:szCs w:val="8"/>
                <w:color w:val="auto"/>
              </w:rPr>
            </w:pPr>
          </w:p>
        </w:tc>
        <w:tc>
          <w:tcPr>
            <w:tcW w:w="220" w:type="dxa"/>
            <w:vAlign w:val="bottom"/>
          </w:tcPr>
          <w:p>
            <w:pPr>
              <w:spacing w:after="0"/>
              <w:rPr>
                <w:sz w:val="8"/>
                <w:szCs w:val="8"/>
                <w:color w:val="auto"/>
              </w:rPr>
            </w:pPr>
          </w:p>
        </w:tc>
        <w:tc>
          <w:tcPr>
            <w:tcW w:w="98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4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EQUITY</w:t>
            </w:r>
          </w:p>
        </w:tc>
        <w:tc>
          <w:tcPr>
            <w:tcW w:w="14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00" w:type="dxa"/>
            <w:vAlign w:val="bottom"/>
          </w:tcPr>
          <w:p>
            <w:pPr>
              <w:spacing w:after="0"/>
              <w:rPr>
                <w:sz w:val="20"/>
                <w:szCs w:val="20"/>
                <w:color w:val="auto"/>
              </w:rPr>
            </w:pPr>
            <w:r>
              <w:rPr>
                <w:rFonts w:ascii="Arial" w:cs="Arial" w:eastAsia="Arial" w:hAnsi="Arial"/>
                <w:sz w:val="18"/>
                <w:szCs w:val="18"/>
                <w:color w:val="auto"/>
              </w:rPr>
              <w:t>Contributed equity</w:t>
            </w:r>
          </w:p>
        </w:tc>
        <w:tc>
          <w:tcPr>
            <w:tcW w:w="14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w w:val="93"/>
              </w:rPr>
              <w:t>162,801,028</w:t>
            </w:r>
          </w:p>
        </w:tc>
        <w:tc>
          <w:tcPr>
            <w:tcW w:w="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w w:val="95"/>
              </w:rPr>
              <w:t>134,806,022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00" w:type="dxa"/>
            <w:vAlign w:val="bottom"/>
            <w:shd w:val="clear" w:color="auto" w:fill="CCEEFF"/>
          </w:tcPr>
          <w:p>
            <w:pPr>
              <w:spacing w:after="0"/>
              <w:rPr>
                <w:sz w:val="20"/>
                <w:szCs w:val="20"/>
                <w:color w:val="auto"/>
              </w:rPr>
            </w:pPr>
            <w:r>
              <w:rPr>
                <w:rFonts w:ascii="Arial" w:cs="Arial" w:eastAsia="Arial" w:hAnsi="Arial"/>
                <w:sz w:val="18"/>
                <w:szCs w:val="18"/>
                <w:color w:val="auto"/>
              </w:rPr>
              <w:t>Accumulated losses</w:t>
            </w:r>
          </w:p>
        </w:tc>
        <w:tc>
          <w:tcPr>
            <w:tcW w:w="14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89"/>
              </w:rPr>
              <w:t>(163,194,156)</w:t>
            </w:r>
          </w:p>
        </w:tc>
        <w:tc>
          <w:tcPr>
            <w:tcW w:w="9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0"/>
              </w:rPr>
              <w:t>(134,977,180)</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400" w:type="dxa"/>
            <w:vAlign w:val="bottom"/>
          </w:tcPr>
          <w:p>
            <w:pPr>
              <w:spacing w:after="0"/>
              <w:rPr>
                <w:sz w:val="20"/>
                <w:szCs w:val="20"/>
                <w:color w:val="auto"/>
              </w:rPr>
            </w:pPr>
            <w:r>
              <w:rPr>
                <w:rFonts w:ascii="Arial" w:cs="Arial" w:eastAsia="Arial" w:hAnsi="Arial"/>
                <w:sz w:val="18"/>
                <w:szCs w:val="18"/>
                <w:color w:val="auto"/>
              </w:rPr>
              <w:t>Reserves</w:t>
            </w:r>
          </w:p>
        </w:tc>
        <w:tc>
          <w:tcPr>
            <w:tcW w:w="142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4,503,523</w:t>
            </w:r>
          </w:p>
        </w:tc>
        <w:tc>
          <w:tcPr>
            <w:tcW w:w="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3,234,341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 EQUITY</w:t>
            </w:r>
          </w:p>
        </w:tc>
        <w:tc>
          <w:tcPr>
            <w:tcW w:w="1660" w:type="dxa"/>
            <w:vAlign w:val="bottom"/>
            <w:gridSpan w:val="2"/>
            <w:shd w:val="clear" w:color="auto" w:fill="CCEEFF"/>
          </w:tcPr>
          <w:p>
            <w:pPr>
              <w:ind w:left="1420"/>
              <w:spacing w:after="0"/>
              <w:rPr>
                <w:sz w:val="20"/>
                <w:szCs w:val="20"/>
                <w:color w:val="auto"/>
              </w:rPr>
            </w:pPr>
            <w:r>
              <w:rPr>
                <w:rFonts w:ascii="Arial" w:cs="Arial" w:eastAsia="Arial" w:hAnsi="Arial"/>
                <w:sz w:val="18"/>
                <w:szCs w:val="18"/>
                <w:b w:val="1"/>
                <w:bCs w:val="1"/>
                <w:u w:val="single" w:color="auto"/>
                <w:color w:val="auto"/>
                <w:w w:val="95"/>
              </w:rPr>
              <w:t>A</w:t>
            </w:r>
            <w:r>
              <w:rPr>
                <w:rFonts w:ascii="Arial" w:cs="Arial" w:eastAsia="Arial" w:hAnsi="Arial"/>
                <w:sz w:val="18"/>
                <w:szCs w:val="18"/>
                <w:b w:val="1"/>
                <w:bCs w:val="1"/>
                <w:color w:val="auto"/>
                <w:w w:val="95"/>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4,110,395</w:t>
            </w:r>
          </w:p>
        </w:tc>
        <w:tc>
          <w:tcPr>
            <w:tcW w:w="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ind w:left="960"/>
              <w:spacing w:after="0"/>
              <w:rPr>
                <w:sz w:val="20"/>
                <w:szCs w:val="20"/>
                <w:color w:val="auto"/>
              </w:rPr>
            </w:pPr>
            <w:r>
              <w:rPr>
                <w:rFonts w:ascii="Arial" w:cs="Arial" w:eastAsia="Arial" w:hAnsi="Arial"/>
                <w:sz w:val="18"/>
                <w:szCs w:val="18"/>
                <w:b w:val="1"/>
                <w:bCs w:val="1"/>
                <w:u w:val="single" w:color="auto"/>
                <w:color w:val="auto"/>
                <w:w w:val="86"/>
              </w:rPr>
              <w:t>A</w:t>
            </w:r>
            <w:r>
              <w:rPr>
                <w:rFonts w:ascii="Arial" w:cs="Arial" w:eastAsia="Arial" w:hAnsi="Arial"/>
                <w:sz w:val="18"/>
                <w:szCs w:val="18"/>
                <w:b w:val="1"/>
                <w:bCs w:val="1"/>
                <w:color w:val="auto"/>
                <w:w w:val="86"/>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3,063,183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40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60" w:lineRule="exact"/>
        <w:rPr>
          <w:sz w:val="20"/>
          <w:szCs w:val="20"/>
          <w:color w:val="auto"/>
        </w:rPr>
      </w:pPr>
    </w:p>
    <w:p>
      <w:pPr>
        <w:ind w:left="200"/>
        <w:spacing w:after="0"/>
        <w:tabs>
          <w:tab w:leader="none" w:pos="620" w:val="left"/>
        </w:tabs>
        <w:rPr>
          <w:sz w:val="20"/>
          <w:szCs w:val="20"/>
          <w:color w:val="auto"/>
        </w:rPr>
      </w:pPr>
      <w:r>
        <w:rPr>
          <w:rFonts w:ascii="Arial" w:cs="Arial" w:eastAsia="Arial" w:hAnsi="Arial"/>
          <w:sz w:val="18"/>
          <w:szCs w:val="18"/>
          <w:b w:val="1"/>
          <w:bCs w:val="1"/>
          <w:color w:val="auto"/>
        </w:rPr>
        <w:t>24.</w:t>
        <w:tab/>
        <w:t>INVESTMENTS</w:t>
      </w:r>
    </w:p>
    <w:p>
      <w:pPr>
        <w:spacing w:after="0" w:line="114" w:lineRule="exact"/>
        <w:rPr>
          <w:sz w:val="20"/>
          <w:szCs w:val="20"/>
          <w:color w:val="auto"/>
        </w:rPr>
      </w:pPr>
    </w:p>
    <w:tbl>
      <w:tblPr>
        <w:tblLayout w:type="fixed"/>
        <w:tblInd w:w="108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940" w:type="dxa"/>
            <w:vAlign w:val="bottom"/>
          </w:tcPr>
          <w:p>
            <w:pPr>
              <w:spacing w:after="0"/>
              <w:rPr>
                <w:sz w:val="14"/>
                <w:szCs w:val="14"/>
                <w:color w:val="auto"/>
              </w:rPr>
            </w:pPr>
          </w:p>
        </w:tc>
        <w:tc>
          <w:tcPr>
            <w:tcW w:w="360" w:type="dxa"/>
            <w:vAlign w:val="bottom"/>
            <w:vMerge w:val="restart"/>
          </w:tcPr>
          <w:p>
            <w:pPr>
              <w:jc w:val="right"/>
              <w:spacing w:after="0"/>
              <w:rPr>
                <w:sz w:val="20"/>
                <w:szCs w:val="20"/>
                <w:color w:val="auto"/>
              </w:rPr>
            </w:pPr>
            <w:r>
              <w:rPr>
                <w:rFonts w:ascii="Arial" w:cs="Arial" w:eastAsia="Arial" w:hAnsi="Arial"/>
                <w:sz w:val="14"/>
                <w:szCs w:val="14"/>
                <w:b w:val="1"/>
                <w:bCs w:val="1"/>
                <w:color w:val="auto"/>
                <w:w w:val="96"/>
              </w:rPr>
              <w:t>2018</w:t>
            </w:r>
          </w:p>
        </w:tc>
        <w:tc>
          <w:tcPr>
            <w:tcW w:w="1200" w:type="dxa"/>
            <w:vAlign w:val="bottom"/>
            <w:gridSpan w:val="3"/>
          </w:tcPr>
          <w:p>
            <w:pPr>
              <w:ind w:left="340"/>
              <w:spacing w:after="0"/>
              <w:rPr>
                <w:sz w:val="20"/>
                <w:szCs w:val="20"/>
                <w:color w:val="auto"/>
              </w:rPr>
            </w:pPr>
            <w:r>
              <w:rPr>
                <w:rFonts w:ascii="Arial" w:cs="Arial" w:eastAsia="Arial" w:hAnsi="Arial"/>
                <w:sz w:val="14"/>
                <w:szCs w:val="14"/>
                <w:b w:val="1"/>
                <w:bCs w:val="1"/>
                <w:color w:val="auto"/>
                <w:w w:val="92"/>
              </w:rPr>
              <w:t>As of 30 June</w:t>
            </w:r>
          </w:p>
        </w:tc>
        <w:tc>
          <w:tcPr>
            <w:tcW w:w="680" w:type="dxa"/>
            <w:vAlign w:val="bottom"/>
            <w:vMerge w:val="restart"/>
          </w:tcPr>
          <w:p>
            <w:pPr>
              <w:jc w:val="right"/>
              <w:ind w:right="114"/>
              <w:spacing w:after="0"/>
              <w:rPr>
                <w:sz w:val="20"/>
                <w:szCs w:val="20"/>
                <w:color w:val="auto"/>
              </w:rPr>
            </w:pPr>
            <w:r>
              <w:rPr>
                <w:rFonts w:ascii="Arial" w:cs="Arial" w:eastAsia="Arial" w:hAnsi="Arial"/>
                <w:sz w:val="14"/>
                <w:szCs w:val="14"/>
                <w:b w:val="1"/>
                <w:bCs w:val="1"/>
                <w:color w:val="auto"/>
              </w:rPr>
              <w:t>2016</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6940" w:type="dxa"/>
            <w:vAlign w:val="bottom"/>
          </w:tcPr>
          <w:p>
            <w:pPr>
              <w:spacing w:after="0"/>
              <w:rPr>
                <w:sz w:val="14"/>
                <w:szCs w:val="14"/>
                <w:color w:val="auto"/>
              </w:rPr>
            </w:pPr>
          </w:p>
        </w:tc>
        <w:tc>
          <w:tcPr>
            <w:tcW w:w="360" w:type="dxa"/>
            <w:vAlign w:val="bottom"/>
            <w:vMerge w:val="continue"/>
          </w:tcPr>
          <w:p>
            <w:pPr>
              <w:spacing w:after="0"/>
              <w:rPr>
                <w:sz w:val="14"/>
                <w:szCs w:val="14"/>
                <w:color w:val="auto"/>
              </w:rPr>
            </w:pPr>
          </w:p>
        </w:tc>
        <w:tc>
          <w:tcPr>
            <w:tcW w:w="780" w:type="dxa"/>
            <w:vAlign w:val="bottom"/>
            <w:gridSpan w:val="2"/>
          </w:tcPr>
          <w:p>
            <w:pPr>
              <w:jc w:val="right"/>
              <w:spacing w:after="0"/>
              <w:rPr>
                <w:sz w:val="20"/>
                <w:szCs w:val="20"/>
                <w:color w:val="auto"/>
              </w:rPr>
            </w:pPr>
            <w:r>
              <w:rPr>
                <w:rFonts w:ascii="Arial" w:cs="Arial" w:eastAsia="Arial" w:hAnsi="Arial"/>
                <w:sz w:val="14"/>
                <w:szCs w:val="14"/>
                <w:b w:val="1"/>
                <w:bCs w:val="1"/>
                <w:color w:val="auto"/>
              </w:rPr>
              <w:t>2017</w:t>
            </w:r>
          </w:p>
        </w:tc>
        <w:tc>
          <w:tcPr>
            <w:tcW w:w="420" w:type="dxa"/>
            <w:vAlign w:val="bottom"/>
          </w:tcPr>
          <w:p>
            <w:pPr>
              <w:spacing w:after="0"/>
              <w:rPr>
                <w:sz w:val="14"/>
                <w:szCs w:val="14"/>
                <w:color w:val="auto"/>
              </w:rPr>
            </w:pPr>
          </w:p>
        </w:tc>
        <w:tc>
          <w:tcPr>
            <w:tcW w:w="680" w:type="dxa"/>
            <w:vAlign w:val="bottom"/>
            <w:vMerge w:val="continue"/>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9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Investment in MVP shares</w:t>
            </w:r>
          </w:p>
        </w:tc>
        <w:tc>
          <w:tcPr>
            <w:tcW w:w="360" w:type="dxa"/>
            <w:vAlign w:val="bottom"/>
            <w:tcBorders>
              <w:top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w w:val="85"/>
              </w:rPr>
              <w:t>$—</w:t>
            </w:r>
          </w:p>
        </w:tc>
        <w:tc>
          <w:tcPr>
            <w:tcW w:w="42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85"/>
              </w:rPr>
              <w:t>$—</w:t>
            </w:r>
          </w:p>
        </w:tc>
        <w:tc>
          <w:tcPr>
            <w:tcW w:w="420" w:type="dxa"/>
            <w:vAlign w:val="bottom"/>
            <w:tcBorders>
              <w:top w:val="single" w:sz="8" w:color="CCEEFF"/>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$453,892</w:t>
            </w:r>
          </w:p>
        </w:tc>
        <w:tc>
          <w:tcPr>
            <w:tcW w:w="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40" w:type="dxa"/>
            <w:vAlign w:val="bottom"/>
          </w:tcPr>
          <w:p>
            <w:pPr>
              <w:spacing w:after="0"/>
              <w:rPr>
                <w:sz w:val="20"/>
                <w:szCs w:val="20"/>
                <w:color w:val="auto"/>
              </w:rPr>
            </w:pPr>
            <w:r>
              <w:rPr>
                <w:rFonts w:ascii="Arial" w:cs="Arial" w:eastAsia="Arial" w:hAnsi="Arial"/>
                <w:sz w:val="18"/>
                <w:szCs w:val="18"/>
                <w:color w:val="auto"/>
              </w:rPr>
              <w:t>Fair value gain on investment</w:t>
            </w:r>
          </w:p>
        </w:tc>
        <w:tc>
          <w:tcPr>
            <w:tcW w:w="360" w:type="dxa"/>
            <w:vAlign w:val="bottom"/>
          </w:tcPr>
          <w:p>
            <w:pPr>
              <w:jc w:val="right"/>
              <w:ind w:right="14"/>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18"/>
                <w:szCs w:val="18"/>
                <w:color w:val="auto"/>
              </w:rPr>
            </w:pPr>
          </w:p>
        </w:tc>
        <w:tc>
          <w:tcPr>
            <w:tcW w:w="36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18"/>
                <w:szCs w:val="18"/>
                <w:color w:val="auto"/>
              </w:rPr>
            </w:pPr>
          </w:p>
        </w:tc>
        <w:tc>
          <w:tcPr>
            <w:tcW w:w="740" w:type="dxa"/>
            <w:vAlign w:val="bottom"/>
            <w:gridSpan w:val="2"/>
          </w:tcPr>
          <w:p>
            <w:pPr>
              <w:jc w:val="right"/>
              <w:ind w:right="60"/>
              <w:spacing w:after="0"/>
              <w:rPr>
                <w:sz w:val="20"/>
                <w:szCs w:val="20"/>
                <w:color w:val="auto"/>
              </w:rPr>
            </w:pPr>
            <w:r>
              <w:rPr>
                <w:rFonts w:ascii="Arial" w:cs="Arial" w:eastAsia="Arial" w:hAnsi="Arial"/>
                <w:sz w:val="18"/>
                <w:szCs w:val="18"/>
                <w:color w:val="auto"/>
              </w:rPr>
              <w:t>265,261</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6940" w:type="dxa"/>
            <w:vAlign w:val="bottom"/>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69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Carrying amount of investment</w:t>
            </w:r>
          </w:p>
        </w:tc>
        <w:tc>
          <w:tcPr>
            <w:tcW w:w="360" w:type="dxa"/>
            <w:vAlign w:val="bottom"/>
            <w:shd w:val="clear" w:color="auto" w:fill="CCEEFF"/>
          </w:tcPr>
          <w:p>
            <w:pPr>
              <w:jc w:val="right"/>
              <w:ind w:right="14"/>
              <w:spacing w:after="0"/>
              <w:rPr>
                <w:sz w:val="20"/>
                <w:szCs w:val="20"/>
                <w:color w:val="auto"/>
              </w:rPr>
            </w:pPr>
            <w:r>
              <w:rPr>
                <w:rFonts w:ascii="Arial" w:cs="Arial" w:eastAsia="Arial" w:hAnsi="Arial"/>
                <w:sz w:val="18"/>
                <w:szCs w:val="18"/>
                <w:b w:val="1"/>
                <w:bCs w:val="1"/>
                <w:color w:val="auto"/>
                <w:w w:val="85"/>
              </w:rPr>
              <w:t>$—</w:t>
            </w:r>
          </w:p>
        </w:tc>
        <w:tc>
          <w:tcPr>
            <w:tcW w:w="1200" w:type="dxa"/>
            <w:vAlign w:val="bottom"/>
            <w:gridSpan w:val="3"/>
            <w:shd w:val="clear" w:color="auto" w:fill="CCEEFF"/>
          </w:tcPr>
          <w:p>
            <w:pPr>
              <w:jc w:val="right"/>
              <w:ind w:right="520"/>
              <w:spacing w:after="0"/>
              <w:rPr>
                <w:sz w:val="20"/>
                <w:szCs w:val="20"/>
                <w:color w:val="auto"/>
              </w:rPr>
            </w:pPr>
            <w:r>
              <w:rPr>
                <w:rFonts w:ascii="Arial" w:cs="Arial" w:eastAsia="Arial" w:hAnsi="Arial"/>
                <w:sz w:val="18"/>
                <w:szCs w:val="18"/>
                <w:b w:val="1"/>
                <w:bCs w:val="1"/>
                <w:color w:val="auto"/>
              </w:rPr>
              <w:t>$—</w:t>
            </w:r>
          </w:p>
        </w:tc>
        <w:tc>
          <w:tcPr>
            <w:tcW w:w="7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b w:val="1"/>
                <w:bCs w:val="1"/>
                <w:u w:val="single" w:color="auto"/>
                <w:color w:val="auto"/>
                <w:w w:val="87"/>
              </w:rPr>
              <w:t>$</w:t>
            </w:r>
            <w:r>
              <w:rPr>
                <w:rFonts w:ascii="Arial" w:cs="Arial" w:eastAsia="Arial" w:hAnsi="Arial"/>
                <w:sz w:val="18"/>
                <w:szCs w:val="18"/>
                <w:b w:val="1"/>
                <w:bCs w:val="1"/>
                <w:color w:val="auto"/>
                <w:w w:val="87"/>
              </w:rPr>
              <w:t>719,153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94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ind w:left="200"/>
        <w:spacing w:after="0" w:line="302" w:lineRule="auto"/>
        <w:rPr>
          <w:sz w:val="20"/>
          <w:szCs w:val="20"/>
          <w:color w:val="auto"/>
        </w:rPr>
      </w:pPr>
      <w:r>
        <w:rPr>
          <w:rFonts w:ascii="Arial" w:cs="Arial" w:eastAsia="Arial" w:hAnsi="Arial"/>
          <w:sz w:val="16"/>
          <w:szCs w:val="16"/>
          <w:color w:val="auto"/>
        </w:rPr>
        <w:t>The 2016 Investments of $719,153 was due to the holding in escrow of 117,894 shares of Medical Developments International Ltd (ASX: MVP) originating from the sale of Avita’s Respiratory Business in February 2016. Consideration for the divestment was $2,029,478 in cash plus the MVP shares which were valued at $453,892 at the closing of the transaction on February 5, 2016. The statement of profit and loss reflects a fair value gain of $265,261 in other comprehensive income on these escrowed shares, as these shares had a fair value at the reporting date of $719,153.</w:t>
      </w:r>
    </w:p>
    <w:p>
      <w:pPr>
        <w:spacing w:after="0" w:line="87" w:lineRule="exact"/>
        <w:rPr>
          <w:sz w:val="20"/>
          <w:szCs w:val="20"/>
          <w:color w:val="auto"/>
        </w:rPr>
      </w:pPr>
    </w:p>
    <w:p>
      <w:pPr>
        <w:jc w:val="center"/>
        <w:ind w:right="-319"/>
        <w:spacing w:after="0"/>
        <w:rPr>
          <w:sz w:val="20"/>
          <w:szCs w:val="20"/>
          <w:color w:val="auto"/>
        </w:rPr>
      </w:pPr>
      <w:r>
        <w:rPr>
          <w:rFonts w:ascii="Arial" w:cs="Arial" w:eastAsia="Arial" w:hAnsi="Arial"/>
          <w:sz w:val="18"/>
          <w:szCs w:val="18"/>
          <w:color w:val="auto"/>
        </w:rPr>
        <w:t>F-51</w:t>
      </w:r>
    </w:p>
    <w:p>
      <w:pPr>
        <w:sectPr>
          <w:pgSz w:w="11900" w:h="16838" w:orient="portrait"/>
          <w:cols w:equalWidth="0" w:num="1">
            <w:col w:w="11120"/>
          </w:cols>
          <w:pgMar w:left="240" w:top="459" w:right="539" w:bottom="1440" w:gutter="0" w:footer="0" w:header="0"/>
        </w:sectPr>
      </w:pPr>
    </w:p>
    <w:bookmarkStart w:id="150" w:name="page151"/>
    <w:bookmarkEnd w:id="15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9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AVITA MEDICAL LIMITED</w:t>
      </w:r>
    </w:p>
    <w:p>
      <w:pPr>
        <w:spacing w:after="0" w:line="27"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9"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(IN AUSTRALIAN DOLLARS)</w:t>
      </w:r>
    </w:p>
    <w:p>
      <w:pPr>
        <w:spacing w:after="0" w:line="234" w:lineRule="exact"/>
        <w:rPr>
          <w:sz w:val="20"/>
          <w:szCs w:val="20"/>
          <w:color w:val="auto"/>
        </w:rPr>
      </w:pPr>
    </w:p>
    <w:p>
      <w:pPr>
        <w:ind w:left="640" w:hanging="436"/>
        <w:spacing w:after="0"/>
        <w:tabs>
          <w:tab w:leader="none" w:pos="640" w:val="left"/>
        </w:tabs>
        <w:numPr>
          <w:ilvl w:val="0"/>
          <w:numId w:val="192"/>
        </w:numPr>
        <w:rPr>
          <w:rFonts w:ascii="Arial" w:cs="Arial" w:eastAsia="Arial" w:hAnsi="Arial"/>
          <w:sz w:val="18"/>
          <w:szCs w:val="18"/>
          <w:b w:val="1"/>
          <w:bCs w:val="1"/>
          <w:color w:val="auto"/>
        </w:rPr>
      </w:pPr>
      <w:r>
        <w:rPr>
          <w:rFonts w:ascii="Arial" w:cs="Arial" w:eastAsia="Arial" w:hAnsi="Arial"/>
          <w:sz w:val="18"/>
          <w:szCs w:val="18"/>
          <w:b w:val="1"/>
          <w:bCs w:val="1"/>
          <w:color w:val="auto"/>
        </w:rPr>
        <w:t>INVESTMENTS (CONTINUED)</w:t>
      </w:r>
    </w:p>
    <w:p>
      <w:pPr>
        <w:spacing w:after="0" w:line="135" w:lineRule="exact"/>
        <w:rPr>
          <w:sz w:val="20"/>
          <w:szCs w:val="20"/>
          <w:color w:val="auto"/>
        </w:rPr>
      </w:pPr>
    </w:p>
    <w:p>
      <w:pPr>
        <w:ind w:left="200" w:right="640"/>
        <w:spacing w:after="0" w:line="277" w:lineRule="auto"/>
        <w:rPr>
          <w:sz w:val="20"/>
          <w:szCs w:val="20"/>
          <w:color w:val="auto"/>
        </w:rPr>
      </w:pPr>
      <w:r>
        <w:rPr>
          <w:rFonts w:ascii="Arial" w:cs="Arial" w:eastAsia="Arial" w:hAnsi="Arial"/>
          <w:sz w:val="18"/>
          <w:szCs w:val="18"/>
          <w:color w:val="auto"/>
        </w:rPr>
        <w:t>As of June 30, 2016, all MVP shares have been sold for proceeds amounting to $627,837 resulting in a loss of $91,316 which was recognised in administrative expenses.</w:t>
      </w:r>
    </w:p>
    <w:p>
      <w:pPr>
        <w:spacing w:after="0" w:line="315" w:lineRule="exact"/>
        <w:rPr>
          <w:sz w:val="20"/>
          <w:szCs w:val="20"/>
          <w:color w:val="auto"/>
        </w:rPr>
      </w:pPr>
    </w:p>
    <w:p>
      <w:pPr>
        <w:ind w:left="640" w:hanging="436"/>
        <w:spacing w:after="0"/>
        <w:tabs>
          <w:tab w:leader="none" w:pos="640" w:val="left"/>
        </w:tabs>
        <w:numPr>
          <w:ilvl w:val="0"/>
          <w:numId w:val="193"/>
        </w:numPr>
        <w:rPr>
          <w:rFonts w:ascii="Arial" w:cs="Arial" w:eastAsia="Arial" w:hAnsi="Arial"/>
          <w:sz w:val="18"/>
          <w:szCs w:val="18"/>
          <w:b w:val="1"/>
          <w:bCs w:val="1"/>
          <w:color w:val="auto"/>
        </w:rPr>
      </w:pPr>
      <w:r>
        <w:rPr>
          <w:rFonts w:ascii="Arial" w:cs="Arial" w:eastAsia="Arial" w:hAnsi="Arial"/>
          <w:sz w:val="18"/>
          <w:szCs w:val="18"/>
          <w:b w:val="1"/>
          <w:bCs w:val="1"/>
          <w:color w:val="auto"/>
        </w:rPr>
        <w:t>EVENTS AFTER THE REPORTING DATE</w:t>
      </w:r>
    </w:p>
    <w:p>
      <w:pPr>
        <w:spacing w:after="0" w:line="121" w:lineRule="exact"/>
        <w:rPr>
          <w:sz w:val="20"/>
          <w:szCs w:val="20"/>
          <w:color w:val="auto"/>
        </w:rPr>
      </w:pPr>
    </w:p>
    <w:p>
      <w:pPr>
        <w:ind w:left="200" w:right="300"/>
        <w:spacing w:after="0" w:line="277" w:lineRule="auto"/>
        <w:rPr>
          <w:sz w:val="20"/>
          <w:szCs w:val="20"/>
          <w:color w:val="auto"/>
        </w:rPr>
      </w:pPr>
      <w:r>
        <w:rPr>
          <w:rFonts w:ascii="Arial" w:cs="Arial" w:eastAsia="Arial" w:hAnsi="Arial"/>
          <w:sz w:val="18"/>
          <w:szCs w:val="18"/>
          <w:color w:val="auto"/>
        </w:rPr>
        <w:t>On September 20, 2018, the U.S. Food and Drug Administration (FDA) approved the Company’s application to market the RECELL System to treat patients with acute thermal burns in the U.S.</w:t>
      </w:r>
    </w:p>
    <w:p>
      <w:pPr>
        <w:spacing w:after="0" w:line="170" w:lineRule="exact"/>
        <w:rPr>
          <w:sz w:val="20"/>
          <w:szCs w:val="20"/>
          <w:color w:val="auto"/>
        </w:rPr>
      </w:pPr>
    </w:p>
    <w:p>
      <w:pPr>
        <w:ind w:left="200"/>
        <w:spacing w:after="0" w:line="287" w:lineRule="auto"/>
        <w:rPr>
          <w:sz w:val="20"/>
          <w:szCs w:val="20"/>
          <w:color w:val="auto"/>
        </w:rPr>
      </w:pPr>
      <w:r>
        <w:rPr>
          <w:rFonts w:ascii="Arial" w:cs="Arial" w:eastAsia="Arial" w:hAnsi="Arial"/>
          <w:sz w:val="16"/>
          <w:szCs w:val="16"/>
          <w:color w:val="auto"/>
        </w:rPr>
        <w:t>Subsequent to June 30, 2018 the Company completed a series of equity transactions in in which the Company received a total of A$45,014,900 in gross proceeds. During the year ended June 30, 2018 the Company completed an institutional placement of shares to international and Australian institutional and sophisticated investors. The institutional placement included a second tranche totaling A$3.250 million of gross proceeds, contingent upon shareholder approval. Shareholder approval for Tranche 2 was received at an Extraordinary General Meeting held on July 23, 2018, and the net proceeds of A$3.041 million were received by the Company on July 26, 2018. Shareholder approval for Tranche 2 was received at an Extraordinary General Meeting held on July 23, 2018, and the Company issued 65 million shares at a price of A$0.050 per share and received gross proceeds of A$3,250,000 on July 26, 2018. Also subsequent to year end, on December 4, 2018 the Company completed the first tranche of an institutional placement of in which it issued 310,047,015 fully paid ordinary shares at a price of A$0.080 per share raising gross proceeds of A$24,803,761. The institutional placement included a second tranche totaling A$15.196 million of gross proceeds, contingent upon shareholder approval. Shareholder approval for Tranche 2 was received at an Extraordinary General Meeting held on January 14, 2019, and the Company issued 189,952,985 shares at a price of A$0.080 per share and received gross proceeds of A$15,196,239 on January 14, 2019. In addition, on January 11, 2019 the Company complete a Share Purchase Plan under which it issued 22,061,250 shares of stock at a price of A$0.080 per share and received gross proceeds of A$1,764,900.</w:t>
      </w:r>
    </w:p>
    <w:p>
      <w:pPr>
        <w:spacing w:after="0" w:line="101"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F-52</w:t>
      </w:r>
    </w:p>
    <w:p>
      <w:pPr>
        <w:sectPr>
          <w:pgSz w:w="11900" w:h="16838" w:orient="portrait"/>
          <w:cols w:equalWidth="0" w:num="1">
            <w:col w:w="11220"/>
          </w:cols>
          <w:pgMar w:left="240" w:top="459" w:right="439" w:bottom="1440" w:gutter="0" w:footer="0" w:header="0"/>
        </w:sectPr>
      </w:pPr>
    </w:p>
    <w:bookmarkStart w:id="151" w:name="page152"/>
    <w:bookmarkEnd w:id="15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20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AVITA MEDICAL LIMITED</w:t>
      </w:r>
    </w:p>
    <w:p>
      <w:pPr>
        <w:spacing w:after="0" w:line="27"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CONDENSED CONSOLIDATED STATEMENT OF PROFIT OR LOSS</w:t>
      </w:r>
    </w:p>
    <w:p>
      <w:pPr>
        <w:spacing w:after="0" w:line="9"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AND OTHER COMPREHENSIVE LOSS</w:t>
      </w:r>
    </w:p>
    <w:p>
      <w:pPr>
        <w:spacing w:after="0" w:line="9"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(IN AUSTRALIAN DOLLARS)</w:t>
      </w:r>
    </w:p>
    <w:p>
      <w:pPr>
        <w:spacing w:after="0" w:line="9"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(UNAUDITED)</w:t>
      </w:r>
    </w:p>
    <w:p>
      <w:pPr>
        <w:spacing w:after="0" w:line="217" w:lineRule="exact"/>
        <w:rPr>
          <w:sz w:val="20"/>
          <w:szCs w:val="20"/>
          <w:color w:val="auto"/>
        </w:rPr>
      </w:pPr>
    </w:p>
    <w:tbl>
      <w:tblPr>
        <w:tblLayout w:type="fixed"/>
        <w:tblInd w:w="20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960" w:type="dxa"/>
            <w:vAlign w:val="bottom"/>
          </w:tcPr>
          <w:p>
            <w:pPr>
              <w:spacing w:after="0"/>
              <w:rPr>
                <w:sz w:val="14"/>
                <w:szCs w:val="14"/>
                <w:color w:val="auto"/>
              </w:rPr>
            </w:pPr>
          </w:p>
        </w:tc>
        <w:tc>
          <w:tcPr>
            <w:tcW w:w="1840" w:type="dxa"/>
            <w:vAlign w:val="bottom"/>
            <w:vMerge w:val="restart"/>
          </w:tcPr>
          <w:p>
            <w:pPr>
              <w:jc w:val="right"/>
              <w:ind w:right="194"/>
              <w:spacing w:after="0"/>
              <w:rPr>
                <w:sz w:val="20"/>
                <w:szCs w:val="20"/>
                <w:color w:val="auto"/>
              </w:rPr>
            </w:pPr>
            <w:r>
              <w:rPr>
                <w:rFonts w:ascii="Arial" w:cs="Arial" w:eastAsia="Arial" w:hAnsi="Arial"/>
                <w:sz w:val="14"/>
                <w:szCs w:val="14"/>
                <w:b w:val="1"/>
                <w:bCs w:val="1"/>
                <w:color w:val="auto"/>
              </w:rPr>
              <w:t>Note</w:t>
            </w:r>
          </w:p>
        </w:tc>
        <w:tc>
          <w:tcPr>
            <w:tcW w:w="2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720" w:type="dxa"/>
            <w:vAlign w:val="bottom"/>
            <w:gridSpan w:val="6"/>
          </w:tcPr>
          <w:p>
            <w:pPr>
              <w:jc w:val="right"/>
              <w:ind w:right="520"/>
              <w:spacing w:after="0"/>
              <w:rPr>
                <w:sz w:val="20"/>
                <w:szCs w:val="20"/>
                <w:color w:val="auto"/>
              </w:rPr>
            </w:pPr>
            <w:r>
              <w:rPr>
                <w:rFonts w:ascii="Arial" w:cs="Arial" w:eastAsia="Arial" w:hAnsi="Arial"/>
                <w:sz w:val="14"/>
                <w:szCs w:val="14"/>
                <w:b w:val="1"/>
                <w:bCs w:val="1"/>
                <w:color w:val="auto"/>
              </w:rPr>
              <w:t>Half-year ended December 31,</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5960" w:type="dxa"/>
            <w:vAlign w:val="bottom"/>
            <w:tcBorders>
              <w:bottom w:val="single" w:sz="8" w:color="CCEEFF"/>
            </w:tcBorders>
          </w:tcPr>
          <w:p>
            <w:pPr>
              <w:spacing w:after="0"/>
              <w:rPr>
                <w:sz w:val="14"/>
                <w:szCs w:val="14"/>
                <w:color w:val="auto"/>
              </w:rPr>
            </w:pPr>
          </w:p>
        </w:tc>
        <w:tc>
          <w:tcPr>
            <w:tcW w:w="1840" w:type="dxa"/>
            <w:vAlign w:val="bottom"/>
            <w:tcBorders>
              <w:bottom w:val="single" w:sz="8" w:color="CCEEFF"/>
            </w:tcBorders>
            <w:vMerge w:val="continue"/>
          </w:tcPr>
          <w:p>
            <w:pPr>
              <w:spacing w:after="0"/>
              <w:rPr>
                <w:sz w:val="14"/>
                <w:szCs w:val="14"/>
                <w:color w:val="auto"/>
              </w:rPr>
            </w:pPr>
          </w:p>
        </w:tc>
        <w:tc>
          <w:tcPr>
            <w:tcW w:w="280" w:type="dxa"/>
            <w:vAlign w:val="bottom"/>
            <w:tcBorders>
              <w:bottom w:val="single" w:sz="8" w:color="CCEEFF"/>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jc w:val="right"/>
              <w:ind w:right="312"/>
              <w:spacing w:after="0"/>
              <w:rPr>
                <w:sz w:val="20"/>
                <w:szCs w:val="20"/>
                <w:color w:val="auto"/>
              </w:rPr>
            </w:pPr>
            <w:r>
              <w:rPr>
                <w:rFonts w:ascii="Arial" w:cs="Arial" w:eastAsia="Arial" w:hAnsi="Arial"/>
                <w:sz w:val="14"/>
                <w:szCs w:val="14"/>
                <w:b w:val="1"/>
                <w:bCs w:val="1"/>
                <w:color w:val="auto"/>
              </w:rPr>
              <w:t>2018</w:t>
            </w:r>
          </w:p>
        </w:tc>
        <w:tc>
          <w:tcPr>
            <w:tcW w:w="340" w:type="dxa"/>
            <w:vAlign w:val="bottom"/>
            <w:tcBorders>
              <w:bottom w:val="single" w:sz="8" w:color="CCEEFF"/>
            </w:tcBorders>
          </w:tcPr>
          <w:p>
            <w:pPr>
              <w:spacing w:after="0"/>
              <w:rPr>
                <w:sz w:val="14"/>
                <w:szCs w:val="14"/>
                <w:color w:val="auto"/>
              </w:rPr>
            </w:pPr>
          </w:p>
        </w:tc>
        <w:tc>
          <w:tcPr>
            <w:tcW w:w="280" w:type="dxa"/>
            <w:vAlign w:val="bottom"/>
            <w:tcBorders>
              <w:bottom w:val="single" w:sz="8" w:color="CCEEFF"/>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jc w:val="right"/>
              <w:ind w:right="331"/>
              <w:spacing w:after="0"/>
              <w:rPr>
                <w:sz w:val="20"/>
                <w:szCs w:val="20"/>
                <w:color w:val="auto"/>
              </w:rPr>
            </w:pPr>
            <w:r>
              <w:rPr>
                <w:rFonts w:ascii="Arial" w:cs="Arial" w:eastAsia="Arial" w:hAnsi="Arial"/>
                <w:sz w:val="14"/>
                <w:szCs w:val="14"/>
                <w:b w:val="1"/>
                <w:bCs w:val="1"/>
                <w:color w:val="auto"/>
              </w:rPr>
              <w:t>2017</w:t>
            </w:r>
          </w:p>
        </w:tc>
        <w:tc>
          <w:tcPr>
            <w:tcW w:w="12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5960" w:type="dxa"/>
            <w:vAlign w:val="bottom"/>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Continuing operations</w:t>
            </w:r>
          </w:p>
        </w:tc>
        <w:tc>
          <w:tcPr>
            <w:tcW w:w="18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60" w:type="dxa"/>
            <w:vAlign w:val="bottom"/>
          </w:tcPr>
          <w:p>
            <w:pPr>
              <w:spacing w:after="0"/>
              <w:rPr>
                <w:sz w:val="20"/>
                <w:szCs w:val="20"/>
                <w:color w:val="auto"/>
              </w:rPr>
            </w:pPr>
            <w:r>
              <w:rPr>
                <w:rFonts w:ascii="Arial" w:cs="Arial" w:eastAsia="Arial" w:hAnsi="Arial"/>
                <w:sz w:val="18"/>
                <w:szCs w:val="18"/>
                <w:color w:val="auto"/>
              </w:rPr>
              <w:t>Sale of goods</w:t>
            </w:r>
          </w:p>
        </w:tc>
        <w:tc>
          <w:tcPr>
            <w:tcW w:w="1840" w:type="dxa"/>
            <w:vAlign w:val="bottom"/>
          </w:tcPr>
          <w:p>
            <w:pPr>
              <w:jc w:val="right"/>
              <w:ind w:right="234"/>
              <w:spacing w:after="0"/>
              <w:rPr>
                <w:sz w:val="20"/>
                <w:szCs w:val="20"/>
                <w:color w:val="auto"/>
              </w:rPr>
            </w:pPr>
            <w:r>
              <w:rPr>
                <w:rFonts w:ascii="Arial" w:cs="Arial" w:eastAsia="Arial" w:hAnsi="Arial"/>
                <w:sz w:val="18"/>
                <w:szCs w:val="18"/>
                <w:color w:val="auto"/>
              </w:rPr>
              <w:t>2</w:t>
            </w:r>
          </w:p>
        </w:tc>
        <w:tc>
          <w:tcPr>
            <w:tcW w:w="500" w:type="dxa"/>
            <w:vAlign w:val="bottom"/>
            <w:gridSpan w:val="2"/>
          </w:tcPr>
          <w:p>
            <w:pPr>
              <w:ind w:left="280"/>
              <w:spacing w:after="0"/>
              <w:rPr>
                <w:sz w:val="20"/>
                <w:szCs w:val="20"/>
                <w:color w:val="auto"/>
              </w:rPr>
            </w:pPr>
            <w:r>
              <w:rPr>
                <w:rFonts w:ascii="Arial" w:cs="Arial" w:eastAsia="Arial" w:hAnsi="Arial"/>
                <w:sz w:val="18"/>
                <w:szCs w:val="18"/>
                <w:color w:val="auto"/>
                <w:w w:val="90"/>
              </w:rPr>
              <w:t>A$</w:t>
            </w:r>
          </w:p>
        </w:tc>
        <w:tc>
          <w:tcPr>
            <w:tcW w:w="880" w:type="dxa"/>
            <w:vAlign w:val="bottom"/>
          </w:tcPr>
          <w:p>
            <w:pPr>
              <w:jc w:val="right"/>
              <w:spacing w:after="0"/>
              <w:rPr>
                <w:sz w:val="20"/>
                <w:szCs w:val="20"/>
                <w:color w:val="auto"/>
              </w:rPr>
            </w:pPr>
            <w:r>
              <w:rPr>
                <w:rFonts w:ascii="Arial" w:cs="Arial" w:eastAsia="Arial" w:hAnsi="Arial"/>
                <w:sz w:val="18"/>
                <w:szCs w:val="18"/>
                <w:color w:val="auto"/>
              </w:rPr>
              <w:t>1,813,195</w:t>
            </w:r>
          </w:p>
        </w:tc>
        <w:tc>
          <w:tcPr>
            <w:tcW w:w="340" w:type="dxa"/>
            <w:vAlign w:val="bottom"/>
          </w:tcPr>
          <w:p>
            <w:pPr>
              <w:spacing w:after="0"/>
              <w:rPr>
                <w:sz w:val="18"/>
                <w:szCs w:val="18"/>
                <w:color w:val="auto"/>
              </w:rPr>
            </w:pPr>
          </w:p>
        </w:tc>
        <w:tc>
          <w:tcPr>
            <w:tcW w:w="500" w:type="dxa"/>
            <w:vAlign w:val="bottom"/>
            <w:gridSpan w:val="2"/>
          </w:tcPr>
          <w:p>
            <w:pPr>
              <w:jc w:val="right"/>
              <w:spacing w:after="0"/>
              <w:rPr>
                <w:sz w:val="20"/>
                <w:szCs w:val="20"/>
                <w:color w:val="auto"/>
              </w:rPr>
            </w:pPr>
            <w:r>
              <w:rPr>
                <w:rFonts w:ascii="Arial" w:cs="Arial" w:eastAsia="Arial" w:hAnsi="Arial"/>
                <w:sz w:val="18"/>
                <w:szCs w:val="18"/>
                <w:color w:val="auto"/>
              </w:rPr>
              <w:t>A$</w:t>
            </w:r>
          </w:p>
        </w:tc>
        <w:tc>
          <w:tcPr>
            <w:tcW w:w="880" w:type="dxa"/>
            <w:vAlign w:val="bottom"/>
          </w:tcPr>
          <w:p>
            <w:pPr>
              <w:jc w:val="right"/>
              <w:spacing w:after="0"/>
              <w:rPr>
                <w:sz w:val="20"/>
                <w:szCs w:val="20"/>
                <w:color w:val="auto"/>
              </w:rPr>
            </w:pPr>
            <w:r>
              <w:rPr>
                <w:rFonts w:ascii="Arial" w:cs="Arial" w:eastAsia="Arial" w:hAnsi="Arial"/>
                <w:sz w:val="18"/>
                <w:szCs w:val="18"/>
                <w:color w:val="auto"/>
              </w:rPr>
              <w:t>607,761</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60" w:type="dxa"/>
            <w:vAlign w:val="bottom"/>
            <w:shd w:val="clear" w:color="auto" w:fill="CCEEFF"/>
          </w:tcPr>
          <w:p>
            <w:pPr>
              <w:spacing w:after="0"/>
              <w:rPr>
                <w:sz w:val="20"/>
                <w:szCs w:val="20"/>
                <w:color w:val="auto"/>
              </w:rPr>
            </w:pPr>
            <w:r>
              <w:rPr>
                <w:rFonts w:ascii="Arial" w:cs="Arial" w:eastAsia="Arial" w:hAnsi="Arial"/>
                <w:sz w:val="18"/>
                <w:szCs w:val="18"/>
                <w:color w:val="auto"/>
              </w:rPr>
              <w:t>Cost of sales</w:t>
            </w:r>
          </w:p>
        </w:tc>
        <w:tc>
          <w:tcPr>
            <w:tcW w:w="18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(570,315)</w:t>
            </w: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(264,833)</w:t>
            </w:r>
          </w:p>
        </w:tc>
        <w:tc>
          <w:tcPr>
            <w:tcW w:w="0" w:type="dxa"/>
            <w:vAlign w:val="bottom"/>
          </w:tcPr>
          <w:p>
            <w:pPr>
              <w:spacing w:after="0"/>
              <w:rPr>
                <w:sz w:val="1"/>
                <w:szCs w:val="1"/>
                <w:color w:val="auto"/>
              </w:rPr>
            </w:pPr>
          </w:p>
        </w:tc>
      </w:tr>
      <w:tr>
        <w:trPr>
          <w:trHeight w:val="228"/>
        </w:trPr>
        <w:tc>
          <w:tcPr>
            <w:tcW w:w="5980" w:type="dxa"/>
            <w:vAlign w:val="bottom"/>
            <w:gridSpan w:val="2"/>
          </w:tcPr>
          <w:p>
            <w:pPr>
              <w:spacing w:after="0"/>
              <w:rPr>
                <w:sz w:val="20"/>
                <w:szCs w:val="20"/>
                <w:color w:val="auto"/>
              </w:rPr>
            </w:pPr>
            <w:r>
              <w:rPr>
                <w:rFonts w:ascii="Arial" w:cs="Arial" w:eastAsia="Arial" w:hAnsi="Arial"/>
                <w:sz w:val="18"/>
                <w:szCs w:val="18"/>
                <w:b w:val="1"/>
                <w:bCs w:val="1"/>
                <w:color w:val="auto"/>
              </w:rPr>
              <w:t>Gross profit</w:t>
            </w:r>
          </w:p>
        </w:tc>
        <w:tc>
          <w:tcPr>
            <w:tcW w:w="18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1,242,880</w:t>
            </w:r>
          </w:p>
        </w:tc>
        <w:tc>
          <w:tcPr>
            <w:tcW w:w="3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342,928</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3"/>
        </w:trPr>
        <w:tc>
          <w:tcPr>
            <w:tcW w:w="20" w:type="dxa"/>
            <w:vAlign w:val="bottom"/>
            <w:vMerge w:val="restart"/>
          </w:tcPr>
          <w:p>
            <w:pPr>
              <w:spacing w:after="0"/>
              <w:rPr>
                <w:sz w:val="8"/>
                <w:szCs w:val="8"/>
                <w:color w:val="auto"/>
              </w:rPr>
            </w:pPr>
          </w:p>
        </w:tc>
        <w:tc>
          <w:tcPr>
            <w:tcW w:w="5960" w:type="dxa"/>
            <w:vAlign w:val="bottom"/>
          </w:tcPr>
          <w:p>
            <w:pPr>
              <w:spacing w:after="0"/>
              <w:rPr>
                <w:sz w:val="8"/>
                <w:szCs w:val="8"/>
                <w:color w:val="auto"/>
              </w:rPr>
            </w:pPr>
          </w:p>
        </w:tc>
        <w:tc>
          <w:tcPr>
            <w:tcW w:w="1840" w:type="dxa"/>
            <w:vAlign w:val="bottom"/>
          </w:tcPr>
          <w:p>
            <w:pPr>
              <w:spacing w:after="0"/>
              <w:rPr>
                <w:sz w:val="8"/>
                <w:szCs w:val="8"/>
                <w:color w:val="auto"/>
              </w:rPr>
            </w:pPr>
          </w:p>
        </w:tc>
        <w:tc>
          <w:tcPr>
            <w:tcW w:w="280" w:type="dxa"/>
            <w:vAlign w:val="bottom"/>
          </w:tcPr>
          <w:p>
            <w:pPr>
              <w:spacing w:after="0"/>
              <w:rPr>
                <w:sz w:val="8"/>
                <w:szCs w:val="8"/>
                <w:color w:val="auto"/>
              </w:rPr>
            </w:pPr>
          </w:p>
        </w:tc>
        <w:tc>
          <w:tcPr>
            <w:tcW w:w="220" w:type="dxa"/>
            <w:vAlign w:val="bottom"/>
          </w:tcPr>
          <w:p>
            <w:pPr>
              <w:spacing w:after="0"/>
              <w:rPr>
                <w:sz w:val="8"/>
                <w:szCs w:val="8"/>
                <w:color w:val="auto"/>
              </w:rPr>
            </w:pPr>
          </w:p>
        </w:tc>
        <w:tc>
          <w:tcPr>
            <w:tcW w:w="880" w:type="dxa"/>
            <w:vAlign w:val="bottom"/>
          </w:tcPr>
          <w:p>
            <w:pPr>
              <w:spacing w:after="0"/>
              <w:rPr>
                <w:sz w:val="8"/>
                <w:szCs w:val="8"/>
                <w:color w:val="auto"/>
              </w:rPr>
            </w:pPr>
          </w:p>
        </w:tc>
        <w:tc>
          <w:tcPr>
            <w:tcW w:w="340" w:type="dxa"/>
            <w:vAlign w:val="bottom"/>
          </w:tcPr>
          <w:p>
            <w:pPr>
              <w:spacing w:after="0"/>
              <w:rPr>
                <w:sz w:val="8"/>
                <w:szCs w:val="8"/>
                <w:color w:val="auto"/>
              </w:rPr>
            </w:pPr>
          </w:p>
        </w:tc>
        <w:tc>
          <w:tcPr>
            <w:tcW w:w="280" w:type="dxa"/>
            <w:vAlign w:val="bottom"/>
          </w:tcPr>
          <w:p>
            <w:pPr>
              <w:spacing w:after="0"/>
              <w:rPr>
                <w:sz w:val="8"/>
                <w:szCs w:val="8"/>
                <w:color w:val="auto"/>
              </w:rPr>
            </w:pPr>
          </w:p>
        </w:tc>
        <w:tc>
          <w:tcPr>
            <w:tcW w:w="220" w:type="dxa"/>
            <w:vAlign w:val="bottom"/>
          </w:tcPr>
          <w:p>
            <w:pPr>
              <w:spacing w:after="0"/>
              <w:rPr>
                <w:sz w:val="8"/>
                <w:szCs w:val="8"/>
                <w:color w:val="auto"/>
              </w:rPr>
            </w:pPr>
          </w:p>
        </w:tc>
        <w:tc>
          <w:tcPr>
            <w:tcW w:w="880" w:type="dxa"/>
            <w:vAlign w:val="bottom"/>
          </w:tcPr>
          <w:p>
            <w:pPr>
              <w:spacing w:after="0"/>
              <w:rPr>
                <w:sz w:val="8"/>
                <w:szCs w:val="8"/>
                <w:color w:val="auto"/>
              </w:rPr>
            </w:pPr>
          </w:p>
        </w:tc>
        <w:tc>
          <w:tcPr>
            <w:tcW w:w="1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960" w:type="dxa"/>
            <w:vAlign w:val="bottom"/>
            <w:shd w:val="clear" w:color="auto" w:fill="CCEEFF"/>
          </w:tcPr>
          <w:p>
            <w:pPr>
              <w:spacing w:after="0"/>
              <w:rPr>
                <w:sz w:val="20"/>
                <w:szCs w:val="20"/>
                <w:color w:val="auto"/>
              </w:rPr>
            </w:pPr>
            <w:r>
              <w:rPr>
                <w:rFonts w:ascii="Arial" w:cs="Arial" w:eastAsia="Arial" w:hAnsi="Arial"/>
                <w:sz w:val="18"/>
                <w:szCs w:val="18"/>
                <w:color w:val="auto"/>
              </w:rPr>
              <w:t>BARDA income</w:t>
            </w:r>
          </w:p>
        </w:tc>
        <w:tc>
          <w:tcPr>
            <w:tcW w:w="1840" w:type="dxa"/>
            <w:vAlign w:val="bottom"/>
            <w:shd w:val="clear" w:color="auto" w:fill="CCEEFF"/>
          </w:tcPr>
          <w:p>
            <w:pPr>
              <w:jc w:val="right"/>
              <w:ind w:right="234"/>
              <w:spacing w:after="0"/>
              <w:rPr>
                <w:sz w:val="20"/>
                <w:szCs w:val="20"/>
                <w:color w:val="auto"/>
              </w:rPr>
            </w:pPr>
            <w:r>
              <w:rPr>
                <w:rFonts w:ascii="Arial" w:cs="Arial" w:eastAsia="Arial" w:hAnsi="Arial"/>
                <w:sz w:val="18"/>
                <w:szCs w:val="18"/>
                <w:color w:val="auto"/>
              </w:rPr>
              <w:t>2</w:t>
            </w: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5,009,137</w:t>
            </w:r>
          </w:p>
        </w:tc>
        <w:tc>
          <w:tcPr>
            <w:tcW w:w="3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3,856,716</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960" w:type="dxa"/>
            <w:vAlign w:val="bottom"/>
          </w:tcPr>
          <w:p>
            <w:pPr>
              <w:spacing w:after="0"/>
              <w:rPr>
                <w:sz w:val="20"/>
                <w:szCs w:val="20"/>
                <w:color w:val="auto"/>
              </w:rPr>
            </w:pPr>
            <w:r>
              <w:rPr>
                <w:rFonts w:ascii="Arial" w:cs="Arial" w:eastAsia="Arial" w:hAnsi="Arial"/>
                <w:sz w:val="18"/>
                <w:szCs w:val="18"/>
                <w:color w:val="auto"/>
              </w:rPr>
              <w:t>Other income</w:t>
            </w:r>
          </w:p>
        </w:tc>
        <w:tc>
          <w:tcPr>
            <w:tcW w:w="1840" w:type="dxa"/>
            <w:vAlign w:val="bottom"/>
          </w:tcPr>
          <w:p>
            <w:pPr>
              <w:jc w:val="right"/>
              <w:ind w:right="234"/>
              <w:spacing w:after="0"/>
              <w:rPr>
                <w:sz w:val="20"/>
                <w:szCs w:val="20"/>
                <w:color w:val="auto"/>
              </w:rPr>
            </w:pPr>
            <w:r>
              <w:rPr>
                <w:rFonts w:ascii="Arial" w:cs="Arial" w:eastAsia="Arial" w:hAnsi="Arial"/>
                <w:sz w:val="18"/>
                <w:szCs w:val="18"/>
                <w:color w:val="auto"/>
              </w:rPr>
              <w:t>2</w:t>
            </w:r>
          </w:p>
        </w:tc>
        <w:tc>
          <w:tcPr>
            <w:tcW w:w="28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103,626</w:t>
            </w:r>
          </w:p>
        </w:tc>
        <w:tc>
          <w:tcPr>
            <w:tcW w:w="3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37,595</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 other income</w:t>
            </w:r>
          </w:p>
        </w:tc>
        <w:tc>
          <w:tcPr>
            <w:tcW w:w="18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5,112,763</w:t>
            </w:r>
          </w:p>
        </w:tc>
        <w:tc>
          <w:tcPr>
            <w:tcW w:w="3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3,894,311</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24"/>
        </w:trPr>
        <w:tc>
          <w:tcPr>
            <w:tcW w:w="5980" w:type="dxa"/>
            <w:vAlign w:val="bottom"/>
            <w:gridSpan w:val="2"/>
          </w:tcPr>
          <w:p>
            <w:pPr>
              <w:spacing w:after="0"/>
              <w:rPr>
                <w:sz w:val="20"/>
                <w:szCs w:val="20"/>
                <w:color w:val="auto"/>
              </w:rPr>
            </w:pPr>
            <w:r>
              <w:rPr>
                <w:rFonts w:ascii="Arial" w:cs="Arial" w:eastAsia="Arial" w:hAnsi="Arial"/>
                <w:sz w:val="18"/>
                <w:szCs w:val="18"/>
                <w:b w:val="1"/>
                <w:bCs w:val="1"/>
                <w:color w:val="auto"/>
              </w:rPr>
              <w:t>Operating costs</w:t>
            </w:r>
          </w:p>
        </w:tc>
        <w:tc>
          <w:tcPr>
            <w:tcW w:w="18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60" w:type="dxa"/>
            <w:vAlign w:val="bottom"/>
            <w:shd w:val="clear" w:color="auto" w:fill="CCEEFF"/>
          </w:tcPr>
          <w:p>
            <w:pPr>
              <w:spacing w:after="0"/>
              <w:rPr>
                <w:sz w:val="20"/>
                <w:szCs w:val="20"/>
                <w:color w:val="auto"/>
              </w:rPr>
            </w:pPr>
            <w:r>
              <w:rPr>
                <w:rFonts w:ascii="Arial" w:cs="Arial" w:eastAsia="Arial" w:hAnsi="Arial"/>
                <w:sz w:val="18"/>
                <w:szCs w:val="18"/>
                <w:color w:val="auto"/>
              </w:rPr>
              <w:t>Sales and marketing expenses</w:t>
            </w:r>
          </w:p>
        </w:tc>
        <w:tc>
          <w:tcPr>
            <w:tcW w:w="18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99"/>
              </w:rPr>
              <w:t>(6,931,241)</w:t>
            </w: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9"/>
              </w:rPr>
              <w:t>(2,815,698)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60" w:type="dxa"/>
            <w:vAlign w:val="bottom"/>
          </w:tcPr>
          <w:p>
            <w:pPr>
              <w:spacing w:after="0"/>
              <w:rPr>
                <w:sz w:val="20"/>
                <w:szCs w:val="20"/>
                <w:color w:val="auto"/>
              </w:rPr>
            </w:pPr>
            <w:r>
              <w:rPr>
                <w:rFonts w:ascii="Arial" w:cs="Arial" w:eastAsia="Arial" w:hAnsi="Arial"/>
                <w:sz w:val="18"/>
                <w:szCs w:val="18"/>
                <w:color w:val="auto"/>
              </w:rPr>
              <w:t>Product development expenses</w:t>
            </w:r>
          </w:p>
        </w:tc>
        <w:tc>
          <w:tcPr>
            <w:tcW w:w="18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20" w:type="dxa"/>
            <w:vAlign w:val="bottom"/>
            <w:gridSpan w:val="2"/>
          </w:tcPr>
          <w:p>
            <w:pPr>
              <w:jc w:val="right"/>
              <w:ind w:right="200"/>
              <w:spacing w:after="0"/>
              <w:rPr>
                <w:sz w:val="20"/>
                <w:szCs w:val="20"/>
                <w:color w:val="auto"/>
              </w:rPr>
            </w:pPr>
            <w:r>
              <w:rPr>
                <w:rFonts w:ascii="Arial" w:cs="Arial" w:eastAsia="Arial" w:hAnsi="Arial"/>
                <w:sz w:val="18"/>
                <w:szCs w:val="18"/>
                <w:color w:val="auto"/>
                <w:w w:val="99"/>
              </w:rPr>
              <w:t>(7,080,042)</w:t>
            </w: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gridSpan w:val="2"/>
          </w:tcPr>
          <w:p>
            <w:pPr>
              <w:jc w:val="right"/>
              <w:spacing w:after="0"/>
              <w:rPr>
                <w:sz w:val="20"/>
                <w:szCs w:val="20"/>
                <w:color w:val="auto"/>
              </w:rPr>
            </w:pPr>
            <w:r>
              <w:rPr>
                <w:rFonts w:ascii="Arial" w:cs="Arial" w:eastAsia="Arial" w:hAnsi="Arial"/>
                <w:sz w:val="18"/>
                <w:szCs w:val="18"/>
                <w:color w:val="auto"/>
                <w:w w:val="99"/>
              </w:rPr>
              <w:t>(5,058,518)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60" w:type="dxa"/>
            <w:vAlign w:val="bottom"/>
            <w:shd w:val="clear" w:color="auto" w:fill="CCEEFF"/>
          </w:tcPr>
          <w:p>
            <w:pPr>
              <w:spacing w:after="0"/>
              <w:rPr>
                <w:sz w:val="20"/>
                <w:szCs w:val="20"/>
                <w:color w:val="auto"/>
              </w:rPr>
            </w:pPr>
            <w:r>
              <w:rPr>
                <w:rFonts w:ascii="Arial" w:cs="Arial" w:eastAsia="Arial" w:hAnsi="Arial"/>
                <w:sz w:val="18"/>
                <w:szCs w:val="18"/>
                <w:color w:val="auto"/>
              </w:rPr>
              <w:t>Corporate and administrative expenses</w:t>
            </w:r>
          </w:p>
        </w:tc>
        <w:tc>
          <w:tcPr>
            <w:tcW w:w="18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99"/>
              </w:rPr>
              <w:t>(6,865,250)</w:t>
            </w: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9"/>
              </w:rPr>
              <w:t>(2,873,511)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60" w:type="dxa"/>
            <w:vAlign w:val="bottom"/>
          </w:tcPr>
          <w:p>
            <w:pPr>
              <w:spacing w:after="0"/>
              <w:rPr>
                <w:sz w:val="20"/>
                <w:szCs w:val="20"/>
                <w:color w:val="auto"/>
              </w:rPr>
            </w:pPr>
            <w:r>
              <w:rPr>
                <w:rFonts w:ascii="Arial" w:cs="Arial" w:eastAsia="Arial" w:hAnsi="Arial"/>
                <w:sz w:val="18"/>
                <w:szCs w:val="18"/>
                <w:color w:val="auto"/>
              </w:rPr>
              <w:t>Share-based payment expense</w:t>
            </w:r>
          </w:p>
        </w:tc>
        <w:tc>
          <w:tcPr>
            <w:tcW w:w="18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20" w:type="dxa"/>
            <w:vAlign w:val="bottom"/>
            <w:gridSpan w:val="2"/>
          </w:tcPr>
          <w:p>
            <w:pPr>
              <w:jc w:val="right"/>
              <w:ind w:right="200"/>
              <w:spacing w:after="0"/>
              <w:rPr>
                <w:sz w:val="20"/>
                <w:szCs w:val="20"/>
                <w:color w:val="auto"/>
              </w:rPr>
            </w:pPr>
            <w:r>
              <w:rPr>
                <w:rFonts w:ascii="Arial" w:cs="Arial" w:eastAsia="Arial" w:hAnsi="Arial"/>
                <w:sz w:val="18"/>
                <w:szCs w:val="18"/>
                <w:color w:val="auto"/>
                <w:w w:val="99"/>
              </w:rPr>
              <w:t>(1,043,694)</w:t>
            </w: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gridSpan w:val="2"/>
          </w:tcPr>
          <w:p>
            <w:pPr>
              <w:jc w:val="right"/>
              <w:spacing w:after="0"/>
              <w:rPr>
                <w:sz w:val="20"/>
                <w:szCs w:val="20"/>
                <w:color w:val="auto"/>
              </w:rPr>
            </w:pPr>
            <w:r>
              <w:rPr>
                <w:rFonts w:ascii="Arial" w:cs="Arial" w:eastAsia="Arial" w:hAnsi="Arial"/>
                <w:sz w:val="18"/>
                <w:szCs w:val="18"/>
                <w:color w:val="auto"/>
              </w:rPr>
              <w:t>(726,856)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60" w:type="dxa"/>
            <w:vAlign w:val="bottom"/>
            <w:shd w:val="clear" w:color="auto" w:fill="CCEEFF"/>
          </w:tcPr>
          <w:p>
            <w:pPr>
              <w:spacing w:after="0"/>
              <w:rPr>
                <w:sz w:val="20"/>
                <w:szCs w:val="20"/>
                <w:color w:val="auto"/>
              </w:rPr>
            </w:pPr>
            <w:r>
              <w:rPr>
                <w:rFonts w:ascii="Arial" w:cs="Arial" w:eastAsia="Arial" w:hAnsi="Arial"/>
                <w:sz w:val="18"/>
                <w:szCs w:val="18"/>
                <w:color w:val="auto"/>
              </w:rPr>
              <w:t>Finance costs</w:t>
            </w:r>
          </w:p>
        </w:tc>
        <w:tc>
          <w:tcPr>
            <w:tcW w:w="18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(14,807)</w:t>
            </w: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(13,253)</w:t>
            </w:r>
          </w:p>
        </w:tc>
        <w:tc>
          <w:tcPr>
            <w:tcW w:w="0" w:type="dxa"/>
            <w:vAlign w:val="bottom"/>
          </w:tcPr>
          <w:p>
            <w:pPr>
              <w:spacing w:after="0"/>
              <w:rPr>
                <w:sz w:val="1"/>
                <w:szCs w:val="1"/>
                <w:color w:val="auto"/>
              </w:rPr>
            </w:pPr>
          </w:p>
        </w:tc>
      </w:tr>
      <w:tr>
        <w:trPr>
          <w:trHeight w:val="230"/>
        </w:trPr>
        <w:tc>
          <w:tcPr>
            <w:tcW w:w="5980" w:type="dxa"/>
            <w:vAlign w:val="bottom"/>
            <w:gridSpan w:val="2"/>
          </w:tcPr>
          <w:p>
            <w:pPr>
              <w:spacing w:after="0"/>
              <w:rPr>
                <w:sz w:val="20"/>
                <w:szCs w:val="20"/>
                <w:color w:val="auto"/>
              </w:rPr>
            </w:pPr>
            <w:r>
              <w:rPr>
                <w:rFonts w:ascii="Arial" w:cs="Arial" w:eastAsia="Arial" w:hAnsi="Arial"/>
                <w:sz w:val="18"/>
                <w:szCs w:val="18"/>
                <w:color w:val="auto"/>
              </w:rPr>
              <w:t>Total operating costs</w:t>
            </w:r>
          </w:p>
        </w:tc>
        <w:tc>
          <w:tcPr>
            <w:tcW w:w="18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20" w:type="dxa"/>
            <w:vAlign w:val="bottom"/>
            <w:tcBorders>
              <w:top w:val="single" w:sz="8" w:color="auto"/>
              <w:bottom w:val="single" w:sz="8" w:color="auto"/>
            </w:tcBorders>
          </w:tcPr>
          <w:p>
            <w:pPr>
              <w:spacing w:after="0"/>
              <w:rPr>
                <w:sz w:val="20"/>
                <w:szCs w:val="20"/>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4"/>
              </w:rPr>
              <w:t>(21,935,034)</w:t>
            </w:r>
          </w:p>
        </w:tc>
        <w:tc>
          <w:tcPr>
            <w:tcW w:w="3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20" w:type="dxa"/>
            <w:vAlign w:val="bottom"/>
            <w:tcBorders>
              <w:top w:val="single" w:sz="8" w:color="auto"/>
              <w:bottom w:val="single" w:sz="8" w:color="auto"/>
            </w:tcBorders>
          </w:tcPr>
          <w:p>
            <w:pPr>
              <w:spacing w:after="0"/>
              <w:rPr>
                <w:sz w:val="20"/>
                <w:szCs w:val="20"/>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4"/>
              </w:rPr>
              <w:t>(11,487,836)</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60" w:type="dxa"/>
            <w:vAlign w:val="bottom"/>
            <w:shd w:val="clear" w:color="auto" w:fill="CCEEFF"/>
          </w:tcPr>
          <w:p>
            <w:pPr>
              <w:spacing w:after="0"/>
              <w:rPr>
                <w:sz w:val="20"/>
                <w:szCs w:val="20"/>
                <w:color w:val="auto"/>
              </w:rPr>
            </w:pPr>
            <w:r>
              <w:rPr>
                <w:rFonts w:ascii="Arial" w:cs="Arial" w:eastAsia="Arial" w:hAnsi="Arial"/>
                <w:sz w:val="18"/>
                <w:szCs w:val="18"/>
                <w:color w:val="auto"/>
              </w:rPr>
              <w:t>Loss from continuing operations before income tax expense</w:t>
            </w:r>
          </w:p>
        </w:tc>
        <w:tc>
          <w:tcPr>
            <w:tcW w:w="18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b w:val="1"/>
                <w:bCs w:val="1"/>
                <w:color w:val="auto"/>
                <w:w w:val="90"/>
              </w:rPr>
              <w:t>(15,579,391)</w:t>
            </w: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(7,250,597)</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960" w:type="dxa"/>
            <w:vAlign w:val="bottom"/>
          </w:tcPr>
          <w:p>
            <w:pPr>
              <w:spacing w:after="0"/>
              <w:rPr>
                <w:sz w:val="20"/>
                <w:szCs w:val="20"/>
                <w:color w:val="auto"/>
              </w:rPr>
            </w:pPr>
            <w:r>
              <w:rPr>
                <w:rFonts w:ascii="Arial" w:cs="Arial" w:eastAsia="Arial" w:hAnsi="Arial"/>
                <w:sz w:val="18"/>
                <w:szCs w:val="18"/>
                <w:color w:val="auto"/>
              </w:rPr>
              <w:t>Income tax expense</w:t>
            </w:r>
          </w:p>
        </w:tc>
        <w:tc>
          <w:tcPr>
            <w:tcW w:w="18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Loss for the period</w:t>
            </w:r>
          </w:p>
        </w:tc>
        <w:tc>
          <w:tcPr>
            <w:tcW w:w="18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b w:val="1"/>
                <w:bCs w:val="1"/>
                <w:color w:val="auto"/>
                <w:w w:val="90"/>
              </w:rPr>
              <w:t>(15,579,391)</w:t>
            </w: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(7,250,597)</w:t>
            </w:r>
          </w:p>
        </w:tc>
        <w:tc>
          <w:tcPr>
            <w:tcW w:w="0" w:type="dxa"/>
            <w:vAlign w:val="bottom"/>
          </w:tcPr>
          <w:p>
            <w:pPr>
              <w:spacing w:after="0"/>
              <w:rPr>
                <w:sz w:val="1"/>
                <w:szCs w:val="1"/>
                <w:color w:val="auto"/>
              </w:rPr>
            </w:pPr>
          </w:p>
        </w:tc>
      </w:tr>
      <w:tr>
        <w:trPr>
          <w:trHeight w:val="324"/>
        </w:trPr>
        <w:tc>
          <w:tcPr>
            <w:tcW w:w="5980" w:type="dxa"/>
            <w:vAlign w:val="bottom"/>
            <w:gridSpan w:val="2"/>
          </w:tcPr>
          <w:p>
            <w:pPr>
              <w:spacing w:after="0"/>
              <w:rPr>
                <w:sz w:val="20"/>
                <w:szCs w:val="20"/>
                <w:color w:val="auto"/>
              </w:rPr>
            </w:pPr>
            <w:r>
              <w:rPr>
                <w:rFonts w:ascii="Arial" w:cs="Arial" w:eastAsia="Arial" w:hAnsi="Arial"/>
                <w:sz w:val="18"/>
                <w:szCs w:val="18"/>
                <w:b w:val="1"/>
                <w:bCs w:val="1"/>
                <w:color w:val="auto"/>
              </w:rPr>
              <w:t>Other comprehensive income (loss)</w:t>
            </w:r>
          </w:p>
        </w:tc>
        <w:tc>
          <w:tcPr>
            <w:tcW w:w="18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60" w:type="dxa"/>
            <w:vAlign w:val="bottom"/>
            <w:shd w:val="clear" w:color="auto" w:fill="CCEEFF"/>
          </w:tcPr>
          <w:p>
            <w:pPr>
              <w:spacing w:after="0"/>
              <w:rPr>
                <w:sz w:val="20"/>
                <w:szCs w:val="20"/>
                <w:color w:val="auto"/>
              </w:rPr>
            </w:pPr>
            <w:r>
              <w:rPr>
                <w:rFonts w:ascii="Arial" w:cs="Arial" w:eastAsia="Arial" w:hAnsi="Arial"/>
                <w:sz w:val="18"/>
                <w:szCs w:val="18"/>
                <w:i w:val="1"/>
                <w:iCs w:val="1"/>
                <w:color w:val="auto"/>
              </w:rPr>
              <w:t>Items that may be reclassified subsequently to profit or loss:</w:t>
            </w:r>
          </w:p>
        </w:tc>
        <w:tc>
          <w:tcPr>
            <w:tcW w:w="18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60" w:type="dxa"/>
            <w:vAlign w:val="bottom"/>
          </w:tcPr>
          <w:p>
            <w:pPr>
              <w:spacing w:after="0"/>
              <w:rPr>
                <w:sz w:val="20"/>
                <w:szCs w:val="20"/>
                <w:color w:val="auto"/>
              </w:rPr>
            </w:pPr>
            <w:r>
              <w:rPr>
                <w:rFonts w:ascii="Arial" w:cs="Arial" w:eastAsia="Arial" w:hAnsi="Arial"/>
                <w:sz w:val="18"/>
                <w:szCs w:val="18"/>
                <w:color w:val="auto"/>
              </w:rPr>
              <w:t>Foreign currency translation</w:t>
            </w:r>
          </w:p>
        </w:tc>
        <w:tc>
          <w:tcPr>
            <w:tcW w:w="18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1,374,144</w:t>
            </w:r>
          </w:p>
        </w:tc>
        <w:tc>
          <w:tcPr>
            <w:tcW w:w="3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gridSpan w:val="2"/>
          </w:tcPr>
          <w:p>
            <w:pPr>
              <w:jc w:val="right"/>
              <w:spacing w:after="0"/>
              <w:rPr>
                <w:sz w:val="20"/>
                <w:szCs w:val="20"/>
                <w:color w:val="auto"/>
              </w:rPr>
            </w:pPr>
            <w:r>
              <w:rPr>
                <w:rFonts w:ascii="Arial" w:cs="Arial" w:eastAsia="Arial" w:hAnsi="Arial"/>
                <w:sz w:val="18"/>
                <w:szCs w:val="18"/>
                <w:color w:val="auto"/>
              </w:rPr>
              <w:t>(55,390)</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960" w:type="dxa"/>
            <w:vAlign w:val="bottom"/>
          </w:tcPr>
          <w:p>
            <w:pPr>
              <w:spacing w:after="0"/>
              <w:rPr>
                <w:sz w:val="2"/>
                <w:szCs w:val="2"/>
                <w:color w:val="auto"/>
              </w:rPr>
            </w:pPr>
          </w:p>
        </w:tc>
        <w:tc>
          <w:tcPr>
            <w:tcW w:w="1840" w:type="dxa"/>
            <w:vAlign w:val="bottom"/>
          </w:tcPr>
          <w:p>
            <w:pPr>
              <w:spacing w:after="0"/>
              <w:rPr>
                <w:sz w:val="2"/>
                <w:szCs w:val="2"/>
                <w:color w:val="auto"/>
              </w:rPr>
            </w:pPr>
          </w:p>
        </w:tc>
        <w:tc>
          <w:tcPr>
            <w:tcW w:w="28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28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9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Other comprehensive loss for the period, net of tax</w:t>
            </w:r>
          </w:p>
        </w:tc>
        <w:tc>
          <w:tcPr>
            <w:tcW w:w="18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1,374,144</w:t>
            </w:r>
          </w:p>
        </w:tc>
        <w:tc>
          <w:tcPr>
            <w:tcW w:w="3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(55,390)</w:t>
            </w:r>
          </w:p>
        </w:tc>
        <w:tc>
          <w:tcPr>
            <w:tcW w:w="0" w:type="dxa"/>
            <w:vAlign w:val="bottom"/>
          </w:tcPr>
          <w:p>
            <w:pPr>
              <w:spacing w:after="0"/>
              <w:rPr>
                <w:sz w:val="1"/>
                <w:szCs w:val="1"/>
                <w:color w:val="auto"/>
              </w:rPr>
            </w:pPr>
          </w:p>
        </w:tc>
      </w:tr>
      <w:tr>
        <w:trPr>
          <w:trHeight w:val="230"/>
        </w:trPr>
        <w:tc>
          <w:tcPr>
            <w:tcW w:w="5980" w:type="dxa"/>
            <w:vAlign w:val="bottom"/>
            <w:gridSpan w:val="2"/>
          </w:tcPr>
          <w:p>
            <w:pPr>
              <w:spacing w:after="0"/>
              <w:rPr>
                <w:sz w:val="20"/>
                <w:szCs w:val="20"/>
                <w:color w:val="auto"/>
              </w:rPr>
            </w:pPr>
            <w:r>
              <w:rPr>
                <w:rFonts w:ascii="Arial" w:cs="Arial" w:eastAsia="Arial" w:hAnsi="Arial"/>
                <w:sz w:val="18"/>
                <w:szCs w:val="18"/>
                <w:b w:val="1"/>
                <w:bCs w:val="1"/>
                <w:color w:val="auto"/>
              </w:rPr>
              <w:t>Total other comprehensive loss for the period</w:t>
            </w:r>
          </w:p>
        </w:tc>
        <w:tc>
          <w:tcPr>
            <w:tcW w:w="18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2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u w:val="single" w:color="auto"/>
                <w:color w:val="auto"/>
                <w:w w:val="90"/>
              </w:rPr>
              <w:t>A$</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9"/>
              </w:rPr>
              <w:t>(14,205,247</w:t>
            </w:r>
          </w:p>
        </w:tc>
        <w:tc>
          <w:tcPr>
            <w:tcW w:w="340" w:type="dxa"/>
            <w:vAlign w:val="bottom"/>
          </w:tcPr>
          <w:p>
            <w:pPr>
              <w:jc w:val="right"/>
              <w:ind w:right="200"/>
              <w:spacing w:after="0"/>
              <w:rPr>
                <w:sz w:val="20"/>
                <w:szCs w:val="20"/>
                <w:color w:val="auto"/>
              </w:rPr>
            </w:pPr>
            <w:r>
              <w:rPr>
                <w:rFonts w:ascii="Arial" w:cs="Arial" w:eastAsia="Arial" w:hAnsi="Arial"/>
                <w:sz w:val="16"/>
                <w:szCs w:val="16"/>
                <w:color w:val="auto"/>
                <w:w w:val="74"/>
              </w:rPr>
              <w:t>)</w:t>
            </w:r>
          </w:p>
        </w:tc>
        <w:tc>
          <w:tcPr>
            <w:tcW w:w="280" w:type="dxa"/>
            <w:vAlign w:val="bottom"/>
          </w:tcPr>
          <w:p>
            <w:pPr>
              <w:spacing w:after="0"/>
              <w:rPr>
                <w:sz w:val="20"/>
                <w:szCs w:val="20"/>
                <w:color w:val="auto"/>
              </w:rPr>
            </w:pPr>
          </w:p>
        </w:tc>
        <w:tc>
          <w:tcPr>
            <w:tcW w:w="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81"/>
              </w:rPr>
              <w:t>A</w:t>
            </w:r>
            <w:r>
              <w:rPr>
                <w:rFonts w:ascii="Arial" w:cs="Arial" w:eastAsia="Arial" w:hAnsi="Arial"/>
                <w:sz w:val="18"/>
                <w:szCs w:val="18"/>
                <w:color w:val="auto"/>
                <w:w w:val="81"/>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(7,305,987</w:t>
            </w:r>
          </w:p>
        </w:tc>
        <w:tc>
          <w:tcPr>
            <w:tcW w:w="120" w:type="dxa"/>
            <w:vAlign w:val="bottom"/>
          </w:tcPr>
          <w:p>
            <w:pPr>
              <w:jc w:val="right"/>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60" w:type="dxa"/>
            <w:vAlign w:val="bottom"/>
            <w:shd w:val="clear" w:color="auto" w:fill="CCEEFF"/>
          </w:tcPr>
          <w:p>
            <w:pPr>
              <w:spacing w:after="0"/>
              <w:rPr>
                <w:sz w:val="20"/>
                <w:szCs w:val="20"/>
                <w:color w:val="auto"/>
              </w:rPr>
            </w:pPr>
            <w:r>
              <w:rPr>
                <w:rFonts w:ascii="Arial" w:cs="Arial" w:eastAsia="Arial" w:hAnsi="Arial"/>
                <w:sz w:val="18"/>
                <w:szCs w:val="18"/>
                <w:color w:val="auto"/>
              </w:rPr>
              <w:t>Loss for the period attributable to owners of the parent</w:t>
            </w:r>
          </w:p>
        </w:tc>
        <w:tc>
          <w:tcPr>
            <w:tcW w:w="18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90"/>
              </w:rPr>
              <w:t>(15,579,391)</w:t>
            </w: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9"/>
              </w:rPr>
              <w:t>(7,250,597)</w:t>
            </w:r>
          </w:p>
        </w:tc>
        <w:tc>
          <w:tcPr>
            <w:tcW w:w="0" w:type="dxa"/>
            <w:vAlign w:val="bottom"/>
          </w:tcPr>
          <w:p>
            <w:pPr>
              <w:spacing w:after="0"/>
              <w:rPr>
                <w:sz w:val="1"/>
                <w:szCs w:val="1"/>
                <w:color w:val="auto"/>
              </w:rPr>
            </w:pPr>
          </w:p>
        </w:tc>
      </w:tr>
      <w:tr>
        <w:trPr>
          <w:trHeight w:val="223"/>
        </w:trPr>
        <w:tc>
          <w:tcPr>
            <w:tcW w:w="5980" w:type="dxa"/>
            <w:vAlign w:val="bottom"/>
            <w:gridSpan w:val="2"/>
          </w:tcPr>
          <w:p>
            <w:pPr>
              <w:spacing w:after="0"/>
              <w:rPr>
                <w:sz w:val="20"/>
                <w:szCs w:val="20"/>
                <w:color w:val="auto"/>
              </w:rPr>
            </w:pPr>
            <w:r>
              <w:rPr>
                <w:rFonts w:ascii="Arial" w:cs="Arial" w:eastAsia="Arial" w:hAnsi="Arial"/>
                <w:sz w:val="18"/>
                <w:szCs w:val="18"/>
                <w:b w:val="1"/>
                <w:bCs w:val="1"/>
                <w:color w:val="auto"/>
              </w:rPr>
              <w:t>Total comprehensive loss attributable to owners of the parent</w:t>
            </w:r>
          </w:p>
        </w:tc>
        <w:tc>
          <w:tcPr>
            <w:tcW w:w="18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2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b w:val="1"/>
                <w:bCs w:val="1"/>
                <w:u w:val="single" w:color="auto"/>
                <w:color w:val="auto"/>
                <w:w w:val="86"/>
              </w:rPr>
              <w:t>A$</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89"/>
              </w:rPr>
              <w:t>(14,205,247</w:t>
            </w:r>
          </w:p>
        </w:tc>
        <w:tc>
          <w:tcPr>
            <w:tcW w:w="340" w:type="dxa"/>
            <w:vAlign w:val="bottom"/>
          </w:tcPr>
          <w:p>
            <w:pPr>
              <w:jc w:val="right"/>
              <w:ind w:right="200"/>
              <w:spacing w:after="0"/>
              <w:rPr>
                <w:sz w:val="20"/>
                <w:szCs w:val="20"/>
                <w:color w:val="auto"/>
              </w:rPr>
            </w:pPr>
            <w:r>
              <w:rPr>
                <w:rFonts w:ascii="Arial" w:cs="Arial" w:eastAsia="Arial" w:hAnsi="Arial"/>
                <w:sz w:val="16"/>
                <w:szCs w:val="16"/>
                <w:b w:val="1"/>
                <w:bCs w:val="1"/>
                <w:color w:val="auto"/>
                <w:w w:val="74"/>
              </w:rPr>
              <w:t>)</w:t>
            </w:r>
          </w:p>
        </w:tc>
        <w:tc>
          <w:tcPr>
            <w:tcW w:w="280" w:type="dxa"/>
            <w:vAlign w:val="bottom"/>
          </w:tcPr>
          <w:p>
            <w:pPr>
              <w:spacing w:after="0"/>
              <w:rPr>
                <w:sz w:val="19"/>
                <w:szCs w:val="19"/>
                <w:color w:val="auto"/>
              </w:rPr>
            </w:pPr>
          </w:p>
        </w:tc>
        <w:tc>
          <w:tcPr>
            <w:tcW w:w="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u w:val="single" w:color="auto"/>
                <w:color w:val="auto"/>
                <w:w w:val="78"/>
              </w:rPr>
              <w:t>A</w:t>
            </w:r>
            <w:r>
              <w:rPr>
                <w:rFonts w:ascii="Arial" w:cs="Arial" w:eastAsia="Arial" w:hAnsi="Arial"/>
                <w:sz w:val="18"/>
                <w:szCs w:val="18"/>
                <w:b w:val="1"/>
                <w:bCs w:val="1"/>
                <w:color w:val="auto"/>
                <w:w w:val="78"/>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9"/>
              </w:rPr>
              <w:t>(7,305,987</w:t>
            </w:r>
          </w:p>
        </w:tc>
        <w:tc>
          <w:tcPr>
            <w:tcW w:w="120" w:type="dxa"/>
            <w:vAlign w:val="bottom"/>
          </w:tcPr>
          <w:p>
            <w:pPr>
              <w:jc w:val="right"/>
              <w:spacing w:after="0"/>
              <w:rPr>
                <w:sz w:val="20"/>
                <w:szCs w:val="20"/>
                <w:color w:val="auto"/>
              </w:rPr>
            </w:pPr>
            <w:r>
              <w:rPr>
                <w:rFonts w:ascii="Arial" w:cs="Arial" w:eastAsia="Arial" w:hAnsi="Arial"/>
                <w:sz w:val="16"/>
                <w:szCs w:val="16"/>
                <w:b w:val="1"/>
                <w:bCs w:val="1"/>
                <w:color w:val="auto"/>
                <w:w w:val="74"/>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96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59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Earnings Per Share</w:t>
            </w:r>
          </w:p>
        </w:tc>
        <w:tc>
          <w:tcPr>
            <w:tcW w:w="18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5960" w:type="dxa"/>
            <w:vAlign w:val="bottom"/>
          </w:tcPr>
          <w:p>
            <w:pPr>
              <w:spacing w:after="0"/>
              <w:rPr>
                <w:sz w:val="20"/>
                <w:szCs w:val="20"/>
                <w:color w:val="auto"/>
              </w:rPr>
            </w:pPr>
            <w:r>
              <w:rPr>
                <w:rFonts w:ascii="Arial" w:cs="Arial" w:eastAsia="Arial" w:hAnsi="Arial"/>
                <w:sz w:val="18"/>
                <w:szCs w:val="18"/>
                <w:b w:val="1"/>
                <w:bCs w:val="1"/>
                <w:color w:val="auto"/>
              </w:rPr>
              <w:t>Basic and diluted loss per share from continuing operations</w:t>
            </w:r>
          </w:p>
        </w:tc>
        <w:tc>
          <w:tcPr>
            <w:tcW w:w="1840" w:type="dxa"/>
            <w:vAlign w:val="bottom"/>
          </w:tcPr>
          <w:p>
            <w:pPr>
              <w:spacing w:after="0"/>
              <w:rPr>
                <w:sz w:val="20"/>
                <w:szCs w:val="20"/>
                <w:color w:val="auto"/>
              </w:rPr>
            </w:pPr>
          </w:p>
        </w:tc>
        <w:tc>
          <w:tcPr>
            <w:tcW w:w="500" w:type="dxa"/>
            <w:vAlign w:val="bottom"/>
            <w:gridSpan w:val="2"/>
          </w:tcPr>
          <w:p>
            <w:pPr>
              <w:ind w:left="280"/>
              <w:spacing w:after="0"/>
              <w:rPr>
                <w:sz w:val="20"/>
                <w:szCs w:val="20"/>
                <w:color w:val="auto"/>
              </w:rPr>
            </w:pPr>
            <w:r>
              <w:rPr>
                <w:rFonts w:ascii="Arial" w:cs="Arial" w:eastAsia="Arial" w:hAnsi="Arial"/>
                <w:sz w:val="18"/>
                <w:szCs w:val="18"/>
                <w:b w:val="1"/>
                <w:bCs w:val="1"/>
                <w:color w:val="auto"/>
                <w:w w:val="86"/>
              </w:rPr>
              <w:t>A$</w:t>
            </w:r>
          </w:p>
        </w:tc>
        <w:tc>
          <w:tcPr>
            <w:tcW w:w="1220" w:type="dxa"/>
            <w:vAlign w:val="bottom"/>
            <w:gridSpan w:val="2"/>
          </w:tcPr>
          <w:p>
            <w:pPr>
              <w:jc w:val="right"/>
              <w:ind w:right="260"/>
              <w:spacing w:after="0"/>
              <w:rPr>
                <w:sz w:val="20"/>
                <w:szCs w:val="20"/>
                <w:color w:val="auto"/>
              </w:rPr>
            </w:pPr>
            <w:r>
              <w:rPr>
                <w:rFonts w:ascii="Arial" w:cs="Arial" w:eastAsia="Arial" w:hAnsi="Arial"/>
                <w:sz w:val="18"/>
                <w:szCs w:val="18"/>
                <w:b w:val="1"/>
                <w:bCs w:val="1"/>
                <w:color w:val="auto"/>
                <w:w w:val="86"/>
              </w:rPr>
              <w:t>(1.59) cents</w:t>
            </w:r>
          </w:p>
        </w:tc>
        <w:tc>
          <w:tcPr>
            <w:tcW w:w="500" w:type="dxa"/>
            <w:vAlign w:val="bottom"/>
            <w:gridSpan w:val="2"/>
          </w:tcPr>
          <w:p>
            <w:pPr>
              <w:jc w:val="right"/>
              <w:spacing w:after="0"/>
              <w:rPr>
                <w:sz w:val="20"/>
                <w:szCs w:val="20"/>
                <w:color w:val="auto"/>
              </w:rPr>
            </w:pPr>
            <w:r>
              <w:rPr>
                <w:rFonts w:ascii="Arial" w:cs="Arial" w:eastAsia="Arial" w:hAnsi="Arial"/>
                <w:sz w:val="18"/>
                <w:szCs w:val="18"/>
                <w:b w:val="1"/>
                <w:bCs w:val="1"/>
                <w:color w:val="auto"/>
              </w:rPr>
              <w:t>A$</w:t>
            </w:r>
          </w:p>
        </w:tc>
        <w:tc>
          <w:tcPr>
            <w:tcW w:w="1000" w:type="dxa"/>
            <w:vAlign w:val="bottom"/>
            <w:gridSpan w:val="2"/>
          </w:tcPr>
          <w:p>
            <w:pPr>
              <w:jc w:val="right"/>
              <w:ind w:right="40"/>
              <w:spacing w:after="0"/>
              <w:rPr>
                <w:sz w:val="20"/>
                <w:szCs w:val="20"/>
                <w:color w:val="auto"/>
              </w:rPr>
            </w:pPr>
            <w:r>
              <w:rPr>
                <w:rFonts w:ascii="Arial" w:cs="Arial" w:eastAsia="Arial" w:hAnsi="Arial"/>
                <w:sz w:val="18"/>
                <w:szCs w:val="18"/>
                <w:b w:val="1"/>
                <w:bCs w:val="1"/>
                <w:color w:val="auto"/>
                <w:w w:val="86"/>
              </w:rPr>
              <w:t>(0.91) cents</w:t>
            </w:r>
          </w:p>
        </w:tc>
        <w:tc>
          <w:tcPr>
            <w:tcW w:w="0" w:type="dxa"/>
            <w:vAlign w:val="bottom"/>
          </w:tcPr>
          <w:p>
            <w:pPr>
              <w:spacing w:after="0"/>
              <w:rPr>
                <w:sz w:val="1"/>
                <w:szCs w:val="1"/>
                <w:color w:val="auto"/>
              </w:rPr>
            </w:pPr>
          </w:p>
        </w:tc>
      </w:tr>
    </w:tbl>
    <w:p>
      <w:pPr>
        <w:spacing w:after="0" w:line="183" w:lineRule="exact"/>
        <w:rPr>
          <w:sz w:val="20"/>
          <w:szCs w:val="20"/>
          <w:color w:val="auto"/>
        </w:rPr>
      </w:pPr>
    </w:p>
    <w:p>
      <w:pPr>
        <w:ind w:left="200"/>
        <w:spacing w:after="0"/>
        <w:rPr>
          <w:sz w:val="20"/>
          <w:szCs w:val="20"/>
          <w:color w:val="auto"/>
        </w:rPr>
      </w:pPr>
      <w:r>
        <w:rPr>
          <w:rFonts w:ascii="Arial" w:cs="Arial" w:eastAsia="Arial" w:hAnsi="Arial"/>
          <w:sz w:val="18"/>
          <w:szCs w:val="18"/>
          <w:color w:val="auto"/>
        </w:rPr>
        <w:t>The accompanying notes form part of the condensed consolidated financial statements.</w:t>
      </w:r>
    </w:p>
    <w:p>
      <w:pPr>
        <w:spacing w:after="0" w:line="158" w:lineRule="exact"/>
        <w:rPr>
          <w:sz w:val="20"/>
          <w:szCs w:val="20"/>
          <w:color w:val="auto"/>
        </w:rPr>
      </w:pPr>
    </w:p>
    <w:p>
      <w:pPr>
        <w:ind w:left="5540"/>
        <w:spacing w:after="0"/>
        <w:rPr>
          <w:sz w:val="20"/>
          <w:szCs w:val="20"/>
          <w:color w:val="auto"/>
        </w:rPr>
      </w:pPr>
      <w:r>
        <w:rPr>
          <w:rFonts w:ascii="Arial" w:cs="Arial" w:eastAsia="Arial" w:hAnsi="Arial"/>
          <w:sz w:val="18"/>
          <w:szCs w:val="18"/>
          <w:color w:val="auto"/>
        </w:rPr>
        <w:t>F-53</w:t>
      </w:r>
    </w:p>
    <w:p>
      <w:pPr>
        <w:sectPr>
          <w:pgSz w:w="11900" w:h="16838" w:orient="portrait"/>
          <w:cols w:equalWidth="0" w:num="1">
            <w:col w:w="11240"/>
          </w:cols>
          <w:pgMar w:left="240" w:top="459" w:right="419" w:bottom="1440" w:gutter="0" w:footer="0" w:header="0"/>
        </w:sectPr>
      </w:pPr>
    </w:p>
    <w:bookmarkStart w:id="152" w:name="page153"/>
    <w:bookmarkEnd w:id="15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20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AVITA MEDICAL LIMITED</w:t>
      </w:r>
    </w:p>
    <w:p>
      <w:pPr>
        <w:spacing w:after="0" w:line="27"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CONDENSED CONSOLIDATED STATEMENT OF FINANCIAL POSITION</w:t>
      </w:r>
    </w:p>
    <w:p>
      <w:pPr>
        <w:spacing w:after="0" w:line="9"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(IN AUSTRALIAN DOLLARS)</w:t>
      </w:r>
    </w:p>
    <w:p>
      <w:pPr>
        <w:spacing w:after="0" w:line="9"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(UNAUDITED)</w:t>
      </w:r>
    </w:p>
    <w:p>
      <w:pPr>
        <w:spacing w:after="0" w:line="229" w:lineRule="exact"/>
        <w:rPr>
          <w:sz w:val="20"/>
          <w:szCs w:val="20"/>
          <w:color w:val="auto"/>
        </w:rPr>
      </w:pPr>
    </w:p>
    <w:tbl>
      <w:tblPr>
        <w:tblLayout w:type="fixed"/>
        <w:tblInd w:w="20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5320" w:type="dxa"/>
            <w:vAlign w:val="bottom"/>
          </w:tcPr>
          <w:p>
            <w:pPr>
              <w:spacing w:after="0"/>
              <w:rPr>
                <w:sz w:val="14"/>
                <w:szCs w:val="14"/>
                <w:color w:val="auto"/>
              </w:rPr>
            </w:pPr>
          </w:p>
        </w:tc>
        <w:tc>
          <w:tcPr>
            <w:tcW w:w="2300" w:type="dxa"/>
            <w:vAlign w:val="bottom"/>
          </w:tcPr>
          <w:p>
            <w:pPr>
              <w:jc w:val="right"/>
              <w:ind w:right="199"/>
              <w:spacing w:after="0"/>
              <w:rPr>
                <w:sz w:val="20"/>
                <w:szCs w:val="20"/>
                <w:color w:val="auto"/>
              </w:rPr>
            </w:pPr>
            <w:r>
              <w:rPr>
                <w:rFonts w:ascii="Arial" w:cs="Arial" w:eastAsia="Arial" w:hAnsi="Arial"/>
                <w:sz w:val="14"/>
                <w:szCs w:val="14"/>
                <w:b w:val="1"/>
                <w:bCs w:val="1"/>
                <w:color w:val="auto"/>
              </w:rPr>
              <w:t>Note</w:t>
            </w:r>
          </w:p>
        </w:tc>
        <w:tc>
          <w:tcPr>
            <w:tcW w:w="280" w:type="dxa"/>
            <w:vAlign w:val="bottom"/>
          </w:tcPr>
          <w:p>
            <w:pPr>
              <w:spacing w:after="0"/>
              <w:rPr>
                <w:sz w:val="14"/>
                <w:szCs w:val="14"/>
                <w:color w:val="auto"/>
              </w:rPr>
            </w:pPr>
          </w:p>
        </w:tc>
        <w:tc>
          <w:tcPr>
            <w:tcW w:w="1520" w:type="dxa"/>
            <w:vAlign w:val="bottom"/>
            <w:gridSpan w:val="3"/>
          </w:tcPr>
          <w:p>
            <w:pPr>
              <w:ind w:left="20"/>
              <w:spacing w:after="0"/>
              <w:rPr>
                <w:sz w:val="20"/>
                <w:szCs w:val="20"/>
                <w:color w:val="auto"/>
              </w:rPr>
            </w:pPr>
            <w:r>
              <w:rPr>
                <w:rFonts w:ascii="Arial" w:cs="Arial" w:eastAsia="Arial" w:hAnsi="Arial"/>
                <w:sz w:val="14"/>
                <w:szCs w:val="14"/>
                <w:b w:val="1"/>
                <w:bCs w:val="1"/>
                <w:color w:val="auto"/>
              </w:rPr>
              <w:t>December 31, 2018</w:t>
            </w:r>
          </w:p>
        </w:tc>
        <w:tc>
          <w:tcPr>
            <w:tcW w:w="280" w:type="dxa"/>
            <w:vAlign w:val="bottom"/>
          </w:tcPr>
          <w:p>
            <w:pPr>
              <w:spacing w:after="0"/>
              <w:rPr>
                <w:sz w:val="14"/>
                <w:szCs w:val="14"/>
                <w:color w:val="auto"/>
              </w:rPr>
            </w:pPr>
          </w:p>
        </w:tc>
        <w:tc>
          <w:tcPr>
            <w:tcW w:w="1320" w:type="dxa"/>
            <w:vAlign w:val="bottom"/>
            <w:gridSpan w:val="3"/>
          </w:tcPr>
          <w:p>
            <w:pPr>
              <w:ind w:left="180"/>
              <w:spacing w:after="0"/>
              <w:rPr>
                <w:sz w:val="20"/>
                <w:szCs w:val="20"/>
                <w:color w:val="auto"/>
              </w:rPr>
            </w:pPr>
            <w:r>
              <w:rPr>
                <w:rFonts w:ascii="Arial" w:cs="Arial" w:eastAsia="Arial" w:hAnsi="Arial"/>
                <w:sz w:val="14"/>
                <w:szCs w:val="14"/>
                <w:b w:val="1"/>
                <w:bCs w:val="1"/>
                <w:color w:val="auto"/>
              </w:rPr>
              <w:t>June 30, 2018</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532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ASSETS</w:t>
            </w:r>
          </w:p>
        </w:tc>
        <w:tc>
          <w:tcPr>
            <w:tcW w:w="2300" w:type="dxa"/>
            <w:vAlign w:val="bottom"/>
            <w:tcBorders>
              <w:top w:val="single" w:sz="8" w:color="CCEEFF"/>
            </w:tcBorders>
            <w:shd w:val="clear" w:color="auto" w:fill="CCEEFF"/>
          </w:tcPr>
          <w:p>
            <w:pPr>
              <w:spacing w:after="0"/>
              <w:rPr>
                <w:sz w:val="17"/>
                <w:szCs w:val="17"/>
                <w:color w:val="auto"/>
              </w:rPr>
            </w:pPr>
          </w:p>
        </w:tc>
        <w:tc>
          <w:tcPr>
            <w:tcW w:w="28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spacing w:after="0"/>
              <w:rPr>
                <w:sz w:val="17"/>
                <w:szCs w:val="17"/>
                <w:color w:val="auto"/>
              </w:rPr>
            </w:pPr>
          </w:p>
        </w:tc>
        <w:tc>
          <w:tcPr>
            <w:tcW w:w="980" w:type="dxa"/>
            <w:vAlign w:val="bottom"/>
            <w:tcBorders>
              <w:top w:val="single" w:sz="8" w:color="auto"/>
            </w:tcBorders>
            <w:shd w:val="clear" w:color="auto" w:fill="CCEEFF"/>
          </w:tcPr>
          <w:p>
            <w:pPr>
              <w:spacing w:after="0"/>
              <w:rPr>
                <w:sz w:val="17"/>
                <w:szCs w:val="17"/>
                <w:color w:val="auto"/>
              </w:rPr>
            </w:pPr>
          </w:p>
        </w:tc>
        <w:tc>
          <w:tcPr>
            <w:tcW w:w="320" w:type="dxa"/>
            <w:vAlign w:val="bottom"/>
            <w:tcBorders>
              <w:top w:val="single" w:sz="8" w:color="CCEEFF"/>
            </w:tcBorders>
            <w:shd w:val="clear" w:color="auto" w:fill="CCEEFF"/>
          </w:tcPr>
          <w:p>
            <w:pPr>
              <w:spacing w:after="0"/>
              <w:rPr>
                <w:sz w:val="17"/>
                <w:szCs w:val="17"/>
                <w:color w:val="auto"/>
              </w:rPr>
            </w:pPr>
          </w:p>
        </w:tc>
        <w:tc>
          <w:tcPr>
            <w:tcW w:w="28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spacing w:after="0"/>
              <w:rPr>
                <w:sz w:val="17"/>
                <w:szCs w:val="17"/>
                <w:color w:val="auto"/>
              </w:rPr>
            </w:pPr>
          </w:p>
        </w:tc>
        <w:tc>
          <w:tcPr>
            <w:tcW w:w="98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20" w:type="dxa"/>
            <w:vAlign w:val="bottom"/>
          </w:tcPr>
          <w:p>
            <w:pPr>
              <w:spacing w:after="0"/>
              <w:rPr>
                <w:sz w:val="20"/>
                <w:szCs w:val="20"/>
                <w:color w:val="auto"/>
              </w:rPr>
            </w:pPr>
            <w:r>
              <w:rPr>
                <w:rFonts w:ascii="Arial" w:cs="Arial" w:eastAsia="Arial" w:hAnsi="Arial"/>
                <w:sz w:val="18"/>
                <w:szCs w:val="18"/>
                <w:b w:val="1"/>
                <w:bCs w:val="1"/>
                <w:color w:val="auto"/>
              </w:rPr>
              <w:t>Current assets</w:t>
            </w:r>
          </w:p>
        </w:tc>
        <w:tc>
          <w:tcPr>
            <w:tcW w:w="23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2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w:t>
            </w:r>
          </w:p>
        </w:tc>
        <w:tc>
          <w:tcPr>
            <w:tcW w:w="2300" w:type="dxa"/>
            <w:vAlign w:val="bottom"/>
            <w:shd w:val="clear" w:color="auto" w:fill="CCEEFF"/>
          </w:tcPr>
          <w:p>
            <w:pPr>
              <w:spacing w:after="0"/>
              <w:rPr>
                <w:sz w:val="18"/>
                <w:szCs w:val="18"/>
                <w:color w:val="auto"/>
              </w:rPr>
            </w:pPr>
          </w:p>
        </w:tc>
        <w:tc>
          <w:tcPr>
            <w:tcW w:w="50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w w:val="90"/>
              </w:rPr>
              <w:t>A$</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30,342,360</w:t>
            </w:r>
          </w:p>
        </w:tc>
        <w:tc>
          <w:tcPr>
            <w:tcW w:w="320" w:type="dxa"/>
            <w:vAlign w:val="bottom"/>
            <w:shd w:val="clear" w:color="auto" w:fill="CCEEFF"/>
          </w:tcPr>
          <w:p>
            <w:pPr>
              <w:spacing w:after="0"/>
              <w:rPr>
                <w:sz w:val="18"/>
                <w:szCs w:val="18"/>
                <w:color w:val="auto"/>
              </w:rPr>
            </w:pPr>
          </w:p>
        </w:tc>
        <w:tc>
          <w:tcPr>
            <w:tcW w:w="50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w w:val="90"/>
              </w:rPr>
              <w:t>A$</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14,825,532</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20" w:type="dxa"/>
            <w:vAlign w:val="bottom"/>
          </w:tcPr>
          <w:p>
            <w:pPr>
              <w:spacing w:after="0"/>
              <w:rPr>
                <w:sz w:val="20"/>
                <w:szCs w:val="20"/>
                <w:color w:val="auto"/>
              </w:rPr>
            </w:pPr>
            <w:r>
              <w:rPr>
                <w:rFonts w:ascii="Arial" w:cs="Arial" w:eastAsia="Arial" w:hAnsi="Arial"/>
                <w:sz w:val="18"/>
                <w:szCs w:val="18"/>
                <w:color w:val="auto"/>
              </w:rPr>
              <w:t>Trade and other receivables</w:t>
            </w:r>
          </w:p>
        </w:tc>
        <w:tc>
          <w:tcPr>
            <w:tcW w:w="23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2,536,923</w:t>
            </w:r>
          </w:p>
        </w:tc>
        <w:tc>
          <w:tcPr>
            <w:tcW w:w="3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5,437,357</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20" w:type="dxa"/>
            <w:vAlign w:val="bottom"/>
            <w:shd w:val="clear" w:color="auto" w:fill="CCEEFF"/>
          </w:tcPr>
          <w:p>
            <w:pPr>
              <w:spacing w:after="0"/>
              <w:rPr>
                <w:sz w:val="20"/>
                <w:szCs w:val="20"/>
                <w:color w:val="auto"/>
              </w:rPr>
            </w:pPr>
            <w:r>
              <w:rPr>
                <w:rFonts w:ascii="Arial" w:cs="Arial" w:eastAsia="Arial" w:hAnsi="Arial"/>
                <w:sz w:val="18"/>
                <w:szCs w:val="18"/>
                <w:color w:val="auto"/>
              </w:rPr>
              <w:t>Prepayments and other assets</w:t>
            </w:r>
          </w:p>
        </w:tc>
        <w:tc>
          <w:tcPr>
            <w:tcW w:w="23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931,431</w:t>
            </w:r>
          </w:p>
        </w:tc>
        <w:tc>
          <w:tcPr>
            <w:tcW w:w="3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855,716</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320" w:type="dxa"/>
            <w:vAlign w:val="bottom"/>
          </w:tcPr>
          <w:p>
            <w:pPr>
              <w:spacing w:after="0"/>
              <w:rPr>
                <w:sz w:val="20"/>
                <w:szCs w:val="20"/>
                <w:color w:val="auto"/>
              </w:rPr>
            </w:pPr>
            <w:r>
              <w:rPr>
                <w:rFonts w:ascii="Arial" w:cs="Arial" w:eastAsia="Arial" w:hAnsi="Arial"/>
                <w:sz w:val="18"/>
                <w:szCs w:val="18"/>
                <w:color w:val="auto"/>
              </w:rPr>
              <w:t>Inventories</w:t>
            </w:r>
          </w:p>
        </w:tc>
        <w:tc>
          <w:tcPr>
            <w:tcW w:w="23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1,143,062</w:t>
            </w:r>
          </w:p>
        </w:tc>
        <w:tc>
          <w:tcPr>
            <w:tcW w:w="3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1,155,826</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 current assets</w:t>
            </w:r>
          </w:p>
        </w:tc>
        <w:tc>
          <w:tcPr>
            <w:tcW w:w="23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34,953,776</w:t>
            </w:r>
          </w:p>
        </w:tc>
        <w:tc>
          <w:tcPr>
            <w:tcW w:w="3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22,274,431</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5340" w:type="dxa"/>
            <w:vAlign w:val="bottom"/>
            <w:gridSpan w:val="2"/>
          </w:tcPr>
          <w:p>
            <w:pPr>
              <w:spacing w:after="0"/>
              <w:rPr>
                <w:sz w:val="20"/>
                <w:szCs w:val="20"/>
                <w:color w:val="auto"/>
              </w:rPr>
            </w:pPr>
            <w:r>
              <w:rPr>
                <w:rFonts w:ascii="Arial" w:cs="Arial" w:eastAsia="Arial" w:hAnsi="Arial"/>
                <w:sz w:val="18"/>
                <w:szCs w:val="18"/>
                <w:b w:val="1"/>
                <w:bCs w:val="1"/>
                <w:color w:val="auto"/>
              </w:rPr>
              <w:t>Non-current assets</w:t>
            </w:r>
          </w:p>
        </w:tc>
        <w:tc>
          <w:tcPr>
            <w:tcW w:w="23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20" w:type="dxa"/>
            <w:vAlign w:val="bottom"/>
            <w:shd w:val="clear" w:color="auto" w:fill="CCEEFF"/>
          </w:tcPr>
          <w:p>
            <w:pPr>
              <w:spacing w:after="0"/>
              <w:rPr>
                <w:sz w:val="20"/>
                <w:szCs w:val="20"/>
                <w:color w:val="auto"/>
              </w:rPr>
            </w:pPr>
            <w:r>
              <w:rPr>
                <w:rFonts w:ascii="Arial" w:cs="Arial" w:eastAsia="Arial" w:hAnsi="Arial"/>
                <w:sz w:val="18"/>
                <w:szCs w:val="18"/>
                <w:color w:val="auto"/>
              </w:rPr>
              <w:t>Plant and equipment</w:t>
            </w:r>
          </w:p>
        </w:tc>
        <w:tc>
          <w:tcPr>
            <w:tcW w:w="23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1,299,831</w:t>
            </w:r>
          </w:p>
        </w:tc>
        <w:tc>
          <w:tcPr>
            <w:tcW w:w="3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742,583</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320" w:type="dxa"/>
            <w:vAlign w:val="bottom"/>
          </w:tcPr>
          <w:p>
            <w:pPr>
              <w:spacing w:after="0"/>
              <w:rPr>
                <w:sz w:val="20"/>
                <w:szCs w:val="20"/>
                <w:color w:val="auto"/>
              </w:rPr>
            </w:pPr>
            <w:r>
              <w:rPr>
                <w:rFonts w:ascii="Arial" w:cs="Arial" w:eastAsia="Arial" w:hAnsi="Arial"/>
                <w:sz w:val="18"/>
                <w:szCs w:val="18"/>
                <w:color w:val="auto"/>
              </w:rPr>
              <w:t>Intangible assets</w:t>
            </w:r>
          </w:p>
        </w:tc>
        <w:tc>
          <w:tcPr>
            <w:tcW w:w="23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93,775</w:t>
            </w:r>
          </w:p>
        </w:tc>
        <w:tc>
          <w:tcPr>
            <w:tcW w:w="3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 non-current assets</w:t>
            </w:r>
          </w:p>
        </w:tc>
        <w:tc>
          <w:tcPr>
            <w:tcW w:w="23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20" w:type="dxa"/>
            <w:vAlign w:val="bottom"/>
            <w:tcBorders>
              <w:top w:val="single" w:sz="8" w:color="auto"/>
              <w:bottom w:val="single" w:sz="8" w:color="auto"/>
            </w:tcBorders>
            <w:shd w:val="clear" w:color="auto" w:fill="CCEEFF"/>
          </w:tcPr>
          <w:p>
            <w:pPr>
              <w:spacing w:after="0"/>
              <w:rPr>
                <w:sz w:val="18"/>
                <w:szCs w:val="18"/>
                <w:color w:val="auto"/>
              </w:rPr>
            </w:pP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1,393,606</w:t>
            </w:r>
          </w:p>
        </w:tc>
        <w:tc>
          <w:tcPr>
            <w:tcW w:w="3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20" w:type="dxa"/>
            <w:vAlign w:val="bottom"/>
            <w:tcBorders>
              <w:top w:val="single" w:sz="8" w:color="auto"/>
              <w:bottom w:val="single" w:sz="8" w:color="auto"/>
            </w:tcBorders>
            <w:shd w:val="clear" w:color="auto" w:fill="CCEEFF"/>
          </w:tcPr>
          <w:p>
            <w:pPr>
              <w:spacing w:after="0"/>
              <w:rPr>
                <w:sz w:val="18"/>
                <w:szCs w:val="18"/>
                <w:color w:val="auto"/>
              </w:rPr>
            </w:pP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742,583</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340" w:type="dxa"/>
            <w:vAlign w:val="bottom"/>
            <w:gridSpan w:val="2"/>
          </w:tcPr>
          <w:p>
            <w:pPr>
              <w:spacing w:after="0"/>
              <w:rPr>
                <w:sz w:val="20"/>
                <w:szCs w:val="20"/>
                <w:color w:val="auto"/>
              </w:rPr>
            </w:pPr>
            <w:r>
              <w:rPr>
                <w:rFonts w:ascii="Arial" w:cs="Arial" w:eastAsia="Arial" w:hAnsi="Arial"/>
                <w:sz w:val="18"/>
                <w:szCs w:val="18"/>
                <w:b w:val="1"/>
                <w:bCs w:val="1"/>
                <w:color w:val="auto"/>
              </w:rPr>
              <w:t>TOTAL ASSETS</w:t>
            </w:r>
          </w:p>
        </w:tc>
        <w:tc>
          <w:tcPr>
            <w:tcW w:w="23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u w:val="single" w:color="auto"/>
                <w:color w:val="auto"/>
                <w:w w:val="86"/>
              </w:rPr>
              <w:t>A</w:t>
            </w:r>
            <w:r>
              <w:rPr>
                <w:rFonts w:ascii="Arial" w:cs="Arial" w:eastAsia="Arial" w:hAnsi="Arial"/>
                <w:sz w:val="18"/>
                <w:szCs w:val="18"/>
                <w:b w:val="1"/>
                <w:bCs w:val="1"/>
                <w:color w:val="auto"/>
                <w:w w:val="86"/>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36,347,382</w:t>
            </w:r>
          </w:p>
        </w:tc>
        <w:tc>
          <w:tcPr>
            <w:tcW w:w="3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u w:val="single" w:color="auto"/>
                <w:color w:val="auto"/>
                <w:w w:val="86"/>
              </w:rPr>
              <w:t>A</w:t>
            </w:r>
            <w:r>
              <w:rPr>
                <w:rFonts w:ascii="Arial" w:cs="Arial" w:eastAsia="Arial" w:hAnsi="Arial"/>
                <w:sz w:val="18"/>
                <w:szCs w:val="18"/>
                <w:b w:val="1"/>
                <w:bCs w:val="1"/>
                <w:color w:val="auto"/>
                <w:w w:val="86"/>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23,017,014</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LIABILITIES</w:t>
            </w:r>
          </w:p>
        </w:tc>
        <w:tc>
          <w:tcPr>
            <w:tcW w:w="23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20" w:type="dxa"/>
            <w:vAlign w:val="bottom"/>
          </w:tcPr>
          <w:p>
            <w:pPr>
              <w:spacing w:after="0"/>
              <w:rPr>
                <w:sz w:val="20"/>
                <w:szCs w:val="20"/>
                <w:color w:val="auto"/>
              </w:rPr>
            </w:pPr>
            <w:r>
              <w:rPr>
                <w:rFonts w:ascii="Arial" w:cs="Arial" w:eastAsia="Arial" w:hAnsi="Arial"/>
                <w:sz w:val="18"/>
                <w:szCs w:val="18"/>
                <w:b w:val="1"/>
                <w:bCs w:val="1"/>
                <w:color w:val="auto"/>
              </w:rPr>
              <w:t>Current liabilities</w:t>
            </w:r>
          </w:p>
        </w:tc>
        <w:tc>
          <w:tcPr>
            <w:tcW w:w="23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20" w:type="dxa"/>
            <w:vAlign w:val="bottom"/>
            <w:shd w:val="clear" w:color="auto" w:fill="CCEEFF"/>
          </w:tcPr>
          <w:p>
            <w:pPr>
              <w:spacing w:after="0"/>
              <w:rPr>
                <w:sz w:val="20"/>
                <w:szCs w:val="20"/>
                <w:color w:val="auto"/>
              </w:rPr>
            </w:pPr>
            <w:r>
              <w:rPr>
                <w:rFonts w:ascii="Arial" w:cs="Arial" w:eastAsia="Arial" w:hAnsi="Arial"/>
                <w:sz w:val="18"/>
                <w:szCs w:val="18"/>
                <w:color w:val="auto"/>
              </w:rPr>
              <w:t>Trade and other payables</w:t>
            </w:r>
          </w:p>
        </w:tc>
        <w:tc>
          <w:tcPr>
            <w:tcW w:w="23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4,483,406</w:t>
            </w:r>
          </w:p>
        </w:tc>
        <w:tc>
          <w:tcPr>
            <w:tcW w:w="3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3,487,582</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320" w:type="dxa"/>
            <w:vAlign w:val="bottom"/>
          </w:tcPr>
          <w:p>
            <w:pPr>
              <w:spacing w:after="0"/>
              <w:rPr>
                <w:sz w:val="20"/>
                <w:szCs w:val="20"/>
                <w:color w:val="auto"/>
              </w:rPr>
            </w:pPr>
            <w:r>
              <w:rPr>
                <w:rFonts w:ascii="Arial" w:cs="Arial" w:eastAsia="Arial" w:hAnsi="Arial"/>
                <w:sz w:val="18"/>
                <w:szCs w:val="18"/>
                <w:color w:val="auto"/>
              </w:rPr>
              <w:t>Provisions</w:t>
            </w:r>
          </w:p>
        </w:tc>
        <w:tc>
          <w:tcPr>
            <w:tcW w:w="23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533,660</w:t>
            </w:r>
          </w:p>
        </w:tc>
        <w:tc>
          <w:tcPr>
            <w:tcW w:w="3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395,535</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 current liabilities</w:t>
            </w:r>
          </w:p>
        </w:tc>
        <w:tc>
          <w:tcPr>
            <w:tcW w:w="23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5,017,066</w:t>
            </w:r>
          </w:p>
        </w:tc>
        <w:tc>
          <w:tcPr>
            <w:tcW w:w="3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3,883,117</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340" w:type="dxa"/>
            <w:vAlign w:val="bottom"/>
            <w:gridSpan w:val="2"/>
          </w:tcPr>
          <w:p>
            <w:pPr>
              <w:spacing w:after="0"/>
              <w:rPr>
                <w:sz w:val="20"/>
                <w:szCs w:val="20"/>
                <w:color w:val="auto"/>
              </w:rPr>
            </w:pPr>
            <w:r>
              <w:rPr>
                <w:rFonts w:ascii="Arial" w:cs="Arial" w:eastAsia="Arial" w:hAnsi="Arial"/>
                <w:sz w:val="18"/>
                <w:szCs w:val="18"/>
                <w:color w:val="auto"/>
              </w:rPr>
              <w:t>Finance lease</w:t>
            </w:r>
          </w:p>
        </w:tc>
        <w:tc>
          <w:tcPr>
            <w:tcW w:w="23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83,032</w:t>
            </w:r>
          </w:p>
        </w:tc>
        <w:tc>
          <w:tcPr>
            <w:tcW w:w="3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134,338</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 non-current liabilities</w:t>
            </w:r>
          </w:p>
        </w:tc>
        <w:tc>
          <w:tcPr>
            <w:tcW w:w="23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83,032</w:t>
            </w:r>
          </w:p>
        </w:tc>
        <w:tc>
          <w:tcPr>
            <w:tcW w:w="3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134,338</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340" w:type="dxa"/>
            <w:vAlign w:val="bottom"/>
            <w:gridSpan w:val="2"/>
          </w:tcPr>
          <w:p>
            <w:pPr>
              <w:spacing w:after="0"/>
              <w:rPr>
                <w:sz w:val="20"/>
                <w:szCs w:val="20"/>
                <w:color w:val="auto"/>
              </w:rPr>
            </w:pPr>
            <w:r>
              <w:rPr>
                <w:rFonts w:ascii="Arial" w:cs="Arial" w:eastAsia="Arial" w:hAnsi="Arial"/>
                <w:sz w:val="18"/>
                <w:szCs w:val="18"/>
                <w:b w:val="1"/>
                <w:bCs w:val="1"/>
                <w:color w:val="auto"/>
              </w:rPr>
              <w:t>TOTAL LIABILITIES</w:t>
            </w:r>
          </w:p>
        </w:tc>
        <w:tc>
          <w:tcPr>
            <w:tcW w:w="23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5,100,098</w:t>
            </w:r>
          </w:p>
        </w:tc>
        <w:tc>
          <w:tcPr>
            <w:tcW w:w="3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4,017,455</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NET ASSETS</w:t>
            </w:r>
          </w:p>
        </w:tc>
        <w:tc>
          <w:tcPr>
            <w:tcW w:w="2300" w:type="dxa"/>
            <w:vAlign w:val="bottom"/>
            <w:shd w:val="clear" w:color="auto" w:fill="CCEEFF"/>
          </w:tcPr>
          <w:p>
            <w:pPr>
              <w:spacing w:after="0"/>
              <w:rPr>
                <w:sz w:val="18"/>
                <w:szCs w:val="18"/>
                <w:color w:val="auto"/>
              </w:rPr>
            </w:pPr>
          </w:p>
        </w:tc>
        <w:tc>
          <w:tcPr>
            <w:tcW w:w="500" w:type="dxa"/>
            <w:vAlign w:val="bottom"/>
            <w:gridSpan w:val="2"/>
            <w:shd w:val="clear" w:color="auto" w:fill="CCEEFF"/>
          </w:tcPr>
          <w:p>
            <w:pPr>
              <w:ind w:left="280"/>
              <w:spacing w:after="0"/>
              <w:rPr>
                <w:sz w:val="20"/>
                <w:szCs w:val="20"/>
                <w:color w:val="auto"/>
              </w:rPr>
            </w:pPr>
            <w:r>
              <w:rPr>
                <w:rFonts w:ascii="Arial" w:cs="Arial" w:eastAsia="Arial" w:hAnsi="Arial"/>
                <w:sz w:val="18"/>
                <w:szCs w:val="18"/>
                <w:b w:val="1"/>
                <w:bCs w:val="1"/>
                <w:u w:val="single" w:color="auto"/>
                <w:color w:val="auto"/>
                <w:w w:val="86"/>
              </w:rPr>
              <w:t>A</w:t>
            </w:r>
            <w:r>
              <w:rPr>
                <w:rFonts w:ascii="Arial" w:cs="Arial" w:eastAsia="Arial" w:hAnsi="Arial"/>
                <w:sz w:val="18"/>
                <w:szCs w:val="18"/>
                <w:b w:val="1"/>
                <w:bCs w:val="1"/>
                <w:color w:val="auto"/>
                <w:w w:val="86"/>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31,247,284</w:t>
            </w:r>
          </w:p>
        </w:tc>
        <w:tc>
          <w:tcPr>
            <w:tcW w:w="320" w:type="dxa"/>
            <w:vAlign w:val="bottom"/>
            <w:shd w:val="clear" w:color="auto" w:fill="CCEEFF"/>
          </w:tcPr>
          <w:p>
            <w:pPr>
              <w:spacing w:after="0"/>
              <w:rPr>
                <w:sz w:val="18"/>
                <w:szCs w:val="18"/>
                <w:color w:val="auto"/>
              </w:rPr>
            </w:pPr>
          </w:p>
        </w:tc>
        <w:tc>
          <w:tcPr>
            <w:tcW w:w="500" w:type="dxa"/>
            <w:vAlign w:val="bottom"/>
            <w:gridSpan w:val="2"/>
            <w:shd w:val="clear" w:color="auto" w:fill="CCEEFF"/>
          </w:tcPr>
          <w:p>
            <w:pPr>
              <w:ind w:left="280"/>
              <w:spacing w:after="0"/>
              <w:rPr>
                <w:sz w:val="20"/>
                <w:szCs w:val="20"/>
                <w:color w:val="auto"/>
              </w:rPr>
            </w:pPr>
            <w:r>
              <w:rPr>
                <w:rFonts w:ascii="Arial" w:cs="Arial" w:eastAsia="Arial" w:hAnsi="Arial"/>
                <w:sz w:val="18"/>
                <w:szCs w:val="18"/>
                <w:b w:val="1"/>
                <w:bCs w:val="1"/>
                <w:u w:val="single" w:color="auto"/>
                <w:color w:val="auto"/>
                <w:w w:val="86"/>
              </w:rPr>
              <w:t>A</w:t>
            </w:r>
            <w:r>
              <w:rPr>
                <w:rFonts w:ascii="Arial" w:cs="Arial" w:eastAsia="Arial" w:hAnsi="Arial"/>
                <w:sz w:val="18"/>
                <w:szCs w:val="18"/>
                <w:b w:val="1"/>
                <w:bCs w:val="1"/>
                <w:color w:val="auto"/>
                <w:w w:val="86"/>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18,999,559</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34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EQUITY</w:t>
            </w:r>
          </w:p>
        </w:tc>
        <w:tc>
          <w:tcPr>
            <w:tcW w:w="23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340" w:type="dxa"/>
            <w:vAlign w:val="bottom"/>
            <w:gridSpan w:val="2"/>
            <w:vMerge w:val="continue"/>
          </w:tcPr>
          <w:p>
            <w:pPr>
              <w:spacing w:after="0"/>
              <w:rPr>
                <w:sz w:val="18"/>
                <w:szCs w:val="18"/>
                <w:color w:val="auto"/>
              </w:rPr>
            </w:pPr>
          </w:p>
        </w:tc>
        <w:tc>
          <w:tcPr>
            <w:tcW w:w="23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20" w:type="dxa"/>
            <w:vAlign w:val="bottom"/>
            <w:shd w:val="clear" w:color="auto" w:fill="CCEEFF"/>
          </w:tcPr>
          <w:p>
            <w:pPr>
              <w:spacing w:after="0"/>
              <w:rPr>
                <w:sz w:val="20"/>
                <w:szCs w:val="20"/>
                <w:color w:val="auto"/>
              </w:rPr>
            </w:pPr>
            <w:r>
              <w:rPr>
                <w:rFonts w:ascii="Arial" w:cs="Arial" w:eastAsia="Arial" w:hAnsi="Arial"/>
                <w:sz w:val="18"/>
                <w:szCs w:val="18"/>
                <w:color w:val="auto"/>
              </w:rPr>
              <w:t>Equity attributable to equity holders of the parent:</w:t>
            </w:r>
          </w:p>
        </w:tc>
        <w:tc>
          <w:tcPr>
            <w:tcW w:w="23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20" w:type="dxa"/>
            <w:vAlign w:val="bottom"/>
          </w:tcPr>
          <w:p>
            <w:pPr>
              <w:spacing w:after="0"/>
              <w:rPr>
                <w:sz w:val="20"/>
                <w:szCs w:val="20"/>
                <w:color w:val="auto"/>
              </w:rPr>
            </w:pPr>
            <w:r>
              <w:rPr>
                <w:rFonts w:ascii="Arial" w:cs="Arial" w:eastAsia="Arial" w:hAnsi="Arial"/>
                <w:sz w:val="18"/>
                <w:szCs w:val="18"/>
                <w:color w:val="auto"/>
              </w:rPr>
              <w:t>Contributed equity</w:t>
            </w:r>
          </w:p>
        </w:tc>
        <w:tc>
          <w:tcPr>
            <w:tcW w:w="2300" w:type="dxa"/>
            <w:vAlign w:val="bottom"/>
          </w:tcPr>
          <w:p>
            <w:pPr>
              <w:jc w:val="right"/>
              <w:ind w:right="239"/>
              <w:spacing w:after="0"/>
              <w:rPr>
                <w:sz w:val="20"/>
                <w:szCs w:val="20"/>
                <w:color w:val="auto"/>
              </w:rPr>
            </w:pPr>
            <w:r>
              <w:rPr>
                <w:rFonts w:ascii="Arial" w:cs="Arial" w:eastAsia="Arial" w:hAnsi="Arial"/>
                <w:sz w:val="18"/>
                <w:szCs w:val="18"/>
                <w:color w:val="auto"/>
              </w:rPr>
              <w:t>6</w:t>
            </w: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w w:val="95"/>
              </w:rPr>
              <w:t>188,210,306</w:t>
            </w:r>
          </w:p>
        </w:tc>
        <w:tc>
          <w:tcPr>
            <w:tcW w:w="3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w w:val="95"/>
              </w:rPr>
              <w:t>162,801,028</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20" w:type="dxa"/>
            <w:vAlign w:val="bottom"/>
            <w:shd w:val="clear" w:color="auto" w:fill="CCEEFF"/>
          </w:tcPr>
          <w:p>
            <w:pPr>
              <w:spacing w:after="0"/>
              <w:rPr>
                <w:sz w:val="20"/>
                <w:szCs w:val="20"/>
                <w:color w:val="auto"/>
              </w:rPr>
            </w:pPr>
            <w:r>
              <w:rPr>
                <w:rFonts w:ascii="Arial" w:cs="Arial" w:eastAsia="Arial" w:hAnsi="Arial"/>
                <w:sz w:val="18"/>
                <w:szCs w:val="18"/>
                <w:color w:val="auto"/>
              </w:rPr>
              <w:t>Accumulated losses</w:t>
            </w:r>
          </w:p>
        </w:tc>
        <w:tc>
          <w:tcPr>
            <w:tcW w:w="23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w w:val="90"/>
              </w:rPr>
              <w:t>(164,172,270)</w:t>
            </w: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0"/>
              </w:rPr>
              <w:t>(148,592,879)</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320" w:type="dxa"/>
            <w:vAlign w:val="bottom"/>
          </w:tcPr>
          <w:p>
            <w:pPr>
              <w:spacing w:after="0"/>
              <w:rPr>
                <w:sz w:val="20"/>
                <w:szCs w:val="20"/>
                <w:color w:val="auto"/>
              </w:rPr>
            </w:pPr>
            <w:r>
              <w:rPr>
                <w:rFonts w:ascii="Arial" w:cs="Arial" w:eastAsia="Arial" w:hAnsi="Arial"/>
                <w:sz w:val="18"/>
                <w:szCs w:val="18"/>
                <w:color w:val="auto"/>
              </w:rPr>
              <w:t>Reserves</w:t>
            </w:r>
          </w:p>
        </w:tc>
        <w:tc>
          <w:tcPr>
            <w:tcW w:w="23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7,209,248</w:t>
            </w:r>
          </w:p>
        </w:tc>
        <w:tc>
          <w:tcPr>
            <w:tcW w:w="3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4,791,410</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 EQUITY</w:t>
            </w:r>
          </w:p>
        </w:tc>
        <w:tc>
          <w:tcPr>
            <w:tcW w:w="2300" w:type="dxa"/>
            <w:vAlign w:val="bottom"/>
            <w:shd w:val="clear" w:color="auto" w:fill="CCEEFF"/>
          </w:tcPr>
          <w:p>
            <w:pPr>
              <w:spacing w:after="0"/>
              <w:rPr>
                <w:sz w:val="18"/>
                <w:szCs w:val="18"/>
                <w:color w:val="auto"/>
              </w:rPr>
            </w:pPr>
          </w:p>
        </w:tc>
        <w:tc>
          <w:tcPr>
            <w:tcW w:w="500" w:type="dxa"/>
            <w:vAlign w:val="bottom"/>
            <w:gridSpan w:val="2"/>
            <w:shd w:val="clear" w:color="auto" w:fill="CCEEFF"/>
          </w:tcPr>
          <w:p>
            <w:pPr>
              <w:ind w:left="280"/>
              <w:spacing w:after="0"/>
              <w:rPr>
                <w:sz w:val="20"/>
                <w:szCs w:val="20"/>
                <w:color w:val="auto"/>
              </w:rPr>
            </w:pPr>
            <w:r>
              <w:rPr>
                <w:rFonts w:ascii="Arial" w:cs="Arial" w:eastAsia="Arial" w:hAnsi="Arial"/>
                <w:sz w:val="18"/>
                <w:szCs w:val="18"/>
                <w:b w:val="1"/>
                <w:bCs w:val="1"/>
                <w:u w:val="single" w:color="auto"/>
                <w:color w:val="auto"/>
                <w:w w:val="86"/>
              </w:rPr>
              <w:t>A</w:t>
            </w:r>
            <w:r>
              <w:rPr>
                <w:rFonts w:ascii="Arial" w:cs="Arial" w:eastAsia="Arial" w:hAnsi="Arial"/>
                <w:sz w:val="18"/>
                <w:szCs w:val="18"/>
                <w:b w:val="1"/>
                <w:bCs w:val="1"/>
                <w:color w:val="auto"/>
                <w:w w:val="86"/>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31,247,284</w:t>
            </w:r>
          </w:p>
        </w:tc>
        <w:tc>
          <w:tcPr>
            <w:tcW w:w="320" w:type="dxa"/>
            <w:vAlign w:val="bottom"/>
            <w:shd w:val="clear" w:color="auto" w:fill="CCEEFF"/>
          </w:tcPr>
          <w:p>
            <w:pPr>
              <w:spacing w:after="0"/>
              <w:rPr>
                <w:sz w:val="18"/>
                <w:szCs w:val="18"/>
                <w:color w:val="auto"/>
              </w:rPr>
            </w:pPr>
          </w:p>
        </w:tc>
        <w:tc>
          <w:tcPr>
            <w:tcW w:w="500" w:type="dxa"/>
            <w:vAlign w:val="bottom"/>
            <w:gridSpan w:val="2"/>
            <w:shd w:val="clear" w:color="auto" w:fill="CCEEFF"/>
          </w:tcPr>
          <w:p>
            <w:pPr>
              <w:ind w:left="280"/>
              <w:spacing w:after="0"/>
              <w:rPr>
                <w:sz w:val="20"/>
                <w:szCs w:val="20"/>
                <w:color w:val="auto"/>
              </w:rPr>
            </w:pPr>
            <w:r>
              <w:rPr>
                <w:rFonts w:ascii="Arial" w:cs="Arial" w:eastAsia="Arial" w:hAnsi="Arial"/>
                <w:sz w:val="18"/>
                <w:szCs w:val="18"/>
                <w:b w:val="1"/>
                <w:bCs w:val="1"/>
                <w:u w:val="single" w:color="auto"/>
                <w:color w:val="auto"/>
                <w:w w:val="86"/>
              </w:rPr>
              <w:t>A</w:t>
            </w:r>
            <w:r>
              <w:rPr>
                <w:rFonts w:ascii="Arial" w:cs="Arial" w:eastAsia="Arial" w:hAnsi="Arial"/>
                <w:sz w:val="18"/>
                <w:szCs w:val="18"/>
                <w:b w:val="1"/>
                <w:bCs w:val="1"/>
                <w:color w:val="auto"/>
                <w:w w:val="86"/>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18,999,559</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320" w:type="dxa"/>
            <w:vAlign w:val="bottom"/>
          </w:tcPr>
          <w:p>
            <w:pPr>
              <w:spacing w:after="0" w:line="20" w:lineRule="exact"/>
              <w:rPr>
                <w:sz w:val="1"/>
                <w:szCs w:val="1"/>
                <w:color w:val="auto"/>
              </w:rPr>
            </w:pPr>
          </w:p>
        </w:tc>
        <w:tc>
          <w:tcPr>
            <w:tcW w:w="23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ind w:left="200"/>
        <w:spacing w:after="0"/>
        <w:rPr>
          <w:sz w:val="20"/>
          <w:szCs w:val="20"/>
          <w:color w:val="auto"/>
        </w:rPr>
      </w:pPr>
      <w:r>
        <w:rPr>
          <w:rFonts w:ascii="Arial" w:cs="Arial" w:eastAsia="Arial" w:hAnsi="Arial"/>
          <w:sz w:val="18"/>
          <w:szCs w:val="18"/>
          <w:color w:val="auto"/>
        </w:rPr>
        <w:t>The accompanying notes form part of the condensed consolidated financial statements.</w:t>
      </w:r>
    </w:p>
    <w:p>
      <w:pPr>
        <w:spacing w:after="0" w:line="158" w:lineRule="exact"/>
        <w:rPr>
          <w:sz w:val="20"/>
          <w:szCs w:val="20"/>
          <w:color w:val="auto"/>
        </w:rPr>
      </w:pPr>
    </w:p>
    <w:p>
      <w:pPr>
        <w:ind w:left="5540"/>
        <w:spacing w:after="0"/>
        <w:rPr>
          <w:sz w:val="20"/>
          <w:szCs w:val="20"/>
          <w:color w:val="auto"/>
        </w:rPr>
      </w:pPr>
      <w:r>
        <w:rPr>
          <w:rFonts w:ascii="Arial" w:cs="Arial" w:eastAsia="Arial" w:hAnsi="Arial"/>
          <w:sz w:val="18"/>
          <w:szCs w:val="18"/>
          <w:color w:val="auto"/>
        </w:rPr>
        <w:t>F-54</w:t>
      </w:r>
    </w:p>
    <w:p>
      <w:pPr>
        <w:sectPr>
          <w:pgSz w:w="11900" w:h="16838" w:orient="portrait"/>
          <w:cols w:equalWidth="0" w:num="1">
            <w:col w:w="11240"/>
          </w:cols>
          <w:pgMar w:left="240" w:top="459" w:right="419" w:bottom="1440" w:gutter="0" w:footer="0" w:header="0"/>
        </w:sectPr>
      </w:pPr>
    </w:p>
    <w:bookmarkStart w:id="153" w:name="page154"/>
    <w:bookmarkEnd w:id="15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20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AVITA MEDICAL LIMITED</w:t>
      </w:r>
    </w:p>
    <w:p>
      <w:pPr>
        <w:spacing w:after="0" w:line="27"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CONDENSED CONSOLIDATED STATEMENT OF CASH FLOWS</w:t>
      </w:r>
    </w:p>
    <w:p>
      <w:pPr>
        <w:spacing w:after="0" w:line="9"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(IN AUSTRALIAN DOLLARS)</w:t>
      </w:r>
    </w:p>
    <w:p>
      <w:pPr>
        <w:spacing w:after="0" w:line="9"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(UNAUDITED)</w:t>
      </w:r>
    </w:p>
    <w:p>
      <w:pPr>
        <w:spacing w:after="0" w:line="217" w:lineRule="exact"/>
        <w:rPr>
          <w:sz w:val="20"/>
          <w:szCs w:val="20"/>
          <w:color w:val="auto"/>
        </w:rPr>
      </w:pPr>
    </w:p>
    <w:tbl>
      <w:tblPr>
        <w:tblLayout w:type="fixed"/>
        <w:tblInd w:w="20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800" w:type="dxa"/>
            <w:vAlign w:val="bottom"/>
          </w:tcPr>
          <w:p>
            <w:pPr>
              <w:spacing w:after="0"/>
              <w:rPr>
                <w:sz w:val="14"/>
                <w:szCs w:val="14"/>
                <w:color w:val="auto"/>
              </w:rPr>
            </w:pPr>
          </w:p>
        </w:tc>
        <w:tc>
          <w:tcPr>
            <w:tcW w:w="22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720" w:type="dxa"/>
            <w:vAlign w:val="bottom"/>
            <w:gridSpan w:val="7"/>
          </w:tcPr>
          <w:p>
            <w:pPr>
              <w:ind w:left="240"/>
              <w:spacing w:after="0"/>
              <w:rPr>
                <w:sz w:val="20"/>
                <w:szCs w:val="20"/>
                <w:color w:val="auto"/>
              </w:rPr>
            </w:pPr>
            <w:r>
              <w:rPr>
                <w:rFonts w:ascii="Arial" w:cs="Arial" w:eastAsia="Arial" w:hAnsi="Arial"/>
                <w:sz w:val="14"/>
                <w:szCs w:val="14"/>
                <w:b w:val="1"/>
                <w:bCs w:val="1"/>
                <w:color w:val="auto"/>
              </w:rPr>
              <w:t>Half-year ended December 31,</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5800" w:type="dxa"/>
            <w:vAlign w:val="bottom"/>
          </w:tcPr>
          <w:p>
            <w:pPr>
              <w:spacing w:after="0"/>
              <w:rPr>
                <w:sz w:val="14"/>
                <w:szCs w:val="14"/>
                <w:color w:val="auto"/>
              </w:rPr>
            </w:pPr>
          </w:p>
        </w:tc>
        <w:tc>
          <w:tcPr>
            <w:tcW w:w="3380" w:type="dxa"/>
            <w:vAlign w:val="bottom"/>
            <w:gridSpan w:val="3"/>
          </w:tcPr>
          <w:p>
            <w:pPr>
              <w:jc w:val="right"/>
              <w:ind w:right="339"/>
              <w:spacing w:after="0"/>
              <w:rPr>
                <w:sz w:val="20"/>
                <w:szCs w:val="20"/>
                <w:color w:val="auto"/>
              </w:rPr>
            </w:pPr>
            <w:r>
              <w:rPr>
                <w:rFonts w:ascii="Arial" w:cs="Arial" w:eastAsia="Arial" w:hAnsi="Arial"/>
                <w:sz w:val="14"/>
                <w:szCs w:val="14"/>
                <w:b w:val="1"/>
                <w:bCs w:val="1"/>
                <w:color w:val="auto"/>
              </w:rPr>
              <w:t>2018</w:t>
            </w:r>
          </w:p>
        </w:tc>
        <w:tc>
          <w:tcPr>
            <w:tcW w:w="160" w:type="dxa"/>
            <w:vAlign w:val="bottom"/>
          </w:tcPr>
          <w:p>
            <w:pPr>
              <w:spacing w:after="0"/>
              <w:rPr>
                <w:sz w:val="14"/>
                <w:szCs w:val="14"/>
                <w:color w:val="auto"/>
              </w:rPr>
            </w:pPr>
          </w:p>
        </w:tc>
        <w:tc>
          <w:tcPr>
            <w:tcW w:w="1560" w:type="dxa"/>
            <w:vAlign w:val="bottom"/>
            <w:gridSpan w:val="3"/>
          </w:tcPr>
          <w:p>
            <w:pPr>
              <w:jc w:val="right"/>
              <w:ind w:right="310"/>
              <w:spacing w:after="0"/>
              <w:rPr>
                <w:sz w:val="20"/>
                <w:szCs w:val="20"/>
                <w:color w:val="auto"/>
              </w:rPr>
            </w:pPr>
            <w:r>
              <w:rPr>
                <w:rFonts w:ascii="Arial" w:cs="Arial" w:eastAsia="Arial" w:hAnsi="Arial"/>
                <w:sz w:val="14"/>
                <w:szCs w:val="14"/>
                <w:b w:val="1"/>
                <w:bCs w:val="1"/>
                <w:color w:val="auto"/>
              </w:rPr>
              <w:t>2017</w:t>
            </w: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580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Cash flows from operating activities</w:t>
            </w:r>
          </w:p>
        </w:tc>
        <w:tc>
          <w:tcPr>
            <w:tcW w:w="226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auto"/>
            </w:tcBorders>
            <w:shd w:val="clear" w:color="auto" w:fill="CCEEFF"/>
          </w:tcPr>
          <w:p>
            <w:pPr>
              <w:spacing w:after="0"/>
              <w:rPr>
                <w:sz w:val="17"/>
                <w:szCs w:val="17"/>
                <w:color w:val="auto"/>
              </w:rPr>
            </w:pPr>
          </w:p>
        </w:tc>
        <w:tc>
          <w:tcPr>
            <w:tcW w:w="880" w:type="dxa"/>
            <w:vAlign w:val="bottom"/>
            <w:tcBorders>
              <w:top w:val="single" w:sz="8" w:color="auto"/>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46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980" w:type="dxa"/>
            <w:vAlign w:val="bottom"/>
            <w:tcBorders>
              <w:top w:val="single" w:sz="8" w:color="auto"/>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00" w:type="dxa"/>
            <w:vAlign w:val="bottom"/>
          </w:tcPr>
          <w:p>
            <w:pPr>
              <w:spacing w:after="0"/>
              <w:rPr>
                <w:sz w:val="20"/>
                <w:szCs w:val="20"/>
                <w:color w:val="auto"/>
              </w:rPr>
            </w:pPr>
            <w:r>
              <w:rPr>
                <w:rFonts w:ascii="Arial" w:cs="Arial" w:eastAsia="Arial" w:hAnsi="Arial"/>
                <w:sz w:val="18"/>
                <w:szCs w:val="18"/>
                <w:color w:val="auto"/>
              </w:rPr>
              <w:t>Payments to suppliers and employees</w:t>
            </w:r>
          </w:p>
        </w:tc>
        <w:tc>
          <w:tcPr>
            <w:tcW w:w="3540" w:type="dxa"/>
            <w:vAlign w:val="bottom"/>
            <w:gridSpan w:val="4"/>
          </w:tcPr>
          <w:p>
            <w:pPr>
              <w:ind w:left="2260"/>
              <w:spacing w:after="0"/>
              <w:rPr>
                <w:sz w:val="20"/>
                <w:szCs w:val="20"/>
                <w:color w:val="auto"/>
              </w:rPr>
            </w:pPr>
            <w:r>
              <w:rPr>
                <w:rFonts w:ascii="Arial" w:cs="Arial" w:eastAsia="Arial" w:hAnsi="Arial"/>
                <w:sz w:val="18"/>
                <w:szCs w:val="18"/>
                <w:color w:val="auto"/>
              </w:rPr>
              <w:t>A$(20,305,643)</w:t>
            </w:r>
          </w:p>
        </w:tc>
        <w:tc>
          <w:tcPr>
            <w:tcW w:w="1680" w:type="dxa"/>
            <w:vAlign w:val="bottom"/>
            <w:gridSpan w:val="5"/>
          </w:tcPr>
          <w:p>
            <w:pPr>
              <w:jc w:val="right"/>
              <w:ind w:right="60"/>
              <w:spacing w:after="0"/>
              <w:rPr>
                <w:sz w:val="20"/>
                <w:szCs w:val="20"/>
                <w:color w:val="auto"/>
              </w:rPr>
            </w:pPr>
            <w:r>
              <w:rPr>
                <w:rFonts w:ascii="Arial" w:cs="Arial" w:eastAsia="Arial" w:hAnsi="Arial"/>
                <w:sz w:val="18"/>
                <w:szCs w:val="18"/>
                <w:color w:val="auto"/>
              </w:rPr>
              <w:t>A$(11,943,480)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00" w:type="dxa"/>
            <w:vAlign w:val="bottom"/>
            <w:shd w:val="clear" w:color="auto" w:fill="CCEEFF"/>
          </w:tcPr>
          <w:p>
            <w:pPr>
              <w:spacing w:after="0"/>
              <w:rPr>
                <w:sz w:val="20"/>
                <w:szCs w:val="20"/>
                <w:color w:val="auto"/>
              </w:rPr>
            </w:pPr>
            <w:r>
              <w:rPr>
                <w:rFonts w:ascii="Arial" w:cs="Arial" w:eastAsia="Arial" w:hAnsi="Arial"/>
                <w:sz w:val="18"/>
                <w:szCs w:val="18"/>
                <w:color w:val="auto"/>
              </w:rPr>
              <w:t>Interest paid</w:t>
            </w:r>
          </w:p>
        </w:tc>
        <w:tc>
          <w:tcPr>
            <w:tcW w:w="22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62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(13,253)</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00" w:type="dxa"/>
            <w:vAlign w:val="bottom"/>
          </w:tcPr>
          <w:p>
            <w:pPr>
              <w:spacing w:after="0"/>
              <w:rPr>
                <w:sz w:val="20"/>
                <w:szCs w:val="20"/>
                <w:color w:val="auto"/>
              </w:rPr>
            </w:pPr>
            <w:r>
              <w:rPr>
                <w:rFonts w:ascii="Arial" w:cs="Arial" w:eastAsia="Arial" w:hAnsi="Arial"/>
                <w:sz w:val="18"/>
                <w:szCs w:val="18"/>
                <w:color w:val="auto"/>
              </w:rPr>
              <w:t>BARDA receipts and other income received</w:t>
            </w:r>
          </w:p>
        </w:tc>
        <w:tc>
          <w:tcPr>
            <w:tcW w:w="3380" w:type="dxa"/>
            <w:vAlign w:val="bottom"/>
            <w:gridSpan w:val="3"/>
          </w:tcPr>
          <w:p>
            <w:pPr>
              <w:jc w:val="right"/>
              <w:spacing w:after="0"/>
              <w:rPr>
                <w:sz w:val="20"/>
                <w:szCs w:val="20"/>
                <w:color w:val="auto"/>
              </w:rPr>
            </w:pPr>
            <w:r>
              <w:rPr>
                <w:rFonts w:ascii="Arial" w:cs="Arial" w:eastAsia="Arial" w:hAnsi="Arial"/>
                <w:sz w:val="18"/>
                <w:szCs w:val="18"/>
                <w:color w:val="auto"/>
              </w:rPr>
              <w:t>6,104,306</w:t>
            </w:r>
          </w:p>
        </w:tc>
        <w:tc>
          <w:tcPr>
            <w:tcW w:w="160" w:type="dxa"/>
            <w:vAlign w:val="bottom"/>
          </w:tcPr>
          <w:p>
            <w:pPr>
              <w:spacing w:after="0"/>
              <w:rPr>
                <w:sz w:val="18"/>
                <w:szCs w:val="18"/>
                <w:color w:val="auto"/>
              </w:rPr>
            </w:pPr>
          </w:p>
        </w:tc>
        <w:tc>
          <w:tcPr>
            <w:tcW w:w="1560" w:type="dxa"/>
            <w:vAlign w:val="bottom"/>
            <w:gridSpan w:val="3"/>
          </w:tcPr>
          <w:p>
            <w:pPr>
              <w:jc w:val="right"/>
              <w:spacing w:after="0"/>
              <w:rPr>
                <w:sz w:val="20"/>
                <w:szCs w:val="20"/>
                <w:color w:val="auto"/>
              </w:rPr>
            </w:pPr>
            <w:r>
              <w:rPr>
                <w:rFonts w:ascii="Arial" w:cs="Arial" w:eastAsia="Arial" w:hAnsi="Arial"/>
                <w:sz w:val="18"/>
                <w:szCs w:val="18"/>
                <w:color w:val="auto"/>
              </w:rPr>
              <w:t>3,676,182</w:t>
            </w: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00" w:type="dxa"/>
            <w:vAlign w:val="bottom"/>
            <w:shd w:val="clear" w:color="auto" w:fill="CCEEFF"/>
          </w:tcPr>
          <w:p>
            <w:pPr>
              <w:spacing w:after="0"/>
              <w:rPr>
                <w:sz w:val="20"/>
                <w:szCs w:val="20"/>
                <w:color w:val="auto"/>
              </w:rPr>
            </w:pPr>
            <w:r>
              <w:rPr>
                <w:rFonts w:ascii="Arial" w:cs="Arial" w:eastAsia="Arial" w:hAnsi="Arial"/>
                <w:sz w:val="18"/>
                <w:szCs w:val="18"/>
                <w:color w:val="auto"/>
              </w:rPr>
              <w:t>Receipts from customers</w:t>
            </w:r>
          </w:p>
        </w:tc>
        <w:tc>
          <w:tcPr>
            <w:tcW w:w="33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1,204,802</w:t>
            </w:r>
          </w:p>
        </w:tc>
        <w:tc>
          <w:tcPr>
            <w:tcW w:w="160" w:type="dxa"/>
            <w:vAlign w:val="bottom"/>
            <w:shd w:val="clear" w:color="auto" w:fill="CCEEFF"/>
          </w:tcPr>
          <w:p>
            <w:pPr>
              <w:spacing w:after="0"/>
              <w:rPr>
                <w:sz w:val="18"/>
                <w:szCs w:val="18"/>
                <w:color w:val="auto"/>
              </w:rPr>
            </w:pPr>
          </w:p>
        </w:tc>
        <w:tc>
          <w:tcPr>
            <w:tcW w:w="15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367,933</w:t>
            </w:r>
          </w:p>
        </w:tc>
        <w:tc>
          <w:tcPr>
            <w:tcW w:w="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00" w:type="dxa"/>
            <w:vAlign w:val="bottom"/>
          </w:tcPr>
          <w:p>
            <w:pPr>
              <w:spacing w:after="0"/>
              <w:rPr>
                <w:sz w:val="20"/>
                <w:szCs w:val="20"/>
                <w:color w:val="auto"/>
              </w:rPr>
            </w:pPr>
            <w:r>
              <w:rPr>
                <w:rFonts w:ascii="Arial" w:cs="Arial" w:eastAsia="Arial" w:hAnsi="Arial"/>
                <w:sz w:val="18"/>
                <w:szCs w:val="18"/>
                <w:color w:val="auto"/>
              </w:rPr>
              <w:t>R&amp;D tax refunds received</w:t>
            </w:r>
          </w:p>
        </w:tc>
        <w:tc>
          <w:tcPr>
            <w:tcW w:w="3380" w:type="dxa"/>
            <w:vAlign w:val="bottom"/>
            <w:gridSpan w:val="3"/>
          </w:tcPr>
          <w:p>
            <w:pPr>
              <w:jc w:val="right"/>
              <w:spacing w:after="0"/>
              <w:rPr>
                <w:sz w:val="20"/>
                <w:szCs w:val="20"/>
                <w:color w:val="auto"/>
              </w:rPr>
            </w:pPr>
            <w:r>
              <w:rPr>
                <w:rFonts w:ascii="Arial" w:cs="Arial" w:eastAsia="Arial" w:hAnsi="Arial"/>
                <w:sz w:val="18"/>
                <w:szCs w:val="18"/>
                <w:color w:val="auto"/>
              </w:rPr>
              <w:t>2,440,803</w:t>
            </w:r>
          </w:p>
        </w:tc>
        <w:tc>
          <w:tcPr>
            <w:tcW w:w="1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gridSpan w:val="3"/>
          </w:tcPr>
          <w:p>
            <w:pPr>
              <w:ind w:left="7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00" w:type="dxa"/>
            <w:vAlign w:val="bottom"/>
            <w:shd w:val="clear" w:color="auto" w:fill="CCEEFF"/>
          </w:tcPr>
          <w:p>
            <w:pPr>
              <w:spacing w:after="0"/>
              <w:rPr>
                <w:sz w:val="20"/>
                <w:szCs w:val="20"/>
                <w:color w:val="auto"/>
              </w:rPr>
            </w:pPr>
            <w:r>
              <w:rPr>
                <w:rFonts w:ascii="Arial" w:cs="Arial" w:eastAsia="Arial" w:hAnsi="Arial"/>
                <w:sz w:val="18"/>
                <w:szCs w:val="18"/>
                <w:color w:val="auto"/>
              </w:rPr>
              <w:t>Interest received</w:t>
            </w:r>
          </w:p>
        </w:tc>
        <w:tc>
          <w:tcPr>
            <w:tcW w:w="33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97,253</w:t>
            </w:r>
          </w:p>
        </w:tc>
        <w:tc>
          <w:tcPr>
            <w:tcW w:w="160" w:type="dxa"/>
            <w:vAlign w:val="bottom"/>
            <w:shd w:val="clear" w:color="auto" w:fill="CCEEFF"/>
          </w:tcPr>
          <w:p>
            <w:pPr>
              <w:spacing w:after="0"/>
              <w:rPr>
                <w:sz w:val="18"/>
                <w:szCs w:val="18"/>
                <w:color w:val="auto"/>
              </w:rPr>
            </w:pPr>
          </w:p>
        </w:tc>
        <w:tc>
          <w:tcPr>
            <w:tcW w:w="15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37,593</w:t>
            </w:r>
          </w:p>
        </w:tc>
        <w:tc>
          <w:tcPr>
            <w:tcW w:w="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820" w:type="dxa"/>
            <w:vAlign w:val="bottom"/>
            <w:gridSpan w:val="2"/>
          </w:tcPr>
          <w:p>
            <w:pPr>
              <w:spacing w:after="0"/>
              <w:rPr>
                <w:sz w:val="20"/>
                <w:szCs w:val="20"/>
                <w:color w:val="auto"/>
              </w:rPr>
            </w:pPr>
            <w:r>
              <w:rPr>
                <w:rFonts w:ascii="Arial" w:cs="Arial" w:eastAsia="Arial" w:hAnsi="Arial"/>
                <w:sz w:val="18"/>
                <w:szCs w:val="18"/>
                <w:b w:val="1"/>
                <w:bCs w:val="1"/>
                <w:color w:val="auto"/>
              </w:rPr>
              <w:t>Net cash flows used in operating activities</w:t>
            </w:r>
          </w:p>
        </w:tc>
        <w:tc>
          <w:tcPr>
            <w:tcW w:w="2260" w:type="dxa"/>
            <w:vAlign w:val="bottom"/>
          </w:tcPr>
          <w:p>
            <w:pPr>
              <w:spacing w:after="0"/>
              <w:rPr>
                <w:sz w:val="20"/>
                <w:szCs w:val="20"/>
                <w:color w:val="auto"/>
              </w:rPr>
            </w:pPr>
          </w:p>
        </w:tc>
        <w:tc>
          <w:tcPr>
            <w:tcW w:w="112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rPr>
              <w:t>(10,458,479)</w:t>
            </w:r>
          </w:p>
        </w:tc>
        <w:tc>
          <w:tcPr>
            <w:tcW w:w="16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10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rPr>
              <w:t>(7,875,025)</w:t>
            </w:r>
          </w:p>
        </w:tc>
        <w:tc>
          <w:tcPr>
            <w:tcW w:w="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Cash flows from investing activities</w:t>
            </w:r>
          </w:p>
        </w:tc>
        <w:tc>
          <w:tcPr>
            <w:tcW w:w="22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00" w:type="dxa"/>
            <w:vAlign w:val="bottom"/>
          </w:tcPr>
          <w:p>
            <w:pPr>
              <w:spacing w:after="0"/>
              <w:rPr>
                <w:sz w:val="20"/>
                <w:szCs w:val="20"/>
                <w:color w:val="auto"/>
              </w:rPr>
            </w:pPr>
            <w:r>
              <w:rPr>
                <w:rFonts w:ascii="Arial" w:cs="Arial" w:eastAsia="Arial" w:hAnsi="Arial"/>
                <w:sz w:val="18"/>
                <w:szCs w:val="18"/>
                <w:color w:val="auto"/>
              </w:rPr>
              <w:t>Payments for plant &amp; equipment</w:t>
            </w:r>
          </w:p>
        </w:tc>
        <w:tc>
          <w:tcPr>
            <w:tcW w:w="2260" w:type="dxa"/>
            <w:vAlign w:val="bottom"/>
          </w:tcPr>
          <w:p>
            <w:pPr>
              <w:spacing w:after="0"/>
              <w:rPr>
                <w:sz w:val="18"/>
                <w:szCs w:val="18"/>
                <w:color w:val="auto"/>
              </w:rPr>
            </w:pPr>
          </w:p>
        </w:tc>
        <w:tc>
          <w:tcPr>
            <w:tcW w:w="1280" w:type="dxa"/>
            <w:vAlign w:val="bottom"/>
            <w:gridSpan w:val="3"/>
          </w:tcPr>
          <w:p>
            <w:pPr>
              <w:jc w:val="right"/>
              <w:ind w:right="120"/>
              <w:spacing w:after="0"/>
              <w:rPr>
                <w:sz w:val="20"/>
                <w:szCs w:val="20"/>
                <w:color w:val="auto"/>
              </w:rPr>
            </w:pPr>
            <w:r>
              <w:rPr>
                <w:rFonts w:ascii="Arial" w:cs="Arial" w:eastAsia="Arial" w:hAnsi="Arial"/>
                <w:sz w:val="18"/>
                <w:szCs w:val="18"/>
                <w:color w:val="auto"/>
              </w:rPr>
              <w:t>(722,472)</w:t>
            </w:r>
          </w:p>
        </w:tc>
        <w:tc>
          <w:tcPr>
            <w:tcW w:w="1620" w:type="dxa"/>
            <w:vAlign w:val="bottom"/>
            <w:gridSpan w:val="4"/>
          </w:tcPr>
          <w:p>
            <w:pPr>
              <w:jc w:val="right"/>
              <w:spacing w:after="0"/>
              <w:rPr>
                <w:sz w:val="20"/>
                <w:szCs w:val="20"/>
                <w:color w:val="auto"/>
              </w:rPr>
            </w:pPr>
            <w:r>
              <w:rPr>
                <w:rFonts w:ascii="Arial" w:cs="Arial" w:eastAsia="Arial" w:hAnsi="Arial"/>
                <w:sz w:val="18"/>
                <w:szCs w:val="18"/>
                <w:color w:val="auto"/>
              </w:rPr>
              <w:t>(63,672)</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800" w:type="dxa"/>
            <w:vAlign w:val="bottom"/>
          </w:tcPr>
          <w:p>
            <w:pPr>
              <w:spacing w:after="0"/>
              <w:rPr>
                <w:sz w:val="2"/>
                <w:szCs w:val="2"/>
                <w:color w:val="auto"/>
              </w:rPr>
            </w:pPr>
          </w:p>
        </w:tc>
        <w:tc>
          <w:tcPr>
            <w:tcW w:w="226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46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8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Net cash flows used in investing activities</w:t>
            </w:r>
          </w:p>
        </w:tc>
        <w:tc>
          <w:tcPr>
            <w:tcW w:w="2260" w:type="dxa"/>
            <w:vAlign w:val="bottom"/>
            <w:shd w:val="clear" w:color="auto" w:fill="CCEEFF"/>
          </w:tcPr>
          <w:p>
            <w:pPr>
              <w:spacing w:after="0"/>
              <w:rPr>
                <w:sz w:val="18"/>
                <w:szCs w:val="18"/>
                <w:color w:val="auto"/>
              </w:rPr>
            </w:pPr>
          </w:p>
        </w:tc>
        <w:tc>
          <w:tcPr>
            <w:tcW w:w="128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b w:val="1"/>
                <w:bCs w:val="1"/>
                <w:color w:val="auto"/>
              </w:rPr>
              <w:t>(722,472)</w:t>
            </w:r>
          </w:p>
        </w:tc>
        <w:tc>
          <w:tcPr>
            <w:tcW w:w="1620" w:type="dxa"/>
            <w:vAlign w:val="bottom"/>
            <w:gridSpan w:val="4"/>
            <w:shd w:val="clear" w:color="auto" w:fill="CCEEFF"/>
          </w:tcPr>
          <w:p>
            <w:pPr>
              <w:jc w:val="right"/>
              <w:spacing w:after="0"/>
              <w:rPr>
                <w:sz w:val="20"/>
                <w:szCs w:val="20"/>
                <w:color w:val="auto"/>
              </w:rPr>
            </w:pPr>
            <w:r>
              <w:rPr>
                <w:rFonts w:ascii="Arial" w:cs="Arial" w:eastAsia="Arial" w:hAnsi="Arial"/>
                <w:sz w:val="18"/>
                <w:szCs w:val="18"/>
                <w:b w:val="1"/>
                <w:bCs w:val="1"/>
                <w:color w:val="auto"/>
              </w:rPr>
              <w:t>(63,672)</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5820" w:type="dxa"/>
            <w:vAlign w:val="bottom"/>
            <w:gridSpan w:val="2"/>
          </w:tcPr>
          <w:p>
            <w:pPr>
              <w:spacing w:after="0"/>
              <w:rPr>
                <w:sz w:val="20"/>
                <w:szCs w:val="20"/>
                <w:color w:val="auto"/>
              </w:rPr>
            </w:pPr>
            <w:r>
              <w:rPr>
                <w:rFonts w:ascii="Arial" w:cs="Arial" w:eastAsia="Arial" w:hAnsi="Arial"/>
                <w:sz w:val="18"/>
                <w:szCs w:val="18"/>
                <w:b w:val="1"/>
                <w:bCs w:val="1"/>
                <w:color w:val="auto"/>
              </w:rPr>
              <w:t>Cash flows from financing activities</w:t>
            </w:r>
          </w:p>
        </w:tc>
        <w:tc>
          <w:tcPr>
            <w:tcW w:w="2260" w:type="dxa"/>
            <w:vAlign w:val="bottom"/>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880" w:type="dxa"/>
            <w:vAlign w:val="bottom"/>
            <w:tcBorders>
              <w:top w:val="single" w:sz="8" w:color="auto"/>
            </w:tcBorders>
          </w:tcPr>
          <w:p>
            <w:pPr>
              <w:spacing w:after="0"/>
              <w:rPr>
                <w:sz w:val="19"/>
                <w:szCs w:val="19"/>
                <w:color w:val="auto"/>
              </w:rPr>
            </w:pPr>
          </w:p>
        </w:tc>
        <w:tc>
          <w:tcPr>
            <w:tcW w:w="16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980" w:type="dxa"/>
            <w:vAlign w:val="bottom"/>
            <w:tcBorders>
              <w:top w:val="single" w:sz="8" w:color="auto"/>
            </w:tcBorders>
          </w:tcPr>
          <w:p>
            <w:pPr>
              <w:spacing w:after="0"/>
              <w:rPr>
                <w:sz w:val="19"/>
                <w:szCs w:val="19"/>
                <w:color w:val="auto"/>
              </w:rPr>
            </w:pP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00" w:type="dxa"/>
            <w:vAlign w:val="bottom"/>
            <w:shd w:val="clear" w:color="auto" w:fill="CCEEFF"/>
          </w:tcPr>
          <w:p>
            <w:pPr>
              <w:spacing w:after="0"/>
              <w:rPr>
                <w:sz w:val="20"/>
                <w:szCs w:val="20"/>
                <w:color w:val="auto"/>
              </w:rPr>
            </w:pPr>
            <w:r>
              <w:rPr>
                <w:rFonts w:ascii="Arial" w:cs="Arial" w:eastAsia="Arial" w:hAnsi="Arial"/>
                <w:sz w:val="18"/>
                <w:szCs w:val="18"/>
                <w:color w:val="auto"/>
              </w:rPr>
              <w:t>Proceeds from issuance of shares</w:t>
            </w:r>
          </w:p>
        </w:tc>
        <w:tc>
          <w:tcPr>
            <w:tcW w:w="33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28,053,762</w:t>
            </w:r>
          </w:p>
        </w:tc>
        <w:tc>
          <w:tcPr>
            <w:tcW w:w="160" w:type="dxa"/>
            <w:vAlign w:val="bottom"/>
            <w:shd w:val="clear" w:color="auto" w:fill="CCEEFF"/>
          </w:tcPr>
          <w:p>
            <w:pPr>
              <w:spacing w:after="0"/>
              <w:rPr>
                <w:sz w:val="18"/>
                <w:szCs w:val="18"/>
                <w:color w:val="auto"/>
              </w:rPr>
            </w:pPr>
          </w:p>
        </w:tc>
        <w:tc>
          <w:tcPr>
            <w:tcW w:w="15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17,028,964</w:t>
            </w:r>
          </w:p>
        </w:tc>
        <w:tc>
          <w:tcPr>
            <w:tcW w:w="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800" w:type="dxa"/>
            <w:vAlign w:val="bottom"/>
          </w:tcPr>
          <w:p>
            <w:pPr>
              <w:spacing w:after="0"/>
              <w:rPr>
                <w:sz w:val="20"/>
                <w:szCs w:val="20"/>
                <w:color w:val="auto"/>
              </w:rPr>
            </w:pPr>
            <w:r>
              <w:rPr>
                <w:rFonts w:ascii="Arial" w:cs="Arial" w:eastAsia="Arial" w:hAnsi="Arial"/>
                <w:sz w:val="18"/>
                <w:szCs w:val="18"/>
                <w:color w:val="auto"/>
              </w:rPr>
              <w:t>Capital raising expenses</w:t>
            </w:r>
          </w:p>
        </w:tc>
        <w:tc>
          <w:tcPr>
            <w:tcW w:w="2260" w:type="dxa"/>
            <w:vAlign w:val="bottom"/>
          </w:tcPr>
          <w:p>
            <w:pPr>
              <w:spacing w:after="0"/>
              <w:rPr>
                <w:sz w:val="19"/>
                <w:szCs w:val="19"/>
                <w:color w:val="auto"/>
              </w:rPr>
            </w:pPr>
          </w:p>
        </w:tc>
        <w:tc>
          <w:tcPr>
            <w:tcW w:w="1280" w:type="dxa"/>
            <w:vAlign w:val="bottom"/>
            <w:gridSpan w:val="3"/>
          </w:tcPr>
          <w:p>
            <w:pPr>
              <w:jc w:val="right"/>
              <w:ind w:right="120"/>
              <w:spacing w:after="0"/>
              <w:rPr>
                <w:sz w:val="20"/>
                <w:szCs w:val="20"/>
                <w:color w:val="auto"/>
              </w:rPr>
            </w:pPr>
            <w:r>
              <w:rPr>
                <w:rFonts w:ascii="Arial" w:cs="Arial" w:eastAsia="Arial" w:hAnsi="Arial"/>
                <w:sz w:val="18"/>
                <w:szCs w:val="18"/>
                <w:color w:val="auto"/>
              </w:rPr>
              <w:t>(2,689,423)</w:t>
            </w:r>
          </w:p>
        </w:tc>
        <w:tc>
          <w:tcPr>
            <w:tcW w:w="1620" w:type="dxa"/>
            <w:vAlign w:val="bottom"/>
            <w:gridSpan w:val="4"/>
          </w:tcPr>
          <w:p>
            <w:pPr>
              <w:jc w:val="right"/>
              <w:spacing w:after="0"/>
              <w:rPr>
                <w:sz w:val="20"/>
                <w:szCs w:val="20"/>
                <w:color w:val="auto"/>
              </w:rPr>
            </w:pPr>
            <w:r>
              <w:rPr>
                <w:rFonts w:ascii="Arial" w:cs="Arial" w:eastAsia="Arial" w:hAnsi="Arial"/>
                <w:sz w:val="18"/>
                <w:szCs w:val="18"/>
                <w:color w:val="auto"/>
              </w:rPr>
              <w:t>(1,048,359)</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Net cash flows provided by financing activities</w:t>
            </w:r>
          </w:p>
        </w:tc>
        <w:tc>
          <w:tcPr>
            <w:tcW w:w="2260" w:type="dxa"/>
            <w:vAlign w:val="bottom"/>
            <w:shd w:val="clear" w:color="auto" w:fill="CCEEFF"/>
          </w:tcPr>
          <w:p>
            <w:pPr>
              <w:spacing w:after="0"/>
              <w:rPr>
                <w:sz w:val="18"/>
                <w:szCs w:val="18"/>
                <w:color w:val="auto"/>
              </w:rPr>
            </w:pPr>
          </w:p>
        </w:tc>
        <w:tc>
          <w:tcPr>
            <w:tcW w:w="112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25,364,339</w:t>
            </w:r>
          </w:p>
        </w:tc>
        <w:tc>
          <w:tcPr>
            <w:tcW w:w="16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10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15,980,605</w:t>
            </w:r>
          </w:p>
        </w:tc>
        <w:tc>
          <w:tcPr>
            <w:tcW w:w="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5820" w:type="dxa"/>
            <w:vAlign w:val="bottom"/>
            <w:gridSpan w:val="2"/>
          </w:tcPr>
          <w:p>
            <w:pPr>
              <w:spacing w:after="0"/>
              <w:rPr>
                <w:sz w:val="20"/>
                <w:szCs w:val="20"/>
                <w:color w:val="auto"/>
              </w:rPr>
            </w:pPr>
            <w:r>
              <w:rPr>
                <w:rFonts w:ascii="Arial" w:cs="Arial" w:eastAsia="Arial" w:hAnsi="Arial"/>
                <w:sz w:val="18"/>
                <w:szCs w:val="18"/>
                <w:b w:val="1"/>
                <w:bCs w:val="1"/>
                <w:color w:val="auto"/>
              </w:rPr>
              <w:t>Net increase in cash and cash equivalents</w:t>
            </w:r>
          </w:p>
        </w:tc>
        <w:tc>
          <w:tcPr>
            <w:tcW w:w="2260" w:type="dxa"/>
            <w:vAlign w:val="bottom"/>
          </w:tcPr>
          <w:p>
            <w:pPr>
              <w:spacing w:after="0"/>
              <w:rPr>
                <w:sz w:val="19"/>
                <w:szCs w:val="19"/>
                <w:color w:val="auto"/>
              </w:rPr>
            </w:pPr>
          </w:p>
        </w:tc>
        <w:tc>
          <w:tcPr>
            <w:tcW w:w="1120" w:type="dxa"/>
            <w:vAlign w:val="bottom"/>
            <w:gridSpan w:val="2"/>
          </w:tcPr>
          <w:p>
            <w:pPr>
              <w:jc w:val="right"/>
              <w:spacing w:after="0"/>
              <w:rPr>
                <w:sz w:val="20"/>
                <w:szCs w:val="20"/>
                <w:color w:val="auto"/>
              </w:rPr>
            </w:pPr>
            <w:r>
              <w:rPr>
                <w:rFonts w:ascii="Arial" w:cs="Arial" w:eastAsia="Arial" w:hAnsi="Arial"/>
                <w:sz w:val="18"/>
                <w:szCs w:val="18"/>
                <w:b w:val="1"/>
                <w:bCs w:val="1"/>
                <w:color w:val="auto"/>
              </w:rPr>
              <w:t>14,183,388</w:t>
            </w:r>
          </w:p>
        </w:tc>
        <w:tc>
          <w:tcPr>
            <w:tcW w:w="16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100" w:type="dxa"/>
            <w:vAlign w:val="bottom"/>
            <w:gridSpan w:val="2"/>
          </w:tcPr>
          <w:p>
            <w:pPr>
              <w:jc w:val="right"/>
              <w:spacing w:after="0"/>
              <w:rPr>
                <w:sz w:val="20"/>
                <w:szCs w:val="20"/>
                <w:color w:val="auto"/>
              </w:rPr>
            </w:pPr>
            <w:r>
              <w:rPr>
                <w:rFonts w:ascii="Arial" w:cs="Arial" w:eastAsia="Arial" w:hAnsi="Arial"/>
                <w:sz w:val="18"/>
                <w:szCs w:val="18"/>
                <w:b w:val="1"/>
                <w:bCs w:val="1"/>
                <w:color w:val="auto"/>
              </w:rPr>
              <w:t>8,041,908</w:t>
            </w: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0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 at beginning of period</w:t>
            </w:r>
          </w:p>
        </w:tc>
        <w:tc>
          <w:tcPr>
            <w:tcW w:w="33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14,825,532</w:t>
            </w:r>
          </w:p>
        </w:tc>
        <w:tc>
          <w:tcPr>
            <w:tcW w:w="160" w:type="dxa"/>
            <w:vAlign w:val="bottom"/>
            <w:shd w:val="clear" w:color="auto" w:fill="CCEEFF"/>
          </w:tcPr>
          <w:p>
            <w:pPr>
              <w:spacing w:after="0"/>
              <w:rPr>
                <w:sz w:val="18"/>
                <w:szCs w:val="18"/>
                <w:color w:val="auto"/>
              </w:rPr>
            </w:pPr>
          </w:p>
        </w:tc>
        <w:tc>
          <w:tcPr>
            <w:tcW w:w="15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3,790,491</w:t>
            </w:r>
          </w:p>
        </w:tc>
        <w:tc>
          <w:tcPr>
            <w:tcW w:w="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800" w:type="dxa"/>
            <w:vAlign w:val="bottom"/>
          </w:tcPr>
          <w:p>
            <w:pPr>
              <w:spacing w:after="0"/>
              <w:rPr>
                <w:sz w:val="20"/>
                <w:szCs w:val="20"/>
                <w:color w:val="auto"/>
              </w:rPr>
            </w:pPr>
            <w:r>
              <w:rPr>
                <w:rFonts w:ascii="Arial" w:cs="Arial" w:eastAsia="Arial" w:hAnsi="Arial"/>
                <w:sz w:val="18"/>
                <w:szCs w:val="18"/>
                <w:color w:val="auto"/>
              </w:rPr>
              <w:t>Impact of foreign exchange</w:t>
            </w:r>
          </w:p>
        </w:tc>
        <w:tc>
          <w:tcPr>
            <w:tcW w:w="2260" w:type="dxa"/>
            <w:vAlign w:val="bottom"/>
          </w:tcPr>
          <w:p>
            <w:pPr>
              <w:spacing w:after="0"/>
              <w:rPr>
                <w:sz w:val="19"/>
                <w:szCs w:val="19"/>
                <w:color w:val="auto"/>
              </w:rPr>
            </w:pPr>
          </w:p>
        </w:tc>
        <w:tc>
          <w:tcPr>
            <w:tcW w:w="1120" w:type="dxa"/>
            <w:vAlign w:val="bottom"/>
            <w:gridSpan w:val="2"/>
          </w:tcPr>
          <w:p>
            <w:pPr>
              <w:jc w:val="right"/>
              <w:spacing w:after="0"/>
              <w:rPr>
                <w:sz w:val="20"/>
                <w:szCs w:val="20"/>
                <w:color w:val="auto"/>
              </w:rPr>
            </w:pPr>
            <w:r>
              <w:rPr>
                <w:rFonts w:ascii="Arial" w:cs="Arial" w:eastAsia="Arial" w:hAnsi="Arial"/>
                <w:sz w:val="18"/>
                <w:szCs w:val="18"/>
                <w:color w:val="auto"/>
              </w:rPr>
              <w:t>1,333,440</w:t>
            </w:r>
          </w:p>
        </w:tc>
        <w:tc>
          <w:tcPr>
            <w:tcW w:w="16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160" w:type="dxa"/>
            <w:vAlign w:val="bottom"/>
            <w:gridSpan w:val="3"/>
          </w:tcPr>
          <w:p>
            <w:pPr>
              <w:jc w:val="right"/>
              <w:spacing w:after="0"/>
              <w:rPr>
                <w:sz w:val="20"/>
                <w:szCs w:val="20"/>
                <w:color w:val="auto"/>
              </w:rPr>
            </w:pPr>
            <w:r>
              <w:rPr>
                <w:rFonts w:ascii="Arial" w:cs="Arial" w:eastAsia="Arial" w:hAnsi="Arial"/>
                <w:sz w:val="18"/>
                <w:szCs w:val="18"/>
                <w:color w:val="auto"/>
              </w:rPr>
              <w:t>(55,390)</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Cash and cash equivalents at end of period</w:t>
            </w:r>
          </w:p>
        </w:tc>
        <w:tc>
          <w:tcPr>
            <w:tcW w:w="2260" w:type="dxa"/>
            <w:vAlign w:val="bottom"/>
            <w:shd w:val="clear" w:color="auto" w:fill="CCEEFF"/>
          </w:tcPr>
          <w:p>
            <w:pPr>
              <w:spacing w:after="0"/>
              <w:rPr>
                <w:sz w:val="18"/>
                <w:szCs w:val="18"/>
                <w:color w:val="auto"/>
              </w:rPr>
            </w:pPr>
          </w:p>
        </w:tc>
        <w:tc>
          <w:tcPr>
            <w:tcW w:w="1120" w:type="dxa"/>
            <w:vAlign w:val="bottom"/>
            <w:tcBorders>
              <w:top w:val="single" w:sz="8" w:color="auto"/>
              <w:bottom w:val="single" w:sz="8" w:color="auto"/>
            </w:tcBorders>
            <w:gridSpan w:val="2"/>
            <w:shd w:val="clear" w:color="auto" w:fill="CCEEFF"/>
          </w:tcPr>
          <w:p>
            <w:pPr>
              <w:spacing w:after="0"/>
              <w:rPr>
                <w:sz w:val="20"/>
                <w:szCs w:val="20"/>
                <w:color w:val="auto"/>
              </w:rPr>
            </w:pPr>
            <w:r>
              <w:rPr>
                <w:rFonts w:ascii="Arial" w:cs="Arial" w:eastAsia="Arial" w:hAnsi="Arial"/>
                <w:sz w:val="18"/>
                <w:szCs w:val="18"/>
                <w:b w:val="1"/>
                <w:bCs w:val="1"/>
                <w:u w:val="single" w:color="auto"/>
                <w:color w:val="auto"/>
                <w:w w:val="93"/>
              </w:rPr>
              <w:t>A</w:t>
            </w:r>
            <w:r>
              <w:rPr>
                <w:rFonts w:ascii="Arial" w:cs="Arial" w:eastAsia="Arial" w:hAnsi="Arial"/>
                <w:sz w:val="18"/>
                <w:szCs w:val="18"/>
                <w:b w:val="1"/>
                <w:bCs w:val="1"/>
                <w:color w:val="auto"/>
                <w:w w:val="93"/>
              </w:rPr>
              <w:t>$ 30,342,360</w:t>
            </w:r>
          </w:p>
        </w:tc>
        <w:tc>
          <w:tcPr>
            <w:tcW w:w="16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10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b w:val="1"/>
                <w:bCs w:val="1"/>
                <w:u w:val="single" w:color="auto"/>
                <w:color w:val="auto"/>
                <w:w w:val="91"/>
              </w:rPr>
              <w:t>A</w:t>
            </w:r>
            <w:r>
              <w:rPr>
                <w:rFonts w:ascii="Arial" w:cs="Arial" w:eastAsia="Arial" w:hAnsi="Arial"/>
                <w:sz w:val="18"/>
                <w:szCs w:val="18"/>
                <w:b w:val="1"/>
                <w:bCs w:val="1"/>
                <w:color w:val="auto"/>
                <w:w w:val="91"/>
              </w:rPr>
              <w:t>$ 11,777,009</w:t>
            </w:r>
          </w:p>
        </w:tc>
        <w:tc>
          <w:tcPr>
            <w:tcW w:w="120" w:type="dxa"/>
            <w:vAlign w:val="bottom"/>
            <w:gridSpan w:val="2"/>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8080" w:type="dxa"/>
            <w:vAlign w:val="bottom"/>
            <w:gridSpan w:val="3"/>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9360" w:type="dxa"/>
            <w:vAlign w:val="bottom"/>
            <w:gridSpan w:val="6"/>
          </w:tcPr>
          <w:p>
            <w:pPr>
              <w:spacing w:after="0"/>
              <w:rPr>
                <w:sz w:val="20"/>
                <w:szCs w:val="20"/>
                <w:color w:val="auto"/>
              </w:rPr>
            </w:pPr>
            <w:r>
              <w:rPr>
                <w:rFonts w:ascii="Arial" w:cs="Arial" w:eastAsia="Arial" w:hAnsi="Arial"/>
                <w:sz w:val="18"/>
                <w:szCs w:val="18"/>
                <w:color w:val="auto"/>
              </w:rPr>
              <w:t>For the purpose of the half-year Statement of Cash Flows, cash and cash equivalents are comprised of the following:</w:t>
            </w:r>
          </w:p>
        </w:tc>
        <w:tc>
          <w:tcPr>
            <w:tcW w:w="4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9"/>
        </w:trPr>
        <w:tc>
          <w:tcPr>
            <w:tcW w:w="20" w:type="dxa"/>
            <w:vAlign w:val="bottom"/>
          </w:tcPr>
          <w:p>
            <w:pPr>
              <w:spacing w:after="0"/>
              <w:rPr>
                <w:sz w:val="24"/>
                <w:szCs w:val="24"/>
                <w:color w:val="auto"/>
              </w:rPr>
            </w:pPr>
          </w:p>
        </w:tc>
        <w:tc>
          <w:tcPr>
            <w:tcW w:w="5800" w:type="dxa"/>
            <w:vAlign w:val="bottom"/>
          </w:tcPr>
          <w:p>
            <w:pPr>
              <w:spacing w:after="0"/>
              <w:rPr>
                <w:sz w:val="24"/>
                <w:szCs w:val="24"/>
                <w:color w:val="auto"/>
              </w:rPr>
            </w:pPr>
          </w:p>
        </w:tc>
        <w:tc>
          <w:tcPr>
            <w:tcW w:w="22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720" w:type="dxa"/>
            <w:vAlign w:val="bottom"/>
            <w:gridSpan w:val="7"/>
          </w:tcPr>
          <w:p>
            <w:pPr>
              <w:ind w:left="720"/>
              <w:spacing w:after="0"/>
              <w:rPr>
                <w:sz w:val="20"/>
                <w:szCs w:val="20"/>
                <w:color w:val="auto"/>
              </w:rPr>
            </w:pPr>
            <w:r>
              <w:rPr>
                <w:rFonts w:ascii="Arial" w:cs="Arial" w:eastAsia="Arial" w:hAnsi="Arial"/>
                <w:sz w:val="14"/>
                <w:szCs w:val="14"/>
                <w:b w:val="1"/>
                <w:bCs w:val="1"/>
                <w:color w:val="auto"/>
              </w:rPr>
              <w:t>As of December 31,</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5800" w:type="dxa"/>
            <w:vAlign w:val="bottom"/>
          </w:tcPr>
          <w:p>
            <w:pPr>
              <w:spacing w:after="0"/>
              <w:rPr>
                <w:sz w:val="14"/>
                <w:szCs w:val="14"/>
                <w:color w:val="auto"/>
              </w:rPr>
            </w:pPr>
          </w:p>
        </w:tc>
        <w:tc>
          <w:tcPr>
            <w:tcW w:w="3380" w:type="dxa"/>
            <w:vAlign w:val="bottom"/>
            <w:gridSpan w:val="3"/>
          </w:tcPr>
          <w:p>
            <w:pPr>
              <w:jc w:val="right"/>
              <w:ind w:right="139"/>
              <w:spacing w:after="0"/>
              <w:rPr>
                <w:sz w:val="20"/>
                <w:szCs w:val="20"/>
                <w:color w:val="auto"/>
              </w:rPr>
            </w:pPr>
            <w:r>
              <w:rPr>
                <w:rFonts w:ascii="Arial" w:cs="Arial" w:eastAsia="Arial" w:hAnsi="Arial"/>
                <w:sz w:val="14"/>
                <w:szCs w:val="14"/>
                <w:b w:val="1"/>
                <w:bCs w:val="1"/>
                <w:color w:val="auto"/>
              </w:rPr>
              <w:t>2018</w:t>
            </w:r>
          </w:p>
        </w:tc>
        <w:tc>
          <w:tcPr>
            <w:tcW w:w="160" w:type="dxa"/>
            <w:vAlign w:val="bottom"/>
          </w:tcPr>
          <w:p>
            <w:pPr>
              <w:spacing w:after="0"/>
              <w:rPr>
                <w:sz w:val="14"/>
                <w:szCs w:val="14"/>
                <w:color w:val="auto"/>
              </w:rPr>
            </w:pPr>
          </w:p>
        </w:tc>
        <w:tc>
          <w:tcPr>
            <w:tcW w:w="1560" w:type="dxa"/>
            <w:vAlign w:val="bottom"/>
            <w:gridSpan w:val="3"/>
          </w:tcPr>
          <w:p>
            <w:pPr>
              <w:jc w:val="right"/>
              <w:ind w:right="230"/>
              <w:spacing w:after="0"/>
              <w:rPr>
                <w:sz w:val="20"/>
                <w:szCs w:val="20"/>
                <w:color w:val="auto"/>
              </w:rPr>
            </w:pPr>
            <w:r>
              <w:rPr>
                <w:rFonts w:ascii="Arial" w:cs="Arial" w:eastAsia="Arial" w:hAnsi="Arial"/>
                <w:sz w:val="14"/>
                <w:szCs w:val="14"/>
                <w:b w:val="1"/>
                <w:bCs w:val="1"/>
                <w:color w:val="auto"/>
              </w:rPr>
              <w:t>2017</w:t>
            </w: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00" w:type="dxa"/>
            <w:vAlign w:val="bottom"/>
            <w:shd w:val="clear" w:color="auto" w:fill="CCEEFF"/>
          </w:tcPr>
          <w:p>
            <w:pPr>
              <w:spacing w:after="0"/>
              <w:rPr>
                <w:sz w:val="20"/>
                <w:szCs w:val="20"/>
                <w:color w:val="auto"/>
              </w:rPr>
            </w:pPr>
            <w:r>
              <w:rPr>
                <w:rFonts w:ascii="Arial" w:cs="Arial" w:eastAsia="Arial" w:hAnsi="Arial"/>
                <w:sz w:val="18"/>
                <w:szCs w:val="18"/>
                <w:color w:val="auto"/>
              </w:rPr>
              <w:t>Cash at bank and in hand</w:t>
            </w:r>
          </w:p>
        </w:tc>
        <w:tc>
          <w:tcPr>
            <w:tcW w:w="2260" w:type="dxa"/>
            <w:vAlign w:val="bottom"/>
            <w:shd w:val="clear" w:color="auto" w:fill="CCEEFF"/>
          </w:tcPr>
          <w:p>
            <w:pPr>
              <w:spacing w:after="0"/>
              <w:rPr>
                <w:sz w:val="18"/>
                <w:szCs w:val="18"/>
                <w:color w:val="auto"/>
              </w:rPr>
            </w:pPr>
          </w:p>
        </w:tc>
        <w:tc>
          <w:tcPr>
            <w:tcW w:w="128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A$29,084,452</w:t>
            </w:r>
          </w:p>
        </w:tc>
        <w:tc>
          <w:tcPr>
            <w:tcW w:w="460" w:type="dxa"/>
            <w:vAlign w:val="bottom"/>
            <w:shd w:val="clear" w:color="auto" w:fill="CCEEFF"/>
          </w:tcPr>
          <w:p>
            <w:pPr>
              <w:spacing w:after="0"/>
              <w:rPr>
                <w:sz w:val="18"/>
                <w:szCs w:val="18"/>
                <w:color w:val="auto"/>
              </w:rPr>
            </w:pPr>
          </w:p>
        </w:tc>
        <w:tc>
          <w:tcPr>
            <w:tcW w:w="1220" w:type="dxa"/>
            <w:vAlign w:val="bottom"/>
            <w:gridSpan w:val="4"/>
            <w:shd w:val="clear" w:color="auto" w:fill="CCEEFF"/>
          </w:tcPr>
          <w:p>
            <w:pPr>
              <w:jc w:val="right"/>
              <w:ind w:right="60"/>
              <w:spacing w:after="0"/>
              <w:rPr>
                <w:sz w:val="20"/>
                <w:szCs w:val="20"/>
                <w:color w:val="auto"/>
              </w:rPr>
            </w:pPr>
            <w:r>
              <w:rPr>
                <w:rFonts w:ascii="Arial" w:cs="Arial" w:eastAsia="Arial" w:hAnsi="Arial"/>
                <w:sz w:val="18"/>
                <w:szCs w:val="18"/>
                <w:color w:val="auto"/>
              </w:rPr>
              <w:t>A$ 1,403,330</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800" w:type="dxa"/>
            <w:vAlign w:val="bottom"/>
          </w:tcPr>
          <w:p>
            <w:pPr>
              <w:spacing w:after="0"/>
              <w:rPr>
                <w:sz w:val="20"/>
                <w:szCs w:val="20"/>
                <w:color w:val="auto"/>
              </w:rPr>
            </w:pPr>
            <w:r>
              <w:rPr>
                <w:rFonts w:ascii="Arial" w:cs="Arial" w:eastAsia="Arial" w:hAnsi="Arial"/>
                <w:sz w:val="18"/>
                <w:szCs w:val="18"/>
                <w:color w:val="auto"/>
              </w:rPr>
              <w:t>Short-term deposits</w:t>
            </w:r>
          </w:p>
        </w:tc>
        <w:tc>
          <w:tcPr>
            <w:tcW w:w="2500" w:type="dxa"/>
            <w:vAlign w:val="bottom"/>
            <w:gridSpan w:val="2"/>
          </w:tcPr>
          <w:p>
            <w:pPr>
              <w:spacing w:after="0"/>
              <w:rPr>
                <w:sz w:val="19"/>
                <w:szCs w:val="19"/>
                <w:color w:val="auto"/>
              </w:rPr>
            </w:pPr>
          </w:p>
        </w:tc>
        <w:tc>
          <w:tcPr>
            <w:tcW w:w="104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1,257,908</w:t>
            </w:r>
          </w:p>
        </w:tc>
        <w:tc>
          <w:tcPr>
            <w:tcW w:w="580" w:type="dxa"/>
            <w:vAlign w:val="bottom"/>
            <w:gridSpan w:val="2"/>
          </w:tcPr>
          <w:p>
            <w:pPr>
              <w:spacing w:after="0"/>
              <w:rPr>
                <w:sz w:val="19"/>
                <w:szCs w:val="19"/>
                <w:color w:val="auto"/>
              </w:rPr>
            </w:pPr>
          </w:p>
        </w:tc>
        <w:tc>
          <w:tcPr>
            <w:tcW w:w="104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10,373,679</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 Cash and Cash Equivalents</w:t>
            </w:r>
          </w:p>
        </w:tc>
        <w:tc>
          <w:tcPr>
            <w:tcW w:w="2260" w:type="dxa"/>
            <w:vAlign w:val="bottom"/>
            <w:shd w:val="clear" w:color="auto" w:fill="CCEEFF"/>
          </w:tcPr>
          <w:p>
            <w:pPr>
              <w:spacing w:after="0"/>
              <w:rPr>
                <w:sz w:val="18"/>
                <w:szCs w:val="18"/>
                <w:color w:val="auto"/>
              </w:rPr>
            </w:pPr>
          </w:p>
        </w:tc>
        <w:tc>
          <w:tcPr>
            <w:tcW w:w="128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b w:val="1"/>
                <w:bCs w:val="1"/>
                <w:u w:val="single" w:color="auto"/>
                <w:color w:val="auto"/>
              </w:rPr>
              <w:t>A$</w:t>
            </w:r>
            <w:r>
              <w:rPr>
                <w:rFonts w:ascii="Arial" w:cs="Arial" w:eastAsia="Arial" w:hAnsi="Arial"/>
                <w:sz w:val="18"/>
                <w:szCs w:val="18"/>
                <w:b w:val="1"/>
                <w:bCs w:val="1"/>
                <w:color w:val="auto"/>
              </w:rPr>
              <w:t>30,342,360</w:t>
            </w:r>
          </w:p>
        </w:tc>
        <w:tc>
          <w:tcPr>
            <w:tcW w:w="460" w:type="dxa"/>
            <w:vAlign w:val="bottom"/>
            <w:shd w:val="clear" w:color="auto" w:fill="CCEEFF"/>
          </w:tcPr>
          <w:p>
            <w:pPr>
              <w:spacing w:after="0"/>
              <w:rPr>
                <w:sz w:val="18"/>
                <w:szCs w:val="18"/>
                <w:color w:val="auto"/>
              </w:rPr>
            </w:pPr>
          </w:p>
        </w:tc>
        <w:tc>
          <w:tcPr>
            <w:tcW w:w="1220" w:type="dxa"/>
            <w:vAlign w:val="bottom"/>
            <w:gridSpan w:val="4"/>
            <w:shd w:val="clear" w:color="auto" w:fill="CCEEFF"/>
          </w:tcPr>
          <w:p>
            <w:pPr>
              <w:jc w:val="right"/>
              <w:ind w:right="60"/>
              <w:spacing w:after="0"/>
              <w:rPr>
                <w:sz w:val="20"/>
                <w:szCs w:val="20"/>
                <w:color w:val="auto"/>
              </w:rPr>
            </w:pPr>
            <w:r>
              <w:rPr>
                <w:rFonts w:ascii="Arial" w:cs="Arial" w:eastAsia="Arial" w:hAnsi="Arial"/>
                <w:sz w:val="18"/>
                <w:szCs w:val="18"/>
                <w:b w:val="1"/>
                <w:bCs w:val="1"/>
                <w:u w:val="single" w:color="auto"/>
                <w:color w:val="auto"/>
                <w:w w:val="96"/>
              </w:rPr>
              <w:t>A$</w:t>
            </w:r>
            <w:r>
              <w:rPr>
                <w:rFonts w:ascii="Arial" w:cs="Arial" w:eastAsia="Arial" w:hAnsi="Arial"/>
                <w:sz w:val="18"/>
                <w:szCs w:val="18"/>
                <w:b w:val="1"/>
                <w:bCs w:val="1"/>
                <w:color w:val="auto"/>
                <w:w w:val="96"/>
              </w:rPr>
              <w:t xml:space="preserve"> 11,777,009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800" w:type="dxa"/>
            <w:vAlign w:val="bottom"/>
          </w:tcPr>
          <w:p>
            <w:pPr>
              <w:spacing w:after="0" w:line="20" w:lineRule="exact"/>
              <w:rPr>
                <w:sz w:val="1"/>
                <w:szCs w:val="1"/>
                <w:color w:val="auto"/>
              </w:rPr>
            </w:pPr>
          </w:p>
        </w:tc>
        <w:tc>
          <w:tcPr>
            <w:tcW w:w="22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ind w:left="200"/>
        <w:spacing w:after="0"/>
        <w:rPr>
          <w:sz w:val="20"/>
          <w:szCs w:val="20"/>
          <w:color w:val="auto"/>
        </w:rPr>
      </w:pPr>
      <w:r>
        <w:rPr>
          <w:rFonts w:ascii="Arial" w:cs="Arial" w:eastAsia="Arial" w:hAnsi="Arial"/>
          <w:sz w:val="18"/>
          <w:szCs w:val="18"/>
          <w:color w:val="auto"/>
        </w:rPr>
        <w:t>The accompanying notes form part of the condensed consolidated financial statements.</w:t>
      </w:r>
    </w:p>
    <w:p>
      <w:pPr>
        <w:spacing w:after="0" w:line="158" w:lineRule="exact"/>
        <w:rPr>
          <w:sz w:val="20"/>
          <w:szCs w:val="20"/>
          <w:color w:val="auto"/>
        </w:rPr>
      </w:pPr>
    </w:p>
    <w:p>
      <w:pPr>
        <w:ind w:left="5540"/>
        <w:spacing w:after="0"/>
        <w:rPr>
          <w:sz w:val="20"/>
          <w:szCs w:val="20"/>
          <w:color w:val="auto"/>
        </w:rPr>
      </w:pPr>
      <w:r>
        <w:rPr>
          <w:rFonts w:ascii="Arial" w:cs="Arial" w:eastAsia="Arial" w:hAnsi="Arial"/>
          <w:sz w:val="18"/>
          <w:szCs w:val="18"/>
          <w:color w:val="auto"/>
        </w:rPr>
        <w:t>F-55</w:t>
      </w:r>
    </w:p>
    <w:p>
      <w:pPr>
        <w:sectPr>
          <w:pgSz w:w="11900" w:h="16838" w:orient="portrait"/>
          <w:cols w:equalWidth="0" w:num="1">
            <w:col w:w="11240"/>
          </w:cols>
          <w:pgMar w:left="240" w:top="460" w:right="419" w:bottom="1440" w:gutter="0" w:footer="0" w:header="0"/>
        </w:sectPr>
      </w:pPr>
    </w:p>
    <w:bookmarkStart w:id="154" w:name="page155"/>
    <w:bookmarkEnd w:id="15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20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AVITA MEDICAL LIMITED</w:t>
      </w:r>
    </w:p>
    <w:p>
      <w:pPr>
        <w:spacing w:after="0" w:line="27"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CONDENSED CONSOLIDATED STATEMENT OF CHANGES IN EQUITY</w:t>
      </w:r>
    </w:p>
    <w:p>
      <w:pPr>
        <w:spacing w:after="0" w:line="9"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(IN AUSTRALIAN DOLLARS)</w:t>
      </w:r>
    </w:p>
    <w:p>
      <w:pPr>
        <w:spacing w:after="0" w:line="9"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(UNAUDITED)</w:t>
      </w:r>
    </w:p>
    <w:p>
      <w:pPr>
        <w:spacing w:after="0" w:line="217" w:lineRule="exact"/>
        <w:rPr>
          <w:sz w:val="20"/>
          <w:szCs w:val="20"/>
          <w:color w:val="auto"/>
        </w:rPr>
      </w:pPr>
    </w:p>
    <w:tbl>
      <w:tblPr>
        <w:tblLayout w:type="fixed"/>
        <w:tblInd w:w="20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3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40" w:type="dxa"/>
            <w:vAlign w:val="bottom"/>
            <w:gridSpan w:val="3"/>
            <w:vMerge w:val="restart"/>
          </w:tcPr>
          <w:p>
            <w:pPr>
              <w:jc w:val="center"/>
              <w:ind w:right="260"/>
              <w:spacing w:after="0"/>
              <w:rPr>
                <w:sz w:val="20"/>
                <w:szCs w:val="20"/>
                <w:color w:val="auto"/>
              </w:rPr>
            </w:pPr>
            <w:r>
              <w:rPr>
                <w:rFonts w:ascii="Arial" w:cs="Arial" w:eastAsia="Arial" w:hAnsi="Arial"/>
                <w:sz w:val="14"/>
                <w:szCs w:val="14"/>
                <w:b w:val="1"/>
                <w:bCs w:val="1"/>
                <w:color w:val="auto"/>
                <w:w w:val="90"/>
              </w:rPr>
              <w:t>Share-based</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60" w:type="dxa"/>
            <w:vAlign w:val="bottom"/>
            <w:gridSpan w:val="3"/>
          </w:tcPr>
          <w:p>
            <w:pPr>
              <w:jc w:val="center"/>
              <w:ind w:right="260"/>
              <w:spacing w:after="0"/>
              <w:rPr>
                <w:sz w:val="20"/>
                <w:szCs w:val="20"/>
                <w:color w:val="auto"/>
              </w:rPr>
            </w:pPr>
            <w:r>
              <w:rPr>
                <w:rFonts w:ascii="Arial" w:cs="Arial" w:eastAsia="Arial" w:hAnsi="Arial"/>
                <w:sz w:val="14"/>
                <w:szCs w:val="14"/>
                <w:b w:val="1"/>
                <w:bCs w:val="1"/>
                <w:color w:val="auto"/>
                <w:w w:val="93"/>
              </w:rPr>
              <w:t>Foreign</w:t>
            </w:r>
          </w:p>
        </w:tc>
        <w:tc>
          <w:tcPr>
            <w:tcW w:w="2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3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340" w:type="dxa"/>
            <w:vAlign w:val="bottom"/>
            <w:gridSpan w:val="2"/>
            <w:vMerge w:val="restart"/>
          </w:tcPr>
          <w:p>
            <w:pPr>
              <w:jc w:val="center"/>
              <w:ind w:right="260"/>
              <w:spacing w:after="0"/>
              <w:rPr>
                <w:sz w:val="20"/>
                <w:szCs w:val="20"/>
                <w:color w:val="auto"/>
              </w:rPr>
            </w:pPr>
            <w:r>
              <w:rPr>
                <w:rFonts w:ascii="Arial" w:cs="Arial" w:eastAsia="Arial" w:hAnsi="Arial"/>
                <w:sz w:val="14"/>
                <w:szCs w:val="14"/>
                <w:b w:val="1"/>
                <w:bCs w:val="1"/>
                <w:color w:val="auto"/>
                <w:w w:val="95"/>
              </w:rPr>
              <w:t>Contributed</w:t>
            </w:r>
          </w:p>
        </w:tc>
        <w:tc>
          <w:tcPr>
            <w:tcW w:w="160" w:type="dxa"/>
            <w:vAlign w:val="bottom"/>
          </w:tcPr>
          <w:p>
            <w:pPr>
              <w:spacing w:after="0"/>
              <w:rPr>
                <w:sz w:val="12"/>
                <w:szCs w:val="12"/>
                <w:color w:val="auto"/>
              </w:rPr>
            </w:pPr>
          </w:p>
        </w:tc>
        <w:tc>
          <w:tcPr>
            <w:tcW w:w="1460" w:type="dxa"/>
            <w:vAlign w:val="bottom"/>
            <w:gridSpan w:val="3"/>
            <w:vMerge w:val="restart"/>
          </w:tcPr>
          <w:p>
            <w:pPr>
              <w:jc w:val="right"/>
              <w:ind w:right="400"/>
              <w:spacing w:after="0"/>
              <w:rPr>
                <w:sz w:val="20"/>
                <w:szCs w:val="20"/>
                <w:color w:val="auto"/>
              </w:rPr>
            </w:pPr>
            <w:r>
              <w:rPr>
                <w:rFonts w:ascii="Arial" w:cs="Arial" w:eastAsia="Arial" w:hAnsi="Arial"/>
                <w:sz w:val="14"/>
                <w:szCs w:val="14"/>
                <w:b w:val="1"/>
                <w:bCs w:val="1"/>
                <w:color w:val="auto"/>
              </w:rPr>
              <w:t>Accumulated</w:t>
            </w:r>
          </w:p>
        </w:tc>
        <w:tc>
          <w:tcPr>
            <w:tcW w:w="180" w:type="dxa"/>
            <w:vAlign w:val="bottom"/>
          </w:tcPr>
          <w:p>
            <w:pPr>
              <w:spacing w:after="0"/>
              <w:rPr>
                <w:sz w:val="12"/>
                <w:szCs w:val="12"/>
                <w:color w:val="auto"/>
              </w:rPr>
            </w:pPr>
          </w:p>
        </w:tc>
        <w:tc>
          <w:tcPr>
            <w:tcW w:w="1140" w:type="dxa"/>
            <w:vAlign w:val="bottom"/>
            <w:gridSpan w:val="3"/>
            <w:vMerge w:val="continue"/>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60" w:type="dxa"/>
            <w:vAlign w:val="bottom"/>
            <w:gridSpan w:val="3"/>
          </w:tcPr>
          <w:p>
            <w:pPr>
              <w:jc w:val="center"/>
              <w:ind w:right="280"/>
              <w:spacing w:after="0" w:line="149" w:lineRule="exact"/>
              <w:rPr>
                <w:sz w:val="20"/>
                <w:szCs w:val="20"/>
                <w:color w:val="auto"/>
              </w:rPr>
            </w:pPr>
            <w:r>
              <w:rPr>
                <w:rFonts w:ascii="Arial" w:cs="Arial" w:eastAsia="Arial" w:hAnsi="Arial"/>
                <w:sz w:val="14"/>
                <w:szCs w:val="14"/>
                <w:b w:val="1"/>
                <w:bCs w:val="1"/>
                <w:color w:val="auto"/>
                <w:w w:val="91"/>
              </w:rPr>
              <w:t>currency</w:t>
            </w:r>
          </w:p>
        </w:tc>
        <w:tc>
          <w:tcPr>
            <w:tcW w:w="20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360" w:type="dxa"/>
            <w:vAlign w:val="bottom"/>
          </w:tcPr>
          <w:p>
            <w:pPr>
              <w:spacing w:after="0"/>
              <w:rPr>
                <w:sz w:val="12"/>
                <w:szCs w:val="12"/>
                <w:color w:val="auto"/>
              </w:rPr>
            </w:pPr>
          </w:p>
        </w:tc>
        <w:tc>
          <w:tcPr>
            <w:tcW w:w="720" w:type="dxa"/>
            <w:vAlign w:val="bottom"/>
            <w:vMerge w:val="restart"/>
          </w:tcPr>
          <w:p>
            <w:pPr>
              <w:jc w:val="right"/>
              <w:ind w:right="256"/>
              <w:spacing w:after="0"/>
              <w:rPr>
                <w:sz w:val="20"/>
                <w:szCs w:val="20"/>
                <w:color w:val="auto"/>
              </w:rPr>
            </w:pPr>
            <w:r>
              <w:rPr>
                <w:rFonts w:ascii="Arial" w:cs="Arial" w:eastAsia="Arial" w:hAnsi="Arial"/>
                <w:sz w:val="14"/>
                <w:szCs w:val="14"/>
                <w:b w:val="1"/>
                <w:bCs w:val="1"/>
                <w:color w:val="auto"/>
              </w:rPr>
              <w:t>Note</w:t>
            </w:r>
          </w:p>
        </w:tc>
        <w:tc>
          <w:tcPr>
            <w:tcW w:w="20" w:type="dxa"/>
            <w:vAlign w:val="bottom"/>
          </w:tcPr>
          <w:p>
            <w:pPr>
              <w:spacing w:after="0"/>
              <w:rPr>
                <w:sz w:val="12"/>
                <w:szCs w:val="12"/>
                <w:color w:val="auto"/>
              </w:rPr>
            </w:pPr>
          </w:p>
        </w:tc>
        <w:tc>
          <w:tcPr>
            <w:tcW w:w="1340" w:type="dxa"/>
            <w:vAlign w:val="bottom"/>
            <w:gridSpan w:val="2"/>
            <w:vMerge w:val="continue"/>
          </w:tcPr>
          <w:p>
            <w:pPr>
              <w:spacing w:after="0"/>
              <w:rPr>
                <w:sz w:val="12"/>
                <w:szCs w:val="12"/>
                <w:color w:val="auto"/>
              </w:rPr>
            </w:pPr>
          </w:p>
        </w:tc>
        <w:tc>
          <w:tcPr>
            <w:tcW w:w="160" w:type="dxa"/>
            <w:vAlign w:val="bottom"/>
          </w:tcPr>
          <w:p>
            <w:pPr>
              <w:spacing w:after="0"/>
              <w:rPr>
                <w:sz w:val="12"/>
                <w:szCs w:val="12"/>
                <w:color w:val="auto"/>
              </w:rPr>
            </w:pPr>
          </w:p>
        </w:tc>
        <w:tc>
          <w:tcPr>
            <w:tcW w:w="1460" w:type="dxa"/>
            <w:vAlign w:val="bottom"/>
            <w:gridSpan w:val="3"/>
            <w:vMerge w:val="continue"/>
          </w:tcPr>
          <w:p>
            <w:pPr>
              <w:spacing w:after="0"/>
              <w:rPr>
                <w:sz w:val="12"/>
                <w:szCs w:val="12"/>
                <w:color w:val="auto"/>
              </w:rPr>
            </w:pPr>
          </w:p>
        </w:tc>
        <w:tc>
          <w:tcPr>
            <w:tcW w:w="180" w:type="dxa"/>
            <w:vAlign w:val="bottom"/>
          </w:tcPr>
          <w:p>
            <w:pPr>
              <w:spacing w:after="0"/>
              <w:rPr>
                <w:sz w:val="12"/>
                <w:szCs w:val="12"/>
                <w:color w:val="auto"/>
              </w:rPr>
            </w:pPr>
          </w:p>
        </w:tc>
        <w:tc>
          <w:tcPr>
            <w:tcW w:w="1140" w:type="dxa"/>
            <w:vAlign w:val="bottom"/>
            <w:gridSpan w:val="3"/>
          </w:tcPr>
          <w:p>
            <w:pPr>
              <w:jc w:val="center"/>
              <w:ind w:right="280"/>
              <w:spacing w:after="0" w:line="149" w:lineRule="exact"/>
              <w:rPr>
                <w:sz w:val="20"/>
                <w:szCs w:val="20"/>
                <w:color w:val="auto"/>
              </w:rPr>
            </w:pPr>
            <w:r>
              <w:rPr>
                <w:rFonts w:ascii="Arial" w:cs="Arial" w:eastAsia="Arial" w:hAnsi="Arial"/>
                <w:sz w:val="14"/>
                <w:szCs w:val="14"/>
                <w:b w:val="1"/>
                <w:bCs w:val="1"/>
                <w:color w:val="auto"/>
                <w:w w:val="93"/>
              </w:rPr>
              <w:t>payment</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60" w:type="dxa"/>
            <w:vAlign w:val="bottom"/>
            <w:gridSpan w:val="3"/>
          </w:tcPr>
          <w:p>
            <w:pPr>
              <w:jc w:val="center"/>
              <w:ind w:right="280"/>
              <w:spacing w:after="0" w:line="149" w:lineRule="exact"/>
              <w:rPr>
                <w:sz w:val="20"/>
                <w:szCs w:val="20"/>
                <w:color w:val="auto"/>
              </w:rPr>
            </w:pPr>
            <w:r>
              <w:rPr>
                <w:rFonts w:ascii="Arial" w:cs="Arial" w:eastAsia="Arial" w:hAnsi="Arial"/>
                <w:sz w:val="14"/>
                <w:szCs w:val="14"/>
                <w:b w:val="1"/>
                <w:bCs w:val="1"/>
                <w:color w:val="auto"/>
                <w:w w:val="92"/>
              </w:rPr>
              <w:t>translation</w:t>
            </w:r>
          </w:p>
        </w:tc>
        <w:tc>
          <w:tcPr>
            <w:tcW w:w="200" w:type="dxa"/>
            <w:vAlign w:val="bottom"/>
          </w:tcPr>
          <w:p>
            <w:pPr>
              <w:spacing w:after="0"/>
              <w:rPr>
                <w:sz w:val="12"/>
                <w:szCs w:val="12"/>
                <w:color w:val="auto"/>
              </w:rPr>
            </w:pPr>
          </w:p>
        </w:tc>
        <w:tc>
          <w:tcPr>
            <w:tcW w:w="1160" w:type="dxa"/>
            <w:vAlign w:val="bottom"/>
            <w:gridSpan w:val="2"/>
            <w:vMerge w:val="restart"/>
          </w:tcPr>
          <w:p>
            <w:pPr>
              <w:jc w:val="right"/>
              <w:ind w:right="52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3360" w:type="dxa"/>
            <w:vAlign w:val="bottom"/>
          </w:tcPr>
          <w:p>
            <w:pPr>
              <w:spacing w:after="0"/>
              <w:rPr>
                <w:sz w:val="14"/>
                <w:szCs w:val="14"/>
                <w:color w:val="auto"/>
              </w:rPr>
            </w:pPr>
          </w:p>
        </w:tc>
        <w:tc>
          <w:tcPr>
            <w:tcW w:w="720" w:type="dxa"/>
            <w:vAlign w:val="bottom"/>
            <w:vMerge w:val="continue"/>
          </w:tcPr>
          <w:p>
            <w:pPr>
              <w:spacing w:after="0"/>
              <w:rPr>
                <w:sz w:val="14"/>
                <w:szCs w:val="14"/>
                <w:color w:val="auto"/>
              </w:rPr>
            </w:pPr>
          </w:p>
        </w:tc>
        <w:tc>
          <w:tcPr>
            <w:tcW w:w="20" w:type="dxa"/>
            <w:vAlign w:val="bottom"/>
          </w:tcPr>
          <w:p>
            <w:pPr>
              <w:spacing w:after="0"/>
              <w:rPr>
                <w:sz w:val="14"/>
                <w:szCs w:val="14"/>
                <w:color w:val="auto"/>
              </w:rPr>
            </w:pPr>
          </w:p>
        </w:tc>
        <w:tc>
          <w:tcPr>
            <w:tcW w:w="134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2"/>
              </w:rPr>
              <w:t>equity</w:t>
            </w:r>
          </w:p>
        </w:tc>
        <w:tc>
          <w:tcPr>
            <w:tcW w:w="160" w:type="dxa"/>
            <w:vAlign w:val="bottom"/>
          </w:tcPr>
          <w:p>
            <w:pPr>
              <w:spacing w:after="0"/>
              <w:rPr>
                <w:sz w:val="14"/>
                <w:szCs w:val="14"/>
                <w:color w:val="auto"/>
              </w:rPr>
            </w:pPr>
          </w:p>
        </w:tc>
        <w:tc>
          <w:tcPr>
            <w:tcW w:w="1460" w:type="dxa"/>
            <w:vAlign w:val="bottom"/>
            <w:gridSpan w:val="3"/>
          </w:tcPr>
          <w:p>
            <w:pPr>
              <w:jc w:val="right"/>
              <w:ind w:right="640"/>
              <w:spacing w:after="0"/>
              <w:rPr>
                <w:sz w:val="20"/>
                <w:szCs w:val="20"/>
                <w:color w:val="auto"/>
              </w:rPr>
            </w:pPr>
            <w:r>
              <w:rPr>
                <w:rFonts w:ascii="Arial" w:cs="Arial" w:eastAsia="Arial" w:hAnsi="Arial"/>
                <w:sz w:val="14"/>
                <w:szCs w:val="14"/>
                <w:b w:val="1"/>
                <w:bCs w:val="1"/>
                <w:color w:val="auto"/>
              </w:rPr>
              <w:t>losses</w:t>
            </w:r>
          </w:p>
        </w:tc>
        <w:tc>
          <w:tcPr>
            <w:tcW w:w="180" w:type="dxa"/>
            <w:vAlign w:val="bottom"/>
          </w:tcPr>
          <w:p>
            <w:pPr>
              <w:spacing w:after="0"/>
              <w:rPr>
                <w:sz w:val="14"/>
                <w:szCs w:val="14"/>
                <w:color w:val="auto"/>
              </w:rPr>
            </w:pPr>
          </w:p>
        </w:tc>
        <w:tc>
          <w:tcPr>
            <w:tcW w:w="1140" w:type="dxa"/>
            <w:vAlign w:val="bottom"/>
            <w:gridSpan w:val="3"/>
          </w:tcPr>
          <w:p>
            <w:pPr>
              <w:jc w:val="center"/>
              <w:ind w:right="260"/>
              <w:spacing w:after="0"/>
              <w:rPr>
                <w:sz w:val="20"/>
                <w:szCs w:val="20"/>
                <w:color w:val="auto"/>
              </w:rPr>
            </w:pPr>
            <w:r>
              <w:rPr>
                <w:rFonts w:ascii="Arial" w:cs="Arial" w:eastAsia="Arial" w:hAnsi="Arial"/>
                <w:sz w:val="14"/>
                <w:szCs w:val="14"/>
                <w:b w:val="1"/>
                <w:bCs w:val="1"/>
                <w:color w:val="auto"/>
                <w:w w:val="88"/>
              </w:rPr>
              <w:t>reserve</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60" w:type="dxa"/>
            <w:vAlign w:val="bottom"/>
            <w:gridSpan w:val="3"/>
          </w:tcPr>
          <w:p>
            <w:pPr>
              <w:jc w:val="center"/>
              <w:ind w:right="280"/>
              <w:spacing w:after="0"/>
              <w:rPr>
                <w:sz w:val="20"/>
                <w:szCs w:val="20"/>
                <w:color w:val="auto"/>
              </w:rPr>
            </w:pPr>
            <w:r>
              <w:rPr>
                <w:rFonts w:ascii="Arial" w:cs="Arial" w:eastAsia="Arial" w:hAnsi="Arial"/>
                <w:sz w:val="14"/>
                <w:szCs w:val="14"/>
                <w:b w:val="1"/>
                <w:bCs w:val="1"/>
                <w:color w:val="auto"/>
                <w:w w:val="92"/>
              </w:rPr>
              <w:t>reserve</w:t>
            </w:r>
          </w:p>
        </w:tc>
        <w:tc>
          <w:tcPr>
            <w:tcW w:w="200" w:type="dxa"/>
            <w:vAlign w:val="bottom"/>
          </w:tcPr>
          <w:p>
            <w:pPr>
              <w:spacing w:after="0"/>
              <w:rPr>
                <w:sz w:val="14"/>
                <w:szCs w:val="14"/>
                <w:color w:val="auto"/>
              </w:rPr>
            </w:pPr>
          </w:p>
        </w:tc>
        <w:tc>
          <w:tcPr>
            <w:tcW w:w="116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3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As of July 1, 2018</w:t>
            </w:r>
          </w:p>
        </w:tc>
        <w:tc>
          <w:tcPr>
            <w:tcW w:w="72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b w:val="1"/>
                <w:bCs w:val="1"/>
                <w:color w:val="auto"/>
                <w:w w:val="90"/>
              </w:rPr>
              <w:t>A$162,801,028</w:t>
            </w:r>
          </w:p>
        </w:tc>
        <w:tc>
          <w:tcPr>
            <w:tcW w:w="2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122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b w:val="1"/>
                <w:bCs w:val="1"/>
                <w:color w:val="auto"/>
                <w:w w:val="87"/>
              </w:rPr>
              <w:t>A$ (148,592,879)</w:t>
            </w:r>
          </w:p>
        </w:tc>
        <w:tc>
          <w:tcPr>
            <w:tcW w:w="4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CCEEFF"/>
              <w:right w:val="single" w:sz="8" w:color="CCEEFF"/>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b w:val="1"/>
                <w:bCs w:val="1"/>
                <w:color w:val="auto"/>
                <w:w w:val="89"/>
              </w:rPr>
              <w:t>A$4,505,148</w:t>
            </w:r>
          </w:p>
        </w:tc>
        <w:tc>
          <w:tcPr>
            <w:tcW w:w="4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960" w:type="dxa"/>
            <w:vAlign w:val="bottom"/>
            <w:tcBorders>
              <w:top w:val="single" w:sz="8" w:color="auto"/>
            </w:tcBorders>
            <w:gridSpan w:val="2"/>
            <w:shd w:val="clear" w:color="auto" w:fill="CCEEFF"/>
          </w:tcPr>
          <w:p>
            <w:pPr>
              <w:jc w:val="center"/>
              <w:spacing w:after="0"/>
              <w:rPr>
                <w:sz w:val="20"/>
                <w:szCs w:val="20"/>
                <w:color w:val="auto"/>
              </w:rPr>
            </w:pPr>
            <w:r>
              <w:rPr>
                <w:rFonts w:ascii="Arial" w:cs="Arial" w:eastAsia="Arial" w:hAnsi="Arial"/>
                <w:sz w:val="18"/>
                <w:szCs w:val="18"/>
                <w:b w:val="1"/>
                <w:bCs w:val="1"/>
                <w:color w:val="auto"/>
                <w:w w:val="97"/>
              </w:rPr>
              <w:t>A$  286,262</w:t>
            </w:r>
          </w:p>
        </w:tc>
        <w:tc>
          <w:tcPr>
            <w:tcW w:w="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CCEEFF"/>
              <w:right w:val="single" w:sz="8" w:color="CCEEFF"/>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86"/>
              </w:rPr>
              <w:t>A$ 18,999,559</w:t>
            </w:r>
          </w:p>
        </w:tc>
        <w:tc>
          <w:tcPr>
            <w:tcW w:w="12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60" w:type="dxa"/>
            <w:vAlign w:val="bottom"/>
          </w:tcPr>
          <w:p>
            <w:pPr>
              <w:spacing w:after="0"/>
              <w:rPr>
                <w:sz w:val="20"/>
                <w:szCs w:val="20"/>
                <w:color w:val="auto"/>
              </w:rPr>
            </w:pPr>
            <w:r>
              <w:rPr>
                <w:rFonts w:ascii="Arial" w:cs="Arial" w:eastAsia="Arial" w:hAnsi="Arial"/>
                <w:sz w:val="18"/>
                <w:szCs w:val="18"/>
                <w:color w:val="auto"/>
              </w:rPr>
              <w:t>Loss for the period</w:t>
            </w:r>
          </w:p>
        </w:tc>
        <w:tc>
          <w:tcPr>
            <w:tcW w:w="7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34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1620" w:type="dxa"/>
            <w:vAlign w:val="bottom"/>
            <w:gridSpan w:val="4"/>
          </w:tcPr>
          <w:p>
            <w:pPr>
              <w:ind w:left="500"/>
              <w:spacing w:after="0"/>
              <w:rPr>
                <w:sz w:val="20"/>
                <w:szCs w:val="20"/>
                <w:color w:val="auto"/>
              </w:rPr>
            </w:pPr>
            <w:r>
              <w:rPr>
                <w:rFonts w:ascii="Arial" w:cs="Arial" w:eastAsia="Arial" w:hAnsi="Arial"/>
                <w:sz w:val="18"/>
                <w:szCs w:val="18"/>
                <w:color w:val="auto"/>
              </w:rPr>
              <w:t>(15,579,391)</w:t>
            </w:r>
          </w:p>
        </w:tc>
        <w:tc>
          <w:tcPr>
            <w:tcW w:w="180" w:type="dxa"/>
            <w:vAlign w:val="bottom"/>
          </w:tcPr>
          <w:p>
            <w:pPr>
              <w:spacing w:after="0"/>
              <w:rPr>
                <w:sz w:val="18"/>
                <w:szCs w:val="18"/>
                <w:color w:val="auto"/>
              </w:rPr>
            </w:pPr>
          </w:p>
        </w:tc>
        <w:tc>
          <w:tcPr>
            <w:tcW w:w="1140" w:type="dxa"/>
            <w:vAlign w:val="bottom"/>
            <w:gridSpan w:val="3"/>
          </w:tcPr>
          <w:p>
            <w:pPr>
              <w:jc w:val="right"/>
              <w:ind w:right="3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gridSpan w:val="3"/>
          </w:tcPr>
          <w:p>
            <w:pPr>
              <w:jc w:val="right"/>
              <w:ind w:right="260"/>
              <w:spacing w:after="0"/>
              <w:rPr>
                <w:sz w:val="20"/>
                <w:szCs w:val="20"/>
                <w:color w:val="auto"/>
              </w:rPr>
            </w:pPr>
            <w:r>
              <w:rPr>
                <w:rFonts w:ascii="Arial" w:cs="Arial" w:eastAsia="Arial" w:hAnsi="Arial"/>
                <w:sz w:val="18"/>
                <w:szCs w:val="18"/>
                <w:color w:val="auto"/>
              </w:rPr>
              <w:t>—</w:t>
            </w:r>
          </w:p>
        </w:tc>
        <w:tc>
          <w:tcPr>
            <w:tcW w:w="1360" w:type="dxa"/>
            <w:vAlign w:val="bottom"/>
            <w:gridSpan w:val="3"/>
          </w:tcPr>
          <w:p>
            <w:pPr>
              <w:jc w:val="right"/>
              <w:ind w:right="60"/>
              <w:spacing w:after="0"/>
              <w:rPr>
                <w:sz w:val="20"/>
                <w:szCs w:val="20"/>
                <w:color w:val="auto"/>
              </w:rPr>
            </w:pPr>
            <w:r>
              <w:rPr>
                <w:rFonts w:ascii="Arial" w:cs="Arial" w:eastAsia="Arial" w:hAnsi="Arial"/>
                <w:sz w:val="18"/>
                <w:szCs w:val="18"/>
                <w:color w:val="auto"/>
              </w:rPr>
              <w:t>(15,579,391)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60" w:type="dxa"/>
            <w:vAlign w:val="bottom"/>
            <w:shd w:val="clear" w:color="auto" w:fill="CCEEFF"/>
          </w:tcPr>
          <w:p>
            <w:pPr>
              <w:spacing w:after="0"/>
              <w:rPr>
                <w:sz w:val="20"/>
                <w:szCs w:val="20"/>
                <w:color w:val="auto"/>
              </w:rPr>
            </w:pPr>
            <w:r>
              <w:rPr>
                <w:rFonts w:ascii="Arial" w:cs="Arial" w:eastAsia="Arial" w:hAnsi="Arial"/>
                <w:sz w:val="18"/>
                <w:szCs w:val="18"/>
                <w:color w:val="auto"/>
              </w:rPr>
              <w:t>Other comprehensive income</w:t>
            </w:r>
          </w:p>
        </w:tc>
        <w:tc>
          <w:tcPr>
            <w:tcW w:w="7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460" w:type="dxa"/>
            <w:vAlign w:val="bottom"/>
            <w:gridSpan w:val="3"/>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180" w:type="dxa"/>
            <w:vAlign w:val="bottom"/>
            <w:tcBorders>
              <w:right w:val="single" w:sz="8" w:color="CCEEFF"/>
            </w:tcBorders>
            <w:shd w:val="clear" w:color="auto" w:fill="CCEEFF"/>
          </w:tcPr>
          <w:p>
            <w:pPr>
              <w:spacing w:after="0"/>
              <w:rPr>
                <w:sz w:val="18"/>
                <w:szCs w:val="18"/>
                <w:color w:val="auto"/>
              </w:rPr>
            </w:pPr>
          </w:p>
        </w:tc>
        <w:tc>
          <w:tcPr>
            <w:tcW w:w="1140" w:type="dxa"/>
            <w:vAlign w:val="bottom"/>
            <w:gridSpan w:val="3"/>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10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1,374,144</w:t>
            </w: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1,374,144</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380" w:type="dxa"/>
            <w:vAlign w:val="bottom"/>
            <w:gridSpan w:val="2"/>
          </w:tcPr>
          <w:p>
            <w:pPr>
              <w:spacing w:after="0"/>
              <w:rPr>
                <w:sz w:val="20"/>
                <w:szCs w:val="20"/>
                <w:color w:val="auto"/>
              </w:rPr>
            </w:pPr>
            <w:r>
              <w:rPr>
                <w:rFonts w:ascii="Arial" w:cs="Arial" w:eastAsia="Arial" w:hAnsi="Arial"/>
                <w:sz w:val="18"/>
                <w:szCs w:val="18"/>
                <w:b w:val="1"/>
                <w:bCs w:val="1"/>
                <w:color w:val="auto"/>
                <w:w w:val="98"/>
              </w:rPr>
              <w:t>Total comprehensive loss for the period</w:t>
            </w:r>
          </w:p>
        </w:tc>
        <w:tc>
          <w:tcPr>
            <w:tcW w:w="7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120" w:type="dxa"/>
            <w:vAlign w:val="bottom"/>
            <w:tcBorders>
              <w:top w:val="single" w:sz="8" w:color="auto"/>
              <w:bottom w:val="single" w:sz="8" w:color="auto"/>
            </w:tcBorders>
          </w:tcPr>
          <w:p>
            <w:pPr>
              <w:jc w:val="right"/>
              <w:ind w:right="14"/>
              <w:spacing w:after="0"/>
              <w:rPr>
                <w:sz w:val="20"/>
                <w:szCs w:val="20"/>
                <w:color w:val="auto"/>
              </w:rPr>
            </w:pPr>
            <w:r>
              <w:rPr>
                <w:rFonts w:ascii="Arial" w:cs="Arial" w:eastAsia="Arial" w:hAnsi="Arial"/>
                <w:sz w:val="18"/>
                <w:szCs w:val="18"/>
                <w:b w:val="1"/>
                <w:bCs w:val="1"/>
                <w:color w:val="auto"/>
              </w:rPr>
              <w:t>—</w:t>
            </w: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20" w:type="dxa"/>
            <w:vAlign w:val="bottom"/>
            <w:tcBorders>
              <w:top w:val="single" w:sz="8" w:color="auto"/>
              <w:bottom w:val="single" w:sz="8" w:color="auto"/>
            </w:tcBorders>
          </w:tcPr>
          <w:p>
            <w:pPr>
              <w:ind w:left="340"/>
              <w:spacing w:after="0"/>
              <w:rPr>
                <w:sz w:val="20"/>
                <w:szCs w:val="20"/>
                <w:color w:val="auto"/>
              </w:rPr>
            </w:pPr>
            <w:r>
              <w:rPr>
                <w:rFonts w:ascii="Arial" w:cs="Arial" w:eastAsia="Arial" w:hAnsi="Arial"/>
                <w:sz w:val="18"/>
                <w:szCs w:val="18"/>
                <w:b w:val="1"/>
                <w:bCs w:val="1"/>
                <w:color w:val="auto"/>
                <w:w w:val="84"/>
              </w:rPr>
              <w:t>(15,579,391)</w:t>
            </w:r>
          </w:p>
        </w:tc>
        <w:tc>
          <w:tcPr>
            <w:tcW w:w="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20" w:type="dxa"/>
            <w:vAlign w:val="bottom"/>
            <w:tcBorders>
              <w:top w:val="single" w:sz="8" w:color="auto"/>
              <w:bottom w:val="single" w:sz="8" w:color="auto"/>
            </w:tcBorders>
          </w:tcPr>
          <w:p>
            <w:pPr>
              <w:jc w:val="right"/>
              <w:ind w:right="16"/>
              <w:spacing w:after="0"/>
              <w:rPr>
                <w:sz w:val="20"/>
                <w:szCs w:val="20"/>
                <w:color w:val="auto"/>
              </w:rPr>
            </w:pPr>
            <w:r>
              <w:rPr>
                <w:rFonts w:ascii="Arial" w:cs="Arial" w:eastAsia="Arial" w:hAnsi="Arial"/>
                <w:sz w:val="18"/>
                <w:szCs w:val="18"/>
                <w:b w:val="1"/>
                <w:bCs w:val="1"/>
                <w:color w:val="auto"/>
              </w:rPr>
              <w:t>—</w:t>
            </w:r>
          </w:p>
        </w:tc>
        <w:tc>
          <w:tcPr>
            <w:tcW w:w="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6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rPr>
              <w:t>1,374,144</w:t>
            </w: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9"/>
              </w:rPr>
              <w:t>(14,205,247)</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360" w:type="dxa"/>
            <w:vAlign w:val="bottom"/>
            <w:shd w:val="clear" w:color="auto" w:fill="CCEEFF"/>
          </w:tcPr>
          <w:p>
            <w:pPr>
              <w:spacing w:after="0" w:line="201" w:lineRule="exact"/>
              <w:rPr>
                <w:sz w:val="20"/>
                <w:szCs w:val="20"/>
                <w:color w:val="auto"/>
              </w:rPr>
            </w:pPr>
            <w:r>
              <w:rPr>
                <w:rFonts w:ascii="Arial" w:cs="Arial" w:eastAsia="Arial" w:hAnsi="Arial"/>
                <w:sz w:val="18"/>
                <w:szCs w:val="18"/>
                <w:i w:val="1"/>
                <w:iCs w:val="1"/>
                <w:color w:val="auto"/>
              </w:rPr>
              <w:t>Transactions with owners in their capacity</w:t>
            </w:r>
          </w:p>
        </w:tc>
        <w:tc>
          <w:tcPr>
            <w:tcW w:w="7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80" w:type="dxa"/>
            <w:vAlign w:val="bottom"/>
            <w:tcBorders>
              <w:right w:val="single" w:sz="8" w:color="CCEEFF"/>
            </w:tcBorders>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200" w:type="dxa"/>
            <w:vAlign w:val="bottom"/>
            <w:tcBorders>
              <w:right w:val="single" w:sz="8" w:color="CCEEFF"/>
            </w:tcBorders>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360" w:type="dxa"/>
            <w:vAlign w:val="bottom"/>
            <w:shd w:val="clear" w:color="auto" w:fill="CCEEFF"/>
          </w:tcPr>
          <w:p>
            <w:pPr>
              <w:ind w:left="160"/>
              <w:spacing w:after="0"/>
              <w:rPr>
                <w:sz w:val="20"/>
                <w:szCs w:val="20"/>
                <w:color w:val="auto"/>
              </w:rPr>
            </w:pPr>
            <w:r>
              <w:rPr>
                <w:rFonts w:ascii="Arial" w:cs="Arial" w:eastAsia="Arial" w:hAnsi="Arial"/>
                <w:sz w:val="18"/>
                <w:szCs w:val="18"/>
                <w:i w:val="1"/>
                <w:iCs w:val="1"/>
                <w:color w:val="auto"/>
              </w:rPr>
              <w:t>as owners:</w:t>
            </w:r>
          </w:p>
        </w:tc>
        <w:tc>
          <w:tcPr>
            <w:tcW w:w="72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12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22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80" w:type="dxa"/>
            <w:vAlign w:val="bottom"/>
            <w:tcBorders>
              <w:right w:val="single" w:sz="8" w:color="CCEEFF"/>
            </w:tcBorders>
            <w:shd w:val="clear" w:color="auto" w:fill="CCEEFF"/>
          </w:tcPr>
          <w:p>
            <w:pPr>
              <w:spacing w:after="0"/>
              <w:rPr>
                <w:sz w:val="20"/>
                <w:szCs w:val="20"/>
                <w:color w:val="auto"/>
              </w:rPr>
            </w:pPr>
          </w:p>
        </w:tc>
        <w:tc>
          <w:tcPr>
            <w:tcW w:w="92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86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200" w:type="dxa"/>
            <w:vAlign w:val="bottom"/>
            <w:tcBorders>
              <w:right w:val="single" w:sz="8" w:color="CCEEFF"/>
            </w:tcBorders>
            <w:shd w:val="clear" w:color="auto" w:fill="CCEEFF"/>
          </w:tcPr>
          <w:p>
            <w:pPr>
              <w:spacing w:after="0"/>
              <w:rPr>
                <w:sz w:val="20"/>
                <w:szCs w:val="20"/>
                <w:color w:val="auto"/>
              </w:rPr>
            </w:pPr>
          </w:p>
        </w:tc>
        <w:tc>
          <w:tcPr>
            <w:tcW w:w="10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60" w:type="dxa"/>
            <w:vAlign w:val="bottom"/>
          </w:tcPr>
          <w:p>
            <w:pPr>
              <w:spacing w:after="0"/>
              <w:rPr>
                <w:sz w:val="20"/>
                <w:szCs w:val="20"/>
                <w:color w:val="auto"/>
              </w:rPr>
            </w:pPr>
            <w:r>
              <w:rPr>
                <w:rFonts w:ascii="Arial" w:cs="Arial" w:eastAsia="Arial" w:hAnsi="Arial"/>
                <w:sz w:val="18"/>
                <w:szCs w:val="18"/>
                <w:color w:val="auto"/>
              </w:rPr>
              <w:t>Share-based payments</w:t>
            </w:r>
          </w:p>
        </w:tc>
        <w:tc>
          <w:tcPr>
            <w:tcW w:w="7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34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460" w:type="dxa"/>
            <w:vAlign w:val="bottom"/>
            <w:gridSpan w:val="3"/>
          </w:tcPr>
          <w:p>
            <w:pPr>
              <w:jc w:val="right"/>
              <w:ind w:right="300"/>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spacing w:after="0"/>
              <w:rPr>
                <w:sz w:val="20"/>
                <w:szCs w:val="20"/>
                <w:color w:val="auto"/>
              </w:rPr>
            </w:pPr>
            <w:r>
              <w:rPr>
                <w:rFonts w:ascii="Arial" w:cs="Arial" w:eastAsia="Arial" w:hAnsi="Arial"/>
                <w:sz w:val="18"/>
                <w:szCs w:val="18"/>
                <w:color w:val="auto"/>
              </w:rPr>
              <w:t>1,043,694</w:t>
            </w: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gridSpan w:val="3"/>
          </w:tcPr>
          <w:p>
            <w:pPr>
              <w:jc w:val="right"/>
              <w:ind w:right="260"/>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spacing w:after="0"/>
              <w:rPr>
                <w:sz w:val="20"/>
                <w:szCs w:val="20"/>
                <w:color w:val="auto"/>
              </w:rPr>
            </w:pPr>
            <w:r>
              <w:rPr>
                <w:rFonts w:ascii="Arial" w:cs="Arial" w:eastAsia="Arial" w:hAnsi="Arial"/>
                <w:sz w:val="18"/>
                <w:szCs w:val="18"/>
                <w:color w:val="auto"/>
              </w:rPr>
              <w:t>1,043,694</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60" w:type="dxa"/>
            <w:vAlign w:val="bottom"/>
            <w:shd w:val="clear" w:color="auto" w:fill="CCEEFF"/>
          </w:tcPr>
          <w:p>
            <w:pPr>
              <w:spacing w:after="0"/>
              <w:rPr>
                <w:sz w:val="20"/>
                <w:szCs w:val="20"/>
                <w:color w:val="auto"/>
              </w:rPr>
            </w:pPr>
            <w:r>
              <w:rPr>
                <w:rFonts w:ascii="Arial" w:cs="Arial" w:eastAsia="Arial" w:hAnsi="Arial"/>
                <w:sz w:val="18"/>
                <w:szCs w:val="18"/>
                <w:color w:val="auto"/>
              </w:rPr>
              <w:t>New shares</w:t>
            </w:r>
          </w:p>
        </w:tc>
        <w:tc>
          <w:tcPr>
            <w:tcW w:w="720" w:type="dxa"/>
            <w:vAlign w:val="bottom"/>
            <w:shd w:val="clear" w:color="auto" w:fill="CCEEFF"/>
          </w:tcPr>
          <w:p>
            <w:pPr>
              <w:jc w:val="right"/>
              <w:ind w:right="316"/>
              <w:spacing w:after="0"/>
              <w:rPr>
                <w:sz w:val="20"/>
                <w:szCs w:val="20"/>
                <w:color w:val="auto"/>
              </w:rPr>
            </w:pPr>
            <w:r>
              <w:rPr>
                <w:rFonts w:ascii="Arial" w:cs="Arial" w:eastAsia="Arial" w:hAnsi="Arial"/>
                <w:sz w:val="18"/>
                <w:szCs w:val="18"/>
                <w:color w:val="auto"/>
              </w:rPr>
              <w:t>6</w:t>
            </w:r>
          </w:p>
        </w:tc>
        <w:tc>
          <w:tcPr>
            <w:tcW w:w="1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28,098,701</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60" w:type="dxa"/>
            <w:vAlign w:val="bottom"/>
            <w:gridSpan w:val="3"/>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180" w:type="dxa"/>
            <w:vAlign w:val="bottom"/>
            <w:tcBorders>
              <w:right w:val="single" w:sz="8" w:color="CCEEFF"/>
            </w:tcBorders>
            <w:shd w:val="clear" w:color="auto" w:fill="CCEEFF"/>
          </w:tcPr>
          <w:p>
            <w:pPr>
              <w:spacing w:after="0"/>
              <w:rPr>
                <w:sz w:val="18"/>
                <w:szCs w:val="18"/>
                <w:color w:val="auto"/>
              </w:rPr>
            </w:pPr>
          </w:p>
        </w:tc>
        <w:tc>
          <w:tcPr>
            <w:tcW w:w="1140" w:type="dxa"/>
            <w:vAlign w:val="bottom"/>
            <w:gridSpan w:val="3"/>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28,098,701</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60" w:type="dxa"/>
            <w:vAlign w:val="bottom"/>
          </w:tcPr>
          <w:p>
            <w:pPr>
              <w:spacing w:after="0"/>
              <w:rPr>
                <w:sz w:val="20"/>
                <w:szCs w:val="20"/>
                <w:color w:val="auto"/>
              </w:rPr>
            </w:pPr>
            <w:r>
              <w:rPr>
                <w:rFonts w:ascii="Arial" w:cs="Arial" w:eastAsia="Arial" w:hAnsi="Arial"/>
                <w:sz w:val="18"/>
                <w:szCs w:val="18"/>
                <w:color w:val="auto"/>
              </w:rPr>
              <w:t>Cost of share placement</w:t>
            </w:r>
          </w:p>
        </w:tc>
        <w:tc>
          <w:tcPr>
            <w:tcW w:w="720" w:type="dxa"/>
            <w:vAlign w:val="bottom"/>
          </w:tcPr>
          <w:p>
            <w:pPr>
              <w:jc w:val="right"/>
              <w:ind w:right="316"/>
              <w:spacing w:after="0"/>
              <w:rPr>
                <w:sz w:val="20"/>
                <w:szCs w:val="20"/>
                <w:color w:val="auto"/>
              </w:rPr>
            </w:pPr>
            <w:r>
              <w:rPr>
                <w:rFonts w:ascii="Arial" w:cs="Arial" w:eastAsia="Arial" w:hAnsi="Arial"/>
                <w:sz w:val="18"/>
                <w:szCs w:val="18"/>
                <w:color w:val="auto"/>
              </w:rPr>
              <w:t>6</w:t>
            </w:r>
          </w:p>
        </w:tc>
        <w:tc>
          <w:tcPr>
            <w:tcW w:w="20" w:type="dxa"/>
            <w:vAlign w:val="bottom"/>
          </w:tcPr>
          <w:p>
            <w:pPr>
              <w:spacing w:after="0"/>
              <w:rPr>
                <w:sz w:val="18"/>
                <w:szCs w:val="18"/>
                <w:color w:val="auto"/>
              </w:rPr>
            </w:pPr>
          </w:p>
        </w:tc>
        <w:tc>
          <w:tcPr>
            <w:tcW w:w="1340" w:type="dxa"/>
            <w:vAlign w:val="bottom"/>
            <w:gridSpan w:val="2"/>
          </w:tcPr>
          <w:p>
            <w:pPr>
              <w:jc w:val="right"/>
              <w:ind w:right="160"/>
              <w:spacing w:after="0"/>
              <w:rPr>
                <w:sz w:val="20"/>
                <w:szCs w:val="20"/>
                <w:color w:val="auto"/>
              </w:rPr>
            </w:pPr>
            <w:r>
              <w:rPr>
                <w:rFonts w:ascii="Arial" w:cs="Arial" w:eastAsia="Arial" w:hAnsi="Arial"/>
                <w:sz w:val="18"/>
                <w:szCs w:val="18"/>
                <w:color w:val="auto"/>
              </w:rPr>
              <w:t>(2,689,423)</w:t>
            </w:r>
          </w:p>
        </w:tc>
        <w:tc>
          <w:tcPr>
            <w:tcW w:w="160" w:type="dxa"/>
            <w:vAlign w:val="bottom"/>
          </w:tcPr>
          <w:p>
            <w:pPr>
              <w:spacing w:after="0"/>
              <w:rPr>
                <w:sz w:val="18"/>
                <w:szCs w:val="18"/>
                <w:color w:val="auto"/>
              </w:rPr>
            </w:pPr>
          </w:p>
        </w:tc>
        <w:tc>
          <w:tcPr>
            <w:tcW w:w="1460" w:type="dxa"/>
            <w:vAlign w:val="bottom"/>
            <w:gridSpan w:val="3"/>
          </w:tcPr>
          <w:p>
            <w:pPr>
              <w:jc w:val="right"/>
              <w:ind w:right="30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140" w:type="dxa"/>
            <w:vAlign w:val="bottom"/>
            <w:gridSpan w:val="3"/>
          </w:tcPr>
          <w:p>
            <w:pPr>
              <w:jc w:val="right"/>
              <w:ind w:right="3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gridSpan w:val="3"/>
          </w:tcPr>
          <w:p>
            <w:pPr>
              <w:jc w:val="right"/>
              <w:ind w:right="260"/>
              <w:spacing w:after="0"/>
              <w:rPr>
                <w:sz w:val="20"/>
                <w:szCs w:val="20"/>
                <w:color w:val="auto"/>
              </w:rPr>
            </w:pPr>
            <w:r>
              <w:rPr>
                <w:rFonts w:ascii="Arial" w:cs="Arial" w:eastAsia="Arial" w:hAnsi="Arial"/>
                <w:sz w:val="18"/>
                <w:szCs w:val="18"/>
                <w:color w:val="auto"/>
              </w:rPr>
              <w:t>—</w:t>
            </w:r>
          </w:p>
        </w:tc>
        <w:tc>
          <w:tcPr>
            <w:tcW w:w="1360" w:type="dxa"/>
            <w:vAlign w:val="bottom"/>
            <w:gridSpan w:val="3"/>
          </w:tcPr>
          <w:p>
            <w:pPr>
              <w:jc w:val="right"/>
              <w:ind w:right="60"/>
              <w:spacing w:after="0"/>
              <w:rPr>
                <w:sz w:val="20"/>
                <w:szCs w:val="20"/>
                <w:color w:val="auto"/>
              </w:rPr>
            </w:pPr>
            <w:r>
              <w:rPr>
                <w:rFonts w:ascii="Arial" w:cs="Arial" w:eastAsia="Arial" w:hAnsi="Arial"/>
                <w:sz w:val="18"/>
                <w:szCs w:val="18"/>
                <w:color w:val="auto"/>
              </w:rPr>
              <w:t>(2,689,423)</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3360" w:type="dxa"/>
            <w:vAlign w:val="bottom"/>
          </w:tcPr>
          <w:p>
            <w:pPr>
              <w:spacing w:after="0"/>
              <w:rPr>
                <w:sz w:val="2"/>
                <w:szCs w:val="2"/>
                <w:color w:val="auto"/>
              </w:rPr>
            </w:pPr>
          </w:p>
        </w:tc>
        <w:tc>
          <w:tcPr>
            <w:tcW w:w="720" w:type="dxa"/>
            <w:vAlign w:val="bottom"/>
          </w:tcPr>
          <w:p>
            <w:pPr>
              <w:spacing w:after="0"/>
              <w:rPr>
                <w:sz w:val="2"/>
                <w:szCs w:val="2"/>
                <w:color w:val="auto"/>
              </w:rPr>
            </w:pPr>
          </w:p>
        </w:tc>
        <w:tc>
          <w:tcPr>
            <w:tcW w:w="20" w:type="dxa"/>
            <w:vAlign w:val="bottom"/>
          </w:tcPr>
          <w:p>
            <w:pPr>
              <w:spacing w:after="0"/>
              <w:rPr>
                <w:sz w:val="2"/>
                <w:szCs w:val="2"/>
                <w:color w:val="auto"/>
              </w:rPr>
            </w:pPr>
          </w:p>
        </w:tc>
        <w:tc>
          <w:tcPr>
            <w:tcW w:w="112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20" w:type="dxa"/>
            <w:vAlign w:val="bottom"/>
            <w:shd w:val="clear" w:color="auto" w:fill="000000"/>
          </w:tcPr>
          <w:p>
            <w:pPr>
              <w:spacing w:after="0"/>
              <w:rPr>
                <w:sz w:val="2"/>
                <w:szCs w:val="2"/>
                <w:color w:val="auto"/>
              </w:rPr>
            </w:pPr>
          </w:p>
        </w:tc>
        <w:tc>
          <w:tcPr>
            <w:tcW w:w="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80" w:type="dxa"/>
            <w:vAlign w:val="bottom"/>
            <w:tcBorders>
              <w:right w:val="single" w:sz="8" w:color="auto"/>
            </w:tcBorders>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180" w:type="dxa"/>
            <w:vAlign w:val="bottom"/>
          </w:tcPr>
          <w:p>
            <w:pPr>
              <w:spacing w:after="0"/>
              <w:rPr>
                <w:sz w:val="2"/>
                <w:szCs w:val="2"/>
                <w:color w:val="auto"/>
              </w:rPr>
            </w:pPr>
          </w:p>
        </w:tc>
        <w:tc>
          <w:tcPr>
            <w:tcW w:w="200" w:type="dxa"/>
            <w:vAlign w:val="bottom"/>
            <w:tcBorders>
              <w:right w:val="single" w:sz="8" w:color="auto"/>
            </w:tcBorders>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33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Balance at December 31, 2018</w:t>
            </w:r>
          </w:p>
        </w:tc>
        <w:tc>
          <w:tcPr>
            <w:tcW w:w="720" w:type="dxa"/>
            <w:vAlign w:val="bottom"/>
            <w:shd w:val="clear" w:color="auto" w:fill="CCEEFF"/>
          </w:tcPr>
          <w:p>
            <w:pPr>
              <w:spacing w:after="0"/>
              <w:rPr>
                <w:sz w:val="18"/>
                <w:szCs w:val="18"/>
                <w:color w:val="auto"/>
              </w:rPr>
            </w:pPr>
          </w:p>
        </w:tc>
        <w:tc>
          <w:tcPr>
            <w:tcW w:w="1360" w:type="dxa"/>
            <w:vAlign w:val="bottom"/>
            <w:gridSpan w:val="3"/>
            <w:shd w:val="clear" w:color="auto" w:fill="CCEEFF"/>
          </w:tcPr>
          <w:p>
            <w:pPr>
              <w:jc w:val="center"/>
              <w:ind w:right="220"/>
              <w:spacing w:after="0"/>
              <w:rPr>
                <w:sz w:val="20"/>
                <w:szCs w:val="20"/>
                <w:color w:val="auto"/>
              </w:rPr>
            </w:pPr>
            <w:r>
              <w:rPr>
                <w:rFonts w:ascii="Arial" w:cs="Arial" w:eastAsia="Arial" w:hAnsi="Arial"/>
                <w:sz w:val="18"/>
                <w:szCs w:val="18"/>
                <w:b w:val="1"/>
                <w:bCs w:val="1"/>
                <w:u w:val="single" w:color="auto"/>
                <w:color w:val="auto"/>
                <w:w w:val="92"/>
              </w:rPr>
              <w:t>A$</w:t>
            </w:r>
            <w:r>
              <w:rPr>
                <w:rFonts w:ascii="Arial" w:cs="Arial" w:eastAsia="Arial" w:hAnsi="Arial"/>
                <w:sz w:val="18"/>
                <w:szCs w:val="18"/>
                <w:b w:val="1"/>
                <w:bCs w:val="1"/>
                <w:color w:val="auto"/>
                <w:w w:val="92"/>
              </w:rPr>
              <w:t>188,210,306</w:t>
            </w:r>
          </w:p>
        </w:tc>
        <w:tc>
          <w:tcPr>
            <w:tcW w:w="1620" w:type="dxa"/>
            <w:vAlign w:val="bottom"/>
            <w:gridSpan w:val="4"/>
            <w:shd w:val="clear" w:color="auto" w:fill="CCEEFF"/>
          </w:tcPr>
          <w:p>
            <w:pPr>
              <w:jc w:val="center"/>
              <w:spacing w:after="0"/>
              <w:rPr>
                <w:sz w:val="20"/>
                <w:szCs w:val="20"/>
                <w:color w:val="auto"/>
              </w:rPr>
            </w:pPr>
            <w:r>
              <w:rPr>
                <w:rFonts w:ascii="Arial" w:cs="Arial" w:eastAsia="Arial" w:hAnsi="Arial"/>
                <w:sz w:val="18"/>
                <w:szCs w:val="18"/>
                <w:b w:val="1"/>
                <w:bCs w:val="1"/>
                <w:u w:val="single" w:color="auto"/>
                <w:color w:val="auto"/>
                <w:w w:val="89"/>
              </w:rPr>
              <w:t>A$</w:t>
            </w:r>
            <w:r>
              <w:rPr>
                <w:rFonts w:ascii="Arial" w:cs="Arial" w:eastAsia="Arial" w:hAnsi="Arial"/>
                <w:sz w:val="18"/>
                <w:szCs w:val="18"/>
                <w:b w:val="1"/>
                <w:bCs w:val="1"/>
                <w:color w:val="auto"/>
                <w:w w:val="89"/>
              </w:rPr>
              <w:t xml:space="preserve"> (164,172,270)</w:t>
            </w:r>
          </w:p>
        </w:tc>
        <w:tc>
          <w:tcPr>
            <w:tcW w:w="1320" w:type="dxa"/>
            <w:vAlign w:val="bottom"/>
            <w:gridSpan w:val="4"/>
            <w:shd w:val="clear" w:color="auto" w:fill="CCEEFF"/>
          </w:tcPr>
          <w:p>
            <w:pPr>
              <w:jc w:val="center"/>
              <w:ind w:right="80"/>
              <w:spacing w:after="0"/>
              <w:rPr>
                <w:sz w:val="20"/>
                <w:szCs w:val="20"/>
                <w:color w:val="auto"/>
              </w:rPr>
            </w:pPr>
            <w:r>
              <w:rPr>
                <w:rFonts w:ascii="Arial" w:cs="Arial" w:eastAsia="Arial" w:hAnsi="Arial"/>
                <w:sz w:val="18"/>
                <w:szCs w:val="18"/>
                <w:b w:val="1"/>
                <w:bCs w:val="1"/>
                <w:u w:val="single" w:color="auto"/>
                <w:color w:val="auto"/>
                <w:w w:val="93"/>
              </w:rPr>
              <w:t>A$</w:t>
            </w:r>
            <w:r>
              <w:rPr>
                <w:rFonts w:ascii="Arial" w:cs="Arial" w:eastAsia="Arial" w:hAnsi="Arial"/>
                <w:sz w:val="18"/>
                <w:szCs w:val="18"/>
                <w:b w:val="1"/>
                <w:bCs w:val="1"/>
                <w:color w:val="auto"/>
                <w:w w:val="93"/>
              </w:rPr>
              <w:t>5,548,842</w:t>
            </w:r>
          </w:p>
        </w:tc>
        <w:tc>
          <w:tcPr>
            <w:tcW w:w="1280" w:type="dxa"/>
            <w:vAlign w:val="bottom"/>
            <w:gridSpan w:val="5"/>
            <w:shd w:val="clear" w:color="auto" w:fill="CCEEFF"/>
          </w:tcPr>
          <w:p>
            <w:pPr>
              <w:jc w:val="center"/>
              <w:ind w:right="40"/>
              <w:spacing w:after="0"/>
              <w:rPr>
                <w:sz w:val="20"/>
                <w:szCs w:val="20"/>
                <w:color w:val="auto"/>
              </w:rPr>
            </w:pPr>
            <w:r>
              <w:rPr>
                <w:rFonts w:ascii="Arial" w:cs="Arial" w:eastAsia="Arial" w:hAnsi="Arial"/>
                <w:sz w:val="18"/>
                <w:szCs w:val="18"/>
                <w:b w:val="1"/>
                <w:bCs w:val="1"/>
                <w:u w:val="single" w:color="auto"/>
                <w:color w:val="auto"/>
                <w:w w:val="93"/>
              </w:rPr>
              <w:t>A$</w:t>
            </w:r>
            <w:r>
              <w:rPr>
                <w:rFonts w:ascii="Arial" w:cs="Arial" w:eastAsia="Arial" w:hAnsi="Arial"/>
                <w:sz w:val="18"/>
                <w:szCs w:val="18"/>
                <w:b w:val="1"/>
                <w:bCs w:val="1"/>
                <w:color w:val="auto"/>
                <w:w w:val="93"/>
              </w:rPr>
              <w:t>1,660,406</w:t>
            </w:r>
          </w:p>
        </w:tc>
        <w:tc>
          <w:tcPr>
            <w:tcW w:w="136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b w:val="1"/>
                <w:bCs w:val="1"/>
                <w:u w:val="single" w:color="auto"/>
                <w:color w:val="auto"/>
              </w:rPr>
              <w:t>A</w:t>
            </w:r>
            <w:r>
              <w:rPr>
                <w:rFonts w:ascii="Arial" w:cs="Arial" w:eastAsia="Arial" w:hAnsi="Arial"/>
                <w:sz w:val="18"/>
                <w:szCs w:val="18"/>
                <w:b w:val="1"/>
                <w:bCs w:val="1"/>
                <w:color w:val="auto"/>
              </w:rPr>
              <w:t>$ 31,247,284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3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63"/>
        </w:trPr>
        <w:tc>
          <w:tcPr>
            <w:tcW w:w="20" w:type="dxa"/>
            <w:vAlign w:val="bottom"/>
          </w:tcPr>
          <w:p>
            <w:pPr>
              <w:spacing w:after="0"/>
              <w:rPr>
                <w:sz w:val="24"/>
                <w:szCs w:val="24"/>
                <w:color w:val="auto"/>
              </w:rPr>
            </w:pPr>
          </w:p>
        </w:tc>
        <w:tc>
          <w:tcPr>
            <w:tcW w:w="33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40" w:type="dxa"/>
            <w:vAlign w:val="bottom"/>
            <w:gridSpan w:val="3"/>
            <w:vMerge w:val="restart"/>
          </w:tcPr>
          <w:p>
            <w:pPr>
              <w:jc w:val="center"/>
              <w:ind w:right="180"/>
              <w:spacing w:after="0"/>
              <w:rPr>
                <w:sz w:val="20"/>
                <w:szCs w:val="20"/>
                <w:color w:val="auto"/>
              </w:rPr>
            </w:pPr>
            <w:r>
              <w:rPr>
                <w:rFonts w:ascii="Arial" w:cs="Arial" w:eastAsia="Arial" w:hAnsi="Arial"/>
                <w:sz w:val="14"/>
                <w:szCs w:val="14"/>
                <w:b w:val="1"/>
                <w:bCs w:val="1"/>
                <w:color w:val="auto"/>
                <w:w w:val="90"/>
              </w:rPr>
              <w:t>Share-based</w:t>
            </w: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60" w:type="dxa"/>
            <w:vAlign w:val="bottom"/>
            <w:gridSpan w:val="3"/>
          </w:tcPr>
          <w:p>
            <w:pPr>
              <w:jc w:val="center"/>
              <w:ind w:right="180"/>
              <w:spacing w:after="0"/>
              <w:rPr>
                <w:sz w:val="20"/>
                <w:szCs w:val="20"/>
                <w:color w:val="auto"/>
              </w:rPr>
            </w:pPr>
            <w:r>
              <w:rPr>
                <w:rFonts w:ascii="Arial" w:cs="Arial" w:eastAsia="Arial" w:hAnsi="Arial"/>
                <w:sz w:val="14"/>
                <w:szCs w:val="14"/>
                <w:b w:val="1"/>
                <w:bCs w:val="1"/>
                <w:color w:val="auto"/>
                <w:w w:val="93"/>
              </w:rPr>
              <w:t>Foreign</w:t>
            </w:r>
          </w:p>
        </w:tc>
        <w:tc>
          <w:tcPr>
            <w:tcW w:w="2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3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340" w:type="dxa"/>
            <w:vAlign w:val="bottom"/>
            <w:gridSpan w:val="2"/>
            <w:vMerge w:val="restart"/>
          </w:tcPr>
          <w:p>
            <w:pPr>
              <w:jc w:val="center"/>
              <w:ind w:right="260"/>
              <w:spacing w:after="0"/>
              <w:rPr>
                <w:sz w:val="20"/>
                <w:szCs w:val="20"/>
                <w:color w:val="auto"/>
              </w:rPr>
            </w:pPr>
            <w:r>
              <w:rPr>
                <w:rFonts w:ascii="Arial" w:cs="Arial" w:eastAsia="Arial" w:hAnsi="Arial"/>
                <w:sz w:val="14"/>
                <w:szCs w:val="14"/>
                <w:b w:val="1"/>
                <w:bCs w:val="1"/>
                <w:color w:val="auto"/>
                <w:w w:val="95"/>
              </w:rPr>
              <w:t>Contributed</w:t>
            </w:r>
          </w:p>
        </w:tc>
        <w:tc>
          <w:tcPr>
            <w:tcW w:w="160" w:type="dxa"/>
            <w:vAlign w:val="bottom"/>
          </w:tcPr>
          <w:p>
            <w:pPr>
              <w:spacing w:after="0"/>
              <w:rPr>
                <w:sz w:val="12"/>
                <w:szCs w:val="12"/>
                <w:color w:val="auto"/>
              </w:rPr>
            </w:pPr>
          </w:p>
        </w:tc>
        <w:tc>
          <w:tcPr>
            <w:tcW w:w="1460" w:type="dxa"/>
            <w:vAlign w:val="bottom"/>
            <w:gridSpan w:val="3"/>
            <w:vMerge w:val="restart"/>
          </w:tcPr>
          <w:p>
            <w:pPr>
              <w:jc w:val="center"/>
              <w:ind w:right="160"/>
              <w:spacing w:after="0"/>
              <w:rPr>
                <w:sz w:val="20"/>
                <w:szCs w:val="20"/>
                <w:color w:val="auto"/>
              </w:rPr>
            </w:pPr>
            <w:r>
              <w:rPr>
                <w:rFonts w:ascii="Arial" w:cs="Arial" w:eastAsia="Arial" w:hAnsi="Arial"/>
                <w:sz w:val="14"/>
                <w:szCs w:val="14"/>
                <w:b w:val="1"/>
                <w:bCs w:val="1"/>
                <w:color w:val="auto"/>
                <w:w w:val="93"/>
              </w:rPr>
              <w:t>Accumulated</w:t>
            </w:r>
          </w:p>
        </w:tc>
        <w:tc>
          <w:tcPr>
            <w:tcW w:w="180" w:type="dxa"/>
            <w:vAlign w:val="bottom"/>
          </w:tcPr>
          <w:p>
            <w:pPr>
              <w:spacing w:after="0"/>
              <w:rPr>
                <w:sz w:val="12"/>
                <w:szCs w:val="12"/>
                <w:color w:val="auto"/>
              </w:rPr>
            </w:pPr>
          </w:p>
        </w:tc>
        <w:tc>
          <w:tcPr>
            <w:tcW w:w="1140" w:type="dxa"/>
            <w:vAlign w:val="bottom"/>
            <w:gridSpan w:val="3"/>
            <w:vMerge w:val="continue"/>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60" w:type="dxa"/>
            <w:vAlign w:val="bottom"/>
            <w:gridSpan w:val="3"/>
          </w:tcPr>
          <w:p>
            <w:pPr>
              <w:jc w:val="center"/>
              <w:ind w:right="160"/>
              <w:spacing w:after="0" w:line="149" w:lineRule="exact"/>
              <w:rPr>
                <w:sz w:val="20"/>
                <w:szCs w:val="20"/>
                <w:color w:val="auto"/>
              </w:rPr>
            </w:pPr>
            <w:r>
              <w:rPr>
                <w:rFonts w:ascii="Arial" w:cs="Arial" w:eastAsia="Arial" w:hAnsi="Arial"/>
                <w:sz w:val="14"/>
                <w:szCs w:val="14"/>
                <w:b w:val="1"/>
                <w:bCs w:val="1"/>
                <w:color w:val="auto"/>
                <w:w w:val="91"/>
              </w:rPr>
              <w:t>currency</w:t>
            </w:r>
          </w:p>
        </w:tc>
        <w:tc>
          <w:tcPr>
            <w:tcW w:w="20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3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340" w:type="dxa"/>
            <w:vAlign w:val="bottom"/>
            <w:gridSpan w:val="2"/>
            <w:vMerge w:val="continue"/>
          </w:tcPr>
          <w:p>
            <w:pPr>
              <w:spacing w:after="0"/>
              <w:rPr>
                <w:sz w:val="12"/>
                <w:szCs w:val="12"/>
                <w:color w:val="auto"/>
              </w:rPr>
            </w:pPr>
          </w:p>
        </w:tc>
        <w:tc>
          <w:tcPr>
            <w:tcW w:w="160" w:type="dxa"/>
            <w:vAlign w:val="bottom"/>
          </w:tcPr>
          <w:p>
            <w:pPr>
              <w:spacing w:after="0"/>
              <w:rPr>
                <w:sz w:val="12"/>
                <w:szCs w:val="12"/>
                <w:color w:val="auto"/>
              </w:rPr>
            </w:pPr>
          </w:p>
        </w:tc>
        <w:tc>
          <w:tcPr>
            <w:tcW w:w="1460" w:type="dxa"/>
            <w:vAlign w:val="bottom"/>
            <w:gridSpan w:val="3"/>
            <w:vMerge w:val="continue"/>
          </w:tcPr>
          <w:p>
            <w:pPr>
              <w:spacing w:after="0"/>
              <w:rPr>
                <w:sz w:val="12"/>
                <w:szCs w:val="12"/>
                <w:color w:val="auto"/>
              </w:rPr>
            </w:pPr>
          </w:p>
        </w:tc>
        <w:tc>
          <w:tcPr>
            <w:tcW w:w="180" w:type="dxa"/>
            <w:vAlign w:val="bottom"/>
          </w:tcPr>
          <w:p>
            <w:pPr>
              <w:spacing w:after="0"/>
              <w:rPr>
                <w:sz w:val="12"/>
                <w:szCs w:val="12"/>
                <w:color w:val="auto"/>
              </w:rPr>
            </w:pPr>
          </w:p>
        </w:tc>
        <w:tc>
          <w:tcPr>
            <w:tcW w:w="1140" w:type="dxa"/>
            <w:vAlign w:val="bottom"/>
            <w:gridSpan w:val="3"/>
          </w:tcPr>
          <w:p>
            <w:pPr>
              <w:jc w:val="center"/>
              <w:ind w:right="200"/>
              <w:spacing w:after="0" w:line="149" w:lineRule="exact"/>
              <w:rPr>
                <w:sz w:val="20"/>
                <w:szCs w:val="20"/>
                <w:color w:val="auto"/>
              </w:rPr>
            </w:pPr>
            <w:r>
              <w:rPr>
                <w:rFonts w:ascii="Arial" w:cs="Arial" w:eastAsia="Arial" w:hAnsi="Arial"/>
                <w:sz w:val="14"/>
                <w:szCs w:val="14"/>
                <w:b w:val="1"/>
                <w:bCs w:val="1"/>
                <w:color w:val="auto"/>
                <w:w w:val="93"/>
              </w:rPr>
              <w:t>payment</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60" w:type="dxa"/>
            <w:vAlign w:val="bottom"/>
            <w:gridSpan w:val="3"/>
          </w:tcPr>
          <w:p>
            <w:pPr>
              <w:jc w:val="center"/>
              <w:ind w:right="180"/>
              <w:spacing w:after="0" w:line="149" w:lineRule="exact"/>
              <w:rPr>
                <w:sz w:val="20"/>
                <w:szCs w:val="20"/>
                <w:color w:val="auto"/>
              </w:rPr>
            </w:pPr>
            <w:r>
              <w:rPr>
                <w:rFonts w:ascii="Arial" w:cs="Arial" w:eastAsia="Arial" w:hAnsi="Arial"/>
                <w:sz w:val="14"/>
                <w:szCs w:val="14"/>
                <w:b w:val="1"/>
                <w:bCs w:val="1"/>
                <w:color w:val="auto"/>
                <w:w w:val="94"/>
              </w:rPr>
              <w:t>translation</w:t>
            </w:r>
          </w:p>
        </w:tc>
        <w:tc>
          <w:tcPr>
            <w:tcW w:w="200" w:type="dxa"/>
            <w:vAlign w:val="bottom"/>
          </w:tcPr>
          <w:p>
            <w:pPr>
              <w:spacing w:after="0"/>
              <w:rPr>
                <w:sz w:val="12"/>
                <w:szCs w:val="12"/>
                <w:color w:val="auto"/>
              </w:rPr>
            </w:pPr>
          </w:p>
        </w:tc>
        <w:tc>
          <w:tcPr>
            <w:tcW w:w="1160" w:type="dxa"/>
            <w:vAlign w:val="bottom"/>
            <w:gridSpan w:val="2"/>
            <w:vMerge w:val="restart"/>
          </w:tcPr>
          <w:p>
            <w:pPr>
              <w:jc w:val="right"/>
              <w:ind w:right="48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33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34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2"/>
              </w:rPr>
              <w:t>equity</w:t>
            </w:r>
          </w:p>
        </w:tc>
        <w:tc>
          <w:tcPr>
            <w:tcW w:w="160" w:type="dxa"/>
            <w:vAlign w:val="bottom"/>
          </w:tcPr>
          <w:p>
            <w:pPr>
              <w:spacing w:after="0"/>
              <w:rPr>
                <w:sz w:val="14"/>
                <w:szCs w:val="14"/>
                <w:color w:val="auto"/>
              </w:rPr>
            </w:pPr>
          </w:p>
        </w:tc>
        <w:tc>
          <w:tcPr>
            <w:tcW w:w="1460" w:type="dxa"/>
            <w:vAlign w:val="bottom"/>
            <w:gridSpan w:val="3"/>
          </w:tcPr>
          <w:p>
            <w:pPr>
              <w:jc w:val="center"/>
              <w:ind w:right="160"/>
              <w:spacing w:after="0"/>
              <w:rPr>
                <w:sz w:val="20"/>
                <w:szCs w:val="20"/>
                <w:color w:val="auto"/>
              </w:rPr>
            </w:pPr>
            <w:r>
              <w:rPr>
                <w:rFonts w:ascii="Arial" w:cs="Arial" w:eastAsia="Arial" w:hAnsi="Arial"/>
                <w:sz w:val="14"/>
                <w:szCs w:val="14"/>
                <w:b w:val="1"/>
                <w:bCs w:val="1"/>
                <w:color w:val="auto"/>
                <w:w w:val="77"/>
              </w:rPr>
              <w:t>losses</w:t>
            </w:r>
          </w:p>
        </w:tc>
        <w:tc>
          <w:tcPr>
            <w:tcW w:w="180" w:type="dxa"/>
            <w:vAlign w:val="bottom"/>
          </w:tcPr>
          <w:p>
            <w:pPr>
              <w:spacing w:after="0"/>
              <w:rPr>
                <w:sz w:val="14"/>
                <w:szCs w:val="14"/>
                <w:color w:val="auto"/>
              </w:rPr>
            </w:pPr>
          </w:p>
        </w:tc>
        <w:tc>
          <w:tcPr>
            <w:tcW w:w="1140" w:type="dxa"/>
            <w:vAlign w:val="bottom"/>
            <w:gridSpan w:val="3"/>
          </w:tcPr>
          <w:p>
            <w:pPr>
              <w:jc w:val="center"/>
              <w:ind w:right="180"/>
              <w:spacing w:after="0"/>
              <w:rPr>
                <w:sz w:val="20"/>
                <w:szCs w:val="20"/>
                <w:color w:val="auto"/>
              </w:rPr>
            </w:pPr>
            <w:r>
              <w:rPr>
                <w:rFonts w:ascii="Arial" w:cs="Arial" w:eastAsia="Arial" w:hAnsi="Arial"/>
                <w:sz w:val="14"/>
                <w:szCs w:val="14"/>
                <w:b w:val="1"/>
                <w:bCs w:val="1"/>
                <w:color w:val="auto"/>
                <w:w w:val="88"/>
              </w:rPr>
              <w:t>reserve</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60" w:type="dxa"/>
            <w:vAlign w:val="bottom"/>
            <w:gridSpan w:val="3"/>
          </w:tcPr>
          <w:p>
            <w:pPr>
              <w:jc w:val="center"/>
              <w:ind w:right="180"/>
              <w:spacing w:after="0"/>
              <w:rPr>
                <w:sz w:val="20"/>
                <w:szCs w:val="20"/>
                <w:color w:val="auto"/>
              </w:rPr>
            </w:pPr>
            <w:r>
              <w:rPr>
                <w:rFonts w:ascii="Arial" w:cs="Arial" w:eastAsia="Arial" w:hAnsi="Arial"/>
                <w:sz w:val="14"/>
                <w:szCs w:val="14"/>
                <w:b w:val="1"/>
                <w:bCs w:val="1"/>
                <w:color w:val="auto"/>
                <w:w w:val="88"/>
              </w:rPr>
              <w:t>reserve</w:t>
            </w:r>
          </w:p>
        </w:tc>
        <w:tc>
          <w:tcPr>
            <w:tcW w:w="200" w:type="dxa"/>
            <w:vAlign w:val="bottom"/>
          </w:tcPr>
          <w:p>
            <w:pPr>
              <w:spacing w:after="0"/>
              <w:rPr>
                <w:sz w:val="14"/>
                <w:szCs w:val="14"/>
                <w:color w:val="auto"/>
              </w:rPr>
            </w:pPr>
          </w:p>
        </w:tc>
        <w:tc>
          <w:tcPr>
            <w:tcW w:w="116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3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As of July 1, 2017</w:t>
            </w:r>
          </w:p>
        </w:tc>
        <w:tc>
          <w:tcPr>
            <w:tcW w:w="72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b w:val="1"/>
                <w:bCs w:val="1"/>
                <w:color w:val="auto"/>
                <w:w w:val="90"/>
              </w:rPr>
              <w:t>A$134,806,022</w:t>
            </w:r>
          </w:p>
        </w:tc>
        <w:tc>
          <w:tcPr>
            <w:tcW w:w="2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126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w w:val="91"/>
              </w:rPr>
              <w:t>$A(132,218,352)</w:t>
            </w:r>
          </w:p>
        </w:tc>
        <w:tc>
          <w:tcPr>
            <w:tcW w:w="2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CCEEFF"/>
              <w:right w:val="single" w:sz="8" w:color="CCEEFF"/>
            </w:tcBorders>
            <w:shd w:val="clear" w:color="auto" w:fill="CCEEFF"/>
          </w:tcPr>
          <w:p>
            <w:pPr>
              <w:spacing w:after="0"/>
              <w:rPr>
                <w:sz w:val="18"/>
                <w:szCs w:val="18"/>
                <w:color w:val="auto"/>
              </w:rPr>
            </w:pPr>
          </w:p>
        </w:tc>
        <w:tc>
          <w:tcPr>
            <w:tcW w:w="960" w:type="dxa"/>
            <w:vAlign w:val="bottom"/>
            <w:tcBorders>
              <w:top w:val="single" w:sz="8" w:color="auto"/>
            </w:tcBorders>
            <w:gridSpan w:val="2"/>
            <w:shd w:val="clear" w:color="auto" w:fill="CCEEFF"/>
          </w:tcPr>
          <w:p>
            <w:pPr>
              <w:jc w:val="center"/>
              <w:spacing w:after="0"/>
              <w:rPr>
                <w:sz w:val="20"/>
                <w:szCs w:val="20"/>
                <w:color w:val="auto"/>
              </w:rPr>
            </w:pPr>
            <w:r>
              <w:rPr>
                <w:rFonts w:ascii="Arial" w:cs="Arial" w:eastAsia="Arial" w:hAnsi="Arial"/>
                <w:sz w:val="18"/>
                <w:szCs w:val="18"/>
                <w:b w:val="1"/>
                <w:bCs w:val="1"/>
                <w:color w:val="auto"/>
                <w:w w:val="88"/>
              </w:rPr>
              <w:t>A$ 2,811,179</w:t>
            </w:r>
          </w:p>
        </w:tc>
        <w:tc>
          <w:tcPr>
            <w:tcW w:w="1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880" w:type="dxa"/>
            <w:vAlign w:val="bottom"/>
            <w:tcBorders>
              <w:top w:val="single" w:sz="8" w:color="auto"/>
            </w:tcBorders>
            <w:gridSpan w:val="2"/>
            <w:shd w:val="clear" w:color="auto" w:fill="CCEEFF"/>
          </w:tcPr>
          <w:p>
            <w:pPr>
              <w:jc w:val="center"/>
              <w:spacing w:after="0"/>
              <w:rPr>
                <w:sz w:val="20"/>
                <w:szCs w:val="20"/>
                <w:color w:val="auto"/>
              </w:rPr>
            </w:pPr>
            <w:r>
              <w:rPr>
                <w:rFonts w:ascii="Arial" w:cs="Arial" w:eastAsia="Arial" w:hAnsi="Arial"/>
                <w:sz w:val="18"/>
                <w:szCs w:val="18"/>
                <w:b w:val="1"/>
                <w:bCs w:val="1"/>
                <w:color w:val="auto"/>
                <w:w w:val="87"/>
              </w:rPr>
              <w:t>A$(277,017)</w:t>
            </w:r>
          </w:p>
        </w:tc>
        <w:tc>
          <w:tcPr>
            <w:tcW w:w="18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CCEEFF"/>
              <w:right w:val="single" w:sz="8" w:color="CCEEFF"/>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4"/>
              </w:rPr>
              <w:t>A$ 5,121,832</w:t>
            </w:r>
          </w:p>
        </w:tc>
        <w:tc>
          <w:tcPr>
            <w:tcW w:w="12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60" w:type="dxa"/>
            <w:vAlign w:val="bottom"/>
          </w:tcPr>
          <w:p>
            <w:pPr>
              <w:spacing w:after="0"/>
              <w:rPr>
                <w:sz w:val="20"/>
                <w:szCs w:val="20"/>
                <w:color w:val="auto"/>
              </w:rPr>
            </w:pPr>
            <w:r>
              <w:rPr>
                <w:rFonts w:ascii="Arial" w:cs="Arial" w:eastAsia="Arial" w:hAnsi="Arial"/>
                <w:sz w:val="18"/>
                <w:szCs w:val="18"/>
                <w:color w:val="auto"/>
              </w:rPr>
              <w:t>Loss for the period</w:t>
            </w:r>
          </w:p>
        </w:tc>
        <w:tc>
          <w:tcPr>
            <w:tcW w:w="7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34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1620" w:type="dxa"/>
            <w:vAlign w:val="bottom"/>
            <w:gridSpan w:val="4"/>
          </w:tcPr>
          <w:p>
            <w:pPr>
              <w:jc w:val="right"/>
              <w:ind w:right="120"/>
              <w:spacing w:after="0"/>
              <w:rPr>
                <w:sz w:val="20"/>
                <w:szCs w:val="20"/>
                <w:color w:val="auto"/>
              </w:rPr>
            </w:pPr>
            <w:r>
              <w:rPr>
                <w:rFonts w:ascii="Arial" w:cs="Arial" w:eastAsia="Arial" w:hAnsi="Arial"/>
                <w:sz w:val="18"/>
                <w:szCs w:val="18"/>
                <w:color w:val="auto"/>
              </w:rPr>
              <w:t>(7,250,597)</w:t>
            </w:r>
          </w:p>
        </w:tc>
        <w:tc>
          <w:tcPr>
            <w:tcW w:w="180" w:type="dxa"/>
            <w:vAlign w:val="bottom"/>
          </w:tcPr>
          <w:p>
            <w:pPr>
              <w:spacing w:after="0"/>
              <w:rPr>
                <w:sz w:val="18"/>
                <w:szCs w:val="18"/>
                <w:color w:val="auto"/>
              </w:rPr>
            </w:pPr>
          </w:p>
        </w:tc>
        <w:tc>
          <w:tcPr>
            <w:tcW w:w="1140" w:type="dxa"/>
            <w:vAlign w:val="bottom"/>
            <w:gridSpan w:val="3"/>
          </w:tcPr>
          <w:p>
            <w:pPr>
              <w:jc w:val="right"/>
              <w:ind w:right="2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gridSpan w:val="3"/>
          </w:tcPr>
          <w:p>
            <w:pPr>
              <w:jc w:val="right"/>
              <w:ind w:right="240"/>
              <w:spacing w:after="0"/>
              <w:rPr>
                <w:sz w:val="20"/>
                <w:szCs w:val="20"/>
                <w:color w:val="auto"/>
              </w:rPr>
            </w:pPr>
            <w:r>
              <w:rPr>
                <w:rFonts w:ascii="Arial" w:cs="Arial" w:eastAsia="Arial" w:hAnsi="Arial"/>
                <w:sz w:val="18"/>
                <w:szCs w:val="18"/>
                <w:color w:val="auto"/>
              </w:rPr>
              <w:t>—</w:t>
            </w:r>
          </w:p>
        </w:tc>
        <w:tc>
          <w:tcPr>
            <w:tcW w:w="1360" w:type="dxa"/>
            <w:vAlign w:val="bottom"/>
            <w:gridSpan w:val="3"/>
          </w:tcPr>
          <w:p>
            <w:pPr>
              <w:jc w:val="right"/>
              <w:ind w:right="60"/>
              <w:spacing w:after="0"/>
              <w:rPr>
                <w:sz w:val="20"/>
                <w:szCs w:val="20"/>
                <w:color w:val="auto"/>
              </w:rPr>
            </w:pPr>
            <w:r>
              <w:rPr>
                <w:rFonts w:ascii="Arial" w:cs="Arial" w:eastAsia="Arial" w:hAnsi="Arial"/>
                <w:sz w:val="18"/>
                <w:szCs w:val="18"/>
                <w:color w:val="auto"/>
              </w:rPr>
              <w:t>(7,250,597)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60" w:type="dxa"/>
            <w:vAlign w:val="bottom"/>
            <w:shd w:val="clear" w:color="auto" w:fill="CCEEFF"/>
          </w:tcPr>
          <w:p>
            <w:pPr>
              <w:spacing w:after="0"/>
              <w:rPr>
                <w:sz w:val="20"/>
                <w:szCs w:val="20"/>
                <w:color w:val="auto"/>
              </w:rPr>
            </w:pPr>
            <w:r>
              <w:rPr>
                <w:rFonts w:ascii="Arial" w:cs="Arial" w:eastAsia="Arial" w:hAnsi="Arial"/>
                <w:sz w:val="18"/>
                <w:szCs w:val="18"/>
                <w:color w:val="auto"/>
              </w:rPr>
              <w:t>Other comprehensive income</w:t>
            </w:r>
          </w:p>
        </w:tc>
        <w:tc>
          <w:tcPr>
            <w:tcW w:w="7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46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80" w:type="dxa"/>
            <w:vAlign w:val="bottom"/>
            <w:tcBorders>
              <w:right w:val="single" w:sz="8" w:color="CCEEFF"/>
            </w:tcBorders>
            <w:shd w:val="clear" w:color="auto" w:fill="CCEEFF"/>
          </w:tcPr>
          <w:p>
            <w:pPr>
              <w:spacing w:after="0"/>
              <w:rPr>
                <w:sz w:val="18"/>
                <w:szCs w:val="18"/>
                <w:color w:val="auto"/>
              </w:rPr>
            </w:pPr>
          </w:p>
        </w:tc>
        <w:tc>
          <w:tcPr>
            <w:tcW w:w="114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280" w:type="dxa"/>
            <w:vAlign w:val="bottom"/>
            <w:gridSpan w:val="5"/>
            <w:shd w:val="clear" w:color="auto" w:fill="CCEEFF"/>
          </w:tcPr>
          <w:p>
            <w:pPr>
              <w:jc w:val="right"/>
              <w:ind w:right="100"/>
              <w:spacing w:after="0"/>
              <w:rPr>
                <w:sz w:val="20"/>
                <w:szCs w:val="20"/>
                <w:color w:val="auto"/>
              </w:rPr>
            </w:pPr>
            <w:r>
              <w:rPr>
                <w:rFonts w:ascii="Arial" w:cs="Arial" w:eastAsia="Arial" w:hAnsi="Arial"/>
                <w:sz w:val="18"/>
                <w:szCs w:val="18"/>
                <w:color w:val="auto"/>
              </w:rPr>
              <w:t>(55,390)</w:t>
            </w:r>
          </w:p>
        </w:tc>
        <w:tc>
          <w:tcPr>
            <w:tcW w:w="136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(55,390)</w:t>
            </w:r>
          </w:p>
        </w:tc>
        <w:tc>
          <w:tcPr>
            <w:tcW w:w="0" w:type="dxa"/>
            <w:vAlign w:val="bottom"/>
          </w:tcPr>
          <w:p>
            <w:pPr>
              <w:spacing w:after="0"/>
              <w:rPr>
                <w:sz w:val="1"/>
                <w:szCs w:val="1"/>
                <w:color w:val="auto"/>
              </w:rPr>
            </w:pPr>
          </w:p>
        </w:tc>
      </w:tr>
      <w:tr>
        <w:trPr>
          <w:trHeight w:val="230"/>
        </w:trPr>
        <w:tc>
          <w:tcPr>
            <w:tcW w:w="3380" w:type="dxa"/>
            <w:vAlign w:val="bottom"/>
            <w:gridSpan w:val="2"/>
          </w:tcPr>
          <w:p>
            <w:pPr>
              <w:spacing w:after="0"/>
              <w:rPr>
                <w:sz w:val="20"/>
                <w:szCs w:val="20"/>
                <w:color w:val="auto"/>
              </w:rPr>
            </w:pPr>
            <w:r>
              <w:rPr>
                <w:rFonts w:ascii="Arial" w:cs="Arial" w:eastAsia="Arial" w:hAnsi="Arial"/>
                <w:sz w:val="18"/>
                <w:szCs w:val="18"/>
                <w:b w:val="1"/>
                <w:bCs w:val="1"/>
                <w:color w:val="auto"/>
                <w:w w:val="98"/>
              </w:rPr>
              <w:t>Total comprehensive loss for the period</w:t>
            </w:r>
          </w:p>
        </w:tc>
        <w:tc>
          <w:tcPr>
            <w:tcW w:w="7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120" w:type="dxa"/>
            <w:vAlign w:val="bottom"/>
            <w:tcBorders>
              <w:top w:val="single" w:sz="8" w:color="auto"/>
              <w:bottom w:val="single" w:sz="8" w:color="auto"/>
            </w:tcBorders>
          </w:tcPr>
          <w:p>
            <w:pPr>
              <w:jc w:val="right"/>
              <w:ind w:right="14"/>
              <w:spacing w:after="0"/>
              <w:rPr>
                <w:sz w:val="20"/>
                <w:szCs w:val="20"/>
                <w:color w:val="auto"/>
              </w:rPr>
            </w:pPr>
            <w:r>
              <w:rPr>
                <w:rFonts w:ascii="Arial" w:cs="Arial" w:eastAsia="Arial" w:hAnsi="Arial"/>
                <w:sz w:val="18"/>
                <w:szCs w:val="18"/>
                <w:b w:val="1"/>
                <w:bCs w:val="1"/>
                <w:color w:val="auto"/>
              </w:rPr>
              <w:t>—</w:t>
            </w: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6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rPr>
              <w:t>(7,250,597)</w:t>
            </w:r>
          </w:p>
        </w:tc>
        <w:tc>
          <w:tcPr>
            <w:tcW w:w="2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60" w:type="dxa"/>
            <w:vAlign w:val="bottom"/>
            <w:tcBorders>
              <w:top w:val="single" w:sz="8" w:color="auto"/>
              <w:bottom w:val="single" w:sz="8" w:color="auto"/>
            </w:tcBorders>
            <w:gridSpan w:val="2"/>
          </w:tcPr>
          <w:p>
            <w:pPr>
              <w:jc w:val="right"/>
              <w:ind w:right="100"/>
              <w:spacing w:after="0"/>
              <w:rPr>
                <w:sz w:val="20"/>
                <w:szCs w:val="20"/>
                <w:color w:val="auto"/>
              </w:rPr>
            </w:pPr>
            <w:r>
              <w:rPr>
                <w:rFonts w:ascii="Arial" w:cs="Arial" w:eastAsia="Arial" w:hAnsi="Arial"/>
                <w:sz w:val="18"/>
                <w:szCs w:val="18"/>
                <w:b w:val="1"/>
                <w:bCs w:val="1"/>
                <w:color w:val="auto"/>
              </w:rPr>
              <w:t>—</w:t>
            </w:r>
          </w:p>
        </w:tc>
        <w:tc>
          <w:tcPr>
            <w:tcW w:w="180" w:type="dxa"/>
            <w:vAlign w:val="bottom"/>
          </w:tcPr>
          <w:p>
            <w:pPr>
              <w:spacing w:after="0"/>
              <w:rPr>
                <w:sz w:val="20"/>
                <w:szCs w:val="20"/>
                <w:color w:val="auto"/>
              </w:rPr>
            </w:pPr>
          </w:p>
        </w:tc>
        <w:tc>
          <w:tcPr>
            <w:tcW w:w="220" w:type="dxa"/>
            <w:vAlign w:val="bottom"/>
            <w:gridSpan w:val="2"/>
          </w:tcPr>
          <w:p>
            <w:pPr>
              <w:spacing w:after="0"/>
              <w:rPr>
                <w:sz w:val="20"/>
                <w:szCs w:val="20"/>
                <w:color w:val="auto"/>
              </w:rPr>
            </w:pPr>
          </w:p>
        </w:tc>
        <w:tc>
          <w:tcPr>
            <w:tcW w:w="88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rPr>
              <w:t>(55,390)</w:t>
            </w:r>
          </w:p>
        </w:tc>
        <w:tc>
          <w:tcPr>
            <w:tcW w:w="1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(7,305,987)</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360" w:type="dxa"/>
            <w:vAlign w:val="bottom"/>
            <w:shd w:val="clear" w:color="auto" w:fill="CCEEFF"/>
          </w:tcPr>
          <w:p>
            <w:pPr>
              <w:spacing w:after="0" w:line="201" w:lineRule="exact"/>
              <w:rPr>
                <w:sz w:val="20"/>
                <w:szCs w:val="20"/>
                <w:color w:val="auto"/>
              </w:rPr>
            </w:pPr>
            <w:r>
              <w:rPr>
                <w:rFonts w:ascii="Arial" w:cs="Arial" w:eastAsia="Arial" w:hAnsi="Arial"/>
                <w:sz w:val="18"/>
                <w:szCs w:val="18"/>
                <w:i w:val="1"/>
                <w:iCs w:val="1"/>
                <w:color w:val="auto"/>
                <w:w w:val="93"/>
              </w:rPr>
              <w:t>Transactions with owners in their capacity as</w:t>
            </w:r>
          </w:p>
        </w:tc>
        <w:tc>
          <w:tcPr>
            <w:tcW w:w="7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80" w:type="dxa"/>
            <w:vAlign w:val="bottom"/>
            <w:tcBorders>
              <w:right w:val="single" w:sz="8" w:color="CCEEFF"/>
            </w:tcBorders>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200" w:type="dxa"/>
            <w:vAlign w:val="bottom"/>
            <w:tcBorders>
              <w:right w:val="single" w:sz="8" w:color="CCEEFF"/>
            </w:tcBorders>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360" w:type="dxa"/>
            <w:vAlign w:val="bottom"/>
            <w:shd w:val="clear" w:color="auto" w:fill="CCEEFF"/>
          </w:tcPr>
          <w:p>
            <w:pPr>
              <w:ind w:left="160"/>
              <w:spacing w:after="0"/>
              <w:rPr>
                <w:sz w:val="20"/>
                <w:szCs w:val="20"/>
                <w:color w:val="auto"/>
              </w:rPr>
            </w:pPr>
            <w:r>
              <w:rPr>
                <w:rFonts w:ascii="Arial" w:cs="Arial" w:eastAsia="Arial" w:hAnsi="Arial"/>
                <w:sz w:val="18"/>
                <w:szCs w:val="18"/>
                <w:i w:val="1"/>
                <w:iCs w:val="1"/>
                <w:color w:val="auto"/>
              </w:rPr>
              <w:t>owners:</w:t>
            </w:r>
          </w:p>
        </w:tc>
        <w:tc>
          <w:tcPr>
            <w:tcW w:w="72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12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22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80" w:type="dxa"/>
            <w:vAlign w:val="bottom"/>
            <w:tcBorders>
              <w:right w:val="single" w:sz="8" w:color="CCEEFF"/>
            </w:tcBorders>
            <w:shd w:val="clear" w:color="auto" w:fill="CCEEFF"/>
          </w:tcPr>
          <w:p>
            <w:pPr>
              <w:spacing w:after="0"/>
              <w:rPr>
                <w:sz w:val="20"/>
                <w:szCs w:val="20"/>
                <w:color w:val="auto"/>
              </w:rPr>
            </w:pPr>
          </w:p>
        </w:tc>
        <w:tc>
          <w:tcPr>
            <w:tcW w:w="92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86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200" w:type="dxa"/>
            <w:vAlign w:val="bottom"/>
            <w:tcBorders>
              <w:right w:val="single" w:sz="8" w:color="CCEEFF"/>
            </w:tcBorders>
            <w:shd w:val="clear" w:color="auto" w:fill="CCEEFF"/>
          </w:tcPr>
          <w:p>
            <w:pPr>
              <w:spacing w:after="0"/>
              <w:rPr>
                <w:sz w:val="20"/>
                <w:szCs w:val="20"/>
                <w:color w:val="auto"/>
              </w:rPr>
            </w:pPr>
          </w:p>
        </w:tc>
        <w:tc>
          <w:tcPr>
            <w:tcW w:w="10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60" w:type="dxa"/>
            <w:vAlign w:val="bottom"/>
          </w:tcPr>
          <w:p>
            <w:pPr>
              <w:spacing w:after="0"/>
              <w:rPr>
                <w:sz w:val="20"/>
                <w:szCs w:val="20"/>
                <w:color w:val="auto"/>
              </w:rPr>
            </w:pPr>
            <w:r>
              <w:rPr>
                <w:rFonts w:ascii="Arial" w:cs="Arial" w:eastAsia="Arial" w:hAnsi="Arial"/>
                <w:sz w:val="18"/>
                <w:szCs w:val="18"/>
                <w:color w:val="auto"/>
              </w:rPr>
              <w:t>Share-based payments</w:t>
            </w:r>
          </w:p>
        </w:tc>
        <w:tc>
          <w:tcPr>
            <w:tcW w:w="7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34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460" w:type="dxa"/>
            <w:vAlign w:val="bottom"/>
            <w:gridSpan w:val="3"/>
          </w:tcPr>
          <w:p>
            <w:pPr>
              <w:jc w:val="right"/>
              <w:ind w:right="260"/>
              <w:spacing w:after="0"/>
              <w:rPr>
                <w:sz w:val="20"/>
                <w:szCs w:val="20"/>
                <w:color w:val="auto"/>
              </w:rPr>
            </w:pPr>
            <w:r>
              <w:rPr>
                <w:rFonts w:ascii="Arial" w:cs="Arial" w:eastAsia="Arial" w:hAnsi="Arial"/>
                <w:sz w:val="18"/>
                <w:szCs w:val="18"/>
                <w:color w:val="auto"/>
              </w:rPr>
              <w:t>—</w:t>
            </w:r>
          </w:p>
        </w:tc>
        <w:tc>
          <w:tcPr>
            <w:tcW w:w="1140" w:type="dxa"/>
            <w:vAlign w:val="bottom"/>
            <w:gridSpan w:val="3"/>
          </w:tcPr>
          <w:p>
            <w:pPr>
              <w:jc w:val="right"/>
              <w:spacing w:after="0"/>
              <w:rPr>
                <w:sz w:val="20"/>
                <w:szCs w:val="20"/>
                <w:color w:val="auto"/>
              </w:rPr>
            </w:pPr>
            <w:r>
              <w:rPr>
                <w:rFonts w:ascii="Arial" w:cs="Arial" w:eastAsia="Arial" w:hAnsi="Arial"/>
                <w:sz w:val="18"/>
                <w:szCs w:val="18"/>
                <w:color w:val="auto"/>
              </w:rPr>
              <w:t>726,855</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gridSpan w:val="3"/>
          </w:tcPr>
          <w:p>
            <w:pPr>
              <w:jc w:val="right"/>
              <w:ind w:right="240"/>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spacing w:after="0"/>
              <w:rPr>
                <w:sz w:val="20"/>
                <w:szCs w:val="20"/>
                <w:color w:val="auto"/>
              </w:rPr>
            </w:pPr>
            <w:r>
              <w:rPr>
                <w:rFonts w:ascii="Arial" w:cs="Arial" w:eastAsia="Arial" w:hAnsi="Arial"/>
                <w:sz w:val="18"/>
                <w:szCs w:val="18"/>
                <w:color w:val="auto"/>
              </w:rPr>
              <w:t>726,855</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60" w:type="dxa"/>
            <w:vAlign w:val="bottom"/>
            <w:shd w:val="clear" w:color="auto" w:fill="CCEEFF"/>
          </w:tcPr>
          <w:p>
            <w:pPr>
              <w:spacing w:after="0"/>
              <w:rPr>
                <w:sz w:val="20"/>
                <w:szCs w:val="20"/>
                <w:color w:val="auto"/>
              </w:rPr>
            </w:pPr>
            <w:r>
              <w:rPr>
                <w:rFonts w:ascii="Arial" w:cs="Arial" w:eastAsia="Arial" w:hAnsi="Arial"/>
                <w:sz w:val="18"/>
                <w:szCs w:val="18"/>
                <w:color w:val="auto"/>
              </w:rPr>
              <w:t>New shares</w:t>
            </w:r>
          </w:p>
        </w:tc>
        <w:tc>
          <w:tcPr>
            <w:tcW w:w="7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17,028,964</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6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80" w:type="dxa"/>
            <w:vAlign w:val="bottom"/>
            <w:tcBorders>
              <w:right w:val="single" w:sz="8" w:color="CCEEFF"/>
            </w:tcBorders>
            <w:shd w:val="clear" w:color="auto" w:fill="CCEEFF"/>
          </w:tcPr>
          <w:p>
            <w:pPr>
              <w:spacing w:after="0"/>
              <w:rPr>
                <w:sz w:val="18"/>
                <w:szCs w:val="18"/>
                <w:color w:val="auto"/>
              </w:rPr>
            </w:pPr>
          </w:p>
        </w:tc>
        <w:tc>
          <w:tcPr>
            <w:tcW w:w="114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17,028,964</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60" w:type="dxa"/>
            <w:vAlign w:val="bottom"/>
          </w:tcPr>
          <w:p>
            <w:pPr>
              <w:spacing w:after="0"/>
              <w:rPr>
                <w:sz w:val="20"/>
                <w:szCs w:val="20"/>
                <w:color w:val="auto"/>
              </w:rPr>
            </w:pPr>
            <w:r>
              <w:rPr>
                <w:rFonts w:ascii="Arial" w:cs="Arial" w:eastAsia="Arial" w:hAnsi="Arial"/>
                <w:sz w:val="18"/>
                <w:szCs w:val="18"/>
                <w:color w:val="auto"/>
              </w:rPr>
              <w:t>Cost of share placement</w:t>
            </w:r>
          </w:p>
        </w:tc>
        <w:tc>
          <w:tcPr>
            <w:tcW w:w="720" w:type="dxa"/>
            <w:vAlign w:val="bottom"/>
          </w:tcPr>
          <w:p>
            <w:pPr>
              <w:spacing w:after="0"/>
              <w:rPr>
                <w:sz w:val="18"/>
                <w:szCs w:val="18"/>
                <w:color w:val="auto"/>
              </w:rPr>
            </w:pPr>
          </w:p>
        </w:tc>
        <w:tc>
          <w:tcPr>
            <w:tcW w:w="1360" w:type="dxa"/>
            <w:vAlign w:val="bottom"/>
            <w:gridSpan w:val="3"/>
          </w:tcPr>
          <w:p>
            <w:pPr>
              <w:jc w:val="right"/>
              <w:ind w:right="160"/>
              <w:spacing w:after="0"/>
              <w:rPr>
                <w:sz w:val="20"/>
                <w:szCs w:val="20"/>
                <w:color w:val="auto"/>
              </w:rPr>
            </w:pPr>
            <w:r>
              <w:rPr>
                <w:rFonts w:ascii="Arial" w:cs="Arial" w:eastAsia="Arial" w:hAnsi="Arial"/>
                <w:sz w:val="18"/>
                <w:szCs w:val="18"/>
                <w:color w:val="auto"/>
              </w:rPr>
              <w:t>(1,048,359)</w:t>
            </w:r>
          </w:p>
        </w:tc>
        <w:tc>
          <w:tcPr>
            <w:tcW w:w="160" w:type="dxa"/>
            <w:vAlign w:val="bottom"/>
          </w:tcPr>
          <w:p>
            <w:pPr>
              <w:spacing w:after="0"/>
              <w:rPr>
                <w:sz w:val="18"/>
                <w:szCs w:val="18"/>
                <w:color w:val="auto"/>
              </w:rPr>
            </w:pPr>
          </w:p>
        </w:tc>
        <w:tc>
          <w:tcPr>
            <w:tcW w:w="1460" w:type="dxa"/>
            <w:vAlign w:val="bottom"/>
            <w:gridSpan w:val="3"/>
          </w:tcPr>
          <w:p>
            <w:pPr>
              <w:jc w:val="right"/>
              <w:ind w:right="26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140" w:type="dxa"/>
            <w:vAlign w:val="bottom"/>
            <w:gridSpan w:val="3"/>
          </w:tcPr>
          <w:p>
            <w:pPr>
              <w:jc w:val="right"/>
              <w:ind w:right="2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gridSpan w:val="3"/>
          </w:tcPr>
          <w:p>
            <w:pPr>
              <w:jc w:val="right"/>
              <w:ind w:right="240"/>
              <w:spacing w:after="0"/>
              <w:rPr>
                <w:sz w:val="20"/>
                <w:szCs w:val="20"/>
                <w:color w:val="auto"/>
              </w:rPr>
            </w:pPr>
            <w:r>
              <w:rPr>
                <w:rFonts w:ascii="Arial" w:cs="Arial" w:eastAsia="Arial" w:hAnsi="Arial"/>
                <w:sz w:val="18"/>
                <w:szCs w:val="18"/>
                <w:color w:val="auto"/>
              </w:rPr>
              <w:t>—</w:t>
            </w:r>
          </w:p>
        </w:tc>
        <w:tc>
          <w:tcPr>
            <w:tcW w:w="1360" w:type="dxa"/>
            <w:vAlign w:val="bottom"/>
            <w:gridSpan w:val="3"/>
          </w:tcPr>
          <w:p>
            <w:pPr>
              <w:jc w:val="right"/>
              <w:ind w:right="60"/>
              <w:spacing w:after="0"/>
              <w:rPr>
                <w:sz w:val="20"/>
                <w:szCs w:val="20"/>
                <w:color w:val="auto"/>
              </w:rPr>
            </w:pPr>
            <w:r>
              <w:rPr>
                <w:rFonts w:ascii="Arial" w:cs="Arial" w:eastAsia="Arial" w:hAnsi="Arial"/>
                <w:sz w:val="18"/>
                <w:szCs w:val="18"/>
                <w:color w:val="auto"/>
              </w:rPr>
              <w:t>(1,048,359)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60" w:type="dxa"/>
            <w:vAlign w:val="bottom"/>
            <w:shd w:val="clear" w:color="auto" w:fill="CCEEFF"/>
          </w:tcPr>
          <w:p>
            <w:pPr>
              <w:spacing w:after="0"/>
              <w:rPr>
                <w:sz w:val="20"/>
                <w:szCs w:val="20"/>
                <w:color w:val="auto"/>
              </w:rPr>
            </w:pPr>
            <w:r>
              <w:rPr>
                <w:rFonts w:ascii="Arial" w:cs="Arial" w:eastAsia="Arial" w:hAnsi="Arial"/>
                <w:sz w:val="18"/>
                <w:szCs w:val="18"/>
                <w:color w:val="auto"/>
              </w:rPr>
              <w:t>Transfer of expired options</w:t>
            </w:r>
          </w:p>
        </w:tc>
        <w:tc>
          <w:tcPr>
            <w:tcW w:w="7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142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141,188</w:t>
            </w:r>
          </w:p>
        </w:tc>
        <w:tc>
          <w:tcPr>
            <w:tcW w:w="200" w:type="dxa"/>
            <w:vAlign w:val="bottom"/>
            <w:shd w:val="clear" w:color="auto" w:fill="CCEEFF"/>
          </w:tcPr>
          <w:p>
            <w:pPr>
              <w:spacing w:after="0"/>
              <w:rPr>
                <w:sz w:val="18"/>
                <w:szCs w:val="18"/>
                <w:color w:val="auto"/>
              </w:rPr>
            </w:pPr>
          </w:p>
        </w:tc>
        <w:tc>
          <w:tcPr>
            <w:tcW w:w="1320" w:type="dxa"/>
            <w:vAlign w:val="bottom"/>
            <w:gridSpan w:val="4"/>
            <w:shd w:val="clear" w:color="auto" w:fill="CCEEFF"/>
          </w:tcPr>
          <w:p>
            <w:pPr>
              <w:jc w:val="right"/>
              <w:ind w:right="120"/>
              <w:spacing w:after="0"/>
              <w:rPr>
                <w:sz w:val="20"/>
                <w:szCs w:val="20"/>
                <w:color w:val="auto"/>
              </w:rPr>
            </w:pPr>
            <w:r>
              <w:rPr>
                <w:rFonts w:ascii="Arial" w:cs="Arial" w:eastAsia="Arial" w:hAnsi="Arial"/>
                <w:sz w:val="18"/>
                <w:szCs w:val="18"/>
                <w:color w:val="auto"/>
              </w:rPr>
              <w:t>(141,188)</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200" w:type="dxa"/>
            <w:vAlign w:val="bottom"/>
            <w:tcBorders>
              <w:right w:val="single" w:sz="8" w:color="CCEEFF"/>
            </w:tcBorders>
            <w:shd w:val="clear" w:color="auto" w:fill="CCEEFF"/>
          </w:tcPr>
          <w:p>
            <w:pPr>
              <w:spacing w:after="0"/>
              <w:rPr>
                <w:sz w:val="18"/>
                <w:szCs w:val="18"/>
                <w:color w:val="auto"/>
              </w:rPr>
            </w:pP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3380" w:type="dxa"/>
            <w:vAlign w:val="bottom"/>
            <w:gridSpan w:val="2"/>
          </w:tcPr>
          <w:p>
            <w:pPr>
              <w:spacing w:after="0"/>
              <w:rPr>
                <w:sz w:val="20"/>
                <w:szCs w:val="20"/>
                <w:color w:val="auto"/>
              </w:rPr>
            </w:pPr>
            <w:r>
              <w:rPr>
                <w:rFonts w:ascii="Arial" w:cs="Arial" w:eastAsia="Arial" w:hAnsi="Arial"/>
                <w:sz w:val="18"/>
                <w:szCs w:val="18"/>
                <w:b w:val="1"/>
                <w:bCs w:val="1"/>
                <w:color w:val="auto"/>
              </w:rPr>
              <w:t>Balance at December 31, 2017</w:t>
            </w:r>
          </w:p>
        </w:tc>
        <w:tc>
          <w:tcPr>
            <w:tcW w:w="72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12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8"/>
                <w:szCs w:val="18"/>
                <w:b w:val="1"/>
                <w:bCs w:val="1"/>
                <w:u w:val="single" w:color="auto"/>
                <w:color w:val="auto"/>
                <w:w w:val="90"/>
              </w:rPr>
              <w:t>A$</w:t>
            </w:r>
            <w:r>
              <w:rPr>
                <w:rFonts w:ascii="Arial" w:cs="Arial" w:eastAsia="Arial" w:hAnsi="Arial"/>
                <w:sz w:val="18"/>
                <w:szCs w:val="18"/>
                <w:b w:val="1"/>
                <w:bCs w:val="1"/>
                <w:color w:val="auto"/>
                <w:w w:val="90"/>
              </w:rPr>
              <w:t>150,786,627</w:t>
            </w: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60" w:type="dxa"/>
            <w:vAlign w:val="bottom"/>
            <w:tcBorders>
              <w:top w:val="single" w:sz="8" w:color="auto"/>
              <w:bottom w:val="single" w:sz="8" w:color="auto"/>
            </w:tcBorders>
            <w:gridSpan w:val="2"/>
          </w:tcPr>
          <w:p>
            <w:pPr>
              <w:jc w:val="center"/>
              <w:spacing w:after="0"/>
              <w:rPr>
                <w:sz w:val="20"/>
                <w:szCs w:val="20"/>
                <w:color w:val="auto"/>
              </w:rPr>
            </w:pPr>
            <w:r>
              <w:rPr>
                <w:rFonts w:ascii="Arial" w:cs="Arial" w:eastAsia="Arial" w:hAnsi="Arial"/>
                <w:sz w:val="18"/>
                <w:szCs w:val="18"/>
                <w:b w:val="1"/>
                <w:bCs w:val="1"/>
                <w:u w:val="single" w:color="auto"/>
                <w:color w:val="auto"/>
                <w:w w:val="91"/>
              </w:rPr>
              <w:t>A$</w:t>
            </w:r>
            <w:r>
              <w:rPr>
                <w:rFonts w:ascii="Arial" w:cs="Arial" w:eastAsia="Arial" w:hAnsi="Arial"/>
                <w:sz w:val="18"/>
                <w:szCs w:val="18"/>
                <w:b w:val="1"/>
                <w:bCs w:val="1"/>
                <w:color w:val="auto"/>
                <w:w w:val="91"/>
              </w:rPr>
              <w:t>(139,327,761</w:t>
            </w:r>
          </w:p>
        </w:tc>
        <w:tc>
          <w:tcPr>
            <w:tcW w:w="200" w:type="dxa"/>
            <w:vAlign w:val="bottom"/>
          </w:tcPr>
          <w:p>
            <w:pPr>
              <w:jc w:val="right"/>
              <w:ind w:right="120"/>
              <w:spacing w:after="0"/>
              <w:rPr>
                <w:sz w:val="20"/>
                <w:szCs w:val="20"/>
                <w:color w:val="auto"/>
              </w:rPr>
            </w:pPr>
            <w:r>
              <w:rPr>
                <w:rFonts w:ascii="Arial" w:cs="Arial" w:eastAsia="Arial" w:hAnsi="Arial"/>
                <w:sz w:val="8"/>
                <w:szCs w:val="8"/>
                <w:b w:val="1"/>
                <w:bCs w:val="1"/>
                <w:color w:val="auto"/>
                <w:w w:val="73"/>
              </w:rPr>
              <w:t>)</w:t>
            </w:r>
          </w:p>
        </w:tc>
        <w:tc>
          <w:tcPr>
            <w:tcW w:w="180" w:type="dxa"/>
            <w:vAlign w:val="bottom"/>
          </w:tcPr>
          <w:p>
            <w:pPr>
              <w:spacing w:after="0"/>
              <w:rPr>
                <w:sz w:val="19"/>
                <w:szCs w:val="19"/>
                <w:color w:val="auto"/>
              </w:rPr>
            </w:pPr>
          </w:p>
        </w:tc>
        <w:tc>
          <w:tcPr>
            <w:tcW w:w="960" w:type="dxa"/>
            <w:vAlign w:val="bottom"/>
            <w:tcBorders>
              <w:top w:val="single" w:sz="8" w:color="auto"/>
              <w:bottom w:val="single" w:sz="8" w:color="auto"/>
            </w:tcBorders>
            <w:gridSpan w:val="2"/>
          </w:tcPr>
          <w:p>
            <w:pPr>
              <w:jc w:val="center"/>
              <w:spacing w:after="0"/>
              <w:rPr>
                <w:sz w:val="20"/>
                <w:szCs w:val="20"/>
                <w:color w:val="auto"/>
              </w:rPr>
            </w:pPr>
            <w:r>
              <w:rPr>
                <w:rFonts w:ascii="Arial" w:cs="Arial" w:eastAsia="Arial" w:hAnsi="Arial"/>
                <w:sz w:val="18"/>
                <w:szCs w:val="18"/>
                <w:b w:val="1"/>
                <w:bCs w:val="1"/>
                <w:u w:val="single" w:color="auto"/>
                <w:color w:val="auto"/>
                <w:w w:val="93"/>
              </w:rPr>
              <w:t>A$</w:t>
            </w:r>
            <w:r>
              <w:rPr>
                <w:rFonts w:ascii="Arial" w:cs="Arial" w:eastAsia="Arial" w:hAnsi="Arial"/>
                <w:sz w:val="18"/>
                <w:szCs w:val="18"/>
                <w:b w:val="1"/>
                <w:bCs w:val="1"/>
                <w:color w:val="auto"/>
                <w:w w:val="93"/>
              </w:rPr>
              <w:t>3,396,846</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80" w:type="dxa"/>
            <w:vAlign w:val="bottom"/>
            <w:tcBorders>
              <w:top w:val="single" w:sz="8" w:color="auto"/>
              <w:bottom w:val="single" w:sz="8" w:color="auto"/>
            </w:tcBorders>
            <w:gridSpan w:val="2"/>
          </w:tcPr>
          <w:p>
            <w:pPr>
              <w:jc w:val="center"/>
              <w:ind w:right="20"/>
              <w:spacing w:after="0"/>
              <w:rPr>
                <w:sz w:val="20"/>
                <w:szCs w:val="20"/>
                <w:color w:val="auto"/>
              </w:rPr>
            </w:pPr>
            <w:r>
              <w:rPr>
                <w:rFonts w:ascii="Arial" w:cs="Arial" w:eastAsia="Arial" w:hAnsi="Arial"/>
                <w:sz w:val="18"/>
                <w:szCs w:val="18"/>
                <w:b w:val="1"/>
                <w:bCs w:val="1"/>
                <w:u w:val="single" w:color="auto"/>
                <w:color w:val="auto"/>
                <w:w w:val="91"/>
              </w:rPr>
              <w:t>A$</w:t>
            </w:r>
            <w:r>
              <w:rPr>
                <w:rFonts w:ascii="Arial" w:cs="Arial" w:eastAsia="Arial" w:hAnsi="Arial"/>
                <w:sz w:val="18"/>
                <w:szCs w:val="18"/>
                <w:b w:val="1"/>
                <w:bCs w:val="1"/>
                <w:color w:val="auto"/>
                <w:w w:val="91"/>
              </w:rPr>
              <w:t>(332,407</w:t>
            </w:r>
          </w:p>
        </w:tc>
        <w:tc>
          <w:tcPr>
            <w:tcW w:w="180" w:type="dxa"/>
            <w:vAlign w:val="bottom"/>
          </w:tcPr>
          <w:p>
            <w:pPr>
              <w:jc w:val="right"/>
              <w:ind w:right="100"/>
              <w:spacing w:after="0"/>
              <w:rPr>
                <w:sz w:val="20"/>
                <w:szCs w:val="20"/>
                <w:color w:val="auto"/>
              </w:rPr>
            </w:pPr>
            <w:r>
              <w:rPr>
                <w:rFonts w:ascii="Arial" w:cs="Arial" w:eastAsia="Arial" w:hAnsi="Arial"/>
                <w:sz w:val="8"/>
                <w:szCs w:val="8"/>
                <w:b w:val="1"/>
                <w:bCs w:val="1"/>
                <w:color w:val="auto"/>
                <w:w w:val="73"/>
              </w:rPr>
              <w:t>)</w:t>
            </w:r>
          </w:p>
        </w:tc>
        <w:tc>
          <w:tcPr>
            <w:tcW w:w="200" w:type="dxa"/>
            <w:vAlign w:val="bottom"/>
          </w:tcPr>
          <w:p>
            <w:pPr>
              <w:spacing w:after="0"/>
              <w:rPr>
                <w:sz w:val="19"/>
                <w:szCs w:val="19"/>
                <w:color w:val="auto"/>
              </w:rPr>
            </w:pP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u w:val="single" w:color="auto"/>
                <w:color w:val="auto"/>
                <w:w w:val="90"/>
              </w:rPr>
              <w:t>A$</w:t>
            </w:r>
            <w:r>
              <w:rPr>
                <w:rFonts w:ascii="Arial" w:cs="Arial" w:eastAsia="Arial" w:hAnsi="Arial"/>
                <w:sz w:val="18"/>
                <w:szCs w:val="18"/>
                <w:b w:val="1"/>
                <w:bCs w:val="1"/>
                <w:color w:val="auto"/>
                <w:w w:val="90"/>
              </w:rPr>
              <w:t>14,523,305</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3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ind w:left="200"/>
        <w:spacing w:after="0"/>
        <w:rPr>
          <w:sz w:val="20"/>
          <w:szCs w:val="20"/>
          <w:color w:val="auto"/>
        </w:rPr>
      </w:pPr>
      <w:r>
        <w:rPr>
          <w:rFonts w:ascii="Arial" w:cs="Arial" w:eastAsia="Arial" w:hAnsi="Arial"/>
          <w:sz w:val="18"/>
          <w:szCs w:val="18"/>
          <w:color w:val="auto"/>
        </w:rPr>
        <w:t>The accompanying notes form part of the condensed consolidated financial statements.</w:t>
      </w:r>
    </w:p>
    <w:p>
      <w:pPr>
        <w:spacing w:after="0" w:line="158" w:lineRule="exact"/>
        <w:rPr>
          <w:sz w:val="20"/>
          <w:szCs w:val="20"/>
          <w:color w:val="auto"/>
        </w:rPr>
      </w:pPr>
    </w:p>
    <w:p>
      <w:pPr>
        <w:ind w:left="5540"/>
        <w:spacing w:after="0"/>
        <w:rPr>
          <w:sz w:val="20"/>
          <w:szCs w:val="20"/>
          <w:color w:val="auto"/>
        </w:rPr>
      </w:pPr>
      <w:r>
        <w:rPr>
          <w:rFonts w:ascii="Arial" w:cs="Arial" w:eastAsia="Arial" w:hAnsi="Arial"/>
          <w:sz w:val="18"/>
          <w:szCs w:val="18"/>
          <w:color w:val="auto"/>
        </w:rPr>
        <w:t>F-56</w:t>
      </w:r>
    </w:p>
    <w:p>
      <w:pPr>
        <w:sectPr>
          <w:pgSz w:w="11900" w:h="16838" w:orient="portrait"/>
          <w:cols w:equalWidth="0" w:num="1">
            <w:col w:w="11240"/>
          </w:cols>
          <w:pgMar w:left="240" w:top="460" w:right="419" w:bottom="1440" w:gutter="0" w:footer="0" w:header="0"/>
        </w:sectPr>
      </w:pPr>
    </w:p>
    <w:bookmarkStart w:id="155" w:name="page156"/>
    <w:bookmarkEnd w:id="15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20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AVITA MEDICAL LIMITED</w:t>
      </w:r>
    </w:p>
    <w:p>
      <w:pPr>
        <w:spacing w:after="0" w:line="27"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NOTES TO THE HALF-YEAR CONDENSED CONSOLIDATED FINANCIAL STATEMENTS</w:t>
      </w:r>
    </w:p>
    <w:p>
      <w:pPr>
        <w:spacing w:after="0" w:line="9"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(IN AUSTRALIAN DOLLARS)</w:t>
      </w:r>
    </w:p>
    <w:p>
      <w:pPr>
        <w:spacing w:after="0" w:line="9"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(UNAUDITED)</w:t>
      </w:r>
    </w:p>
    <w:p>
      <w:pPr>
        <w:spacing w:after="0" w:line="234" w:lineRule="exact"/>
        <w:rPr>
          <w:sz w:val="20"/>
          <w:szCs w:val="20"/>
          <w:color w:val="auto"/>
        </w:rPr>
      </w:pPr>
    </w:p>
    <w:p>
      <w:pPr>
        <w:ind w:left="640" w:hanging="436"/>
        <w:spacing w:after="0"/>
        <w:tabs>
          <w:tab w:leader="none" w:pos="640" w:val="left"/>
        </w:tabs>
        <w:numPr>
          <w:ilvl w:val="0"/>
          <w:numId w:val="194"/>
        </w:numPr>
        <w:rPr>
          <w:rFonts w:ascii="Arial" w:cs="Arial" w:eastAsia="Arial" w:hAnsi="Arial"/>
          <w:sz w:val="18"/>
          <w:szCs w:val="18"/>
          <w:b w:val="1"/>
          <w:bCs w:val="1"/>
          <w:color w:val="auto"/>
        </w:rPr>
      </w:pPr>
      <w:r>
        <w:rPr>
          <w:rFonts w:ascii="Arial" w:cs="Arial" w:eastAsia="Arial" w:hAnsi="Arial"/>
          <w:sz w:val="18"/>
          <w:szCs w:val="18"/>
          <w:b w:val="1"/>
          <w:bCs w:val="1"/>
          <w:color w:val="auto"/>
        </w:rPr>
        <w:t>BASIS OF PREPARATION AND ACCOUNTING POLICIES</w:t>
      </w:r>
    </w:p>
    <w:p>
      <w:pPr>
        <w:spacing w:after="0" w:line="131" w:lineRule="exact"/>
        <w:rPr>
          <w:sz w:val="20"/>
          <w:szCs w:val="20"/>
          <w:color w:val="auto"/>
        </w:rPr>
      </w:pPr>
    </w:p>
    <w:p>
      <w:pPr>
        <w:ind w:left="640" w:hanging="436"/>
        <w:spacing w:after="0"/>
        <w:tabs>
          <w:tab w:leader="none" w:pos="640" w:val="left"/>
        </w:tabs>
        <w:numPr>
          <w:ilvl w:val="0"/>
          <w:numId w:val="195"/>
        </w:numPr>
        <w:rPr>
          <w:rFonts w:ascii="Arial" w:cs="Arial" w:eastAsia="Arial" w:hAnsi="Arial"/>
          <w:sz w:val="18"/>
          <w:szCs w:val="18"/>
          <w:b w:val="1"/>
          <w:bCs w:val="1"/>
          <w:color w:val="auto"/>
        </w:rPr>
      </w:pPr>
      <w:r>
        <w:rPr>
          <w:rFonts w:ascii="Arial" w:cs="Arial" w:eastAsia="Arial" w:hAnsi="Arial"/>
          <w:sz w:val="18"/>
          <w:szCs w:val="18"/>
          <w:b w:val="1"/>
          <w:bCs w:val="1"/>
          <w:color w:val="auto"/>
        </w:rPr>
        <w:t>Basis of preparation</w:t>
      </w:r>
    </w:p>
    <w:p>
      <w:pPr>
        <w:spacing w:after="0" w:line="121" w:lineRule="exact"/>
        <w:rPr>
          <w:sz w:val="20"/>
          <w:szCs w:val="20"/>
          <w:color w:val="auto"/>
        </w:rPr>
      </w:pPr>
    </w:p>
    <w:p>
      <w:pPr>
        <w:ind w:left="200" w:right="220"/>
        <w:spacing w:after="0" w:line="264" w:lineRule="auto"/>
        <w:rPr>
          <w:sz w:val="20"/>
          <w:szCs w:val="20"/>
          <w:color w:val="auto"/>
        </w:rPr>
      </w:pPr>
      <w:r>
        <w:rPr>
          <w:rFonts w:ascii="Arial" w:cs="Arial" w:eastAsia="Arial" w:hAnsi="Arial"/>
          <w:sz w:val="18"/>
          <w:szCs w:val="18"/>
          <w:color w:val="auto"/>
        </w:rPr>
        <w:t>This general purpose condensed financial report for the half-year ended December 31, 2018 has been prepared in accordance with International Accounting Standards Board (IASB). The Company is a for-profit entity for financial reporting purposes under Australian Accounting Standards. The Parent Company’s functional and presentation currency is AUD ($).</w:t>
      </w:r>
    </w:p>
    <w:p>
      <w:pPr>
        <w:spacing w:after="0" w:line="181" w:lineRule="exact"/>
        <w:rPr>
          <w:sz w:val="20"/>
          <w:szCs w:val="20"/>
          <w:color w:val="auto"/>
        </w:rPr>
      </w:pPr>
    </w:p>
    <w:p>
      <w:pPr>
        <w:ind w:left="200" w:right="240"/>
        <w:spacing w:after="0" w:line="264" w:lineRule="auto"/>
        <w:rPr>
          <w:sz w:val="20"/>
          <w:szCs w:val="20"/>
          <w:color w:val="auto"/>
        </w:rPr>
      </w:pPr>
      <w:r>
        <w:rPr>
          <w:rFonts w:ascii="Arial" w:cs="Arial" w:eastAsia="Arial" w:hAnsi="Arial"/>
          <w:sz w:val="18"/>
          <w:szCs w:val="18"/>
          <w:color w:val="auto"/>
        </w:rPr>
        <w:t>This half-year financial report does not include all notes of the type normally included within the annual financial report and therefore cannot be expected to provide as full an understanding of the financial performance, financial position and financing and investing activities of the consolidated entity as the full financial report.</w:t>
      </w:r>
    </w:p>
    <w:p>
      <w:pPr>
        <w:spacing w:after="0" w:line="181" w:lineRule="exact"/>
        <w:rPr>
          <w:sz w:val="20"/>
          <w:szCs w:val="20"/>
          <w:color w:val="auto"/>
        </w:rPr>
      </w:pPr>
    </w:p>
    <w:p>
      <w:pPr>
        <w:ind w:left="200" w:right="320"/>
        <w:spacing w:after="0" w:line="264" w:lineRule="auto"/>
        <w:rPr>
          <w:sz w:val="20"/>
          <w:szCs w:val="20"/>
          <w:color w:val="auto"/>
        </w:rPr>
      </w:pPr>
      <w:r>
        <w:rPr>
          <w:rFonts w:ascii="Arial" w:cs="Arial" w:eastAsia="Arial" w:hAnsi="Arial"/>
          <w:sz w:val="18"/>
          <w:szCs w:val="18"/>
          <w:color w:val="auto"/>
        </w:rPr>
        <w:t xml:space="preserve">It is recommended that the half-year financial report be read in conjunction with the annual report for the year ended June 30, 2018 and considered together with any subsequent public announcements made by Avita Medical Limited in accordance with the continuous disclosure obligations of the </w:t>
      </w:r>
      <w:r>
        <w:rPr>
          <w:rFonts w:ascii="Arial" w:cs="Arial" w:eastAsia="Arial" w:hAnsi="Arial"/>
          <w:sz w:val="18"/>
          <w:szCs w:val="18"/>
          <w:i w:val="1"/>
          <w:iCs w:val="1"/>
          <w:color w:val="auto"/>
        </w:rPr>
        <w:t>ASX listing rules</w:t>
      </w:r>
      <w:r>
        <w:rPr>
          <w:rFonts w:ascii="Arial" w:cs="Arial" w:eastAsia="Arial" w:hAnsi="Arial"/>
          <w:sz w:val="18"/>
          <w:szCs w:val="18"/>
          <w:color w:val="auto"/>
        </w:rPr>
        <w:t>.</w:t>
      </w:r>
    </w:p>
    <w:p>
      <w:pPr>
        <w:spacing w:after="0" w:line="181" w:lineRule="exact"/>
        <w:rPr>
          <w:sz w:val="20"/>
          <w:szCs w:val="20"/>
          <w:color w:val="auto"/>
        </w:rPr>
      </w:pPr>
    </w:p>
    <w:p>
      <w:pPr>
        <w:jc w:val="both"/>
        <w:ind w:left="200" w:right="80"/>
        <w:spacing w:after="0" w:line="264" w:lineRule="auto"/>
        <w:rPr>
          <w:sz w:val="20"/>
          <w:szCs w:val="20"/>
          <w:color w:val="auto"/>
        </w:rPr>
      </w:pPr>
      <w:r>
        <w:rPr>
          <w:rFonts w:ascii="Arial" w:cs="Arial" w:eastAsia="Arial" w:hAnsi="Arial"/>
          <w:sz w:val="18"/>
          <w:szCs w:val="18"/>
          <w:color w:val="auto"/>
        </w:rPr>
        <w:t>This financial report has been prepared on the going concern basis. The accounting policies have been applied consistently throughout the Company for the purposes of preparation of these interim financial statements. Certain items on the Consolidated Financial Statements and notes for the prior periods have been reclassified to conform to the current period presentation.</w:t>
      </w:r>
    </w:p>
    <w:p>
      <w:pPr>
        <w:spacing w:after="0" w:line="326" w:lineRule="exact"/>
        <w:rPr>
          <w:sz w:val="20"/>
          <w:szCs w:val="20"/>
          <w:color w:val="auto"/>
        </w:rPr>
      </w:pPr>
    </w:p>
    <w:p>
      <w:pPr>
        <w:ind w:left="640" w:hanging="436"/>
        <w:spacing w:after="0"/>
        <w:tabs>
          <w:tab w:leader="none" w:pos="640" w:val="left"/>
        </w:tabs>
        <w:numPr>
          <w:ilvl w:val="0"/>
          <w:numId w:val="196"/>
        </w:numPr>
        <w:rPr>
          <w:rFonts w:ascii="Arial" w:cs="Arial" w:eastAsia="Arial" w:hAnsi="Arial"/>
          <w:sz w:val="18"/>
          <w:szCs w:val="18"/>
          <w:b w:val="1"/>
          <w:bCs w:val="1"/>
          <w:color w:val="auto"/>
        </w:rPr>
      </w:pPr>
      <w:r>
        <w:rPr>
          <w:rFonts w:ascii="Arial" w:cs="Arial" w:eastAsia="Arial" w:hAnsi="Arial"/>
          <w:sz w:val="18"/>
          <w:szCs w:val="18"/>
          <w:b w:val="1"/>
          <w:bCs w:val="1"/>
          <w:color w:val="auto"/>
        </w:rPr>
        <w:t>Changes in accounting policy</w:t>
      </w:r>
    </w:p>
    <w:p>
      <w:pPr>
        <w:spacing w:after="0" w:line="121" w:lineRule="exact"/>
        <w:rPr>
          <w:sz w:val="20"/>
          <w:szCs w:val="20"/>
          <w:color w:val="auto"/>
        </w:rPr>
      </w:pPr>
    </w:p>
    <w:p>
      <w:pPr>
        <w:ind w:left="200" w:right="180"/>
        <w:spacing w:after="0" w:line="259" w:lineRule="auto"/>
        <w:rPr>
          <w:sz w:val="20"/>
          <w:szCs w:val="20"/>
          <w:color w:val="auto"/>
        </w:rPr>
      </w:pPr>
      <w:r>
        <w:rPr>
          <w:rFonts w:ascii="Arial" w:cs="Arial" w:eastAsia="Arial" w:hAnsi="Arial"/>
          <w:sz w:val="18"/>
          <w:szCs w:val="18"/>
          <w:color w:val="auto"/>
        </w:rPr>
        <w:t>The interim financial statements have been prepared in accordance with the same accounting policies adopted in the Company’s last annual financial statements for the year ended June 30, 2018, except as described below. Note that the changes in accounting policies specified below only apply to the current period. The accounting policies included in the Company’s last annual financial statements for the year ended June 30, 2018 are the relevant policies for the purposes of comparatives.</w:t>
      </w:r>
    </w:p>
    <w:p>
      <w:pPr>
        <w:spacing w:after="0" w:line="187" w:lineRule="exact"/>
        <w:rPr>
          <w:sz w:val="20"/>
          <w:szCs w:val="20"/>
          <w:color w:val="auto"/>
        </w:rPr>
      </w:pPr>
    </w:p>
    <w:p>
      <w:pPr>
        <w:ind w:left="200" w:right="200"/>
        <w:spacing w:after="0" w:line="264" w:lineRule="auto"/>
        <w:rPr>
          <w:sz w:val="20"/>
          <w:szCs w:val="20"/>
          <w:color w:val="auto"/>
        </w:rPr>
      </w:pPr>
      <w:r>
        <w:rPr>
          <w:rFonts w:ascii="Arial" w:cs="Arial" w:eastAsia="Arial" w:hAnsi="Arial"/>
          <w:sz w:val="18"/>
          <w:szCs w:val="18"/>
          <w:color w:val="auto"/>
        </w:rPr>
        <w:t>IFRS 15 Revenue from Contracts with Customers and IFRS 9 Financial Instruments (2014) became effective for periods beginning on or after January 1, 2018. Accordingly, the Company applied IFRS 15 and IFRS 9 for the interim period ended December 31, 2018. Changes to the Company’s accounting policies arising from these standards are summarized below:</w:t>
      </w:r>
    </w:p>
    <w:p>
      <w:pPr>
        <w:spacing w:after="0" w:line="28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IFRS 9 Financial Instruments</w:t>
      </w:r>
    </w:p>
    <w:p>
      <w:pPr>
        <w:spacing w:after="0" w:line="121" w:lineRule="exact"/>
        <w:rPr>
          <w:sz w:val="20"/>
          <w:szCs w:val="20"/>
          <w:color w:val="auto"/>
        </w:rPr>
      </w:pPr>
    </w:p>
    <w:p>
      <w:pPr>
        <w:ind w:left="200" w:right="180"/>
        <w:spacing w:after="0" w:line="264" w:lineRule="auto"/>
        <w:rPr>
          <w:sz w:val="20"/>
          <w:szCs w:val="20"/>
          <w:color w:val="auto"/>
        </w:rPr>
      </w:pPr>
      <w:r>
        <w:rPr>
          <w:rFonts w:ascii="Arial" w:cs="Arial" w:eastAsia="Arial" w:hAnsi="Arial"/>
          <w:sz w:val="18"/>
          <w:szCs w:val="18"/>
          <w:color w:val="auto"/>
        </w:rPr>
        <w:t>IFRS 9 Financial Instruments replaces IAS 39 Financial Instruments: Recognition and Measurement requirements. It makes major changes to the previous guidance on the classification and measurement of financial assets and introduces an ‘expected credit loss’ model for impairment of financial assets.</w:t>
      </w:r>
    </w:p>
    <w:p>
      <w:pPr>
        <w:spacing w:after="0" w:line="181" w:lineRule="exact"/>
        <w:rPr>
          <w:sz w:val="20"/>
          <w:szCs w:val="20"/>
          <w:color w:val="auto"/>
        </w:rPr>
      </w:pPr>
    </w:p>
    <w:p>
      <w:pPr>
        <w:ind w:left="200" w:right="500"/>
        <w:spacing w:after="0" w:line="277" w:lineRule="auto"/>
        <w:rPr>
          <w:sz w:val="20"/>
          <w:szCs w:val="20"/>
          <w:color w:val="auto"/>
        </w:rPr>
      </w:pPr>
      <w:r>
        <w:rPr>
          <w:rFonts w:ascii="Arial" w:cs="Arial" w:eastAsia="Arial" w:hAnsi="Arial"/>
          <w:sz w:val="18"/>
          <w:szCs w:val="18"/>
          <w:color w:val="auto"/>
        </w:rPr>
        <w:t>The adoption of this standard has no impact on the current or previous reporting period and as such there have been no adjustments to the opening balance of retained earnings.</w:t>
      </w:r>
    </w:p>
    <w:p>
      <w:pPr>
        <w:spacing w:after="0" w:line="27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IFRS 15 – Revenue from contracts with customers</w:t>
      </w:r>
    </w:p>
    <w:p>
      <w:pPr>
        <w:spacing w:after="0" w:line="121" w:lineRule="exact"/>
        <w:rPr>
          <w:sz w:val="20"/>
          <w:szCs w:val="20"/>
          <w:color w:val="auto"/>
        </w:rPr>
      </w:pPr>
    </w:p>
    <w:p>
      <w:pPr>
        <w:ind w:left="200"/>
        <w:spacing w:after="0" w:line="277" w:lineRule="auto"/>
        <w:rPr>
          <w:sz w:val="20"/>
          <w:szCs w:val="20"/>
          <w:color w:val="auto"/>
        </w:rPr>
      </w:pPr>
      <w:r>
        <w:rPr>
          <w:rFonts w:ascii="Arial" w:cs="Arial" w:eastAsia="Arial" w:hAnsi="Arial"/>
          <w:sz w:val="18"/>
          <w:szCs w:val="18"/>
          <w:color w:val="auto"/>
        </w:rPr>
        <w:t>Revenue is comprised mainly from funding from BARDA and from the sale of goods. To determine whether to recognize revenue, the Company follows a five-step process:</w:t>
      </w:r>
    </w:p>
    <w:p>
      <w:pPr>
        <w:spacing w:after="0" w:line="76" w:lineRule="exact"/>
        <w:rPr>
          <w:sz w:val="20"/>
          <w:szCs w:val="20"/>
          <w:color w:val="auto"/>
        </w:rPr>
      </w:pPr>
    </w:p>
    <w:p>
      <w:pPr>
        <w:ind w:left="1180" w:hanging="544"/>
        <w:spacing w:after="0"/>
        <w:tabs>
          <w:tab w:leader="none" w:pos="1180" w:val="left"/>
        </w:tabs>
        <w:numPr>
          <w:ilvl w:val="0"/>
          <w:numId w:val="197"/>
        </w:numPr>
        <w:rPr>
          <w:rFonts w:ascii="Arial" w:cs="Arial" w:eastAsia="Arial" w:hAnsi="Arial"/>
          <w:sz w:val="18"/>
          <w:szCs w:val="18"/>
          <w:color w:val="auto"/>
        </w:rPr>
      </w:pPr>
      <w:r>
        <w:rPr>
          <w:rFonts w:ascii="Arial" w:cs="Arial" w:eastAsia="Arial" w:hAnsi="Arial"/>
          <w:sz w:val="18"/>
          <w:szCs w:val="18"/>
          <w:color w:val="auto"/>
        </w:rPr>
        <w:t>Identifying the contract with a customer,</w:t>
      </w:r>
    </w:p>
    <w:p>
      <w:pPr>
        <w:spacing w:after="0" w:line="158"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F-57</w:t>
      </w:r>
    </w:p>
    <w:p>
      <w:pPr>
        <w:sectPr>
          <w:pgSz w:w="11900" w:h="16838" w:orient="portrait"/>
          <w:cols w:equalWidth="0" w:num="1">
            <w:col w:w="11220"/>
          </w:cols>
          <w:pgMar w:left="240" w:top="459" w:right="439" w:bottom="1440" w:gutter="0" w:footer="0" w:header="0"/>
        </w:sectPr>
      </w:pPr>
    </w:p>
    <w:bookmarkStart w:id="156" w:name="page157"/>
    <w:bookmarkEnd w:id="15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20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259"/>
        <w:spacing w:after="0"/>
        <w:rPr>
          <w:sz w:val="20"/>
          <w:szCs w:val="20"/>
          <w:color w:val="auto"/>
        </w:rPr>
      </w:pPr>
      <w:r>
        <w:rPr>
          <w:rFonts w:ascii="Arial" w:cs="Arial" w:eastAsia="Arial" w:hAnsi="Arial"/>
          <w:sz w:val="18"/>
          <w:szCs w:val="18"/>
          <w:b w:val="1"/>
          <w:bCs w:val="1"/>
          <w:color w:val="auto"/>
        </w:rPr>
        <w:t>AVITA MEDICAL LIMITED</w:t>
      </w:r>
    </w:p>
    <w:p>
      <w:pPr>
        <w:spacing w:after="0" w:line="27" w:lineRule="exact"/>
        <w:rPr>
          <w:sz w:val="20"/>
          <w:szCs w:val="20"/>
          <w:color w:val="auto"/>
        </w:rPr>
      </w:pPr>
    </w:p>
    <w:p>
      <w:pPr>
        <w:jc w:val="center"/>
        <w:ind w:right="-259"/>
        <w:spacing w:after="0"/>
        <w:rPr>
          <w:sz w:val="20"/>
          <w:szCs w:val="20"/>
          <w:color w:val="auto"/>
        </w:rPr>
      </w:pPr>
      <w:r>
        <w:rPr>
          <w:rFonts w:ascii="Arial" w:cs="Arial" w:eastAsia="Arial" w:hAnsi="Arial"/>
          <w:sz w:val="18"/>
          <w:szCs w:val="18"/>
          <w:b w:val="1"/>
          <w:bCs w:val="1"/>
          <w:color w:val="auto"/>
        </w:rPr>
        <w:t>NOTES TO THE HALF-YEAR CONDENSED CONSOLIDATED FINANCIAL STATEMENTS</w:t>
      </w:r>
    </w:p>
    <w:p>
      <w:pPr>
        <w:spacing w:after="0" w:line="9" w:lineRule="exact"/>
        <w:rPr>
          <w:sz w:val="20"/>
          <w:szCs w:val="20"/>
          <w:color w:val="auto"/>
        </w:rPr>
      </w:pPr>
    </w:p>
    <w:p>
      <w:pPr>
        <w:jc w:val="center"/>
        <w:ind w:right="-259"/>
        <w:spacing w:after="0"/>
        <w:rPr>
          <w:sz w:val="20"/>
          <w:szCs w:val="20"/>
          <w:color w:val="auto"/>
        </w:rPr>
      </w:pPr>
      <w:r>
        <w:rPr>
          <w:rFonts w:ascii="Arial" w:cs="Arial" w:eastAsia="Arial" w:hAnsi="Arial"/>
          <w:sz w:val="18"/>
          <w:szCs w:val="18"/>
          <w:b w:val="1"/>
          <w:bCs w:val="1"/>
          <w:color w:val="auto"/>
        </w:rPr>
        <w:t>(IN AUSTRALIAN DOLLARS)</w:t>
      </w:r>
    </w:p>
    <w:p>
      <w:pPr>
        <w:spacing w:after="0" w:line="9" w:lineRule="exact"/>
        <w:rPr>
          <w:sz w:val="20"/>
          <w:szCs w:val="20"/>
          <w:color w:val="auto"/>
        </w:rPr>
      </w:pPr>
    </w:p>
    <w:p>
      <w:pPr>
        <w:jc w:val="center"/>
        <w:ind w:right="-259"/>
        <w:spacing w:after="0"/>
        <w:rPr>
          <w:sz w:val="20"/>
          <w:szCs w:val="20"/>
          <w:color w:val="auto"/>
        </w:rPr>
      </w:pPr>
      <w:r>
        <w:rPr>
          <w:rFonts w:ascii="Arial" w:cs="Arial" w:eastAsia="Arial" w:hAnsi="Arial"/>
          <w:sz w:val="18"/>
          <w:szCs w:val="18"/>
          <w:b w:val="1"/>
          <w:bCs w:val="1"/>
          <w:color w:val="auto"/>
        </w:rPr>
        <w:t>(UNAUDITED)</w:t>
      </w:r>
    </w:p>
    <w:p>
      <w:pPr>
        <w:spacing w:after="0" w:line="234" w:lineRule="exact"/>
        <w:rPr>
          <w:sz w:val="20"/>
          <w:szCs w:val="20"/>
          <w:color w:val="auto"/>
        </w:rPr>
      </w:pPr>
    </w:p>
    <w:p>
      <w:pPr>
        <w:ind w:left="640" w:hanging="436"/>
        <w:spacing w:after="0"/>
        <w:tabs>
          <w:tab w:leader="none" w:pos="640" w:val="left"/>
        </w:tabs>
        <w:numPr>
          <w:ilvl w:val="0"/>
          <w:numId w:val="198"/>
        </w:numPr>
        <w:rPr>
          <w:rFonts w:ascii="Arial" w:cs="Arial" w:eastAsia="Arial" w:hAnsi="Arial"/>
          <w:sz w:val="18"/>
          <w:szCs w:val="18"/>
          <w:b w:val="1"/>
          <w:bCs w:val="1"/>
          <w:color w:val="auto"/>
        </w:rPr>
      </w:pPr>
      <w:r>
        <w:rPr>
          <w:rFonts w:ascii="Arial" w:cs="Arial" w:eastAsia="Arial" w:hAnsi="Arial"/>
          <w:sz w:val="18"/>
          <w:szCs w:val="18"/>
          <w:b w:val="1"/>
          <w:bCs w:val="1"/>
          <w:color w:val="auto"/>
        </w:rPr>
        <w:t>BASIS OF PREPARATION AND ACCOUNTING POLICIES (CONTINUED)</w:t>
      </w:r>
    </w:p>
    <w:p>
      <w:pPr>
        <w:spacing w:after="0" w:line="131" w:lineRule="exact"/>
        <w:rPr>
          <w:sz w:val="20"/>
          <w:szCs w:val="20"/>
          <w:color w:val="auto"/>
        </w:rPr>
      </w:pPr>
    </w:p>
    <w:p>
      <w:pPr>
        <w:ind w:left="640" w:hanging="436"/>
        <w:spacing w:after="0"/>
        <w:tabs>
          <w:tab w:leader="none" w:pos="640" w:val="left"/>
        </w:tabs>
        <w:numPr>
          <w:ilvl w:val="0"/>
          <w:numId w:val="199"/>
        </w:numPr>
        <w:rPr>
          <w:rFonts w:ascii="Arial" w:cs="Arial" w:eastAsia="Arial" w:hAnsi="Arial"/>
          <w:sz w:val="18"/>
          <w:szCs w:val="18"/>
          <w:b w:val="1"/>
          <w:bCs w:val="1"/>
          <w:color w:val="auto"/>
        </w:rPr>
      </w:pPr>
      <w:r>
        <w:rPr>
          <w:rFonts w:ascii="Arial" w:cs="Arial" w:eastAsia="Arial" w:hAnsi="Arial"/>
          <w:sz w:val="18"/>
          <w:szCs w:val="18"/>
          <w:b w:val="1"/>
          <w:bCs w:val="1"/>
          <w:color w:val="auto"/>
        </w:rPr>
        <w:t>Changes in accounting policy (continued)</w:t>
      </w:r>
    </w:p>
    <w:p>
      <w:pPr>
        <w:spacing w:after="0" w:line="134" w:lineRule="exact"/>
        <w:rPr>
          <w:rFonts w:ascii="Arial" w:cs="Arial" w:eastAsia="Arial" w:hAnsi="Arial"/>
          <w:sz w:val="18"/>
          <w:szCs w:val="18"/>
          <w:b w:val="1"/>
          <w:bCs w:val="1"/>
          <w:color w:val="auto"/>
        </w:rPr>
      </w:pPr>
    </w:p>
    <w:p>
      <w:pPr>
        <w:ind w:left="1180" w:hanging="544"/>
        <w:spacing w:after="0"/>
        <w:tabs>
          <w:tab w:leader="none" w:pos="1180" w:val="left"/>
        </w:tabs>
        <w:numPr>
          <w:ilvl w:val="1"/>
          <w:numId w:val="199"/>
        </w:numPr>
        <w:rPr>
          <w:rFonts w:ascii="Arial" w:cs="Arial" w:eastAsia="Arial" w:hAnsi="Arial"/>
          <w:sz w:val="18"/>
          <w:szCs w:val="18"/>
          <w:color w:val="auto"/>
        </w:rPr>
      </w:pPr>
      <w:r>
        <w:rPr>
          <w:rFonts w:ascii="Arial" w:cs="Arial" w:eastAsia="Arial" w:hAnsi="Arial"/>
          <w:sz w:val="18"/>
          <w:szCs w:val="18"/>
          <w:color w:val="auto"/>
        </w:rPr>
        <w:t>Identifying the performance obligations,</w:t>
      </w:r>
    </w:p>
    <w:p>
      <w:pPr>
        <w:spacing w:after="0" w:line="130" w:lineRule="exact"/>
        <w:rPr>
          <w:rFonts w:ascii="Arial" w:cs="Arial" w:eastAsia="Arial" w:hAnsi="Arial"/>
          <w:sz w:val="18"/>
          <w:szCs w:val="18"/>
          <w:color w:val="auto"/>
        </w:rPr>
      </w:pPr>
    </w:p>
    <w:p>
      <w:pPr>
        <w:ind w:left="1180" w:hanging="544"/>
        <w:spacing w:after="0"/>
        <w:tabs>
          <w:tab w:leader="none" w:pos="1180" w:val="left"/>
        </w:tabs>
        <w:numPr>
          <w:ilvl w:val="1"/>
          <w:numId w:val="199"/>
        </w:numPr>
        <w:rPr>
          <w:rFonts w:ascii="Arial" w:cs="Arial" w:eastAsia="Arial" w:hAnsi="Arial"/>
          <w:sz w:val="18"/>
          <w:szCs w:val="18"/>
          <w:color w:val="auto"/>
        </w:rPr>
      </w:pPr>
      <w:r>
        <w:rPr>
          <w:rFonts w:ascii="Arial" w:cs="Arial" w:eastAsia="Arial" w:hAnsi="Arial"/>
          <w:sz w:val="18"/>
          <w:szCs w:val="18"/>
          <w:color w:val="auto"/>
        </w:rPr>
        <w:t>Determining the transaction price,</w:t>
      </w:r>
    </w:p>
    <w:p>
      <w:pPr>
        <w:spacing w:after="0" w:line="130" w:lineRule="exact"/>
        <w:rPr>
          <w:rFonts w:ascii="Arial" w:cs="Arial" w:eastAsia="Arial" w:hAnsi="Arial"/>
          <w:sz w:val="18"/>
          <w:szCs w:val="18"/>
          <w:color w:val="auto"/>
        </w:rPr>
      </w:pPr>
    </w:p>
    <w:p>
      <w:pPr>
        <w:ind w:left="1180" w:hanging="544"/>
        <w:spacing w:after="0"/>
        <w:tabs>
          <w:tab w:leader="none" w:pos="1180" w:val="left"/>
        </w:tabs>
        <w:numPr>
          <w:ilvl w:val="1"/>
          <w:numId w:val="199"/>
        </w:numPr>
        <w:rPr>
          <w:rFonts w:ascii="Arial" w:cs="Arial" w:eastAsia="Arial" w:hAnsi="Arial"/>
          <w:sz w:val="18"/>
          <w:szCs w:val="18"/>
          <w:color w:val="auto"/>
        </w:rPr>
      </w:pPr>
      <w:r>
        <w:rPr>
          <w:rFonts w:ascii="Arial" w:cs="Arial" w:eastAsia="Arial" w:hAnsi="Arial"/>
          <w:sz w:val="18"/>
          <w:szCs w:val="18"/>
          <w:color w:val="auto"/>
        </w:rPr>
        <w:t>Allocating the transaction price to the performance obligation,</w:t>
      </w:r>
    </w:p>
    <w:p>
      <w:pPr>
        <w:spacing w:after="0" w:line="130" w:lineRule="exact"/>
        <w:rPr>
          <w:rFonts w:ascii="Arial" w:cs="Arial" w:eastAsia="Arial" w:hAnsi="Arial"/>
          <w:sz w:val="18"/>
          <w:szCs w:val="18"/>
          <w:color w:val="auto"/>
        </w:rPr>
      </w:pPr>
    </w:p>
    <w:p>
      <w:pPr>
        <w:ind w:left="1180" w:hanging="544"/>
        <w:spacing w:after="0"/>
        <w:tabs>
          <w:tab w:leader="none" w:pos="1180" w:val="left"/>
        </w:tabs>
        <w:numPr>
          <w:ilvl w:val="1"/>
          <w:numId w:val="199"/>
        </w:numPr>
        <w:rPr>
          <w:rFonts w:ascii="Arial" w:cs="Arial" w:eastAsia="Arial" w:hAnsi="Arial"/>
          <w:sz w:val="18"/>
          <w:szCs w:val="18"/>
          <w:color w:val="auto"/>
        </w:rPr>
      </w:pPr>
      <w:r>
        <w:rPr>
          <w:rFonts w:ascii="Arial" w:cs="Arial" w:eastAsia="Arial" w:hAnsi="Arial"/>
          <w:sz w:val="18"/>
          <w:szCs w:val="18"/>
          <w:color w:val="auto"/>
        </w:rPr>
        <w:t>Recognizing revenue when performance obligation is satisfied.</w:t>
      </w:r>
    </w:p>
    <w:p>
      <w:pPr>
        <w:spacing w:after="0" w:line="225" w:lineRule="exact"/>
        <w:rPr>
          <w:sz w:val="20"/>
          <w:szCs w:val="20"/>
          <w:color w:val="auto"/>
        </w:rPr>
      </w:pPr>
    </w:p>
    <w:p>
      <w:pPr>
        <w:ind w:left="200" w:right="200"/>
        <w:spacing w:after="0" w:line="276" w:lineRule="auto"/>
        <w:rPr>
          <w:sz w:val="20"/>
          <w:szCs w:val="20"/>
          <w:color w:val="auto"/>
        </w:rPr>
      </w:pPr>
      <w:r>
        <w:rPr>
          <w:rFonts w:ascii="Arial" w:cs="Arial" w:eastAsia="Arial" w:hAnsi="Arial"/>
          <w:sz w:val="17"/>
          <w:szCs w:val="17"/>
          <w:color w:val="auto"/>
        </w:rPr>
        <w:t>Revenue from the sales of goods is recognized at a point in time, when the Company satisfies performance obligations by transferring the promised goods to its customers. The Company recognizes contract liabilities for consideration received in respect of unsatisfied performance obligations and reports these amounts as other liabilities in the statement of financial position. Similarly, if the Company satisfies a performance obligation before it receives the consideration, the Company recognizes either a contract asset or a receivable in its statement of financial position, depending on whether something other than the passage of time is required before the consideration is due.</w:t>
      </w:r>
    </w:p>
    <w:p>
      <w:pPr>
        <w:spacing w:after="0" w:line="173" w:lineRule="exact"/>
        <w:rPr>
          <w:sz w:val="20"/>
          <w:szCs w:val="20"/>
          <w:color w:val="auto"/>
        </w:rPr>
      </w:pPr>
    </w:p>
    <w:p>
      <w:pPr>
        <w:ind w:left="200" w:right="440"/>
        <w:spacing w:after="0" w:line="277" w:lineRule="auto"/>
        <w:rPr>
          <w:sz w:val="20"/>
          <w:szCs w:val="20"/>
          <w:color w:val="auto"/>
        </w:rPr>
      </w:pPr>
      <w:r>
        <w:rPr>
          <w:rFonts w:ascii="Arial" w:cs="Arial" w:eastAsia="Arial" w:hAnsi="Arial"/>
          <w:sz w:val="18"/>
          <w:szCs w:val="18"/>
          <w:color w:val="auto"/>
        </w:rPr>
        <w:t>The adoption of this standard has no impact on the current or previous reporting period and as such there have been no adjustments to the opening balance of retained earnings.</w:t>
      </w:r>
    </w:p>
    <w:p>
      <w:pPr>
        <w:spacing w:after="0" w:line="27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Accounting Standards issued but not yet effective and not been adopted early by the Company</w:t>
      </w:r>
    </w:p>
    <w:p>
      <w:pPr>
        <w:spacing w:after="0" w:line="117"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IFRS 16 Leases</w:t>
      </w:r>
    </w:p>
    <w:p>
      <w:pPr>
        <w:spacing w:after="0" w:line="121"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IFRS 16:</w:t>
      </w:r>
    </w:p>
    <w:p>
      <w:pPr>
        <w:spacing w:after="0" w:line="131" w:lineRule="exact"/>
        <w:rPr>
          <w:sz w:val="20"/>
          <w:szCs w:val="20"/>
          <w:color w:val="auto"/>
        </w:rPr>
      </w:pPr>
    </w:p>
    <w:p>
      <w:pPr>
        <w:ind w:left="1180" w:hanging="436"/>
        <w:spacing w:after="0"/>
        <w:tabs>
          <w:tab w:leader="none" w:pos="1180" w:val="left"/>
        </w:tabs>
        <w:numPr>
          <w:ilvl w:val="0"/>
          <w:numId w:val="200"/>
        </w:numPr>
        <w:rPr>
          <w:rFonts w:ascii="Arial" w:cs="Arial" w:eastAsia="Arial" w:hAnsi="Arial"/>
          <w:sz w:val="18"/>
          <w:szCs w:val="18"/>
          <w:color w:val="auto"/>
        </w:rPr>
      </w:pPr>
      <w:r>
        <w:rPr>
          <w:rFonts w:ascii="Arial" w:cs="Arial" w:eastAsia="Arial" w:hAnsi="Arial"/>
          <w:sz w:val="18"/>
          <w:szCs w:val="18"/>
          <w:color w:val="auto"/>
        </w:rPr>
        <w:t>replaces IAS 17 Leases and some lease-related Interpretations,</w:t>
      </w:r>
    </w:p>
    <w:p>
      <w:pPr>
        <w:spacing w:after="0" w:line="130" w:lineRule="exact"/>
        <w:rPr>
          <w:rFonts w:ascii="Arial" w:cs="Arial" w:eastAsia="Arial" w:hAnsi="Arial"/>
          <w:sz w:val="18"/>
          <w:szCs w:val="18"/>
          <w:color w:val="auto"/>
        </w:rPr>
      </w:pPr>
    </w:p>
    <w:p>
      <w:pPr>
        <w:ind w:left="1180" w:hanging="436"/>
        <w:spacing w:after="0"/>
        <w:tabs>
          <w:tab w:leader="none" w:pos="1180" w:val="left"/>
        </w:tabs>
        <w:numPr>
          <w:ilvl w:val="0"/>
          <w:numId w:val="200"/>
        </w:numPr>
        <w:rPr>
          <w:rFonts w:ascii="Arial" w:cs="Arial" w:eastAsia="Arial" w:hAnsi="Arial"/>
          <w:sz w:val="18"/>
          <w:szCs w:val="18"/>
          <w:color w:val="auto"/>
        </w:rPr>
      </w:pPr>
      <w:r>
        <w:rPr>
          <w:rFonts w:ascii="Arial" w:cs="Arial" w:eastAsia="Arial" w:hAnsi="Arial"/>
          <w:sz w:val="18"/>
          <w:szCs w:val="18"/>
          <w:color w:val="auto"/>
        </w:rPr>
        <w:t>requires all leases to be accounted for ‘on-balance sheet’ by lessees, other than short-term and low value asset leases,</w:t>
      </w:r>
    </w:p>
    <w:p>
      <w:pPr>
        <w:spacing w:after="0" w:line="130" w:lineRule="exact"/>
        <w:rPr>
          <w:rFonts w:ascii="Arial" w:cs="Arial" w:eastAsia="Arial" w:hAnsi="Arial"/>
          <w:sz w:val="18"/>
          <w:szCs w:val="18"/>
          <w:color w:val="auto"/>
        </w:rPr>
      </w:pPr>
    </w:p>
    <w:p>
      <w:pPr>
        <w:ind w:left="1180" w:hanging="436"/>
        <w:spacing w:after="0"/>
        <w:tabs>
          <w:tab w:leader="none" w:pos="1180" w:val="left"/>
        </w:tabs>
        <w:numPr>
          <w:ilvl w:val="0"/>
          <w:numId w:val="200"/>
        </w:numPr>
        <w:rPr>
          <w:rFonts w:ascii="Arial" w:cs="Arial" w:eastAsia="Arial" w:hAnsi="Arial"/>
          <w:sz w:val="18"/>
          <w:szCs w:val="18"/>
          <w:color w:val="auto"/>
        </w:rPr>
      </w:pPr>
      <w:r>
        <w:rPr>
          <w:rFonts w:ascii="Arial" w:cs="Arial" w:eastAsia="Arial" w:hAnsi="Arial"/>
          <w:sz w:val="18"/>
          <w:szCs w:val="18"/>
          <w:color w:val="auto"/>
        </w:rPr>
        <w:t>provides new guidance on the application of the definition of lease and on sale and lease back accounting,</w:t>
      </w:r>
    </w:p>
    <w:p>
      <w:pPr>
        <w:spacing w:after="0" w:line="130" w:lineRule="exact"/>
        <w:rPr>
          <w:rFonts w:ascii="Arial" w:cs="Arial" w:eastAsia="Arial" w:hAnsi="Arial"/>
          <w:sz w:val="18"/>
          <w:szCs w:val="18"/>
          <w:color w:val="auto"/>
        </w:rPr>
      </w:pPr>
    </w:p>
    <w:p>
      <w:pPr>
        <w:ind w:left="1180" w:hanging="436"/>
        <w:spacing w:after="0"/>
        <w:tabs>
          <w:tab w:leader="none" w:pos="1180" w:val="left"/>
        </w:tabs>
        <w:numPr>
          <w:ilvl w:val="0"/>
          <w:numId w:val="200"/>
        </w:numPr>
        <w:rPr>
          <w:rFonts w:ascii="Arial" w:cs="Arial" w:eastAsia="Arial" w:hAnsi="Arial"/>
          <w:sz w:val="18"/>
          <w:szCs w:val="18"/>
          <w:color w:val="auto"/>
        </w:rPr>
      </w:pPr>
      <w:r>
        <w:rPr>
          <w:rFonts w:ascii="Arial" w:cs="Arial" w:eastAsia="Arial" w:hAnsi="Arial"/>
          <w:sz w:val="18"/>
          <w:szCs w:val="18"/>
          <w:color w:val="auto"/>
        </w:rPr>
        <w:t>largely retains the existing lessor accounting requirements in IAS 17,</w:t>
      </w:r>
    </w:p>
    <w:p>
      <w:pPr>
        <w:spacing w:after="0" w:line="130" w:lineRule="exact"/>
        <w:rPr>
          <w:rFonts w:ascii="Arial" w:cs="Arial" w:eastAsia="Arial" w:hAnsi="Arial"/>
          <w:sz w:val="18"/>
          <w:szCs w:val="18"/>
          <w:color w:val="auto"/>
        </w:rPr>
      </w:pPr>
    </w:p>
    <w:p>
      <w:pPr>
        <w:ind w:left="1180" w:hanging="436"/>
        <w:spacing w:after="0"/>
        <w:tabs>
          <w:tab w:leader="none" w:pos="1180" w:val="left"/>
        </w:tabs>
        <w:numPr>
          <w:ilvl w:val="0"/>
          <w:numId w:val="200"/>
        </w:numPr>
        <w:rPr>
          <w:rFonts w:ascii="Arial" w:cs="Arial" w:eastAsia="Arial" w:hAnsi="Arial"/>
          <w:sz w:val="18"/>
          <w:szCs w:val="18"/>
          <w:color w:val="auto"/>
        </w:rPr>
      </w:pPr>
      <w:r>
        <w:rPr>
          <w:rFonts w:ascii="Arial" w:cs="Arial" w:eastAsia="Arial" w:hAnsi="Arial"/>
          <w:sz w:val="18"/>
          <w:szCs w:val="18"/>
          <w:color w:val="auto"/>
        </w:rPr>
        <w:t>requires new and different disclosures about leases.</w:t>
      </w:r>
    </w:p>
    <w:p>
      <w:pPr>
        <w:spacing w:after="0" w:line="225" w:lineRule="exact"/>
        <w:rPr>
          <w:sz w:val="20"/>
          <w:szCs w:val="20"/>
          <w:color w:val="auto"/>
        </w:rPr>
      </w:pPr>
    </w:p>
    <w:p>
      <w:pPr>
        <w:ind w:left="200" w:right="140"/>
        <w:spacing w:after="0" w:line="277" w:lineRule="auto"/>
        <w:rPr>
          <w:sz w:val="20"/>
          <w:szCs w:val="20"/>
          <w:color w:val="auto"/>
        </w:rPr>
      </w:pPr>
      <w:r>
        <w:rPr>
          <w:rFonts w:ascii="Arial" w:cs="Arial" w:eastAsia="Arial" w:hAnsi="Arial"/>
          <w:sz w:val="18"/>
          <w:szCs w:val="18"/>
          <w:color w:val="auto"/>
        </w:rPr>
        <w:t>A number of new and revised standards became effective for the first time to annual periods beginning on or after January 1, 2017. Information on the more significant standard is presented below.</w:t>
      </w:r>
    </w:p>
    <w:p>
      <w:pPr>
        <w:spacing w:after="0" w:line="170" w:lineRule="exact"/>
        <w:rPr>
          <w:sz w:val="20"/>
          <w:szCs w:val="20"/>
          <w:color w:val="auto"/>
        </w:rPr>
      </w:pPr>
    </w:p>
    <w:p>
      <w:pPr>
        <w:ind w:left="200" w:right="60"/>
        <w:spacing w:after="0" w:line="277" w:lineRule="auto"/>
        <w:rPr>
          <w:sz w:val="20"/>
          <w:szCs w:val="20"/>
          <w:color w:val="auto"/>
        </w:rPr>
      </w:pPr>
      <w:r>
        <w:rPr>
          <w:rFonts w:ascii="Arial" w:cs="Arial" w:eastAsia="Arial" w:hAnsi="Arial"/>
          <w:sz w:val="18"/>
          <w:szCs w:val="18"/>
          <w:color w:val="auto"/>
        </w:rPr>
        <w:t>Based on the entity’s assessment, it is expected that the first-time adoption of IFRS 16 for the year ending June 30, 2020 will have a material impact on the transactions and balances recognized in the financial statements, in particular:</w:t>
      </w:r>
    </w:p>
    <w:p>
      <w:pPr>
        <w:spacing w:after="0" w:line="76" w:lineRule="exact"/>
        <w:rPr>
          <w:sz w:val="20"/>
          <w:szCs w:val="20"/>
          <w:color w:val="auto"/>
        </w:rPr>
      </w:pPr>
    </w:p>
    <w:p>
      <w:pPr>
        <w:ind w:left="1180" w:right="20" w:hanging="436"/>
        <w:spacing w:after="0" w:line="277" w:lineRule="auto"/>
        <w:tabs>
          <w:tab w:leader="none" w:pos="1180" w:val="left"/>
        </w:tabs>
        <w:numPr>
          <w:ilvl w:val="0"/>
          <w:numId w:val="201"/>
        </w:numPr>
        <w:rPr>
          <w:rFonts w:ascii="Arial" w:cs="Arial" w:eastAsia="Arial" w:hAnsi="Arial"/>
          <w:sz w:val="18"/>
          <w:szCs w:val="18"/>
          <w:color w:val="auto"/>
        </w:rPr>
      </w:pPr>
      <w:r>
        <w:rPr>
          <w:rFonts w:ascii="Arial" w:cs="Arial" w:eastAsia="Arial" w:hAnsi="Arial"/>
          <w:sz w:val="18"/>
          <w:szCs w:val="18"/>
          <w:color w:val="auto"/>
        </w:rPr>
        <w:t>lease assets and financial liabilities on the balance sheet will increase by A$1,108,610 and A$1,195,801 respectively (based on the facts at the date of the assessment),</w:t>
      </w:r>
    </w:p>
    <w:p>
      <w:pPr>
        <w:spacing w:after="0" w:line="75" w:lineRule="exact"/>
        <w:rPr>
          <w:rFonts w:ascii="Arial" w:cs="Arial" w:eastAsia="Arial" w:hAnsi="Arial"/>
          <w:sz w:val="18"/>
          <w:szCs w:val="18"/>
          <w:color w:val="auto"/>
        </w:rPr>
      </w:pPr>
    </w:p>
    <w:p>
      <w:pPr>
        <w:ind w:left="1180" w:hanging="436"/>
        <w:spacing w:after="0" w:line="277" w:lineRule="auto"/>
        <w:tabs>
          <w:tab w:leader="none" w:pos="1180" w:val="left"/>
        </w:tabs>
        <w:numPr>
          <w:ilvl w:val="0"/>
          <w:numId w:val="201"/>
        </w:numPr>
        <w:rPr>
          <w:rFonts w:ascii="Arial" w:cs="Arial" w:eastAsia="Arial" w:hAnsi="Arial"/>
          <w:sz w:val="18"/>
          <w:szCs w:val="18"/>
          <w:color w:val="auto"/>
        </w:rPr>
      </w:pPr>
      <w:r>
        <w:rPr>
          <w:rFonts w:ascii="Arial" w:cs="Arial" w:eastAsia="Arial" w:hAnsi="Arial"/>
          <w:sz w:val="18"/>
          <w:szCs w:val="18"/>
          <w:color w:val="auto"/>
        </w:rPr>
        <w:t>there will be a reduction in the reported equity as the carrying amount of lease assets will reduce more quickly than the carrying amount of lease liabilities,</w:t>
      </w:r>
    </w:p>
    <w:p>
      <w:pPr>
        <w:spacing w:after="0" w:line="103" w:lineRule="exact"/>
        <w:rPr>
          <w:sz w:val="20"/>
          <w:szCs w:val="20"/>
          <w:color w:val="auto"/>
        </w:rPr>
      </w:pPr>
    </w:p>
    <w:p>
      <w:pPr>
        <w:jc w:val="center"/>
        <w:ind w:right="-259"/>
        <w:spacing w:after="0"/>
        <w:rPr>
          <w:sz w:val="20"/>
          <w:szCs w:val="20"/>
          <w:color w:val="auto"/>
        </w:rPr>
      </w:pPr>
      <w:r>
        <w:rPr>
          <w:rFonts w:ascii="Arial" w:cs="Arial" w:eastAsia="Arial" w:hAnsi="Arial"/>
          <w:sz w:val="18"/>
          <w:szCs w:val="18"/>
          <w:color w:val="auto"/>
        </w:rPr>
        <w:t>F-58</w:t>
      </w:r>
    </w:p>
    <w:p>
      <w:pPr>
        <w:sectPr>
          <w:pgSz w:w="11900" w:h="16838" w:orient="portrait"/>
          <w:cols w:equalWidth="0" w:num="1">
            <w:col w:w="11160"/>
          </w:cols>
          <w:pgMar w:left="240" w:top="459" w:right="499" w:bottom="1440" w:gutter="0" w:footer="0" w:header="0"/>
        </w:sectPr>
      </w:pPr>
    </w:p>
    <w:bookmarkStart w:id="157" w:name="page158"/>
    <w:bookmarkEnd w:id="15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20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AVITA MEDICAL LIMITED</w:t>
      </w:r>
    </w:p>
    <w:p>
      <w:pPr>
        <w:spacing w:after="0" w:line="27"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NOTES TO THE HALF-YEAR CONDENSED CONSOLIDATED FINANCIAL STATEMENTS</w:t>
      </w:r>
    </w:p>
    <w:p>
      <w:pPr>
        <w:spacing w:after="0" w:line="9"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(IN AUSTRALIAN DOLLARS)</w:t>
      </w:r>
    </w:p>
    <w:p>
      <w:pPr>
        <w:spacing w:after="0" w:line="9"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(UNAUDITED)</w:t>
      </w:r>
    </w:p>
    <w:p>
      <w:pPr>
        <w:spacing w:after="0" w:line="234" w:lineRule="exact"/>
        <w:rPr>
          <w:sz w:val="20"/>
          <w:szCs w:val="20"/>
          <w:color w:val="auto"/>
        </w:rPr>
      </w:pPr>
    </w:p>
    <w:p>
      <w:pPr>
        <w:ind w:left="640" w:hanging="436"/>
        <w:spacing w:after="0"/>
        <w:tabs>
          <w:tab w:leader="none" w:pos="640" w:val="left"/>
        </w:tabs>
        <w:numPr>
          <w:ilvl w:val="0"/>
          <w:numId w:val="202"/>
        </w:numPr>
        <w:rPr>
          <w:rFonts w:ascii="Arial" w:cs="Arial" w:eastAsia="Arial" w:hAnsi="Arial"/>
          <w:sz w:val="18"/>
          <w:szCs w:val="18"/>
          <w:b w:val="1"/>
          <w:bCs w:val="1"/>
          <w:color w:val="auto"/>
        </w:rPr>
      </w:pPr>
      <w:r>
        <w:rPr>
          <w:rFonts w:ascii="Arial" w:cs="Arial" w:eastAsia="Arial" w:hAnsi="Arial"/>
          <w:sz w:val="18"/>
          <w:szCs w:val="18"/>
          <w:b w:val="1"/>
          <w:bCs w:val="1"/>
          <w:color w:val="auto"/>
        </w:rPr>
        <w:t>BASIS OF PREPARATION AND ACCOUNTING POLICIES (CONTINUED)</w:t>
      </w:r>
    </w:p>
    <w:p>
      <w:pPr>
        <w:spacing w:after="0" w:line="131" w:lineRule="exact"/>
        <w:rPr>
          <w:sz w:val="20"/>
          <w:szCs w:val="20"/>
          <w:color w:val="auto"/>
        </w:rPr>
      </w:pPr>
    </w:p>
    <w:p>
      <w:pPr>
        <w:ind w:left="640" w:hanging="436"/>
        <w:spacing w:after="0"/>
        <w:tabs>
          <w:tab w:leader="none" w:pos="640" w:val="left"/>
        </w:tabs>
        <w:numPr>
          <w:ilvl w:val="0"/>
          <w:numId w:val="203"/>
        </w:numPr>
        <w:rPr>
          <w:rFonts w:ascii="Arial" w:cs="Arial" w:eastAsia="Arial" w:hAnsi="Arial"/>
          <w:sz w:val="18"/>
          <w:szCs w:val="18"/>
          <w:b w:val="1"/>
          <w:bCs w:val="1"/>
          <w:color w:val="auto"/>
        </w:rPr>
      </w:pPr>
      <w:r>
        <w:rPr>
          <w:rFonts w:ascii="Arial" w:cs="Arial" w:eastAsia="Arial" w:hAnsi="Arial"/>
          <w:sz w:val="18"/>
          <w:szCs w:val="18"/>
          <w:b w:val="1"/>
          <w:bCs w:val="1"/>
          <w:color w:val="auto"/>
        </w:rPr>
        <w:t>Changes in accounting policy (continued)</w:t>
      </w:r>
    </w:p>
    <w:p>
      <w:pPr>
        <w:spacing w:after="0" w:line="134" w:lineRule="exact"/>
        <w:rPr>
          <w:rFonts w:ascii="Arial" w:cs="Arial" w:eastAsia="Arial" w:hAnsi="Arial"/>
          <w:sz w:val="18"/>
          <w:szCs w:val="18"/>
          <w:b w:val="1"/>
          <w:bCs w:val="1"/>
          <w:color w:val="auto"/>
        </w:rPr>
      </w:pPr>
    </w:p>
    <w:p>
      <w:pPr>
        <w:ind w:left="1180" w:right="260" w:hanging="436"/>
        <w:spacing w:after="0" w:line="342" w:lineRule="auto"/>
        <w:tabs>
          <w:tab w:leader="none" w:pos="1180" w:val="left"/>
        </w:tabs>
        <w:numPr>
          <w:ilvl w:val="1"/>
          <w:numId w:val="203"/>
        </w:numPr>
        <w:rPr>
          <w:rFonts w:ascii="Arial" w:cs="Arial" w:eastAsia="Arial" w:hAnsi="Arial"/>
          <w:sz w:val="16"/>
          <w:szCs w:val="16"/>
          <w:color w:val="auto"/>
        </w:rPr>
      </w:pPr>
      <w:r>
        <w:rPr>
          <w:rFonts w:ascii="Arial" w:cs="Arial" w:eastAsia="Arial" w:hAnsi="Arial"/>
          <w:sz w:val="16"/>
          <w:szCs w:val="16"/>
          <w:color w:val="auto"/>
        </w:rPr>
        <w:t>Loss for the period in the statement of profit or loss and other comprehensive income will be higher as the implicit interest in lease payments for former off-balance sheet leases will be presented as part of finance costs rather than being included in operating expenses,</w:t>
      </w:r>
    </w:p>
    <w:p>
      <w:pPr>
        <w:spacing w:after="0" w:line="29" w:lineRule="exact"/>
        <w:rPr>
          <w:rFonts w:ascii="Arial" w:cs="Arial" w:eastAsia="Arial" w:hAnsi="Arial"/>
          <w:sz w:val="16"/>
          <w:szCs w:val="16"/>
          <w:color w:val="auto"/>
        </w:rPr>
      </w:pPr>
    </w:p>
    <w:p>
      <w:pPr>
        <w:ind w:left="1180" w:right="60" w:hanging="436"/>
        <w:spacing w:after="0" w:line="264" w:lineRule="auto"/>
        <w:tabs>
          <w:tab w:leader="none" w:pos="1180" w:val="left"/>
        </w:tabs>
        <w:numPr>
          <w:ilvl w:val="1"/>
          <w:numId w:val="203"/>
        </w:numPr>
        <w:rPr>
          <w:rFonts w:ascii="Arial" w:cs="Arial" w:eastAsia="Arial" w:hAnsi="Arial"/>
          <w:sz w:val="18"/>
          <w:szCs w:val="18"/>
          <w:color w:val="auto"/>
        </w:rPr>
      </w:pPr>
      <w:r>
        <w:rPr>
          <w:rFonts w:ascii="Arial" w:cs="Arial" w:eastAsia="Arial" w:hAnsi="Arial"/>
          <w:sz w:val="18"/>
          <w:szCs w:val="18"/>
          <w:color w:val="auto"/>
        </w:rPr>
        <w:t>operating cash outflows will be lower and financing cash flows will be higher in the statement of cash flows as principal repayments on all lease liabilities will now be included in financing activities rather than operating activities. Interest can also be included within financing activities.</w:t>
      </w:r>
    </w:p>
    <w:p>
      <w:pPr>
        <w:spacing w:after="0" w:line="325" w:lineRule="exact"/>
        <w:rPr>
          <w:rFonts w:ascii="Arial" w:cs="Arial" w:eastAsia="Arial" w:hAnsi="Arial"/>
          <w:sz w:val="18"/>
          <w:szCs w:val="18"/>
          <w:color w:val="auto"/>
        </w:rPr>
      </w:pPr>
    </w:p>
    <w:p>
      <w:pPr>
        <w:ind w:left="640" w:hanging="436"/>
        <w:spacing w:after="0"/>
        <w:tabs>
          <w:tab w:leader="none" w:pos="640" w:val="left"/>
        </w:tabs>
        <w:numPr>
          <w:ilvl w:val="0"/>
          <w:numId w:val="203"/>
        </w:numPr>
        <w:rPr>
          <w:rFonts w:ascii="Arial" w:cs="Arial" w:eastAsia="Arial" w:hAnsi="Arial"/>
          <w:sz w:val="18"/>
          <w:szCs w:val="18"/>
          <w:b w:val="1"/>
          <w:bCs w:val="1"/>
          <w:color w:val="auto"/>
        </w:rPr>
      </w:pPr>
      <w:r>
        <w:rPr>
          <w:rFonts w:ascii="Arial" w:cs="Arial" w:eastAsia="Arial" w:hAnsi="Arial"/>
          <w:sz w:val="18"/>
          <w:szCs w:val="18"/>
          <w:b w:val="1"/>
          <w:bCs w:val="1"/>
          <w:color w:val="auto"/>
        </w:rPr>
        <w:t>Going concern</w:t>
      </w:r>
    </w:p>
    <w:p>
      <w:pPr>
        <w:spacing w:after="0" w:line="121" w:lineRule="exact"/>
        <w:rPr>
          <w:sz w:val="20"/>
          <w:szCs w:val="20"/>
          <w:color w:val="auto"/>
        </w:rPr>
      </w:pPr>
    </w:p>
    <w:p>
      <w:pPr>
        <w:ind w:left="200" w:right="260"/>
        <w:spacing w:after="0" w:line="259" w:lineRule="auto"/>
        <w:rPr>
          <w:sz w:val="20"/>
          <w:szCs w:val="20"/>
          <w:color w:val="auto"/>
        </w:rPr>
      </w:pPr>
      <w:r>
        <w:rPr>
          <w:rFonts w:ascii="Arial" w:cs="Arial" w:eastAsia="Arial" w:hAnsi="Arial"/>
          <w:sz w:val="18"/>
          <w:szCs w:val="18"/>
          <w:color w:val="auto"/>
        </w:rPr>
        <w:t>These financial statements have been prepared on the basis of going concern, which contemplates the continuity of normal business activities and the realization of assets and settlement of liabilities in the ordinary course of business. During the half-year ended December 31, 2018, the Company has generated a loss for the period of A$15,579,391 (2017: A$7,250,597) and the Company has used cash in operations of A$10,458,479 (2017: A$7,875,025).</w:t>
      </w:r>
    </w:p>
    <w:p>
      <w:pPr>
        <w:spacing w:after="0" w:line="187" w:lineRule="exact"/>
        <w:rPr>
          <w:sz w:val="20"/>
          <w:szCs w:val="20"/>
          <w:color w:val="auto"/>
        </w:rPr>
      </w:pPr>
    </w:p>
    <w:p>
      <w:pPr>
        <w:jc w:val="both"/>
        <w:ind w:left="200" w:right="500"/>
        <w:spacing w:after="0" w:line="312" w:lineRule="auto"/>
        <w:rPr>
          <w:sz w:val="20"/>
          <w:szCs w:val="20"/>
          <w:color w:val="auto"/>
        </w:rPr>
      </w:pPr>
      <w:r>
        <w:rPr>
          <w:rFonts w:ascii="Arial" w:cs="Arial" w:eastAsia="Arial" w:hAnsi="Arial"/>
          <w:sz w:val="16"/>
          <w:szCs w:val="16"/>
          <w:color w:val="auto"/>
        </w:rPr>
        <w:t>During the half-year ended December 31, 2018 and subsequent to that date, the Company completed a series of equity transactions totaling gross proceeds of A$45,014,900 which were used to fund operations. Of the total gross proceeds, A$28,073,761 was received in transactions completed during the half-year ended December 31, 2018, and A$16,961,139 was received in transactions completely subsequent to that date.</w:t>
      </w:r>
    </w:p>
    <w:p>
      <w:pPr>
        <w:spacing w:after="0" w:line="147" w:lineRule="exact"/>
        <w:rPr>
          <w:sz w:val="20"/>
          <w:szCs w:val="20"/>
          <w:color w:val="auto"/>
        </w:rPr>
      </w:pPr>
    </w:p>
    <w:p>
      <w:pPr>
        <w:ind w:left="200"/>
        <w:spacing w:after="0" w:line="285" w:lineRule="auto"/>
        <w:rPr>
          <w:sz w:val="20"/>
          <w:szCs w:val="20"/>
          <w:color w:val="auto"/>
        </w:rPr>
      </w:pPr>
      <w:r>
        <w:rPr>
          <w:rFonts w:ascii="Arial" w:cs="Arial" w:eastAsia="Arial" w:hAnsi="Arial"/>
          <w:sz w:val="16"/>
          <w:szCs w:val="16"/>
          <w:color w:val="auto"/>
        </w:rPr>
        <w:t>On June 6, 2018 the Company completed the first tranche of an institutional placement which included a second tranche totaling A$3.250 million of gross proceeds, contingent upon shareholder approval. Shareholder approval for Tranche 2 was received at an Extraordinary General Meeting held on July 23, 2018, and the Company issued 65 million shares at a price of $0.050 per share and received gross proceeds of A$3,250,000 on July 26, 2018. On December 4, 2018 the Company completed the first tranche of an institutional placement of in which it issued 310,047,015 fully paid ordinary shares at a price of A$0.080 per share raising gross proceeds of A$24,803,761. The institutional placement included a second tranche totaling</w:t>
      </w:r>
    </w:p>
    <w:p>
      <w:pPr>
        <w:spacing w:after="0" w:line="2" w:lineRule="exact"/>
        <w:rPr>
          <w:sz w:val="20"/>
          <w:szCs w:val="20"/>
          <w:color w:val="auto"/>
        </w:rPr>
      </w:pPr>
    </w:p>
    <w:p>
      <w:pPr>
        <w:ind w:left="200" w:right="320"/>
        <w:spacing w:after="0" w:line="253" w:lineRule="auto"/>
        <w:rPr>
          <w:sz w:val="20"/>
          <w:szCs w:val="20"/>
          <w:color w:val="auto"/>
        </w:rPr>
      </w:pPr>
      <w:r>
        <w:rPr>
          <w:rFonts w:ascii="Arial" w:cs="Arial" w:eastAsia="Arial" w:hAnsi="Arial"/>
          <w:sz w:val="18"/>
          <w:szCs w:val="18"/>
          <w:color w:val="auto"/>
        </w:rPr>
        <w:t>A$15.196 million of gross proceeds, contingent upon shareholder approval. Shareholder approval for Tranche 2 was received at an Extraordinary General Meeting held on January 14, 2019, and subsequent to December 31, 2018 the Company issued 189,952,985 shares at a price of A$0.080 per share and received gross proceeds of A$15,196,239 on January 14, 2019. Also subsequent to December 31, 2018, on January 11, 2010 the Company completed a Share Purchase Plan under which it issued 22,061,250 shares of stock at a price of A$0.080 per share and received gross proceeds of A$1,764,900.</w:t>
      </w:r>
    </w:p>
    <w:p>
      <w:pPr>
        <w:spacing w:after="0" w:line="191" w:lineRule="exact"/>
        <w:rPr>
          <w:sz w:val="20"/>
          <w:szCs w:val="20"/>
          <w:color w:val="auto"/>
        </w:rPr>
      </w:pPr>
    </w:p>
    <w:p>
      <w:pPr>
        <w:ind w:left="200" w:right="80"/>
        <w:spacing w:after="0" w:line="273" w:lineRule="auto"/>
        <w:rPr>
          <w:sz w:val="20"/>
          <w:szCs w:val="20"/>
          <w:color w:val="auto"/>
        </w:rPr>
      </w:pPr>
      <w:r>
        <w:rPr>
          <w:rFonts w:ascii="Arial" w:cs="Arial" w:eastAsia="Arial" w:hAnsi="Arial"/>
          <w:sz w:val="17"/>
          <w:szCs w:val="17"/>
          <w:color w:val="auto"/>
        </w:rPr>
        <w:t>The Company benefits from cash inflows from the series of BARDA contracts, the first of which was awarded to the Company in September 2015. These payments from BARDA offset costs from various activities undertaken to support the FDA regulatory approval process for RECELL in the U.S., preparation for the planned commercial launch of RECELL in the U.S., and RECELL clinical programs in the U.S. With the U.S. FDA approval of RECELL for the treatment of burns in September 2018, and the U.S. market launch of the product in January 2019, sales of goods are expected to be an increasing source of revenue in the future. Another anticipated source of revenue for the Company is the BARDA contract line item covering the initial purchase, delivery and storage of the RECELL System in the amount of US$7,594,620 (~A$10m).</w:t>
      </w:r>
    </w:p>
    <w:p>
      <w:pPr>
        <w:spacing w:after="0" w:line="178" w:lineRule="exact"/>
        <w:rPr>
          <w:sz w:val="20"/>
          <w:szCs w:val="20"/>
          <w:color w:val="auto"/>
        </w:rPr>
      </w:pPr>
    </w:p>
    <w:p>
      <w:pPr>
        <w:ind w:left="200" w:right="440"/>
        <w:spacing w:after="0" w:line="277" w:lineRule="auto"/>
        <w:rPr>
          <w:sz w:val="20"/>
          <w:szCs w:val="20"/>
          <w:color w:val="auto"/>
        </w:rPr>
      </w:pPr>
      <w:r>
        <w:rPr>
          <w:rFonts w:ascii="Arial" w:cs="Arial" w:eastAsia="Arial" w:hAnsi="Arial"/>
          <w:sz w:val="18"/>
          <w:szCs w:val="18"/>
          <w:color w:val="auto"/>
        </w:rPr>
        <w:t>The Company expects to be utilizing cash reserves until U.S. and international sales of its products reach the level to fund ongoing operations. The Company has historically funded its research and development activities,</w:t>
      </w:r>
    </w:p>
    <w:p>
      <w:pPr>
        <w:spacing w:after="0" w:line="103"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F-59</w:t>
      </w:r>
    </w:p>
    <w:p>
      <w:pPr>
        <w:sectPr>
          <w:pgSz w:w="11900" w:h="16838" w:orient="portrait"/>
          <w:cols w:equalWidth="0" w:num="1">
            <w:col w:w="11220"/>
          </w:cols>
          <w:pgMar w:left="240" w:top="459" w:right="439" w:bottom="1440" w:gutter="0" w:footer="0" w:header="0"/>
        </w:sectPr>
      </w:pPr>
    </w:p>
    <w:bookmarkStart w:id="158" w:name="page159"/>
    <w:bookmarkEnd w:id="15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20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339"/>
        <w:spacing w:after="0"/>
        <w:rPr>
          <w:sz w:val="20"/>
          <w:szCs w:val="20"/>
          <w:color w:val="auto"/>
        </w:rPr>
      </w:pPr>
      <w:r>
        <w:rPr>
          <w:rFonts w:ascii="Arial" w:cs="Arial" w:eastAsia="Arial" w:hAnsi="Arial"/>
          <w:sz w:val="18"/>
          <w:szCs w:val="18"/>
          <w:b w:val="1"/>
          <w:bCs w:val="1"/>
          <w:color w:val="auto"/>
        </w:rPr>
        <w:t>AVITA MEDICAL LIMITED</w:t>
      </w:r>
    </w:p>
    <w:p>
      <w:pPr>
        <w:spacing w:after="0" w:line="27" w:lineRule="exact"/>
        <w:rPr>
          <w:sz w:val="20"/>
          <w:szCs w:val="20"/>
          <w:color w:val="auto"/>
        </w:rPr>
      </w:pPr>
    </w:p>
    <w:p>
      <w:pPr>
        <w:jc w:val="center"/>
        <w:ind w:right="-339"/>
        <w:spacing w:after="0"/>
        <w:rPr>
          <w:sz w:val="20"/>
          <w:szCs w:val="20"/>
          <w:color w:val="auto"/>
        </w:rPr>
      </w:pPr>
      <w:r>
        <w:rPr>
          <w:rFonts w:ascii="Arial" w:cs="Arial" w:eastAsia="Arial" w:hAnsi="Arial"/>
          <w:sz w:val="18"/>
          <w:szCs w:val="18"/>
          <w:b w:val="1"/>
          <w:bCs w:val="1"/>
          <w:color w:val="auto"/>
        </w:rPr>
        <w:t>NOTES TO THE HALF-YEAR CONDENSED CONSOLIDATED FINANCIAL STATEMENTS</w:t>
      </w:r>
    </w:p>
    <w:p>
      <w:pPr>
        <w:spacing w:after="0" w:line="9" w:lineRule="exact"/>
        <w:rPr>
          <w:sz w:val="20"/>
          <w:szCs w:val="20"/>
          <w:color w:val="auto"/>
        </w:rPr>
      </w:pPr>
    </w:p>
    <w:p>
      <w:pPr>
        <w:jc w:val="center"/>
        <w:ind w:right="-339"/>
        <w:spacing w:after="0"/>
        <w:rPr>
          <w:sz w:val="20"/>
          <w:szCs w:val="20"/>
          <w:color w:val="auto"/>
        </w:rPr>
      </w:pPr>
      <w:r>
        <w:rPr>
          <w:rFonts w:ascii="Arial" w:cs="Arial" w:eastAsia="Arial" w:hAnsi="Arial"/>
          <w:sz w:val="18"/>
          <w:szCs w:val="18"/>
          <w:b w:val="1"/>
          <w:bCs w:val="1"/>
          <w:color w:val="auto"/>
        </w:rPr>
        <w:t>(IN AUSTRALIAN DOLLARS)</w:t>
      </w:r>
    </w:p>
    <w:p>
      <w:pPr>
        <w:spacing w:after="0" w:line="9" w:lineRule="exact"/>
        <w:rPr>
          <w:sz w:val="20"/>
          <w:szCs w:val="20"/>
          <w:color w:val="auto"/>
        </w:rPr>
      </w:pPr>
    </w:p>
    <w:p>
      <w:pPr>
        <w:jc w:val="center"/>
        <w:ind w:right="-339"/>
        <w:spacing w:after="0"/>
        <w:rPr>
          <w:sz w:val="20"/>
          <w:szCs w:val="20"/>
          <w:color w:val="auto"/>
        </w:rPr>
      </w:pPr>
      <w:r>
        <w:rPr>
          <w:rFonts w:ascii="Arial" w:cs="Arial" w:eastAsia="Arial" w:hAnsi="Arial"/>
          <w:sz w:val="18"/>
          <w:szCs w:val="18"/>
          <w:b w:val="1"/>
          <w:bCs w:val="1"/>
          <w:color w:val="auto"/>
        </w:rPr>
        <w:t>(UNAUDITED)</w:t>
      </w:r>
    </w:p>
    <w:p>
      <w:pPr>
        <w:spacing w:after="0" w:line="234" w:lineRule="exact"/>
        <w:rPr>
          <w:sz w:val="20"/>
          <w:szCs w:val="20"/>
          <w:color w:val="auto"/>
        </w:rPr>
      </w:pPr>
    </w:p>
    <w:p>
      <w:pPr>
        <w:ind w:left="640" w:hanging="436"/>
        <w:spacing w:after="0"/>
        <w:tabs>
          <w:tab w:leader="none" w:pos="640" w:val="left"/>
        </w:tabs>
        <w:numPr>
          <w:ilvl w:val="0"/>
          <w:numId w:val="204"/>
        </w:numPr>
        <w:rPr>
          <w:rFonts w:ascii="Arial" w:cs="Arial" w:eastAsia="Arial" w:hAnsi="Arial"/>
          <w:sz w:val="18"/>
          <w:szCs w:val="18"/>
          <w:b w:val="1"/>
          <w:bCs w:val="1"/>
          <w:color w:val="auto"/>
        </w:rPr>
      </w:pPr>
      <w:r>
        <w:rPr>
          <w:rFonts w:ascii="Arial" w:cs="Arial" w:eastAsia="Arial" w:hAnsi="Arial"/>
          <w:sz w:val="18"/>
          <w:szCs w:val="18"/>
          <w:b w:val="1"/>
          <w:bCs w:val="1"/>
          <w:color w:val="auto"/>
        </w:rPr>
        <w:t>BASIS OF PREPARATION AND ACCOUNTING POLICIES (CONTINUED)</w:t>
      </w:r>
    </w:p>
    <w:p>
      <w:pPr>
        <w:spacing w:after="0" w:line="131" w:lineRule="exact"/>
        <w:rPr>
          <w:sz w:val="20"/>
          <w:szCs w:val="20"/>
          <w:color w:val="auto"/>
        </w:rPr>
      </w:pPr>
    </w:p>
    <w:p>
      <w:pPr>
        <w:ind w:left="640" w:hanging="436"/>
        <w:spacing w:after="0"/>
        <w:tabs>
          <w:tab w:leader="none" w:pos="640" w:val="left"/>
        </w:tabs>
        <w:numPr>
          <w:ilvl w:val="0"/>
          <w:numId w:val="205"/>
        </w:numPr>
        <w:rPr>
          <w:rFonts w:ascii="Arial" w:cs="Arial" w:eastAsia="Arial" w:hAnsi="Arial"/>
          <w:sz w:val="18"/>
          <w:szCs w:val="18"/>
          <w:b w:val="1"/>
          <w:bCs w:val="1"/>
          <w:color w:val="auto"/>
        </w:rPr>
      </w:pPr>
      <w:r>
        <w:rPr>
          <w:rFonts w:ascii="Arial" w:cs="Arial" w:eastAsia="Arial" w:hAnsi="Arial"/>
          <w:sz w:val="18"/>
          <w:szCs w:val="18"/>
          <w:b w:val="1"/>
          <w:bCs w:val="1"/>
          <w:color w:val="auto"/>
        </w:rPr>
        <w:t>Going concern (continued)</w:t>
      </w:r>
    </w:p>
    <w:p>
      <w:pPr>
        <w:spacing w:after="0" w:line="135" w:lineRule="exact"/>
        <w:rPr>
          <w:sz w:val="20"/>
          <w:szCs w:val="20"/>
          <w:color w:val="auto"/>
        </w:rPr>
      </w:pPr>
    </w:p>
    <w:p>
      <w:pPr>
        <w:ind w:left="200" w:right="120"/>
        <w:spacing w:after="0" w:line="286" w:lineRule="auto"/>
        <w:rPr>
          <w:sz w:val="20"/>
          <w:szCs w:val="20"/>
          <w:color w:val="auto"/>
        </w:rPr>
      </w:pPr>
      <w:r>
        <w:rPr>
          <w:rFonts w:ascii="Arial" w:cs="Arial" w:eastAsia="Arial" w:hAnsi="Arial"/>
          <w:sz w:val="17"/>
          <w:szCs w:val="17"/>
          <w:color w:val="auto"/>
        </w:rPr>
        <w:t>and more recently its substantial investment in sales and marketing activities, through raising capital by issuing securities in the Company, and it is expected that similar funding will be obtained to provide working capital if and when required. If the Company is unable to raise capital in the future, the Company may need to curtail expenditures by scaling back certain research and development or other programs.</w:t>
      </w:r>
    </w:p>
    <w:p>
      <w:pPr>
        <w:spacing w:after="0" w:line="166" w:lineRule="exact"/>
        <w:rPr>
          <w:sz w:val="20"/>
          <w:szCs w:val="20"/>
          <w:color w:val="auto"/>
        </w:rPr>
      </w:pPr>
    </w:p>
    <w:p>
      <w:pPr>
        <w:jc w:val="both"/>
        <w:ind w:left="200" w:right="20"/>
        <w:spacing w:after="0" w:line="286" w:lineRule="auto"/>
        <w:rPr>
          <w:sz w:val="20"/>
          <w:szCs w:val="20"/>
          <w:color w:val="auto"/>
        </w:rPr>
      </w:pPr>
      <w:r>
        <w:rPr>
          <w:rFonts w:ascii="Arial" w:cs="Arial" w:eastAsia="Arial" w:hAnsi="Arial"/>
          <w:sz w:val="17"/>
          <w:szCs w:val="17"/>
          <w:color w:val="auto"/>
        </w:rPr>
        <w:t>As a result of the above, the directors are satisfied that there is sufficient working capital to support the committed research and development programs and other activities over the next 12 months and the Company has the ability to realize its assets and pay its liabilities and commitments in the normal course of business. Accordingly, the directors have prepared the financial report on a going concern basis.</w:t>
      </w:r>
    </w:p>
    <w:p>
      <w:pPr>
        <w:spacing w:after="0" w:line="310" w:lineRule="exact"/>
        <w:rPr>
          <w:sz w:val="20"/>
          <w:szCs w:val="20"/>
          <w:color w:val="auto"/>
        </w:rPr>
      </w:pPr>
    </w:p>
    <w:p>
      <w:pPr>
        <w:ind w:left="640" w:hanging="436"/>
        <w:spacing w:after="0"/>
        <w:tabs>
          <w:tab w:leader="none" w:pos="640" w:val="left"/>
        </w:tabs>
        <w:numPr>
          <w:ilvl w:val="0"/>
          <w:numId w:val="206"/>
        </w:numPr>
        <w:rPr>
          <w:rFonts w:ascii="Arial" w:cs="Arial" w:eastAsia="Arial" w:hAnsi="Arial"/>
          <w:sz w:val="18"/>
          <w:szCs w:val="18"/>
          <w:b w:val="1"/>
          <w:bCs w:val="1"/>
          <w:color w:val="auto"/>
        </w:rPr>
      </w:pPr>
      <w:r>
        <w:rPr>
          <w:rFonts w:ascii="Arial" w:cs="Arial" w:eastAsia="Arial" w:hAnsi="Arial"/>
          <w:sz w:val="18"/>
          <w:szCs w:val="18"/>
          <w:b w:val="1"/>
          <w:bCs w:val="1"/>
          <w:color w:val="auto"/>
        </w:rPr>
        <w:t>REVENUE</w:t>
      </w:r>
    </w:p>
    <w:p>
      <w:pPr>
        <w:spacing w:after="0" w:line="114" w:lineRule="exact"/>
        <w:rPr>
          <w:sz w:val="20"/>
          <w:szCs w:val="20"/>
          <w:color w:val="auto"/>
        </w:rPr>
      </w:pPr>
    </w:p>
    <w:tbl>
      <w:tblPr>
        <w:tblLayout w:type="fixed"/>
        <w:tblInd w:w="152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380" w:type="dxa"/>
            <w:vAlign w:val="bottom"/>
          </w:tcPr>
          <w:p>
            <w:pPr>
              <w:spacing w:after="0"/>
              <w:rPr>
                <w:sz w:val="14"/>
                <w:szCs w:val="14"/>
                <w:color w:val="auto"/>
              </w:rPr>
            </w:pPr>
          </w:p>
        </w:tc>
        <w:tc>
          <w:tcPr>
            <w:tcW w:w="2180" w:type="dxa"/>
            <w:vAlign w:val="bottom"/>
          </w:tcPr>
          <w:p>
            <w:pPr>
              <w:spacing w:after="0"/>
              <w:rPr>
                <w:sz w:val="14"/>
                <w:szCs w:val="14"/>
                <w:color w:val="auto"/>
              </w:rPr>
            </w:pPr>
          </w:p>
        </w:tc>
        <w:tc>
          <w:tcPr>
            <w:tcW w:w="2800" w:type="dxa"/>
            <w:vAlign w:val="bottom"/>
            <w:gridSpan w:val="5"/>
          </w:tcPr>
          <w:p>
            <w:pPr>
              <w:ind w:left="440"/>
              <w:spacing w:after="0"/>
              <w:rPr>
                <w:sz w:val="20"/>
                <w:szCs w:val="20"/>
                <w:color w:val="auto"/>
              </w:rPr>
            </w:pPr>
            <w:r>
              <w:rPr>
                <w:rFonts w:ascii="Arial" w:cs="Arial" w:eastAsia="Arial" w:hAnsi="Arial"/>
                <w:sz w:val="14"/>
                <w:szCs w:val="14"/>
                <w:b w:val="1"/>
                <w:bCs w:val="1"/>
                <w:color w:val="auto"/>
              </w:rPr>
              <w:t>Half-year ended December 31,</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3380" w:type="dxa"/>
            <w:vAlign w:val="bottom"/>
          </w:tcPr>
          <w:p>
            <w:pPr>
              <w:spacing w:after="0"/>
              <w:rPr>
                <w:sz w:val="14"/>
                <w:szCs w:val="14"/>
                <w:color w:val="auto"/>
              </w:rPr>
            </w:pPr>
          </w:p>
        </w:tc>
        <w:tc>
          <w:tcPr>
            <w:tcW w:w="3140" w:type="dxa"/>
            <w:vAlign w:val="bottom"/>
            <w:gridSpan w:val="2"/>
          </w:tcPr>
          <w:p>
            <w:pPr>
              <w:jc w:val="right"/>
              <w:ind w:right="259"/>
              <w:spacing w:after="0"/>
              <w:rPr>
                <w:sz w:val="20"/>
                <w:szCs w:val="20"/>
                <w:color w:val="auto"/>
              </w:rPr>
            </w:pPr>
            <w:r>
              <w:rPr>
                <w:rFonts w:ascii="Arial" w:cs="Arial" w:eastAsia="Arial" w:hAnsi="Arial"/>
                <w:sz w:val="14"/>
                <w:szCs w:val="14"/>
                <w:b w:val="1"/>
                <w:bCs w:val="1"/>
                <w:color w:val="auto"/>
              </w:rPr>
              <w:t>2018</w:t>
            </w:r>
          </w:p>
        </w:tc>
        <w:tc>
          <w:tcPr>
            <w:tcW w:w="8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40" w:type="dxa"/>
            <w:vAlign w:val="bottom"/>
          </w:tcPr>
          <w:p>
            <w:pPr>
              <w:jc w:val="right"/>
              <w:ind w:right="253"/>
              <w:spacing w:after="0"/>
              <w:rPr>
                <w:sz w:val="20"/>
                <w:szCs w:val="20"/>
                <w:color w:val="auto"/>
              </w:rPr>
            </w:pPr>
            <w:r>
              <w:rPr>
                <w:rFonts w:ascii="Arial" w:cs="Arial" w:eastAsia="Arial" w:hAnsi="Arial"/>
                <w:sz w:val="14"/>
                <w:szCs w:val="14"/>
                <w:b w:val="1"/>
                <w:bCs w:val="1"/>
                <w:color w:val="auto"/>
              </w:rPr>
              <w:t>2017</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338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Revenue</w:t>
            </w:r>
          </w:p>
        </w:tc>
        <w:tc>
          <w:tcPr>
            <w:tcW w:w="2180" w:type="dxa"/>
            <w:vAlign w:val="bottom"/>
            <w:tcBorders>
              <w:top w:val="single" w:sz="8" w:color="CCEEFF"/>
            </w:tcBorders>
            <w:shd w:val="clear" w:color="auto" w:fill="CCEEFF"/>
          </w:tcPr>
          <w:p>
            <w:pPr>
              <w:spacing w:after="0"/>
              <w:rPr>
                <w:sz w:val="17"/>
                <w:szCs w:val="17"/>
                <w:color w:val="auto"/>
              </w:rPr>
            </w:pPr>
          </w:p>
        </w:tc>
        <w:tc>
          <w:tcPr>
            <w:tcW w:w="960" w:type="dxa"/>
            <w:vAlign w:val="bottom"/>
            <w:tcBorders>
              <w:top w:val="single" w:sz="8" w:color="auto"/>
            </w:tcBorders>
            <w:shd w:val="clear" w:color="auto" w:fill="CCEEFF"/>
          </w:tcPr>
          <w:p>
            <w:pPr>
              <w:spacing w:after="0"/>
              <w:rPr>
                <w:sz w:val="17"/>
                <w:szCs w:val="17"/>
                <w:color w:val="auto"/>
              </w:rPr>
            </w:pPr>
          </w:p>
        </w:tc>
        <w:tc>
          <w:tcPr>
            <w:tcW w:w="84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spacing w:after="0"/>
              <w:rPr>
                <w:sz w:val="17"/>
                <w:szCs w:val="17"/>
                <w:color w:val="auto"/>
              </w:rPr>
            </w:pPr>
          </w:p>
        </w:tc>
        <w:tc>
          <w:tcPr>
            <w:tcW w:w="740" w:type="dxa"/>
            <w:vAlign w:val="bottom"/>
            <w:tcBorders>
              <w:top w:val="single" w:sz="8" w:color="auto"/>
            </w:tcBorders>
            <w:shd w:val="clear" w:color="auto" w:fill="CCEEFF"/>
          </w:tcPr>
          <w:p>
            <w:pPr>
              <w:spacing w:after="0"/>
              <w:rPr>
                <w:sz w:val="17"/>
                <w:szCs w:val="17"/>
                <w:color w:val="auto"/>
              </w:rPr>
            </w:pPr>
          </w:p>
        </w:tc>
        <w:tc>
          <w:tcPr>
            <w:tcW w:w="4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80" w:type="dxa"/>
            <w:vAlign w:val="bottom"/>
          </w:tcPr>
          <w:p>
            <w:pPr>
              <w:spacing w:after="0"/>
              <w:rPr>
                <w:sz w:val="20"/>
                <w:szCs w:val="20"/>
                <w:color w:val="auto"/>
              </w:rPr>
            </w:pPr>
            <w:r>
              <w:rPr>
                <w:rFonts w:ascii="Arial" w:cs="Arial" w:eastAsia="Arial" w:hAnsi="Arial"/>
                <w:sz w:val="18"/>
                <w:szCs w:val="18"/>
                <w:color w:val="auto"/>
              </w:rPr>
              <w:t>Sale of goods</w:t>
            </w:r>
          </w:p>
        </w:tc>
        <w:tc>
          <w:tcPr>
            <w:tcW w:w="3140" w:type="dxa"/>
            <w:vAlign w:val="bottom"/>
            <w:gridSpan w:val="2"/>
          </w:tcPr>
          <w:p>
            <w:pPr>
              <w:jc w:val="right"/>
              <w:spacing w:after="0"/>
              <w:rPr>
                <w:sz w:val="20"/>
                <w:szCs w:val="20"/>
                <w:color w:val="auto"/>
              </w:rPr>
            </w:pPr>
            <w:r>
              <w:rPr>
                <w:rFonts w:ascii="Arial" w:cs="Arial" w:eastAsia="Arial" w:hAnsi="Arial"/>
                <w:sz w:val="18"/>
                <w:szCs w:val="18"/>
                <w:u w:val="single" w:color="auto"/>
                <w:color w:val="auto"/>
              </w:rPr>
              <w:t>A$</w:t>
            </w:r>
            <w:r>
              <w:rPr>
                <w:rFonts w:ascii="Arial" w:cs="Arial" w:eastAsia="Arial" w:hAnsi="Arial"/>
                <w:sz w:val="18"/>
                <w:szCs w:val="18"/>
                <w:color w:val="auto"/>
              </w:rPr>
              <w:t>1,813,195</w:t>
            </w:r>
          </w:p>
        </w:tc>
        <w:tc>
          <w:tcPr>
            <w:tcW w:w="1060" w:type="dxa"/>
            <w:vAlign w:val="bottom"/>
            <w:gridSpan w:val="2"/>
          </w:tcPr>
          <w:p>
            <w:pPr>
              <w:ind w:left="820"/>
              <w:spacing w:after="0"/>
              <w:rPr>
                <w:sz w:val="20"/>
                <w:szCs w:val="20"/>
                <w:color w:val="auto"/>
              </w:rPr>
            </w:pPr>
            <w:r>
              <w:rPr>
                <w:rFonts w:ascii="Arial" w:cs="Arial" w:eastAsia="Arial" w:hAnsi="Arial"/>
                <w:sz w:val="18"/>
                <w:szCs w:val="18"/>
                <w:u w:val="single" w:color="auto"/>
                <w:color w:val="auto"/>
                <w:w w:val="99"/>
              </w:rPr>
              <w:t>A</w:t>
            </w:r>
            <w:r>
              <w:rPr>
                <w:rFonts w:ascii="Arial" w:cs="Arial" w:eastAsia="Arial" w:hAnsi="Arial"/>
                <w:sz w:val="18"/>
                <w:szCs w:val="18"/>
                <w:color w:val="auto"/>
                <w:w w:val="99"/>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607,761</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3380" w:type="dxa"/>
            <w:vAlign w:val="bottom"/>
          </w:tcPr>
          <w:p>
            <w:pPr>
              <w:spacing w:after="0"/>
              <w:rPr>
                <w:sz w:val="2"/>
                <w:szCs w:val="2"/>
                <w:color w:val="auto"/>
              </w:rPr>
            </w:pPr>
          </w:p>
        </w:tc>
        <w:tc>
          <w:tcPr>
            <w:tcW w:w="2180" w:type="dxa"/>
            <w:vAlign w:val="bottom"/>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84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3380" w:type="dxa"/>
            <w:vAlign w:val="bottom"/>
            <w:shd w:val="clear" w:color="auto" w:fill="CCEEFF"/>
          </w:tcPr>
          <w:p>
            <w:pPr>
              <w:spacing w:after="0"/>
              <w:rPr>
                <w:sz w:val="18"/>
                <w:szCs w:val="18"/>
                <w:color w:val="auto"/>
              </w:rPr>
            </w:pPr>
          </w:p>
        </w:tc>
        <w:tc>
          <w:tcPr>
            <w:tcW w:w="314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u w:val="single" w:color="auto"/>
                <w:color w:val="auto"/>
              </w:rPr>
              <w:t>A$</w:t>
            </w:r>
            <w:r>
              <w:rPr>
                <w:rFonts w:ascii="Arial" w:cs="Arial" w:eastAsia="Arial" w:hAnsi="Arial"/>
                <w:sz w:val="18"/>
                <w:szCs w:val="18"/>
                <w:b w:val="1"/>
                <w:bCs w:val="1"/>
                <w:color w:val="auto"/>
              </w:rPr>
              <w:t>1,813,195</w:t>
            </w:r>
          </w:p>
        </w:tc>
        <w:tc>
          <w:tcPr>
            <w:tcW w:w="1060" w:type="dxa"/>
            <w:vAlign w:val="bottom"/>
            <w:gridSpan w:val="2"/>
            <w:shd w:val="clear" w:color="auto" w:fill="CCEEFF"/>
          </w:tcPr>
          <w:p>
            <w:pPr>
              <w:ind w:left="820"/>
              <w:spacing w:after="0"/>
              <w:rPr>
                <w:sz w:val="20"/>
                <w:szCs w:val="20"/>
                <w:color w:val="auto"/>
              </w:rPr>
            </w:pPr>
            <w:r>
              <w:rPr>
                <w:rFonts w:ascii="Arial" w:cs="Arial" w:eastAsia="Arial" w:hAnsi="Arial"/>
                <w:sz w:val="18"/>
                <w:szCs w:val="18"/>
                <w:b w:val="1"/>
                <w:bCs w:val="1"/>
                <w:u w:val="single" w:color="auto"/>
                <w:color w:val="auto"/>
                <w:w w:val="95"/>
              </w:rPr>
              <w:t>A</w:t>
            </w:r>
            <w:r>
              <w:rPr>
                <w:rFonts w:ascii="Arial" w:cs="Arial" w:eastAsia="Arial" w:hAnsi="Arial"/>
                <w:sz w:val="18"/>
                <w:szCs w:val="18"/>
                <w:b w:val="1"/>
                <w:bCs w:val="1"/>
                <w:color w:val="auto"/>
                <w:w w:val="95"/>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607,761</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40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Other Income</w:t>
            </w:r>
          </w:p>
        </w:tc>
        <w:tc>
          <w:tcPr>
            <w:tcW w:w="2180" w:type="dxa"/>
            <w:vAlign w:val="bottom"/>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3400" w:type="dxa"/>
            <w:vAlign w:val="bottom"/>
            <w:gridSpan w:val="2"/>
            <w:vMerge w:val="continue"/>
          </w:tcPr>
          <w:p>
            <w:pPr>
              <w:spacing w:after="0"/>
              <w:rPr>
                <w:sz w:val="18"/>
                <w:szCs w:val="18"/>
                <w:color w:val="auto"/>
              </w:rPr>
            </w:pPr>
          </w:p>
        </w:tc>
        <w:tc>
          <w:tcPr>
            <w:tcW w:w="2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80" w:type="dxa"/>
            <w:vAlign w:val="bottom"/>
            <w:shd w:val="clear" w:color="auto" w:fill="CCEEFF"/>
          </w:tcPr>
          <w:p>
            <w:pPr>
              <w:spacing w:after="0"/>
              <w:rPr>
                <w:sz w:val="20"/>
                <w:szCs w:val="20"/>
                <w:color w:val="auto"/>
              </w:rPr>
            </w:pPr>
            <w:r>
              <w:rPr>
                <w:rFonts w:ascii="Arial" w:cs="Arial" w:eastAsia="Arial" w:hAnsi="Arial"/>
                <w:sz w:val="18"/>
                <w:szCs w:val="18"/>
                <w:color w:val="auto"/>
              </w:rPr>
              <w:t>BARDA income</w:t>
            </w:r>
          </w:p>
        </w:tc>
        <w:tc>
          <w:tcPr>
            <w:tcW w:w="3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A$5,009,137</w:t>
            </w:r>
          </w:p>
        </w:tc>
        <w:tc>
          <w:tcPr>
            <w:tcW w:w="1060" w:type="dxa"/>
            <w:vAlign w:val="bottom"/>
            <w:gridSpan w:val="2"/>
            <w:shd w:val="clear" w:color="auto" w:fill="CCEEFF"/>
          </w:tcPr>
          <w:p>
            <w:pPr>
              <w:ind w:left="820"/>
              <w:spacing w:after="0"/>
              <w:rPr>
                <w:sz w:val="20"/>
                <w:szCs w:val="20"/>
                <w:color w:val="auto"/>
              </w:rPr>
            </w:pPr>
            <w:r>
              <w:rPr>
                <w:rFonts w:ascii="Arial" w:cs="Arial" w:eastAsia="Arial" w:hAnsi="Arial"/>
                <w:sz w:val="18"/>
                <w:szCs w:val="18"/>
                <w:color w:val="auto"/>
                <w:w w:val="99"/>
              </w:rPr>
              <w:t>A$</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3,856,716</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380" w:type="dxa"/>
            <w:vAlign w:val="bottom"/>
          </w:tcPr>
          <w:p>
            <w:pPr>
              <w:spacing w:after="0"/>
              <w:rPr>
                <w:sz w:val="20"/>
                <w:szCs w:val="20"/>
                <w:color w:val="auto"/>
              </w:rPr>
            </w:pPr>
            <w:r>
              <w:rPr>
                <w:rFonts w:ascii="Arial" w:cs="Arial" w:eastAsia="Arial" w:hAnsi="Arial"/>
                <w:sz w:val="18"/>
                <w:szCs w:val="18"/>
                <w:color w:val="auto"/>
              </w:rPr>
              <w:t>Other income</w:t>
            </w:r>
          </w:p>
        </w:tc>
        <w:tc>
          <w:tcPr>
            <w:tcW w:w="2180" w:type="dxa"/>
            <w:vAlign w:val="bottom"/>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103,626</w:t>
            </w:r>
          </w:p>
        </w:tc>
        <w:tc>
          <w:tcPr>
            <w:tcW w:w="84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37,595</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80" w:type="dxa"/>
            <w:vAlign w:val="bottom"/>
            <w:shd w:val="clear" w:color="auto" w:fill="CCEEFF"/>
          </w:tcPr>
          <w:p>
            <w:pPr>
              <w:spacing w:after="0"/>
              <w:rPr>
                <w:sz w:val="18"/>
                <w:szCs w:val="18"/>
                <w:color w:val="auto"/>
              </w:rPr>
            </w:pPr>
          </w:p>
        </w:tc>
        <w:tc>
          <w:tcPr>
            <w:tcW w:w="314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u w:val="single" w:color="auto"/>
                <w:color w:val="auto"/>
              </w:rPr>
              <w:t>A</w:t>
            </w:r>
            <w:r>
              <w:rPr>
                <w:rFonts w:ascii="Arial" w:cs="Arial" w:eastAsia="Arial" w:hAnsi="Arial"/>
                <w:sz w:val="18"/>
                <w:szCs w:val="18"/>
                <w:b w:val="1"/>
                <w:bCs w:val="1"/>
                <w:color w:val="auto"/>
              </w:rPr>
              <w:t>$ 5,112,763</w:t>
            </w:r>
          </w:p>
        </w:tc>
        <w:tc>
          <w:tcPr>
            <w:tcW w:w="1060" w:type="dxa"/>
            <w:vAlign w:val="bottom"/>
            <w:gridSpan w:val="2"/>
            <w:shd w:val="clear" w:color="auto" w:fill="CCEEFF"/>
          </w:tcPr>
          <w:p>
            <w:pPr>
              <w:ind w:left="820"/>
              <w:spacing w:after="0"/>
              <w:rPr>
                <w:sz w:val="20"/>
                <w:szCs w:val="20"/>
                <w:color w:val="auto"/>
              </w:rPr>
            </w:pPr>
            <w:r>
              <w:rPr>
                <w:rFonts w:ascii="Arial" w:cs="Arial" w:eastAsia="Arial" w:hAnsi="Arial"/>
                <w:sz w:val="18"/>
                <w:szCs w:val="18"/>
                <w:b w:val="1"/>
                <w:bCs w:val="1"/>
                <w:u w:val="single" w:color="auto"/>
                <w:color w:val="auto"/>
                <w:w w:val="95"/>
              </w:rPr>
              <w:t>A</w:t>
            </w:r>
            <w:r>
              <w:rPr>
                <w:rFonts w:ascii="Arial" w:cs="Arial" w:eastAsia="Arial" w:hAnsi="Arial"/>
                <w:sz w:val="18"/>
                <w:szCs w:val="18"/>
                <w:b w:val="1"/>
                <w:bCs w:val="1"/>
                <w:color w:val="auto"/>
                <w:w w:val="95"/>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87"/>
              </w:rPr>
              <w:t>3,894,311</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380" w:type="dxa"/>
            <w:vAlign w:val="bottom"/>
          </w:tcPr>
          <w:p>
            <w:pPr>
              <w:spacing w:after="0" w:line="20" w:lineRule="exact"/>
              <w:rPr>
                <w:sz w:val="1"/>
                <w:szCs w:val="1"/>
                <w:color w:val="auto"/>
              </w:rPr>
            </w:pPr>
          </w:p>
        </w:tc>
        <w:tc>
          <w:tcPr>
            <w:tcW w:w="2180" w:type="dxa"/>
            <w:vAlign w:val="bottom"/>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60" w:lineRule="exact"/>
        <w:rPr>
          <w:sz w:val="20"/>
          <w:szCs w:val="20"/>
          <w:color w:val="auto"/>
        </w:rPr>
      </w:pPr>
    </w:p>
    <w:p>
      <w:pPr>
        <w:ind w:left="640" w:hanging="436"/>
        <w:spacing w:after="0"/>
        <w:tabs>
          <w:tab w:leader="none" w:pos="640" w:val="left"/>
        </w:tabs>
        <w:numPr>
          <w:ilvl w:val="0"/>
          <w:numId w:val="207"/>
        </w:numPr>
        <w:rPr>
          <w:rFonts w:ascii="Arial" w:cs="Arial" w:eastAsia="Arial" w:hAnsi="Arial"/>
          <w:sz w:val="18"/>
          <w:szCs w:val="18"/>
          <w:b w:val="1"/>
          <w:bCs w:val="1"/>
          <w:color w:val="auto"/>
        </w:rPr>
      </w:pPr>
      <w:r>
        <w:rPr>
          <w:rFonts w:ascii="Arial" w:cs="Arial" w:eastAsia="Arial" w:hAnsi="Arial"/>
          <w:sz w:val="18"/>
          <w:szCs w:val="18"/>
          <w:b w:val="1"/>
          <w:bCs w:val="1"/>
          <w:color w:val="auto"/>
        </w:rPr>
        <w:t>DIVIDENDS PAID OR PROVIDED FOR ON ORDINARY SHARES</w:t>
      </w:r>
    </w:p>
    <w:p>
      <w:pPr>
        <w:spacing w:after="0" w:line="121" w:lineRule="exact"/>
        <w:rPr>
          <w:sz w:val="20"/>
          <w:szCs w:val="20"/>
          <w:color w:val="auto"/>
        </w:rPr>
      </w:pPr>
    </w:p>
    <w:p>
      <w:pPr>
        <w:ind w:left="200"/>
        <w:spacing w:after="0" w:line="277" w:lineRule="auto"/>
        <w:rPr>
          <w:sz w:val="20"/>
          <w:szCs w:val="20"/>
          <w:color w:val="auto"/>
        </w:rPr>
      </w:pPr>
      <w:r>
        <w:rPr>
          <w:rFonts w:ascii="Arial" w:cs="Arial" w:eastAsia="Arial" w:hAnsi="Arial"/>
          <w:sz w:val="18"/>
          <w:szCs w:val="18"/>
          <w:color w:val="auto"/>
        </w:rPr>
        <w:t>No amounts have been paid, declared or recommended by Avita Medical Limited by way of dividend since the commencement of the half-year, and up to the date of this report.</w:t>
      </w:r>
    </w:p>
    <w:p>
      <w:pPr>
        <w:spacing w:after="0" w:line="315" w:lineRule="exact"/>
        <w:rPr>
          <w:sz w:val="20"/>
          <w:szCs w:val="20"/>
          <w:color w:val="auto"/>
        </w:rPr>
      </w:pPr>
    </w:p>
    <w:p>
      <w:pPr>
        <w:ind w:left="640" w:hanging="436"/>
        <w:spacing w:after="0"/>
        <w:tabs>
          <w:tab w:leader="none" w:pos="640" w:val="left"/>
        </w:tabs>
        <w:numPr>
          <w:ilvl w:val="0"/>
          <w:numId w:val="208"/>
        </w:numPr>
        <w:rPr>
          <w:rFonts w:ascii="Arial" w:cs="Arial" w:eastAsia="Arial" w:hAnsi="Arial"/>
          <w:sz w:val="18"/>
          <w:szCs w:val="18"/>
          <w:b w:val="1"/>
          <w:bCs w:val="1"/>
          <w:color w:val="auto"/>
        </w:rPr>
      </w:pPr>
      <w:r>
        <w:rPr>
          <w:rFonts w:ascii="Arial" w:cs="Arial" w:eastAsia="Arial" w:hAnsi="Arial"/>
          <w:sz w:val="18"/>
          <w:szCs w:val="18"/>
          <w:b w:val="1"/>
          <w:bCs w:val="1"/>
          <w:color w:val="auto"/>
        </w:rPr>
        <w:t>OPERATING SEGMENTS</w:t>
      </w:r>
    </w:p>
    <w:p>
      <w:pPr>
        <w:spacing w:after="0" w:line="121" w:lineRule="exact"/>
        <w:rPr>
          <w:sz w:val="20"/>
          <w:szCs w:val="20"/>
          <w:color w:val="auto"/>
        </w:rPr>
      </w:pPr>
    </w:p>
    <w:p>
      <w:pPr>
        <w:ind w:left="200"/>
        <w:spacing w:after="0"/>
        <w:rPr>
          <w:sz w:val="20"/>
          <w:szCs w:val="20"/>
          <w:color w:val="auto"/>
        </w:rPr>
      </w:pPr>
      <w:r>
        <w:rPr>
          <w:rFonts w:ascii="Arial" w:cs="Arial" w:eastAsia="Arial" w:hAnsi="Arial"/>
          <w:sz w:val="18"/>
          <w:szCs w:val="18"/>
          <w:color w:val="auto"/>
        </w:rPr>
        <w:t>The Company’s chief operating decision maker has been identified as the Chief Executive Officer.</w:t>
      </w:r>
    </w:p>
    <w:p>
      <w:pPr>
        <w:spacing w:after="0" w:line="225" w:lineRule="exact"/>
        <w:rPr>
          <w:sz w:val="20"/>
          <w:szCs w:val="20"/>
          <w:color w:val="auto"/>
        </w:rPr>
      </w:pPr>
    </w:p>
    <w:p>
      <w:pPr>
        <w:jc w:val="both"/>
        <w:ind w:left="200" w:right="200"/>
        <w:spacing w:after="0" w:line="312" w:lineRule="auto"/>
        <w:rPr>
          <w:sz w:val="20"/>
          <w:szCs w:val="20"/>
          <w:color w:val="auto"/>
        </w:rPr>
      </w:pPr>
      <w:r>
        <w:rPr>
          <w:rFonts w:ascii="Arial" w:cs="Arial" w:eastAsia="Arial" w:hAnsi="Arial"/>
          <w:sz w:val="16"/>
          <w:szCs w:val="16"/>
          <w:color w:val="auto"/>
        </w:rPr>
        <w:t>The Chief Executive Officer reviews the financial and operating performance of the business primarily from a geographic perspective. On this basis, management have identified three reportable segments being the Asia Pacific, Europe and Americas including Canada. The Chief Executive Officer monitors the performance of all these segments separately. The Company does not operate in any other geographic segment.</w:t>
      </w:r>
    </w:p>
    <w:p>
      <w:pPr>
        <w:spacing w:after="0" w:line="147" w:lineRule="exact"/>
        <w:rPr>
          <w:sz w:val="20"/>
          <w:szCs w:val="20"/>
          <w:color w:val="auto"/>
        </w:rPr>
      </w:pPr>
    </w:p>
    <w:p>
      <w:pPr>
        <w:ind w:left="200"/>
        <w:spacing w:after="0"/>
        <w:rPr>
          <w:sz w:val="20"/>
          <w:szCs w:val="20"/>
          <w:color w:val="auto"/>
        </w:rPr>
      </w:pPr>
      <w:r>
        <w:rPr>
          <w:rFonts w:ascii="Arial" w:cs="Arial" w:eastAsia="Arial" w:hAnsi="Arial"/>
          <w:sz w:val="17"/>
          <w:szCs w:val="17"/>
          <w:color w:val="auto"/>
        </w:rPr>
        <w:t>The Chief Executive Officer assesses the performance of the operating segments based on a measure of gross margin and net profit before tax.</w:t>
      </w:r>
    </w:p>
    <w:p>
      <w:pPr>
        <w:spacing w:after="0" w:line="237" w:lineRule="exact"/>
        <w:rPr>
          <w:sz w:val="20"/>
          <w:szCs w:val="20"/>
          <w:color w:val="auto"/>
        </w:rPr>
      </w:pPr>
    </w:p>
    <w:p>
      <w:pPr>
        <w:ind w:left="200"/>
        <w:spacing w:after="0"/>
        <w:rPr>
          <w:sz w:val="20"/>
          <w:szCs w:val="20"/>
          <w:color w:val="auto"/>
        </w:rPr>
      </w:pPr>
      <w:r>
        <w:rPr>
          <w:rFonts w:ascii="Arial" w:cs="Arial" w:eastAsia="Arial" w:hAnsi="Arial"/>
          <w:sz w:val="18"/>
          <w:szCs w:val="18"/>
          <w:u w:val="single" w:color="auto"/>
          <w:color w:val="auto"/>
        </w:rPr>
        <w:t>Unallocated</w:t>
      </w:r>
    </w:p>
    <w:p>
      <w:pPr>
        <w:spacing w:after="0" w:line="225" w:lineRule="exact"/>
        <w:rPr>
          <w:sz w:val="20"/>
          <w:szCs w:val="20"/>
          <w:color w:val="auto"/>
        </w:rPr>
      </w:pPr>
    </w:p>
    <w:p>
      <w:pPr>
        <w:ind w:left="200" w:right="260"/>
        <w:spacing w:after="0" w:line="277" w:lineRule="auto"/>
        <w:rPr>
          <w:sz w:val="20"/>
          <w:szCs w:val="20"/>
          <w:color w:val="auto"/>
        </w:rPr>
      </w:pPr>
      <w:r>
        <w:rPr>
          <w:rFonts w:ascii="Arial" w:cs="Arial" w:eastAsia="Arial" w:hAnsi="Arial"/>
          <w:sz w:val="18"/>
          <w:szCs w:val="18"/>
          <w:color w:val="auto"/>
        </w:rPr>
        <w:t>The following items of income and expense and associated assets are not allocated to operating segments as they are not considered part of the core operations of any segment:</w:t>
      </w:r>
    </w:p>
    <w:p>
      <w:pPr>
        <w:spacing w:after="0" w:line="76" w:lineRule="exact"/>
        <w:rPr>
          <w:sz w:val="20"/>
          <w:szCs w:val="20"/>
          <w:color w:val="auto"/>
        </w:rPr>
      </w:pPr>
    </w:p>
    <w:p>
      <w:pPr>
        <w:ind w:left="1180" w:hanging="436"/>
        <w:spacing w:after="0"/>
        <w:tabs>
          <w:tab w:leader="none" w:pos="1180" w:val="left"/>
        </w:tabs>
        <w:numPr>
          <w:ilvl w:val="0"/>
          <w:numId w:val="209"/>
        </w:numPr>
        <w:rPr>
          <w:rFonts w:ascii="Arial" w:cs="Arial" w:eastAsia="Arial" w:hAnsi="Arial"/>
          <w:sz w:val="18"/>
          <w:szCs w:val="18"/>
          <w:color w:val="auto"/>
        </w:rPr>
      </w:pPr>
      <w:r>
        <w:rPr>
          <w:rFonts w:ascii="Arial" w:cs="Arial" w:eastAsia="Arial" w:hAnsi="Arial"/>
          <w:sz w:val="18"/>
          <w:szCs w:val="18"/>
          <w:color w:val="auto"/>
        </w:rPr>
        <w:t>Corporate revenue</w:t>
      </w:r>
    </w:p>
    <w:p>
      <w:pPr>
        <w:spacing w:after="0" w:line="130" w:lineRule="exact"/>
        <w:rPr>
          <w:rFonts w:ascii="Arial" w:cs="Arial" w:eastAsia="Arial" w:hAnsi="Arial"/>
          <w:sz w:val="18"/>
          <w:szCs w:val="18"/>
          <w:color w:val="auto"/>
        </w:rPr>
      </w:pPr>
    </w:p>
    <w:p>
      <w:pPr>
        <w:ind w:left="1180" w:hanging="436"/>
        <w:spacing w:after="0"/>
        <w:tabs>
          <w:tab w:leader="none" w:pos="1180" w:val="left"/>
        </w:tabs>
        <w:numPr>
          <w:ilvl w:val="0"/>
          <w:numId w:val="209"/>
        </w:numPr>
        <w:rPr>
          <w:rFonts w:ascii="Arial" w:cs="Arial" w:eastAsia="Arial" w:hAnsi="Arial"/>
          <w:sz w:val="18"/>
          <w:szCs w:val="18"/>
          <w:color w:val="auto"/>
        </w:rPr>
      </w:pPr>
      <w:r>
        <w:rPr>
          <w:rFonts w:ascii="Arial" w:cs="Arial" w:eastAsia="Arial" w:hAnsi="Arial"/>
          <w:sz w:val="18"/>
          <w:szCs w:val="18"/>
          <w:color w:val="auto"/>
        </w:rPr>
        <w:t>Corporate charges</w:t>
      </w:r>
    </w:p>
    <w:p>
      <w:pPr>
        <w:spacing w:after="0" w:line="158" w:lineRule="exact"/>
        <w:rPr>
          <w:sz w:val="20"/>
          <w:szCs w:val="20"/>
          <w:color w:val="auto"/>
        </w:rPr>
      </w:pPr>
    </w:p>
    <w:p>
      <w:pPr>
        <w:jc w:val="center"/>
        <w:ind w:right="-339"/>
        <w:spacing w:after="0"/>
        <w:rPr>
          <w:sz w:val="20"/>
          <w:szCs w:val="20"/>
          <w:color w:val="auto"/>
        </w:rPr>
      </w:pPr>
      <w:r>
        <w:rPr>
          <w:rFonts w:ascii="Arial" w:cs="Arial" w:eastAsia="Arial" w:hAnsi="Arial"/>
          <w:sz w:val="18"/>
          <w:szCs w:val="18"/>
          <w:color w:val="auto"/>
        </w:rPr>
        <w:t>F-60</w:t>
      </w:r>
    </w:p>
    <w:p>
      <w:pPr>
        <w:sectPr>
          <w:pgSz w:w="11900" w:h="16838" w:orient="portrait"/>
          <w:cols w:equalWidth="0" w:num="1">
            <w:col w:w="11100"/>
          </w:cols>
          <w:pgMar w:left="240" w:top="460" w:right="559" w:bottom="1440" w:gutter="0" w:footer="0" w:header="0"/>
        </w:sectPr>
      </w:pPr>
    </w:p>
    <w:bookmarkStart w:id="159" w:name="page160"/>
    <w:bookmarkEnd w:id="15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20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AVITA MEDICAL LIMITED</w:t>
      </w:r>
    </w:p>
    <w:p>
      <w:pPr>
        <w:spacing w:after="0" w:line="27"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NOTES TO THE HALF-YEAR CONDENSED CONSOLIDATED FINANCIAL STATEMENTS</w:t>
      </w:r>
    </w:p>
    <w:p>
      <w:pPr>
        <w:spacing w:after="0" w:line="9"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(IN AUSTRALIAN DOLLARS)</w:t>
      </w:r>
    </w:p>
    <w:p>
      <w:pPr>
        <w:spacing w:after="0" w:line="9"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(UNAUDITED)</w:t>
      </w:r>
    </w:p>
    <w:p>
      <w:pPr>
        <w:spacing w:after="0" w:line="234" w:lineRule="exact"/>
        <w:rPr>
          <w:sz w:val="20"/>
          <w:szCs w:val="20"/>
          <w:color w:val="auto"/>
        </w:rPr>
      </w:pPr>
    </w:p>
    <w:p>
      <w:pPr>
        <w:ind w:left="640" w:hanging="436"/>
        <w:spacing w:after="0"/>
        <w:tabs>
          <w:tab w:leader="none" w:pos="640" w:val="left"/>
        </w:tabs>
        <w:numPr>
          <w:ilvl w:val="0"/>
          <w:numId w:val="210"/>
        </w:numPr>
        <w:rPr>
          <w:rFonts w:ascii="Arial" w:cs="Arial" w:eastAsia="Arial" w:hAnsi="Arial"/>
          <w:sz w:val="18"/>
          <w:szCs w:val="18"/>
          <w:b w:val="1"/>
          <w:bCs w:val="1"/>
          <w:color w:val="auto"/>
        </w:rPr>
      </w:pPr>
      <w:r>
        <w:rPr>
          <w:rFonts w:ascii="Arial" w:cs="Arial" w:eastAsia="Arial" w:hAnsi="Arial"/>
          <w:sz w:val="18"/>
          <w:szCs w:val="18"/>
          <w:b w:val="1"/>
          <w:bCs w:val="1"/>
          <w:color w:val="auto"/>
        </w:rPr>
        <w:t>OPERATING SEGMENTS (CONTINUED)</w:t>
      </w:r>
    </w:p>
    <w:p>
      <w:pPr>
        <w:spacing w:after="0" w:line="135" w:lineRule="exact"/>
        <w:rPr>
          <w:sz w:val="20"/>
          <w:szCs w:val="20"/>
          <w:color w:val="auto"/>
        </w:rPr>
      </w:pPr>
    </w:p>
    <w:p>
      <w:pPr>
        <w:ind w:left="200"/>
        <w:spacing w:after="0"/>
        <w:rPr>
          <w:sz w:val="20"/>
          <w:szCs w:val="20"/>
          <w:color w:val="auto"/>
        </w:rPr>
      </w:pPr>
      <w:r>
        <w:rPr>
          <w:rFonts w:ascii="Arial" w:cs="Arial" w:eastAsia="Arial" w:hAnsi="Arial"/>
          <w:sz w:val="16"/>
          <w:szCs w:val="16"/>
          <w:color w:val="auto"/>
        </w:rPr>
        <w:t>The segment information provided to the Chief Executive Officer for the reportable segments for the half-year ended December 31, 2018 is as follows:</w:t>
      </w:r>
    </w:p>
    <w:p>
      <w:pPr>
        <w:spacing w:after="0" w:line="258" w:lineRule="exact"/>
        <w:rPr>
          <w:sz w:val="20"/>
          <w:szCs w:val="20"/>
          <w:color w:val="auto"/>
        </w:rPr>
      </w:pPr>
    </w:p>
    <w:tbl>
      <w:tblPr>
        <w:tblLayout w:type="fixed"/>
        <w:tblInd w:w="20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9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660" w:type="dxa"/>
            <w:vAlign w:val="bottom"/>
            <w:gridSpan w:val="4"/>
          </w:tcPr>
          <w:p>
            <w:pPr>
              <w:ind w:left="180"/>
              <w:spacing w:after="0"/>
              <w:rPr>
                <w:sz w:val="20"/>
                <w:szCs w:val="20"/>
                <w:color w:val="auto"/>
              </w:rPr>
            </w:pPr>
            <w:r>
              <w:rPr>
                <w:rFonts w:ascii="Arial" w:cs="Arial" w:eastAsia="Arial" w:hAnsi="Arial"/>
                <w:sz w:val="14"/>
                <w:szCs w:val="14"/>
                <w:b w:val="1"/>
                <w:bCs w:val="1"/>
                <w:i w:val="1"/>
                <w:iCs w:val="1"/>
                <w:color w:val="auto"/>
                <w:w w:val="96"/>
              </w:rPr>
              <w:t>Continuing Operations</w:t>
            </w: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49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20" w:type="dxa"/>
            <w:vAlign w:val="bottom"/>
            <w:gridSpan w:val="2"/>
          </w:tcPr>
          <w:p>
            <w:pPr>
              <w:ind w:left="80"/>
              <w:spacing w:after="0"/>
              <w:rPr>
                <w:sz w:val="20"/>
                <w:szCs w:val="20"/>
                <w:color w:val="auto"/>
              </w:rPr>
            </w:pPr>
            <w:r>
              <w:rPr>
                <w:rFonts w:ascii="Arial" w:cs="Arial" w:eastAsia="Arial" w:hAnsi="Arial"/>
                <w:sz w:val="14"/>
                <w:szCs w:val="14"/>
                <w:b w:val="1"/>
                <w:bCs w:val="1"/>
                <w:i w:val="1"/>
                <w:iCs w:val="1"/>
                <w:color w:val="auto"/>
              </w:rPr>
              <w:t>Asia Pacific</w:t>
            </w:r>
          </w:p>
        </w:tc>
        <w:tc>
          <w:tcPr>
            <w:tcW w:w="3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120" w:type="dxa"/>
            <w:vAlign w:val="bottom"/>
            <w:gridSpan w:val="2"/>
          </w:tcPr>
          <w:p>
            <w:pPr>
              <w:ind w:left="20"/>
              <w:spacing w:after="0"/>
              <w:rPr>
                <w:sz w:val="20"/>
                <w:szCs w:val="20"/>
                <w:color w:val="auto"/>
              </w:rPr>
            </w:pPr>
            <w:r>
              <w:rPr>
                <w:rFonts w:ascii="Arial" w:cs="Arial" w:eastAsia="Arial" w:hAnsi="Arial"/>
                <w:sz w:val="14"/>
                <w:szCs w:val="14"/>
                <w:b w:val="1"/>
                <w:bCs w:val="1"/>
                <w:i w:val="1"/>
                <w:iCs w:val="1"/>
                <w:color w:val="auto"/>
              </w:rPr>
              <w:t>Europe</w:t>
            </w: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80" w:type="dxa"/>
            <w:vAlign w:val="bottom"/>
            <w:gridSpan w:val="2"/>
          </w:tcPr>
          <w:p>
            <w:pPr>
              <w:jc w:val="right"/>
              <w:ind w:right="580"/>
              <w:spacing w:after="0"/>
              <w:rPr>
                <w:sz w:val="20"/>
                <w:szCs w:val="20"/>
                <w:color w:val="auto"/>
              </w:rPr>
            </w:pPr>
            <w:r>
              <w:rPr>
                <w:rFonts w:ascii="Arial" w:cs="Arial" w:eastAsia="Arial" w:hAnsi="Arial"/>
                <w:sz w:val="14"/>
                <w:szCs w:val="14"/>
                <w:b w:val="1"/>
                <w:bCs w:val="1"/>
                <w:i w:val="1"/>
                <w:iCs w:val="1"/>
                <w:color w:val="auto"/>
                <w:w w:val="91"/>
              </w:rPr>
              <w:t>Americas</w:t>
            </w:r>
          </w:p>
        </w:tc>
        <w:tc>
          <w:tcPr>
            <w:tcW w:w="2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0" w:type="dxa"/>
            <w:vAlign w:val="bottom"/>
            <w:gridSpan w:val="2"/>
          </w:tcPr>
          <w:p>
            <w:pPr>
              <w:jc w:val="right"/>
              <w:ind w:right="520"/>
              <w:spacing w:after="0"/>
              <w:rPr>
                <w:sz w:val="20"/>
                <w:szCs w:val="20"/>
                <w:color w:val="auto"/>
              </w:rPr>
            </w:pPr>
            <w:r>
              <w:rPr>
                <w:rFonts w:ascii="Arial" w:cs="Arial" w:eastAsia="Arial" w:hAnsi="Arial"/>
                <w:sz w:val="14"/>
                <w:szCs w:val="14"/>
                <w:b w:val="1"/>
                <w:bCs w:val="1"/>
                <w:i w:val="1"/>
                <w:iCs w:val="1"/>
                <w:color w:val="auto"/>
              </w:rPr>
              <w:t>Total</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Half-year ended December 31, 2018</w:t>
            </w:r>
          </w:p>
        </w:tc>
        <w:tc>
          <w:tcPr>
            <w:tcW w:w="3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24"/>
        </w:trPr>
        <w:tc>
          <w:tcPr>
            <w:tcW w:w="4940" w:type="dxa"/>
            <w:vAlign w:val="bottom"/>
            <w:gridSpan w:val="2"/>
          </w:tcPr>
          <w:p>
            <w:pPr>
              <w:spacing w:after="0"/>
              <w:rPr>
                <w:sz w:val="20"/>
                <w:szCs w:val="20"/>
                <w:color w:val="auto"/>
              </w:rPr>
            </w:pPr>
            <w:r>
              <w:rPr>
                <w:rFonts w:ascii="Arial" w:cs="Arial" w:eastAsia="Arial" w:hAnsi="Arial"/>
                <w:sz w:val="18"/>
                <w:szCs w:val="18"/>
                <w:b w:val="1"/>
                <w:bCs w:val="1"/>
                <w:color w:val="auto"/>
              </w:rPr>
              <w:t>Revenue</w:t>
            </w:r>
          </w:p>
        </w:tc>
        <w:tc>
          <w:tcPr>
            <w:tcW w:w="3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20" w:type="dxa"/>
            <w:vAlign w:val="bottom"/>
            <w:shd w:val="clear" w:color="auto" w:fill="CCEEFF"/>
          </w:tcPr>
          <w:p>
            <w:pPr>
              <w:spacing w:after="0"/>
              <w:rPr>
                <w:sz w:val="20"/>
                <w:szCs w:val="20"/>
                <w:color w:val="auto"/>
              </w:rPr>
            </w:pPr>
            <w:r>
              <w:rPr>
                <w:rFonts w:ascii="Arial" w:cs="Arial" w:eastAsia="Arial" w:hAnsi="Arial"/>
                <w:sz w:val="18"/>
                <w:szCs w:val="18"/>
                <w:color w:val="auto"/>
              </w:rPr>
              <w:t>Sales to external customers</w:t>
            </w:r>
          </w:p>
        </w:tc>
        <w:tc>
          <w:tcPr>
            <w:tcW w:w="1460" w:type="dxa"/>
            <w:vAlign w:val="bottom"/>
            <w:gridSpan w:val="3"/>
            <w:shd w:val="clear" w:color="auto" w:fill="CCEEFF"/>
          </w:tcPr>
          <w:p>
            <w:pPr>
              <w:ind w:left="340"/>
              <w:spacing w:after="0"/>
              <w:rPr>
                <w:sz w:val="20"/>
                <w:szCs w:val="20"/>
                <w:color w:val="auto"/>
              </w:rPr>
            </w:pPr>
            <w:r>
              <w:rPr>
                <w:rFonts w:ascii="Arial" w:cs="Arial" w:eastAsia="Arial" w:hAnsi="Arial"/>
                <w:sz w:val="18"/>
                <w:szCs w:val="18"/>
                <w:u w:val="single" w:color="auto"/>
                <w:color w:val="auto"/>
              </w:rPr>
              <w:t>A</w:t>
            </w:r>
            <w:r>
              <w:rPr>
                <w:rFonts w:ascii="Arial" w:cs="Arial" w:eastAsia="Arial" w:hAnsi="Arial"/>
                <w:sz w:val="18"/>
                <w:szCs w:val="18"/>
                <w:color w:val="auto"/>
              </w:rPr>
              <w:t>$ 457,571</w:t>
            </w:r>
          </w:p>
        </w:tc>
        <w:tc>
          <w:tcPr>
            <w:tcW w:w="540" w:type="dxa"/>
            <w:vAlign w:val="bottom"/>
            <w:gridSpan w:val="2"/>
            <w:shd w:val="clear" w:color="auto" w:fill="CCEEFF"/>
          </w:tcPr>
          <w:p>
            <w:pPr>
              <w:ind w:left="300"/>
              <w:spacing w:after="0"/>
              <w:rPr>
                <w:sz w:val="20"/>
                <w:szCs w:val="20"/>
                <w:color w:val="auto"/>
              </w:rPr>
            </w:pPr>
            <w:r>
              <w:rPr>
                <w:rFonts w:ascii="Arial" w:cs="Arial" w:eastAsia="Arial" w:hAnsi="Arial"/>
                <w:sz w:val="18"/>
                <w:szCs w:val="18"/>
                <w:u w:val="single" w:color="auto"/>
                <w:color w:val="auto"/>
                <w:w w:val="99"/>
              </w:rPr>
              <w:t>A</w:t>
            </w:r>
            <w:r>
              <w:rPr>
                <w:rFonts w:ascii="Arial" w:cs="Arial" w:eastAsia="Arial" w:hAnsi="Arial"/>
                <w:sz w:val="18"/>
                <w:szCs w:val="18"/>
                <w:color w:val="auto"/>
                <w:w w:val="99"/>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253,633</w:t>
            </w:r>
          </w:p>
        </w:tc>
        <w:tc>
          <w:tcPr>
            <w:tcW w:w="400" w:type="dxa"/>
            <w:vAlign w:val="bottom"/>
            <w:shd w:val="clear" w:color="auto" w:fill="CCEEFF"/>
          </w:tcPr>
          <w:p>
            <w:pPr>
              <w:spacing w:after="0"/>
              <w:rPr>
                <w:sz w:val="18"/>
                <w:szCs w:val="18"/>
                <w:color w:val="auto"/>
              </w:rPr>
            </w:pPr>
          </w:p>
        </w:tc>
        <w:tc>
          <w:tcPr>
            <w:tcW w:w="320" w:type="dxa"/>
            <w:vAlign w:val="bottom"/>
            <w:gridSpan w:val="2"/>
            <w:shd w:val="clear" w:color="auto" w:fill="CCEEFF"/>
          </w:tcPr>
          <w:p>
            <w:pPr>
              <w:ind w:left="100"/>
              <w:spacing w:after="0"/>
              <w:rPr>
                <w:sz w:val="20"/>
                <w:szCs w:val="20"/>
                <w:color w:val="auto"/>
              </w:rPr>
            </w:pPr>
            <w:r>
              <w:rPr>
                <w:rFonts w:ascii="Arial" w:cs="Arial" w:eastAsia="Arial" w:hAnsi="Arial"/>
                <w:sz w:val="18"/>
                <w:szCs w:val="18"/>
                <w:u w:val="single" w:color="auto"/>
                <w:color w:val="auto"/>
                <w:w w:val="90"/>
              </w:rPr>
              <w:t>A</w:t>
            </w:r>
            <w:r>
              <w:rPr>
                <w:rFonts w:ascii="Arial" w:cs="Arial" w:eastAsia="Arial" w:hAnsi="Arial"/>
                <w:sz w:val="18"/>
                <w:szCs w:val="18"/>
                <w:color w:val="auto"/>
                <w:w w:val="90"/>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1,101,991</w:t>
            </w:r>
          </w:p>
        </w:tc>
        <w:tc>
          <w:tcPr>
            <w:tcW w:w="300" w:type="dxa"/>
            <w:vAlign w:val="bottom"/>
            <w:shd w:val="clear" w:color="auto" w:fill="CCEEFF"/>
          </w:tcPr>
          <w:p>
            <w:pPr>
              <w:spacing w:after="0"/>
              <w:rPr>
                <w:sz w:val="18"/>
                <w:szCs w:val="18"/>
                <w:color w:val="auto"/>
              </w:rPr>
            </w:pPr>
          </w:p>
        </w:tc>
        <w:tc>
          <w:tcPr>
            <w:tcW w:w="480" w:type="dxa"/>
            <w:vAlign w:val="bottom"/>
            <w:gridSpan w:val="2"/>
            <w:shd w:val="clear" w:color="auto" w:fill="CCEEFF"/>
          </w:tcPr>
          <w:p>
            <w:pPr>
              <w:ind w:left="240"/>
              <w:spacing w:after="0"/>
              <w:rPr>
                <w:sz w:val="20"/>
                <w:szCs w:val="20"/>
                <w:color w:val="auto"/>
              </w:rPr>
            </w:pPr>
            <w:r>
              <w:rPr>
                <w:rFonts w:ascii="Arial" w:cs="Arial" w:eastAsia="Arial" w:hAnsi="Arial"/>
                <w:sz w:val="18"/>
                <w:szCs w:val="18"/>
                <w:u w:val="single" w:color="auto"/>
                <w:color w:val="auto"/>
                <w:w w:val="99"/>
              </w:rPr>
              <w:t>A</w:t>
            </w:r>
            <w:r>
              <w:rPr>
                <w:rFonts w:ascii="Arial" w:cs="Arial" w:eastAsia="Arial" w:hAnsi="Arial"/>
                <w:sz w:val="18"/>
                <w:szCs w:val="18"/>
                <w:color w:val="auto"/>
                <w:w w:val="9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1,813,195</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5"/>
        </w:trPr>
        <w:tc>
          <w:tcPr>
            <w:tcW w:w="4940" w:type="dxa"/>
            <w:vAlign w:val="bottom"/>
            <w:gridSpan w:val="2"/>
          </w:tcPr>
          <w:p>
            <w:pPr>
              <w:spacing w:after="0" w:line="205" w:lineRule="exact"/>
              <w:rPr>
                <w:sz w:val="20"/>
                <w:szCs w:val="20"/>
                <w:color w:val="auto"/>
              </w:rPr>
            </w:pPr>
            <w:r>
              <w:rPr>
                <w:rFonts w:ascii="Arial" w:cs="Arial" w:eastAsia="Arial" w:hAnsi="Arial"/>
                <w:sz w:val="18"/>
                <w:szCs w:val="18"/>
                <w:b w:val="1"/>
                <w:bCs w:val="1"/>
                <w:color w:val="auto"/>
              </w:rPr>
              <w:t>Total revenue per statement of profit of loss and other</w:t>
            </w:r>
          </w:p>
        </w:tc>
        <w:tc>
          <w:tcPr>
            <w:tcW w:w="340" w:type="dxa"/>
            <w:vAlign w:val="bottom"/>
          </w:tcPr>
          <w:p>
            <w:pPr>
              <w:spacing w:after="0"/>
              <w:rPr>
                <w:sz w:val="17"/>
                <w:szCs w:val="17"/>
                <w:color w:val="auto"/>
              </w:rPr>
            </w:pPr>
          </w:p>
        </w:tc>
        <w:tc>
          <w:tcPr>
            <w:tcW w:w="880" w:type="dxa"/>
            <w:vAlign w:val="bottom"/>
            <w:tcBorders>
              <w:top w:val="single" w:sz="8" w:color="auto"/>
            </w:tcBorders>
          </w:tcPr>
          <w:p>
            <w:pPr>
              <w:spacing w:after="0"/>
              <w:rPr>
                <w:sz w:val="17"/>
                <w:szCs w:val="17"/>
                <w:color w:val="auto"/>
              </w:rPr>
            </w:pPr>
          </w:p>
        </w:tc>
        <w:tc>
          <w:tcPr>
            <w:tcW w:w="2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720" w:type="dxa"/>
            <w:vAlign w:val="bottom"/>
            <w:tcBorders>
              <w:top w:val="single" w:sz="8" w:color="auto"/>
            </w:tcBorders>
          </w:tcPr>
          <w:p>
            <w:pPr>
              <w:spacing w:after="0"/>
              <w:rPr>
                <w:sz w:val="17"/>
                <w:szCs w:val="17"/>
                <w:color w:val="auto"/>
              </w:rPr>
            </w:pPr>
          </w:p>
        </w:tc>
        <w:tc>
          <w:tcPr>
            <w:tcW w:w="4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880" w:type="dxa"/>
            <w:vAlign w:val="bottom"/>
            <w:tcBorders>
              <w:top w:val="single" w:sz="8" w:color="auto"/>
            </w:tcBorders>
          </w:tcPr>
          <w:p>
            <w:pPr>
              <w:spacing w:after="0"/>
              <w:rPr>
                <w:sz w:val="17"/>
                <w:szCs w:val="17"/>
                <w:color w:val="auto"/>
              </w:rPr>
            </w:pPr>
          </w:p>
        </w:tc>
        <w:tc>
          <w:tcPr>
            <w:tcW w:w="3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88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4920" w:type="dxa"/>
            <w:vAlign w:val="bottom"/>
          </w:tcPr>
          <w:p>
            <w:pPr>
              <w:ind w:left="160"/>
              <w:spacing w:after="0"/>
              <w:rPr>
                <w:sz w:val="20"/>
                <w:szCs w:val="20"/>
                <w:color w:val="auto"/>
              </w:rPr>
            </w:pPr>
            <w:r>
              <w:rPr>
                <w:rFonts w:ascii="Arial" w:cs="Arial" w:eastAsia="Arial" w:hAnsi="Arial"/>
                <w:sz w:val="18"/>
                <w:szCs w:val="18"/>
                <w:b w:val="1"/>
                <w:bCs w:val="1"/>
                <w:color w:val="auto"/>
              </w:rPr>
              <w:t>comprehensive income</w:t>
            </w:r>
          </w:p>
        </w:tc>
        <w:tc>
          <w:tcPr>
            <w:tcW w:w="340" w:type="dxa"/>
            <w:vAlign w:val="bottom"/>
          </w:tcPr>
          <w:p>
            <w:pPr>
              <w:spacing w:after="0"/>
              <w:rPr>
                <w:sz w:val="20"/>
                <w:szCs w:val="20"/>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457,571</w:t>
            </w:r>
          </w:p>
        </w:tc>
        <w:tc>
          <w:tcPr>
            <w:tcW w:w="2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253,633</w:t>
            </w:r>
          </w:p>
        </w:tc>
        <w:tc>
          <w:tcPr>
            <w:tcW w:w="4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1,101,991</w:t>
            </w:r>
          </w:p>
        </w:tc>
        <w:tc>
          <w:tcPr>
            <w:tcW w:w="3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1,813,195</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20" w:type="dxa"/>
            <w:vAlign w:val="bottom"/>
            <w:shd w:val="clear" w:color="auto" w:fill="CCEEFF"/>
          </w:tcPr>
          <w:p>
            <w:pPr>
              <w:spacing w:after="0"/>
              <w:rPr>
                <w:sz w:val="20"/>
                <w:szCs w:val="20"/>
                <w:color w:val="auto"/>
              </w:rPr>
            </w:pPr>
            <w:r>
              <w:rPr>
                <w:rFonts w:ascii="Arial" w:cs="Arial" w:eastAsia="Arial" w:hAnsi="Arial"/>
                <w:sz w:val="18"/>
                <w:szCs w:val="18"/>
                <w:color w:val="auto"/>
              </w:rPr>
              <w:t>BARDA income and other income</w:t>
            </w:r>
          </w:p>
        </w:tc>
        <w:tc>
          <w:tcPr>
            <w:tcW w:w="1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9,552</w:t>
            </w:r>
          </w:p>
        </w:tc>
        <w:tc>
          <w:tcPr>
            <w:tcW w:w="2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269</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5,102,941</w:t>
            </w:r>
          </w:p>
        </w:tc>
        <w:tc>
          <w:tcPr>
            <w:tcW w:w="3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5,112,762</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920" w:type="dxa"/>
            <w:vAlign w:val="bottom"/>
          </w:tcPr>
          <w:p>
            <w:pPr>
              <w:spacing w:after="0"/>
              <w:rPr>
                <w:sz w:val="20"/>
                <w:szCs w:val="20"/>
                <w:color w:val="auto"/>
              </w:rPr>
            </w:pPr>
            <w:r>
              <w:rPr>
                <w:rFonts w:ascii="Arial" w:cs="Arial" w:eastAsia="Arial" w:hAnsi="Arial"/>
                <w:sz w:val="18"/>
                <w:szCs w:val="18"/>
                <w:color w:val="auto"/>
              </w:rPr>
              <w:t>Segment net loss before tax</w:t>
            </w:r>
          </w:p>
        </w:tc>
        <w:tc>
          <w:tcPr>
            <w:tcW w:w="1460" w:type="dxa"/>
            <w:vAlign w:val="bottom"/>
            <w:gridSpan w:val="3"/>
          </w:tcPr>
          <w:p>
            <w:pPr>
              <w:ind w:left="340"/>
              <w:spacing w:after="0"/>
              <w:rPr>
                <w:sz w:val="20"/>
                <w:szCs w:val="20"/>
                <w:color w:val="auto"/>
              </w:rPr>
            </w:pPr>
            <w:r>
              <w:rPr>
                <w:rFonts w:ascii="Arial" w:cs="Arial" w:eastAsia="Arial" w:hAnsi="Arial"/>
                <w:sz w:val="18"/>
                <w:szCs w:val="18"/>
                <w:u w:val="single" w:color="auto"/>
                <w:color w:val="auto"/>
              </w:rPr>
              <w:t>A$</w:t>
            </w:r>
            <w:r>
              <w:rPr>
                <w:rFonts w:ascii="Arial" w:cs="Arial" w:eastAsia="Arial" w:hAnsi="Arial"/>
                <w:sz w:val="18"/>
                <w:szCs w:val="18"/>
                <w:color w:val="auto"/>
              </w:rPr>
              <w:t>(626,901)</w:t>
            </w:r>
          </w:p>
        </w:tc>
        <w:tc>
          <w:tcPr>
            <w:tcW w:w="540" w:type="dxa"/>
            <w:vAlign w:val="bottom"/>
            <w:gridSpan w:val="2"/>
          </w:tcPr>
          <w:p>
            <w:pPr>
              <w:ind w:left="300"/>
              <w:spacing w:after="0"/>
              <w:rPr>
                <w:sz w:val="20"/>
                <w:szCs w:val="20"/>
                <w:color w:val="auto"/>
              </w:rPr>
            </w:pPr>
            <w:r>
              <w:rPr>
                <w:rFonts w:ascii="Arial" w:cs="Arial" w:eastAsia="Arial" w:hAnsi="Arial"/>
                <w:sz w:val="18"/>
                <w:szCs w:val="18"/>
                <w:u w:val="single" w:color="auto"/>
                <w:color w:val="auto"/>
                <w:w w:val="99"/>
              </w:rPr>
              <w:t>A$</w:t>
            </w:r>
          </w:p>
        </w:tc>
        <w:tc>
          <w:tcPr>
            <w:tcW w:w="720" w:type="dxa"/>
            <w:vAlign w:val="bottom"/>
          </w:tcPr>
          <w:p>
            <w:pPr>
              <w:jc w:val="right"/>
              <w:spacing w:after="0"/>
              <w:rPr>
                <w:sz w:val="20"/>
                <w:szCs w:val="20"/>
                <w:color w:val="auto"/>
              </w:rPr>
            </w:pPr>
            <w:r>
              <w:rPr>
                <w:rFonts w:ascii="Arial" w:cs="Arial" w:eastAsia="Arial" w:hAnsi="Arial"/>
                <w:sz w:val="18"/>
                <w:szCs w:val="18"/>
                <w:color w:val="auto"/>
                <w:w w:val="88"/>
              </w:rPr>
              <w:t>(593,225)</w:t>
            </w:r>
          </w:p>
        </w:tc>
        <w:tc>
          <w:tcPr>
            <w:tcW w:w="400" w:type="dxa"/>
            <w:vAlign w:val="bottom"/>
          </w:tcPr>
          <w:p>
            <w:pPr>
              <w:spacing w:after="0"/>
              <w:rPr>
                <w:sz w:val="19"/>
                <w:szCs w:val="19"/>
                <w:color w:val="auto"/>
              </w:rPr>
            </w:pPr>
          </w:p>
        </w:tc>
        <w:tc>
          <w:tcPr>
            <w:tcW w:w="320" w:type="dxa"/>
            <w:vAlign w:val="bottom"/>
            <w:gridSpan w:val="2"/>
          </w:tcPr>
          <w:p>
            <w:pPr>
              <w:ind w:left="100"/>
              <w:spacing w:after="0"/>
              <w:rPr>
                <w:sz w:val="20"/>
                <w:szCs w:val="20"/>
                <w:color w:val="auto"/>
              </w:rPr>
            </w:pPr>
            <w:r>
              <w:rPr>
                <w:rFonts w:ascii="Arial" w:cs="Arial" w:eastAsia="Arial" w:hAnsi="Arial"/>
                <w:sz w:val="18"/>
                <w:szCs w:val="18"/>
                <w:u w:val="single" w:color="auto"/>
                <w:color w:val="auto"/>
                <w:w w:val="90"/>
              </w:rPr>
              <w:t>A$</w:t>
            </w:r>
          </w:p>
        </w:tc>
        <w:tc>
          <w:tcPr>
            <w:tcW w:w="1180" w:type="dxa"/>
            <w:vAlign w:val="bottom"/>
            <w:gridSpan w:val="2"/>
          </w:tcPr>
          <w:p>
            <w:pPr>
              <w:jc w:val="right"/>
              <w:ind w:right="240"/>
              <w:spacing w:after="0"/>
              <w:rPr>
                <w:sz w:val="20"/>
                <w:szCs w:val="20"/>
                <w:color w:val="auto"/>
              </w:rPr>
            </w:pPr>
            <w:r>
              <w:rPr>
                <w:rFonts w:ascii="Arial" w:cs="Arial" w:eastAsia="Arial" w:hAnsi="Arial"/>
                <w:sz w:val="18"/>
                <w:szCs w:val="18"/>
                <w:color w:val="auto"/>
                <w:w w:val="90"/>
              </w:rPr>
              <w:t>(11,948,943)</w:t>
            </w:r>
          </w:p>
        </w:tc>
        <w:tc>
          <w:tcPr>
            <w:tcW w:w="480" w:type="dxa"/>
            <w:vAlign w:val="bottom"/>
            <w:gridSpan w:val="2"/>
          </w:tcPr>
          <w:p>
            <w:pPr>
              <w:ind w:left="240"/>
              <w:spacing w:after="0"/>
              <w:rPr>
                <w:sz w:val="20"/>
                <w:szCs w:val="20"/>
                <w:color w:val="auto"/>
              </w:rPr>
            </w:pPr>
            <w:r>
              <w:rPr>
                <w:rFonts w:ascii="Arial" w:cs="Arial" w:eastAsia="Arial" w:hAnsi="Arial"/>
                <w:sz w:val="18"/>
                <w:szCs w:val="18"/>
                <w:color w:val="auto"/>
                <w:w w:val="99"/>
              </w:rPr>
              <w:t>A$</w:t>
            </w:r>
          </w:p>
        </w:tc>
        <w:tc>
          <w:tcPr>
            <w:tcW w:w="1000" w:type="dxa"/>
            <w:vAlign w:val="bottom"/>
            <w:gridSpan w:val="2"/>
          </w:tcPr>
          <w:p>
            <w:pPr>
              <w:jc w:val="right"/>
              <w:ind w:right="60"/>
              <w:spacing w:after="0"/>
              <w:rPr>
                <w:sz w:val="20"/>
                <w:szCs w:val="20"/>
                <w:color w:val="auto"/>
              </w:rPr>
            </w:pPr>
            <w:r>
              <w:rPr>
                <w:rFonts w:ascii="Arial" w:cs="Arial" w:eastAsia="Arial" w:hAnsi="Arial"/>
                <w:sz w:val="18"/>
                <w:szCs w:val="18"/>
                <w:color w:val="auto"/>
                <w:w w:val="90"/>
              </w:rPr>
              <w:t>(13,169,069)</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4920" w:type="dxa"/>
            <w:vAlign w:val="bottom"/>
            <w:shd w:val="clear" w:color="auto" w:fill="CCEEFF"/>
          </w:tcPr>
          <w:p>
            <w:pPr>
              <w:spacing w:after="0" w:line="198" w:lineRule="exact"/>
              <w:rPr>
                <w:sz w:val="20"/>
                <w:szCs w:val="20"/>
                <w:color w:val="auto"/>
              </w:rPr>
            </w:pPr>
            <w:r>
              <w:rPr>
                <w:rFonts w:ascii="Arial" w:cs="Arial" w:eastAsia="Arial" w:hAnsi="Arial"/>
                <w:sz w:val="18"/>
                <w:szCs w:val="18"/>
                <w:b w:val="1"/>
                <w:bCs w:val="1"/>
                <w:color w:val="auto"/>
                <w:w w:val="93"/>
              </w:rPr>
              <w:t>Reconciliation of segment net result before tax to loss before</w:t>
            </w:r>
          </w:p>
        </w:tc>
        <w:tc>
          <w:tcPr>
            <w:tcW w:w="340" w:type="dxa"/>
            <w:vAlign w:val="bottom"/>
            <w:shd w:val="clear" w:color="auto" w:fill="CCEEFF"/>
          </w:tcPr>
          <w:p>
            <w:pPr>
              <w:spacing w:after="0"/>
              <w:rPr>
                <w:sz w:val="17"/>
                <w:szCs w:val="17"/>
                <w:color w:val="auto"/>
              </w:rPr>
            </w:pPr>
          </w:p>
        </w:tc>
        <w:tc>
          <w:tcPr>
            <w:tcW w:w="880" w:type="dxa"/>
            <w:vAlign w:val="bottom"/>
            <w:tcBorders>
              <w:top w:val="single" w:sz="8" w:color="auto"/>
            </w:tcBorders>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240" w:type="dxa"/>
            <w:vAlign w:val="bottom"/>
            <w:tcBorders>
              <w:top w:val="single" w:sz="8" w:color="auto"/>
            </w:tcBorders>
            <w:shd w:val="clear" w:color="auto" w:fill="CCEEFF"/>
          </w:tcPr>
          <w:p>
            <w:pPr>
              <w:spacing w:after="0"/>
              <w:rPr>
                <w:sz w:val="17"/>
                <w:szCs w:val="17"/>
                <w:color w:val="auto"/>
              </w:rPr>
            </w:pPr>
          </w:p>
        </w:tc>
        <w:tc>
          <w:tcPr>
            <w:tcW w:w="720" w:type="dxa"/>
            <w:vAlign w:val="bottom"/>
            <w:tcBorders>
              <w:top w:val="single" w:sz="8" w:color="auto"/>
            </w:tcBorders>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spacing w:after="0"/>
              <w:rPr>
                <w:sz w:val="17"/>
                <w:szCs w:val="17"/>
                <w:color w:val="auto"/>
              </w:rPr>
            </w:pPr>
          </w:p>
        </w:tc>
        <w:tc>
          <w:tcPr>
            <w:tcW w:w="880" w:type="dxa"/>
            <w:vAlign w:val="bottom"/>
            <w:tcBorders>
              <w:top w:val="single" w:sz="8" w:color="auto"/>
            </w:tcBorders>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4920" w:type="dxa"/>
            <w:vAlign w:val="bottom"/>
            <w:shd w:val="clear" w:color="auto" w:fill="CCEEFF"/>
          </w:tcPr>
          <w:p>
            <w:pPr>
              <w:ind w:left="160"/>
              <w:spacing w:after="0"/>
              <w:rPr>
                <w:sz w:val="20"/>
                <w:szCs w:val="20"/>
                <w:color w:val="auto"/>
              </w:rPr>
            </w:pPr>
            <w:r>
              <w:rPr>
                <w:rFonts w:ascii="Arial" w:cs="Arial" w:eastAsia="Arial" w:hAnsi="Arial"/>
                <w:sz w:val="18"/>
                <w:szCs w:val="18"/>
                <w:b w:val="1"/>
                <w:bCs w:val="1"/>
                <w:color w:val="auto"/>
              </w:rPr>
              <w:t>income tax</w:t>
            </w:r>
          </w:p>
        </w:tc>
        <w:tc>
          <w:tcPr>
            <w:tcW w:w="340" w:type="dxa"/>
            <w:vAlign w:val="bottom"/>
            <w:shd w:val="clear" w:color="auto" w:fill="CCEEFF"/>
          </w:tcPr>
          <w:p>
            <w:pPr>
              <w:spacing w:after="0"/>
              <w:rPr>
                <w:sz w:val="20"/>
                <w:szCs w:val="20"/>
                <w:color w:val="auto"/>
              </w:rPr>
            </w:pPr>
          </w:p>
        </w:tc>
        <w:tc>
          <w:tcPr>
            <w:tcW w:w="88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720" w:type="dxa"/>
            <w:vAlign w:val="bottom"/>
            <w:shd w:val="clear" w:color="auto" w:fill="CCEEFF"/>
          </w:tcPr>
          <w:p>
            <w:pPr>
              <w:spacing w:after="0"/>
              <w:rPr>
                <w:sz w:val="20"/>
                <w:szCs w:val="20"/>
                <w:color w:val="auto"/>
              </w:rPr>
            </w:pPr>
          </w:p>
        </w:tc>
        <w:tc>
          <w:tcPr>
            <w:tcW w:w="4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88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8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20" w:type="dxa"/>
            <w:vAlign w:val="bottom"/>
          </w:tcPr>
          <w:p>
            <w:pPr>
              <w:spacing w:after="0"/>
              <w:rPr>
                <w:sz w:val="20"/>
                <w:szCs w:val="20"/>
                <w:color w:val="auto"/>
              </w:rPr>
            </w:pPr>
            <w:r>
              <w:rPr>
                <w:rFonts w:ascii="Arial" w:cs="Arial" w:eastAsia="Arial" w:hAnsi="Arial"/>
                <w:sz w:val="18"/>
                <w:szCs w:val="18"/>
                <w:color w:val="auto"/>
              </w:rPr>
              <w:t>Corporate charges</w:t>
            </w:r>
          </w:p>
        </w:tc>
        <w:tc>
          <w:tcPr>
            <w:tcW w:w="3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gridSpan w:val="2"/>
          </w:tcPr>
          <w:p>
            <w:pPr>
              <w:jc w:val="right"/>
              <w:ind w:right="60"/>
              <w:spacing w:after="0"/>
              <w:rPr>
                <w:sz w:val="20"/>
                <w:szCs w:val="20"/>
                <w:color w:val="auto"/>
              </w:rPr>
            </w:pPr>
            <w:r>
              <w:rPr>
                <w:rFonts w:ascii="Arial" w:cs="Arial" w:eastAsia="Arial" w:hAnsi="Arial"/>
                <w:sz w:val="18"/>
                <w:szCs w:val="18"/>
                <w:color w:val="auto"/>
                <w:w w:val="99"/>
              </w:rPr>
              <w:t>(2,410,322)</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920" w:type="dxa"/>
            <w:vAlign w:val="bottom"/>
          </w:tcPr>
          <w:p>
            <w:pPr>
              <w:spacing w:after="0"/>
              <w:rPr>
                <w:sz w:val="2"/>
                <w:szCs w:val="2"/>
                <w:color w:val="auto"/>
              </w:rPr>
            </w:pPr>
          </w:p>
        </w:tc>
        <w:tc>
          <w:tcPr>
            <w:tcW w:w="340" w:type="dxa"/>
            <w:vAlign w:val="bottom"/>
          </w:tcPr>
          <w:p>
            <w:pPr>
              <w:spacing w:after="0"/>
              <w:rPr>
                <w:sz w:val="2"/>
                <w:szCs w:val="2"/>
                <w:color w:val="auto"/>
              </w:rPr>
            </w:pPr>
          </w:p>
        </w:tc>
        <w:tc>
          <w:tcPr>
            <w:tcW w:w="880" w:type="dxa"/>
            <w:vAlign w:val="bottom"/>
          </w:tcPr>
          <w:p>
            <w:pPr>
              <w:spacing w:after="0"/>
              <w:rPr>
                <w:sz w:val="2"/>
                <w:szCs w:val="2"/>
                <w:color w:val="auto"/>
              </w:rPr>
            </w:pPr>
          </w:p>
        </w:tc>
        <w:tc>
          <w:tcPr>
            <w:tcW w:w="240" w:type="dxa"/>
            <w:vAlign w:val="bottom"/>
          </w:tcPr>
          <w:p>
            <w:pPr>
              <w:spacing w:after="0"/>
              <w:rPr>
                <w:sz w:val="2"/>
                <w:szCs w:val="2"/>
                <w:color w:val="auto"/>
              </w:rPr>
            </w:pPr>
          </w:p>
        </w:tc>
        <w:tc>
          <w:tcPr>
            <w:tcW w:w="300" w:type="dxa"/>
            <w:vAlign w:val="bottom"/>
          </w:tcPr>
          <w:p>
            <w:pPr>
              <w:spacing w:after="0"/>
              <w:rPr>
                <w:sz w:val="2"/>
                <w:szCs w:val="2"/>
                <w:color w:val="auto"/>
              </w:rPr>
            </w:pPr>
          </w:p>
        </w:tc>
        <w:tc>
          <w:tcPr>
            <w:tcW w:w="240" w:type="dxa"/>
            <w:vAlign w:val="bottom"/>
          </w:tcPr>
          <w:p>
            <w:pPr>
              <w:spacing w:after="0"/>
              <w:rPr>
                <w:sz w:val="2"/>
                <w:szCs w:val="2"/>
                <w:color w:val="auto"/>
              </w:rPr>
            </w:pPr>
          </w:p>
        </w:tc>
        <w:tc>
          <w:tcPr>
            <w:tcW w:w="7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80" w:type="dxa"/>
            <w:vAlign w:val="bottom"/>
          </w:tcPr>
          <w:p>
            <w:pPr>
              <w:spacing w:after="0"/>
              <w:rPr>
                <w:sz w:val="2"/>
                <w:szCs w:val="2"/>
                <w:color w:val="auto"/>
              </w:rPr>
            </w:pPr>
          </w:p>
        </w:tc>
        <w:tc>
          <w:tcPr>
            <w:tcW w:w="300" w:type="dxa"/>
            <w:vAlign w:val="bottom"/>
          </w:tcPr>
          <w:p>
            <w:pPr>
              <w:spacing w:after="0"/>
              <w:rPr>
                <w:sz w:val="2"/>
                <w:szCs w:val="2"/>
                <w:color w:val="auto"/>
              </w:rPr>
            </w:pPr>
          </w:p>
        </w:tc>
        <w:tc>
          <w:tcPr>
            <w:tcW w:w="26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9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Loss before income tax</w:t>
            </w:r>
          </w:p>
        </w:tc>
        <w:tc>
          <w:tcPr>
            <w:tcW w:w="3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480" w:type="dxa"/>
            <w:vAlign w:val="bottom"/>
            <w:gridSpan w:val="2"/>
            <w:shd w:val="clear" w:color="auto" w:fill="CCEEFF"/>
          </w:tcPr>
          <w:p>
            <w:pPr>
              <w:ind w:left="240"/>
              <w:spacing w:after="0"/>
              <w:rPr>
                <w:sz w:val="20"/>
                <w:szCs w:val="20"/>
                <w:color w:val="auto"/>
              </w:rPr>
            </w:pPr>
            <w:r>
              <w:rPr>
                <w:rFonts w:ascii="Arial" w:cs="Arial" w:eastAsia="Arial" w:hAnsi="Arial"/>
                <w:sz w:val="18"/>
                <w:szCs w:val="18"/>
                <w:b w:val="1"/>
                <w:bCs w:val="1"/>
                <w:u w:val="single" w:color="auto"/>
                <w:color w:val="auto"/>
                <w:w w:val="95"/>
              </w:rPr>
              <w:t>A$</w:t>
            </w:r>
          </w:p>
        </w:tc>
        <w:tc>
          <w:tcPr>
            <w:tcW w:w="10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b w:val="1"/>
                <w:bCs w:val="1"/>
                <w:color w:val="auto"/>
                <w:w w:val="90"/>
              </w:rPr>
              <w:t>(15,579,391)</w:t>
            </w:r>
          </w:p>
        </w:tc>
        <w:tc>
          <w:tcPr>
            <w:tcW w:w="0" w:type="dxa"/>
            <w:vAlign w:val="bottom"/>
          </w:tcPr>
          <w:p>
            <w:pPr>
              <w:spacing w:after="0"/>
              <w:rPr>
                <w:sz w:val="1"/>
                <w:szCs w:val="1"/>
                <w:color w:val="auto"/>
              </w:rPr>
            </w:pPr>
          </w:p>
        </w:tc>
      </w:tr>
      <w:tr>
        <w:trPr>
          <w:trHeight w:val="223"/>
        </w:trPr>
        <w:tc>
          <w:tcPr>
            <w:tcW w:w="4940" w:type="dxa"/>
            <w:vAlign w:val="bottom"/>
            <w:gridSpan w:val="2"/>
          </w:tcPr>
          <w:p>
            <w:pPr>
              <w:spacing w:after="0"/>
              <w:rPr>
                <w:sz w:val="20"/>
                <w:szCs w:val="20"/>
                <w:color w:val="auto"/>
              </w:rPr>
            </w:pPr>
            <w:r>
              <w:rPr>
                <w:rFonts w:ascii="Arial" w:cs="Arial" w:eastAsia="Arial" w:hAnsi="Arial"/>
                <w:sz w:val="18"/>
                <w:szCs w:val="18"/>
                <w:b w:val="1"/>
                <w:bCs w:val="1"/>
                <w:color w:val="auto"/>
              </w:rPr>
              <w:t>Segment assets</w:t>
            </w:r>
          </w:p>
        </w:tc>
        <w:tc>
          <w:tcPr>
            <w:tcW w:w="3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88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20" w:type="dxa"/>
            <w:vAlign w:val="bottom"/>
            <w:shd w:val="clear" w:color="auto" w:fill="CCEEFF"/>
          </w:tcPr>
          <w:p>
            <w:pPr>
              <w:spacing w:after="0"/>
              <w:rPr>
                <w:sz w:val="20"/>
                <w:szCs w:val="20"/>
                <w:color w:val="auto"/>
              </w:rPr>
            </w:pPr>
            <w:r>
              <w:rPr>
                <w:rFonts w:ascii="Arial" w:cs="Arial" w:eastAsia="Arial" w:hAnsi="Arial"/>
                <w:sz w:val="18"/>
                <w:szCs w:val="18"/>
                <w:color w:val="auto"/>
              </w:rPr>
              <w:t>Segment operating assets</w:t>
            </w:r>
          </w:p>
        </w:tc>
        <w:tc>
          <w:tcPr>
            <w:tcW w:w="1460" w:type="dxa"/>
            <w:vAlign w:val="bottom"/>
            <w:gridSpan w:val="3"/>
            <w:shd w:val="clear" w:color="auto" w:fill="CCEEFF"/>
          </w:tcPr>
          <w:p>
            <w:pPr>
              <w:ind w:left="340"/>
              <w:spacing w:after="0"/>
              <w:rPr>
                <w:sz w:val="20"/>
                <w:szCs w:val="20"/>
                <w:color w:val="auto"/>
              </w:rPr>
            </w:pPr>
            <w:r>
              <w:rPr>
                <w:rFonts w:ascii="Arial" w:cs="Arial" w:eastAsia="Arial" w:hAnsi="Arial"/>
                <w:sz w:val="18"/>
                <w:szCs w:val="18"/>
                <w:u w:val="single" w:color="auto"/>
                <w:color w:val="auto"/>
              </w:rPr>
              <w:t>A</w:t>
            </w:r>
            <w:r>
              <w:rPr>
                <w:rFonts w:ascii="Arial" w:cs="Arial" w:eastAsia="Arial" w:hAnsi="Arial"/>
                <w:sz w:val="18"/>
                <w:szCs w:val="18"/>
                <w:color w:val="auto"/>
              </w:rPr>
              <w:t>$ 568,571</w:t>
            </w:r>
          </w:p>
        </w:tc>
        <w:tc>
          <w:tcPr>
            <w:tcW w:w="540" w:type="dxa"/>
            <w:vAlign w:val="bottom"/>
            <w:gridSpan w:val="2"/>
            <w:shd w:val="clear" w:color="auto" w:fill="CCEEFF"/>
          </w:tcPr>
          <w:p>
            <w:pPr>
              <w:ind w:left="300"/>
              <w:spacing w:after="0"/>
              <w:rPr>
                <w:sz w:val="20"/>
                <w:szCs w:val="20"/>
                <w:color w:val="auto"/>
              </w:rPr>
            </w:pPr>
            <w:r>
              <w:rPr>
                <w:rFonts w:ascii="Arial" w:cs="Arial" w:eastAsia="Arial" w:hAnsi="Arial"/>
                <w:sz w:val="18"/>
                <w:szCs w:val="18"/>
                <w:u w:val="single" w:color="auto"/>
                <w:color w:val="auto"/>
                <w:w w:val="99"/>
              </w:rPr>
              <w:t>A</w:t>
            </w:r>
            <w:r>
              <w:rPr>
                <w:rFonts w:ascii="Arial" w:cs="Arial" w:eastAsia="Arial" w:hAnsi="Arial"/>
                <w:sz w:val="18"/>
                <w:szCs w:val="18"/>
                <w:color w:val="auto"/>
                <w:w w:val="99"/>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401,546</w:t>
            </w:r>
          </w:p>
        </w:tc>
        <w:tc>
          <w:tcPr>
            <w:tcW w:w="400" w:type="dxa"/>
            <w:vAlign w:val="bottom"/>
            <w:shd w:val="clear" w:color="auto" w:fill="CCEEFF"/>
          </w:tcPr>
          <w:p>
            <w:pPr>
              <w:spacing w:after="0"/>
              <w:rPr>
                <w:sz w:val="18"/>
                <w:szCs w:val="18"/>
                <w:color w:val="auto"/>
              </w:rPr>
            </w:pPr>
          </w:p>
        </w:tc>
        <w:tc>
          <w:tcPr>
            <w:tcW w:w="320" w:type="dxa"/>
            <w:vAlign w:val="bottom"/>
            <w:gridSpan w:val="2"/>
            <w:shd w:val="clear" w:color="auto" w:fill="CCEEFF"/>
          </w:tcPr>
          <w:p>
            <w:pPr>
              <w:ind w:left="100"/>
              <w:spacing w:after="0"/>
              <w:rPr>
                <w:sz w:val="20"/>
                <w:szCs w:val="20"/>
                <w:color w:val="auto"/>
              </w:rPr>
            </w:pPr>
            <w:r>
              <w:rPr>
                <w:rFonts w:ascii="Arial" w:cs="Arial" w:eastAsia="Arial" w:hAnsi="Arial"/>
                <w:sz w:val="18"/>
                <w:szCs w:val="18"/>
                <w:u w:val="single" w:color="auto"/>
                <w:color w:val="auto"/>
                <w:w w:val="90"/>
              </w:rPr>
              <w:t>A</w:t>
            </w:r>
            <w:r>
              <w:rPr>
                <w:rFonts w:ascii="Arial" w:cs="Arial" w:eastAsia="Arial" w:hAnsi="Arial"/>
                <w:sz w:val="18"/>
                <w:szCs w:val="18"/>
                <w:color w:val="auto"/>
                <w:w w:val="90"/>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31,802,314</w:t>
            </w:r>
          </w:p>
        </w:tc>
        <w:tc>
          <w:tcPr>
            <w:tcW w:w="3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32,772,431</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940" w:type="dxa"/>
            <w:vAlign w:val="bottom"/>
            <w:gridSpan w:val="2"/>
          </w:tcPr>
          <w:p>
            <w:pPr>
              <w:spacing w:after="0"/>
              <w:rPr>
                <w:sz w:val="20"/>
                <w:szCs w:val="20"/>
                <w:color w:val="auto"/>
              </w:rPr>
            </w:pPr>
            <w:r>
              <w:rPr>
                <w:rFonts w:ascii="Arial" w:cs="Arial" w:eastAsia="Arial" w:hAnsi="Arial"/>
                <w:sz w:val="18"/>
                <w:szCs w:val="18"/>
                <w:color w:val="auto"/>
              </w:rPr>
              <w:t>Unallocated assets</w:t>
            </w:r>
          </w:p>
        </w:tc>
        <w:tc>
          <w:tcPr>
            <w:tcW w:w="340" w:type="dxa"/>
            <w:vAlign w:val="bottom"/>
          </w:tcPr>
          <w:p>
            <w:pPr>
              <w:spacing w:after="0"/>
              <w:rPr>
                <w:sz w:val="20"/>
                <w:szCs w:val="20"/>
                <w:color w:val="auto"/>
              </w:rPr>
            </w:pPr>
          </w:p>
        </w:tc>
        <w:tc>
          <w:tcPr>
            <w:tcW w:w="880" w:type="dxa"/>
            <w:vAlign w:val="bottom"/>
            <w:tcBorders>
              <w:top w:val="single" w:sz="8" w:color="auto"/>
            </w:tcBorders>
          </w:tcPr>
          <w:p>
            <w:pPr>
              <w:spacing w:after="0"/>
              <w:rPr>
                <w:sz w:val="20"/>
                <w:szCs w:val="20"/>
                <w:color w:val="auto"/>
              </w:rPr>
            </w:pPr>
          </w:p>
        </w:tc>
        <w:tc>
          <w:tcPr>
            <w:tcW w:w="2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720" w:type="dxa"/>
            <w:vAlign w:val="bottom"/>
            <w:tcBorders>
              <w:top w:val="single" w:sz="8" w:color="auto"/>
            </w:tcBorders>
          </w:tcPr>
          <w:p>
            <w:pPr>
              <w:spacing w:after="0"/>
              <w:rPr>
                <w:sz w:val="20"/>
                <w:szCs w:val="20"/>
                <w:color w:val="auto"/>
              </w:rPr>
            </w:pPr>
          </w:p>
        </w:tc>
        <w:tc>
          <w:tcPr>
            <w:tcW w:w="4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spacing w:after="0"/>
              <w:rPr>
                <w:sz w:val="20"/>
                <w:szCs w:val="20"/>
                <w:color w:val="auto"/>
              </w:rPr>
            </w:pPr>
          </w:p>
        </w:tc>
        <w:tc>
          <w:tcPr>
            <w:tcW w:w="3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3,574,951</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 assets per the statement of financial position</w:t>
            </w:r>
          </w:p>
        </w:tc>
        <w:tc>
          <w:tcPr>
            <w:tcW w:w="3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480" w:type="dxa"/>
            <w:vAlign w:val="bottom"/>
            <w:gridSpan w:val="2"/>
            <w:shd w:val="clear" w:color="auto" w:fill="CCEEFF"/>
          </w:tcPr>
          <w:p>
            <w:pPr>
              <w:ind w:left="240"/>
              <w:spacing w:after="0"/>
              <w:rPr>
                <w:sz w:val="20"/>
                <w:szCs w:val="20"/>
                <w:color w:val="auto"/>
              </w:rPr>
            </w:pPr>
            <w:r>
              <w:rPr>
                <w:rFonts w:ascii="Arial" w:cs="Arial" w:eastAsia="Arial" w:hAnsi="Arial"/>
                <w:sz w:val="18"/>
                <w:szCs w:val="18"/>
                <w:b w:val="1"/>
                <w:bCs w:val="1"/>
                <w:u w:val="single" w:color="auto"/>
                <w:color w:val="auto"/>
                <w:w w:val="95"/>
              </w:rPr>
              <w:t>A</w:t>
            </w:r>
            <w:r>
              <w:rPr>
                <w:rFonts w:ascii="Arial" w:cs="Arial" w:eastAsia="Arial" w:hAnsi="Arial"/>
                <w:sz w:val="18"/>
                <w:szCs w:val="18"/>
                <w:b w:val="1"/>
                <w:bCs w:val="1"/>
                <w:color w:val="auto"/>
                <w:w w:val="95"/>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95"/>
              </w:rPr>
              <w:t>36,347,382</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4940" w:type="dxa"/>
            <w:vAlign w:val="bottom"/>
            <w:gridSpan w:val="2"/>
          </w:tcPr>
          <w:p>
            <w:pPr>
              <w:spacing w:after="0"/>
              <w:rPr>
                <w:sz w:val="20"/>
                <w:szCs w:val="20"/>
                <w:color w:val="auto"/>
              </w:rPr>
            </w:pPr>
            <w:r>
              <w:rPr>
                <w:rFonts w:ascii="Arial" w:cs="Arial" w:eastAsia="Arial" w:hAnsi="Arial"/>
                <w:sz w:val="18"/>
                <w:szCs w:val="18"/>
                <w:b w:val="1"/>
                <w:bCs w:val="1"/>
                <w:color w:val="auto"/>
              </w:rPr>
              <w:t>Segment liabilities</w:t>
            </w:r>
          </w:p>
        </w:tc>
        <w:tc>
          <w:tcPr>
            <w:tcW w:w="3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88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20" w:type="dxa"/>
            <w:vAlign w:val="bottom"/>
            <w:shd w:val="clear" w:color="auto" w:fill="CCEEFF"/>
          </w:tcPr>
          <w:p>
            <w:pPr>
              <w:spacing w:after="0"/>
              <w:rPr>
                <w:sz w:val="20"/>
                <w:szCs w:val="20"/>
                <w:color w:val="auto"/>
              </w:rPr>
            </w:pPr>
            <w:r>
              <w:rPr>
                <w:rFonts w:ascii="Arial" w:cs="Arial" w:eastAsia="Arial" w:hAnsi="Arial"/>
                <w:sz w:val="18"/>
                <w:szCs w:val="18"/>
                <w:color w:val="auto"/>
              </w:rPr>
              <w:t>Segment operating liabilities</w:t>
            </w:r>
          </w:p>
        </w:tc>
        <w:tc>
          <w:tcPr>
            <w:tcW w:w="1460" w:type="dxa"/>
            <w:vAlign w:val="bottom"/>
            <w:gridSpan w:val="3"/>
            <w:shd w:val="clear" w:color="auto" w:fill="CCEEFF"/>
          </w:tcPr>
          <w:p>
            <w:pPr>
              <w:ind w:left="340"/>
              <w:spacing w:after="0"/>
              <w:rPr>
                <w:sz w:val="20"/>
                <w:szCs w:val="20"/>
                <w:color w:val="auto"/>
              </w:rPr>
            </w:pPr>
            <w:r>
              <w:rPr>
                <w:rFonts w:ascii="Arial" w:cs="Arial" w:eastAsia="Arial" w:hAnsi="Arial"/>
                <w:sz w:val="18"/>
                <w:szCs w:val="18"/>
                <w:u w:val="single" w:color="auto"/>
                <w:color w:val="auto"/>
              </w:rPr>
              <w:t>A</w:t>
            </w:r>
            <w:r>
              <w:rPr>
                <w:rFonts w:ascii="Arial" w:cs="Arial" w:eastAsia="Arial" w:hAnsi="Arial"/>
                <w:sz w:val="18"/>
                <w:szCs w:val="18"/>
                <w:color w:val="auto"/>
              </w:rPr>
              <w:t>$ 169,516</w:t>
            </w:r>
          </w:p>
        </w:tc>
        <w:tc>
          <w:tcPr>
            <w:tcW w:w="540" w:type="dxa"/>
            <w:vAlign w:val="bottom"/>
            <w:gridSpan w:val="2"/>
            <w:shd w:val="clear" w:color="auto" w:fill="CCEEFF"/>
          </w:tcPr>
          <w:p>
            <w:pPr>
              <w:ind w:left="300"/>
              <w:spacing w:after="0"/>
              <w:rPr>
                <w:sz w:val="20"/>
                <w:szCs w:val="20"/>
                <w:color w:val="auto"/>
              </w:rPr>
            </w:pPr>
            <w:r>
              <w:rPr>
                <w:rFonts w:ascii="Arial" w:cs="Arial" w:eastAsia="Arial" w:hAnsi="Arial"/>
                <w:sz w:val="18"/>
                <w:szCs w:val="18"/>
                <w:u w:val="single" w:color="auto"/>
                <w:color w:val="auto"/>
                <w:w w:val="99"/>
              </w:rPr>
              <w:t>A</w:t>
            </w:r>
            <w:r>
              <w:rPr>
                <w:rFonts w:ascii="Arial" w:cs="Arial" w:eastAsia="Arial" w:hAnsi="Arial"/>
                <w:sz w:val="18"/>
                <w:szCs w:val="18"/>
                <w:color w:val="auto"/>
                <w:w w:val="99"/>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151,248</w:t>
            </w:r>
          </w:p>
        </w:tc>
        <w:tc>
          <w:tcPr>
            <w:tcW w:w="400" w:type="dxa"/>
            <w:vAlign w:val="bottom"/>
            <w:shd w:val="clear" w:color="auto" w:fill="CCEEFF"/>
          </w:tcPr>
          <w:p>
            <w:pPr>
              <w:spacing w:after="0"/>
              <w:rPr>
                <w:sz w:val="18"/>
                <w:szCs w:val="18"/>
                <w:color w:val="auto"/>
              </w:rPr>
            </w:pPr>
          </w:p>
        </w:tc>
        <w:tc>
          <w:tcPr>
            <w:tcW w:w="320" w:type="dxa"/>
            <w:vAlign w:val="bottom"/>
            <w:gridSpan w:val="2"/>
            <w:shd w:val="clear" w:color="auto" w:fill="CCEEFF"/>
          </w:tcPr>
          <w:p>
            <w:pPr>
              <w:ind w:left="100"/>
              <w:spacing w:after="0"/>
              <w:rPr>
                <w:sz w:val="20"/>
                <w:szCs w:val="20"/>
                <w:color w:val="auto"/>
              </w:rPr>
            </w:pPr>
            <w:r>
              <w:rPr>
                <w:rFonts w:ascii="Arial" w:cs="Arial" w:eastAsia="Arial" w:hAnsi="Arial"/>
                <w:sz w:val="18"/>
                <w:szCs w:val="18"/>
                <w:u w:val="single" w:color="auto"/>
                <w:color w:val="auto"/>
                <w:w w:val="90"/>
              </w:rPr>
              <w:t>A</w:t>
            </w:r>
            <w:r>
              <w:rPr>
                <w:rFonts w:ascii="Arial" w:cs="Arial" w:eastAsia="Arial" w:hAnsi="Arial"/>
                <w:sz w:val="18"/>
                <w:szCs w:val="18"/>
                <w:color w:val="auto"/>
                <w:w w:val="90"/>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4,591,266</w:t>
            </w:r>
          </w:p>
        </w:tc>
        <w:tc>
          <w:tcPr>
            <w:tcW w:w="300" w:type="dxa"/>
            <w:vAlign w:val="bottom"/>
            <w:shd w:val="clear" w:color="auto" w:fill="CCEEFF"/>
          </w:tcPr>
          <w:p>
            <w:pPr>
              <w:spacing w:after="0"/>
              <w:rPr>
                <w:sz w:val="18"/>
                <w:szCs w:val="18"/>
                <w:color w:val="auto"/>
              </w:rPr>
            </w:pPr>
          </w:p>
        </w:tc>
        <w:tc>
          <w:tcPr>
            <w:tcW w:w="48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w w:val="99"/>
              </w:rPr>
              <w:t>A$</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4,912,030</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940" w:type="dxa"/>
            <w:vAlign w:val="bottom"/>
            <w:gridSpan w:val="2"/>
          </w:tcPr>
          <w:p>
            <w:pPr>
              <w:spacing w:after="0"/>
              <w:rPr>
                <w:sz w:val="20"/>
                <w:szCs w:val="20"/>
                <w:color w:val="auto"/>
              </w:rPr>
            </w:pPr>
            <w:r>
              <w:rPr>
                <w:rFonts w:ascii="Arial" w:cs="Arial" w:eastAsia="Arial" w:hAnsi="Arial"/>
                <w:sz w:val="18"/>
                <w:szCs w:val="18"/>
                <w:color w:val="auto"/>
              </w:rPr>
              <w:t>Unallocated liabilities</w:t>
            </w:r>
          </w:p>
        </w:tc>
        <w:tc>
          <w:tcPr>
            <w:tcW w:w="340" w:type="dxa"/>
            <w:vAlign w:val="bottom"/>
          </w:tcPr>
          <w:p>
            <w:pPr>
              <w:spacing w:after="0"/>
              <w:rPr>
                <w:sz w:val="20"/>
                <w:szCs w:val="20"/>
                <w:color w:val="auto"/>
              </w:rPr>
            </w:pPr>
          </w:p>
        </w:tc>
        <w:tc>
          <w:tcPr>
            <w:tcW w:w="880" w:type="dxa"/>
            <w:vAlign w:val="bottom"/>
            <w:tcBorders>
              <w:top w:val="single" w:sz="8" w:color="auto"/>
            </w:tcBorders>
          </w:tcPr>
          <w:p>
            <w:pPr>
              <w:spacing w:after="0"/>
              <w:rPr>
                <w:sz w:val="20"/>
                <w:szCs w:val="20"/>
                <w:color w:val="auto"/>
              </w:rPr>
            </w:pPr>
          </w:p>
        </w:tc>
        <w:tc>
          <w:tcPr>
            <w:tcW w:w="2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720" w:type="dxa"/>
            <w:vAlign w:val="bottom"/>
            <w:tcBorders>
              <w:top w:val="single" w:sz="8" w:color="auto"/>
            </w:tcBorders>
          </w:tcPr>
          <w:p>
            <w:pPr>
              <w:spacing w:after="0"/>
              <w:rPr>
                <w:sz w:val="20"/>
                <w:szCs w:val="20"/>
                <w:color w:val="auto"/>
              </w:rPr>
            </w:pPr>
          </w:p>
        </w:tc>
        <w:tc>
          <w:tcPr>
            <w:tcW w:w="4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spacing w:after="0"/>
              <w:rPr>
                <w:sz w:val="20"/>
                <w:szCs w:val="20"/>
                <w:color w:val="auto"/>
              </w:rPr>
            </w:pPr>
          </w:p>
        </w:tc>
        <w:tc>
          <w:tcPr>
            <w:tcW w:w="3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188,068</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 liabilities per the statement of financial position</w:t>
            </w:r>
          </w:p>
        </w:tc>
        <w:tc>
          <w:tcPr>
            <w:tcW w:w="3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480" w:type="dxa"/>
            <w:vAlign w:val="bottom"/>
            <w:gridSpan w:val="2"/>
            <w:shd w:val="clear" w:color="auto" w:fill="CCEEFF"/>
          </w:tcPr>
          <w:p>
            <w:pPr>
              <w:ind w:left="240"/>
              <w:spacing w:after="0"/>
              <w:rPr>
                <w:sz w:val="20"/>
                <w:szCs w:val="20"/>
                <w:color w:val="auto"/>
              </w:rPr>
            </w:pPr>
            <w:r>
              <w:rPr>
                <w:rFonts w:ascii="Arial" w:cs="Arial" w:eastAsia="Arial" w:hAnsi="Arial"/>
                <w:sz w:val="18"/>
                <w:szCs w:val="18"/>
                <w:b w:val="1"/>
                <w:bCs w:val="1"/>
                <w:u w:val="single" w:color="auto"/>
                <w:color w:val="auto"/>
                <w:w w:val="95"/>
              </w:rPr>
              <w:t>A</w:t>
            </w:r>
            <w:r>
              <w:rPr>
                <w:rFonts w:ascii="Arial" w:cs="Arial" w:eastAsia="Arial" w:hAnsi="Arial"/>
                <w:sz w:val="18"/>
                <w:szCs w:val="18"/>
                <w:b w:val="1"/>
                <w:bCs w:val="1"/>
                <w:color w:val="auto"/>
                <w:w w:val="95"/>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5,100,098</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72"/>
        </w:trPr>
        <w:tc>
          <w:tcPr>
            <w:tcW w:w="20" w:type="dxa"/>
            <w:vAlign w:val="bottom"/>
          </w:tcPr>
          <w:p>
            <w:pPr>
              <w:spacing w:after="0"/>
              <w:rPr>
                <w:sz w:val="24"/>
                <w:szCs w:val="24"/>
                <w:color w:val="auto"/>
              </w:rPr>
            </w:pPr>
          </w:p>
        </w:tc>
        <w:tc>
          <w:tcPr>
            <w:tcW w:w="49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20" w:type="dxa"/>
            <w:vAlign w:val="bottom"/>
            <w:gridSpan w:val="2"/>
          </w:tcPr>
          <w:p>
            <w:pPr>
              <w:ind w:left="60"/>
              <w:spacing w:after="0"/>
              <w:rPr>
                <w:sz w:val="20"/>
                <w:szCs w:val="20"/>
                <w:color w:val="auto"/>
              </w:rPr>
            </w:pPr>
            <w:r>
              <w:rPr>
                <w:rFonts w:ascii="Arial" w:cs="Arial" w:eastAsia="Arial" w:hAnsi="Arial"/>
                <w:sz w:val="18"/>
                <w:szCs w:val="18"/>
                <w:color w:val="auto"/>
              </w:rPr>
              <w:t>F-61</w:t>
            </w:r>
          </w:p>
        </w:tc>
        <w:tc>
          <w:tcPr>
            <w:tcW w:w="3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20" w:type="dxa"/>
            <w:vAlign w:val="bottom"/>
            <w:tcBorders>
              <w:top w:val="single" w:sz="8" w:color="auto"/>
            </w:tcBorders>
          </w:tcPr>
          <w:p>
            <w:pPr>
              <w:spacing w:after="0"/>
              <w:rPr>
                <w:sz w:val="24"/>
                <w:szCs w:val="24"/>
                <w:color w:val="auto"/>
              </w:rPr>
            </w:pPr>
          </w:p>
        </w:tc>
        <w:tc>
          <w:tcPr>
            <w:tcW w:w="88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240" w:top="460" w:right="419" w:bottom="1440" w:gutter="0" w:footer="0" w:header="0"/>
        </w:sectPr>
      </w:pPr>
    </w:p>
    <w:bookmarkStart w:id="160" w:name="page161"/>
    <w:bookmarkEnd w:id="16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20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AVITA MEDICAL LIMITED</w:t>
      </w:r>
    </w:p>
    <w:p>
      <w:pPr>
        <w:spacing w:after="0" w:line="27"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NOTES TO THE HALF-YEAR CONDENSED CONSOLIDATED FINANCIAL STATEMENTS</w:t>
      </w:r>
    </w:p>
    <w:p>
      <w:pPr>
        <w:spacing w:after="0" w:line="9"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(IN AUSTRALIAN DOLLARS)</w:t>
      </w:r>
    </w:p>
    <w:p>
      <w:pPr>
        <w:spacing w:after="0" w:line="9"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(UNAUDITED)</w:t>
      </w:r>
    </w:p>
    <w:p>
      <w:pPr>
        <w:spacing w:after="0" w:line="234" w:lineRule="exact"/>
        <w:rPr>
          <w:sz w:val="20"/>
          <w:szCs w:val="20"/>
          <w:color w:val="auto"/>
        </w:rPr>
      </w:pPr>
    </w:p>
    <w:tbl>
      <w:tblPr>
        <w:tblLayout w:type="fixed"/>
        <w:tblInd w:w="200" w:type="dxa"/>
        <w:tblCellMar>
          <w:top w:w="0" w:type="dxa"/>
          <w:left w:w="0" w:type="dxa"/>
          <w:bottom w:w="0" w:type="dxa"/>
          <w:right w:w="0" w:type="dxa"/>
        </w:tblCellMar>
      </w:tblPr>
      <w:tr>
        <w:trPr>
          <w:trHeight w:val="234"/>
        </w:trPr>
        <w:tc>
          <w:tcPr>
            <w:tcW w:w="160" w:type="dxa"/>
            <w:vAlign w:val="bottom"/>
            <w:gridSpan w:val="2"/>
          </w:tcPr>
          <w:p>
            <w:pPr>
              <w:spacing w:after="0"/>
              <w:rPr>
                <w:sz w:val="20"/>
                <w:szCs w:val="20"/>
                <w:color w:val="auto"/>
              </w:rPr>
            </w:pPr>
            <w:r>
              <w:rPr>
                <w:rFonts w:ascii="Arial" w:cs="Arial" w:eastAsia="Arial" w:hAnsi="Arial"/>
                <w:sz w:val="18"/>
                <w:szCs w:val="18"/>
                <w:b w:val="1"/>
                <w:bCs w:val="1"/>
                <w:color w:val="auto"/>
                <w:w w:val="92"/>
              </w:rPr>
              <w:t>4.</w:t>
            </w:r>
          </w:p>
        </w:tc>
        <w:tc>
          <w:tcPr>
            <w:tcW w:w="4780" w:type="dxa"/>
            <w:vAlign w:val="bottom"/>
          </w:tcPr>
          <w:p>
            <w:pPr>
              <w:ind w:left="280"/>
              <w:spacing w:after="0"/>
              <w:rPr>
                <w:sz w:val="20"/>
                <w:szCs w:val="20"/>
                <w:color w:val="auto"/>
              </w:rPr>
            </w:pPr>
            <w:r>
              <w:rPr>
                <w:rFonts w:ascii="Arial" w:cs="Arial" w:eastAsia="Arial" w:hAnsi="Arial"/>
                <w:sz w:val="18"/>
                <w:szCs w:val="18"/>
                <w:b w:val="1"/>
                <w:bCs w:val="1"/>
                <w:color w:val="auto"/>
              </w:rPr>
              <w:t>OPERATING SEGMENTS (CONTINUED)</w:t>
            </w:r>
          </w:p>
        </w:tc>
        <w:tc>
          <w:tcPr>
            <w:tcW w:w="3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1"/>
        </w:trPr>
        <w:tc>
          <w:tcPr>
            <w:tcW w:w="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47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740" w:type="dxa"/>
            <w:vAlign w:val="bottom"/>
            <w:gridSpan w:val="4"/>
          </w:tcPr>
          <w:p>
            <w:pPr>
              <w:ind w:left="200"/>
              <w:spacing w:after="0"/>
              <w:rPr>
                <w:sz w:val="20"/>
                <w:szCs w:val="20"/>
                <w:color w:val="auto"/>
              </w:rPr>
            </w:pPr>
            <w:r>
              <w:rPr>
                <w:rFonts w:ascii="Arial" w:cs="Arial" w:eastAsia="Arial" w:hAnsi="Arial"/>
                <w:sz w:val="14"/>
                <w:szCs w:val="14"/>
                <w:b w:val="1"/>
                <w:bCs w:val="1"/>
                <w:i w:val="1"/>
                <w:iCs w:val="1"/>
                <w:color w:val="auto"/>
              </w:rPr>
              <w:t>Continuing Operations</w:t>
            </w:r>
          </w:p>
        </w:tc>
        <w:tc>
          <w:tcPr>
            <w:tcW w:w="1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7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20" w:type="dxa"/>
            <w:vAlign w:val="bottom"/>
            <w:gridSpan w:val="2"/>
          </w:tcPr>
          <w:p>
            <w:pPr>
              <w:ind w:left="80"/>
              <w:spacing w:after="0"/>
              <w:rPr>
                <w:sz w:val="20"/>
                <w:szCs w:val="20"/>
                <w:color w:val="auto"/>
              </w:rPr>
            </w:pPr>
            <w:r>
              <w:rPr>
                <w:rFonts w:ascii="Arial" w:cs="Arial" w:eastAsia="Arial" w:hAnsi="Arial"/>
                <w:sz w:val="14"/>
                <w:szCs w:val="14"/>
                <w:b w:val="1"/>
                <w:bCs w:val="1"/>
                <w:i w:val="1"/>
                <w:iCs w:val="1"/>
                <w:color w:val="auto"/>
              </w:rPr>
              <w:t>Asia Pacific</w:t>
            </w:r>
          </w:p>
        </w:tc>
        <w:tc>
          <w:tcPr>
            <w:tcW w:w="3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00" w:type="dxa"/>
            <w:vAlign w:val="bottom"/>
            <w:gridSpan w:val="2"/>
          </w:tcPr>
          <w:p>
            <w:pPr>
              <w:jc w:val="right"/>
              <w:ind w:right="700"/>
              <w:spacing w:after="0"/>
              <w:rPr>
                <w:sz w:val="20"/>
                <w:szCs w:val="20"/>
                <w:color w:val="auto"/>
              </w:rPr>
            </w:pPr>
            <w:r>
              <w:rPr>
                <w:rFonts w:ascii="Arial" w:cs="Arial" w:eastAsia="Arial" w:hAnsi="Arial"/>
                <w:sz w:val="14"/>
                <w:szCs w:val="14"/>
                <w:b w:val="1"/>
                <w:bCs w:val="1"/>
                <w:i w:val="1"/>
                <w:iCs w:val="1"/>
                <w:color w:val="auto"/>
                <w:w w:val="99"/>
              </w:rPr>
              <w:t>Europe</w:t>
            </w:r>
          </w:p>
        </w:tc>
        <w:tc>
          <w:tcPr>
            <w:tcW w:w="1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00" w:type="dxa"/>
            <w:vAlign w:val="bottom"/>
            <w:gridSpan w:val="2"/>
          </w:tcPr>
          <w:p>
            <w:pPr>
              <w:jc w:val="right"/>
              <w:ind w:right="540"/>
              <w:spacing w:after="0"/>
              <w:rPr>
                <w:sz w:val="20"/>
                <w:szCs w:val="20"/>
                <w:color w:val="auto"/>
              </w:rPr>
            </w:pPr>
            <w:r>
              <w:rPr>
                <w:rFonts w:ascii="Arial" w:cs="Arial" w:eastAsia="Arial" w:hAnsi="Arial"/>
                <w:sz w:val="14"/>
                <w:szCs w:val="14"/>
                <w:b w:val="1"/>
                <w:bCs w:val="1"/>
                <w:i w:val="1"/>
                <w:iCs w:val="1"/>
                <w:color w:val="auto"/>
                <w:w w:val="85"/>
              </w:rPr>
              <w:t>Americas</w:t>
            </w:r>
          </w:p>
        </w:tc>
        <w:tc>
          <w:tcPr>
            <w:tcW w:w="2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40" w:type="dxa"/>
            <w:vAlign w:val="bottom"/>
            <w:gridSpan w:val="2"/>
          </w:tcPr>
          <w:p>
            <w:pPr>
              <w:jc w:val="right"/>
              <w:ind w:right="500"/>
              <w:spacing w:after="0"/>
              <w:rPr>
                <w:sz w:val="20"/>
                <w:szCs w:val="20"/>
                <w:color w:val="auto"/>
              </w:rPr>
            </w:pPr>
            <w:r>
              <w:rPr>
                <w:rFonts w:ascii="Arial" w:cs="Arial" w:eastAsia="Arial" w:hAnsi="Arial"/>
                <w:sz w:val="14"/>
                <w:szCs w:val="14"/>
                <w:b w:val="1"/>
                <w:bCs w:val="1"/>
                <w:i w:val="1"/>
                <w:iCs w:val="1"/>
                <w:color w:val="auto"/>
              </w:rPr>
              <w:t>Total</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2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Half-year ended December 31, 2017</w:t>
            </w:r>
          </w:p>
        </w:tc>
        <w:tc>
          <w:tcPr>
            <w:tcW w:w="3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24"/>
        </w:trPr>
        <w:tc>
          <w:tcPr>
            <w:tcW w:w="4940" w:type="dxa"/>
            <w:vAlign w:val="bottom"/>
            <w:gridSpan w:val="3"/>
          </w:tcPr>
          <w:p>
            <w:pPr>
              <w:spacing w:after="0"/>
              <w:rPr>
                <w:sz w:val="20"/>
                <w:szCs w:val="20"/>
                <w:color w:val="auto"/>
              </w:rPr>
            </w:pPr>
            <w:r>
              <w:rPr>
                <w:rFonts w:ascii="Arial" w:cs="Arial" w:eastAsia="Arial" w:hAnsi="Arial"/>
                <w:sz w:val="18"/>
                <w:szCs w:val="18"/>
                <w:b w:val="1"/>
                <w:bCs w:val="1"/>
                <w:color w:val="auto"/>
              </w:rPr>
              <w:t>Revenue</w:t>
            </w:r>
          </w:p>
        </w:tc>
        <w:tc>
          <w:tcPr>
            <w:tcW w:w="3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Sales to external customers</w:t>
            </w:r>
          </w:p>
        </w:tc>
        <w:tc>
          <w:tcPr>
            <w:tcW w:w="1460" w:type="dxa"/>
            <w:vAlign w:val="bottom"/>
            <w:gridSpan w:val="3"/>
            <w:shd w:val="clear" w:color="auto" w:fill="CCEEFF"/>
          </w:tcPr>
          <w:p>
            <w:pPr>
              <w:ind w:left="340"/>
              <w:spacing w:after="0"/>
              <w:rPr>
                <w:sz w:val="20"/>
                <w:szCs w:val="20"/>
                <w:color w:val="auto"/>
              </w:rPr>
            </w:pPr>
            <w:r>
              <w:rPr>
                <w:rFonts w:ascii="Arial" w:cs="Arial" w:eastAsia="Arial" w:hAnsi="Arial"/>
                <w:sz w:val="18"/>
                <w:szCs w:val="18"/>
                <w:u w:val="single" w:color="auto"/>
                <w:color w:val="auto"/>
              </w:rPr>
              <w:t>A</w:t>
            </w:r>
            <w:r>
              <w:rPr>
                <w:rFonts w:ascii="Arial" w:cs="Arial" w:eastAsia="Arial" w:hAnsi="Arial"/>
                <w:sz w:val="18"/>
                <w:szCs w:val="18"/>
                <w:color w:val="auto"/>
              </w:rPr>
              <w:t>$ 344,367</w:t>
            </w:r>
          </w:p>
        </w:tc>
        <w:tc>
          <w:tcPr>
            <w:tcW w:w="540" w:type="dxa"/>
            <w:vAlign w:val="bottom"/>
            <w:gridSpan w:val="2"/>
            <w:shd w:val="clear" w:color="auto" w:fill="CCEEFF"/>
          </w:tcPr>
          <w:p>
            <w:pPr>
              <w:ind w:left="320"/>
              <w:spacing w:after="0"/>
              <w:rPr>
                <w:sz w:val="20"/>
                <w:szCs w:val="20"/>
                <w:color w:val="auto"/>
              </w:rPr>
            </w:pPr>
            <w:r>
              <w:rPr>
                <w:rFonts w:ascii="Arial" w:cs="Arial" w:eastAsia="Arial" w:hAnsi="Arial"/>
                <w:sz w:val="18"/>
                <w:szCs w:val="18"/>
                <w:u w:val="single" w:color="auto"/>
                <w:color w:val="auto"/>
                <w:w w:val="90"/>
              </w:rPr>
              <w:t>A</w:t>
            </w:r>
            <w:r>
              <w:rPr>
                <w:rFonts w:ascii="Arial" w:cs="Arial" w:eastAsia="Arial" w:hAnsi="Arial"/>
                <w:sz w:val="18"/>
                <w:szCs w:val="18"/>
                <w:color w:val="auto"/>
                <w:w w:val="90"/>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263,394</w:t>
            </w:r>
          </w:p>
        </w:tc>
        <w:tc>
          <w:tcPr>
            <w:tcW w:w="400" w:type="dxa"/>
            <w:vAlign w:val="bottom"/>
            <w:shd w:val="clear" w:color="auto" w:fill="CCEEFF"/>
          </w:tcPr>
          <w:p>
            <w:pPr>
              <w:spacing w:after="0"/>
              <w:rPr>
                <w:sz w:val="18"/>
                <w:szCs w:val="18"/>
                <w:color w:val="auto"/>
              </w:rPr>
            </w:pPr>
          </w:p>
        </w:tc>
        <w:tc>
          <w:tcPr>
            <w:tcW w:w="38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w w:val="90"/>
              </w:rPr>
              <w:t>A$</w:t>
            </w:r>
          </w:p>
        </w:tc>
        <w:tc>
          <w:tcPr>
            <w:tcW w:w="110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480" w:type="dxa"/>
            <w:vAlign w:val="bottom"/>
            <w:gridSpan w:val="2"/>
            <w:shd w:val="clear" w:color="auto" w:fill="CCEEFF"/>
          </w:tcPr>
          <w:p>
            <w:pPr>
              <w:ind w:left="260"/>
              <w:spacing w:after="0"/>
              <w:rPr>
                <w:sz w:val="20"/>
                <w:szCs w:val="20"/>
                <w:color w:val="auto"/>
              </w:rPr>
            </w:pPr>
            <w:r>
              <w:rPr>
                <w:rFonts w:ascii="Arial" w:cs="Arial" w:eastAsia="Arial" w:hAnsi="Arial"/>
                <w:sz w:val="18"/>
                <w:szCs w:val="18"/>
                <w:u w:val="single" w:color="auto"/>
                <w:color w:val="auto"/>
                <w:w w:val="90"/>
              </w:rPr>
              <w:t>A</w:t>
            </w:r>
            <w:r>
              <w:rPr>
                <w:rFonts w:ascii="Arial" w:cs="Arial" w:eastAsia="Arial" w:hAnsi="Arial"/>
                <w:sz w:val="18"/>
                <w:szCs w:val="18"/>
                <w:color w:val="auto"/>
                <w:w w:val="90"/>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607,761</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940" w:type="dxa"/>
            <w:vAlign w:val="bottom"/>
            <w:gridSpan w:val="3"/>
          </w:tcPr>
          <w:p>
            <w:pPr>
              <w:spacing w:after="0"/>
              <w:rPr>
                <w:sz w:val="20"/>
                <w:szCs w:val="20"/>
                <w:color w:val="auto"/>
              </w:rPr>
            </w:pPr>
            <w:r>
              <w:rPr>
                <w:rFonts w:ascii="Arial" w:cs="Arial" w:eastAsia="Arial" w:hAnsi="Arial"/>
                <w:sz w:val="18"/>
                <w:szCs w:val="18"/>
                <w:b w:val="1"/>
                <w:bCs w:val="1"/>
                <w:color w:val="auto"/>
              </w:rPr>
              <w:t>Total revenue per statement of comprehensive income</w:t>
            </w:r>
          </w:p>
        </w:tc>
        <w:tc>
          <w:tcPr>
            <w:tcW w:w="340" w:type="dxa"/>
            <w:vAlign w:val="bottom"/>
          </w:tcPr>
          <w:p>
            <w:pPr>
              <w:spacing w:after="0"/>
              <w:rPr>
                <w:sz w:val="20"/>
                <w:szCs w:val="20"/>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344,367</w:t>
            </w:r>
          </w:p>
        </w:tc>
        <w:tc>
          <w:tcPr>
            <w:tcW w:w="2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20" w:type="dxa"/>
            <w:vAlign w:val="bottom"/>
            <w:tcBorders>
              <w:top w:val="single" w:sz="8" w:color="auto"/>
              <w:bottom w:val="single" w:sz="8" w:color="auto"/>
            </w:tcBorders>
          </w:tcPr>
          <w:p>
            <w:pPr>
              <w:spacing w:after="0"/>
              <w:rPr>
                <w:sz w:val="20"/>
                <w:szCs w:val="20"/>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263,394</w:t>
            </w:r>
          </w:p>
        </w:tc>
        <w:tc>
          <w:tcPr>
            <w:tcW w:w="4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20" w:type="dxa"/>
            <w:vAlign w:val="bottom"/>
            <w:tcBorders>
              <w:top w:val="single" w:sz="8" w:color="auto"/>
              <w:bottom w:val="single" w:sz="8" w:color="auto"/>
            </w:tcBorders>
          </w:tcPr>
          <w:p>
            <w:pPr>
              <w:spacing w:after="0"/>
              <w:rPr>
                <w:sz w:val="20"/>
                <w:szCs w:val="20"/>
                <w:color w:val="auto"/>
              </w:rPr>
            </w:pPr>
          </w:p>
        </w:tc>
        <w:tc>
          <w:tcPr>
            <w:tcW w:w="800" w:type="dxa"/>
            <w:vAlign w:val="bottom"/>
            <w:tcBorders>
              <w:top w:val="single" w:sz="8" w:color="auto"/>
              <w:bottom w:val="single" w:sz="8" w:color="auto"/>
            </w:tcBorders>
          </w:tcPr>
          <w:p>
            <w:pPr>
              <w:jc w:val="right"/>
              <w:ind w:right="13"/>
              <w:spacing w:after="0"/>
              <w:rPr>
                <w:sz w:val="20"/>
                <w:szCs w:val="20"/>
                <w:color w:val="auto"/>
              </w:rPr>
            </w:pPr>
            <w:r>
              <w:rPr>
                <w:rFonts w:ascii="Arial" w:cs="Arial" w:eastAsia="Arial" w:hAnsi="Arial"/>
                <w:sz w:val="18"/>
                <w:szCs w:val="18"/>
                <w:b w:val="1"/>
                <w:bCs w:val="1"/>
                <w:color w:val="auto"/>
              </w:rPr>
              <w:t>—</w:t>
            </w:r>
          </w:p>
        </w:tc>
        <w:tc>
          <w:tcPr>
            <w:tcW w:w="3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20" w:type="dxa"/>
            <w:vAlign w:val="bottom"/>
            <w:tcBorders>
              <w:top w:val="single" w:sz="8" w:color="auto"/>
              <w:bottom w:val="single" w:sz="8" w:color="auto"/>
            </w:tcBorders>
          </w:tcPr>
          <w:p>
            <w:pPr>
              <w:spacing w:after="0"/>
              <w:rPr>
                <w:sz w:val="20"/>
                <w:szCs w:val="20"/>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607,761</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BARDA income and other income</w:t>
            </w:r>
          </w:p>
        </w:tc>
        <w:tc>
          <w:tcPr>
            <w:tcW w:w="1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34,151</w:t>
            </w:r>
          </w:p>
        </w:tc>
        <w:tc>
          <w:tcPr>
            <w:tcW w:w="2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3,224</w:t>
            </w:r>
          </w:p>
        </w:tc>
        <w:tc>
          <w:tcPr>
            <w:tcW w:w="4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3,856,936</w:t>
            </w:r>
          </w:p>
        </w:tc>
        <w:tc>
          <w:tcPr>
            <w:tcW w:w="3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3,894,311</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920" w:type="dxa"/>
            <w:vAlign w:val="bottom"/>
            <w:gridSpan w:val="2"/>
          </w:tcPr>
          <w:p>
            <w:pPr>
              <w:spacing w:after="0"/>
              <w:rPr>
                <w:sz w:val="20"/>
                <w:szCs w:val="20"/>
                <w:color w:val="auto"/>
              </w:rPr>
            </w:pPr>
            <w:r>
              <w:rPr>
                <w:rFonts w:ascii="Arial" w:cs="Arial" w:eastAsia="Arial" w:hAnsi="Arial"/>
                <w:sz w:val="18"/>
                <w:szCs w:val="18"/>
                <w:color w:val="auto"/>
              </w:rPr>
              <w:t>Segment net loss before tax</w:t>
            </w:r>
          </w:p>
        </w:tc>
        <w:tc>
          <w:tcPr>
            <w:tcW w:w="1460" w:type="dxa"/>
            <w:vAlign w:val="bottom"/>
            <w:gridSpan w:val="3"/>
          </w:tcPr>
          <w:p>
            <w:pPr>
              <w:ind w:left="340"/>
              <w:spacing w:after="0"/>
              <w:rPr>
                <w:sz w:val="20"/>
                <w:szCs w:val="20"/>
                <w:color w:val="auto"/>
              </w:rPr>
            </w:pPr>
            <w:r>
              <w:rPr>
                <w:rFonts w:ascii="Arial" w:cs="Arial" w:eastAsia="Arial" w:hAnsi="Arial"/>
                <w:sz w:val="18"/>
                <w:szCs w:val="18"/>
                <w:u w:val="single" w:color="auto"/>
                <w:color w:val="auto"/>
              </w:rPr>
              <w:t>A$</w:t>
            </w:r>
            <w:r>
              <w:rPr>
                <w:rFonts w:ascii="Arial" w:cs="Arial" w:eastAsia="Arial" w:hAnsi="Arial"/>
                <w:sz w:val="18"/>
                <w:szCs w:val="18"/>
                <w:color w:val="auto"/>
              </w:rPr>
              <w:t>(688,840)</w:t>
            </w:r>
          </w:p>
        </w:tc>
        <w:tc>
          <w:tcPr>
            <w:tcW w:w="540" w:type="dxa"/>
            <w:vAlign w:val="bottom"/>
            <w:gridSpan w:val="2"/>
          </w:tcPr>
          <w:p>
            <w:pPr>
              <w:ind w:left="320"/>
              <w:spacing w:after="0"/>
              <w:rPr>
                <w:sz w:val="20"/>
                <w:szCs w:val="20"/>
                <w:color w:val="auto"/>
              </w:rPr>
            </w:pPr>
            <w:r>
              <w:rPr>
                <w:rFonts w:ascii="Arial" w:cs="Arial" w:eastAsia="Arial" w:hAnsi="Arial"/>
                <w:sz w:val="18"/>
                <w:szCs w:val="18"/>
                <w:u w:val="single" w:color="auto"/>
                <w:color w:val="auto"/>
                <w:w w:val="90"/>
              </w:rPr>
              <w:t>A$</w:t>
            </w:r>
          </w:p>
        </w:tc>
        <w:tc>
          <w:tcPr>
            <w:tcW w:w="1200" w:type="dxa"/>
            <w:vAlign w:val="bottom"/>
            <w:gridSpan w:val="2"/>
          </w:tcPr>
          <w:p>
            <w:pPr>
              <w:jc w:val="right"/>
              <w:ind w:right="360"/>
              <w:spacing w:after="0"/>
              <w:rPr>
                <w:sz w:val="20"/>
                <w:szCs w:val="20"/>
                <w:color w:val="auto"/>
              </w:rPr>
            </w:pPr>
            <w:r>
              <w:rPr>
                <w:rFonts w:ascii="Arial" w:cs="Arial" w:eastAsia="Arial" w:hAnsi="Arial"/>
                <w:sz w:val="18"/>
                <w:szCs w:val="18"/>
                <w:color w:val="auto"/>
                <w:w w:val="89"/>
              </w:rPr>
              <w:t>(1,325,927)</w:t>
            </w:r>
          </w:p>
        </w:tc>
        <w:tc>
          <w:tcPr>
            <w:tcW w:w="380" w:type="dxa"/>
            <w:vAlign w:val="bottom"/>
            <w:gridSpan w:val="2"/>
          </w:tcPr>
          <w:p>
            <w:pPr>
              <w:ind w:left="160"/>
              <w:spacing w:after="0"/>
              <w:rPr>
                <w:sz w:val="20"/>
                <w:szCs w:val="20"/>
                <w:color w:val="auto"/>
              </w:rPr>
            </w:pPr>
            <w:r>
              <w:rPr>
                <w:rFonts w:ascii="Arial" w:cs="Arial" w:eastAsia="Arial" w:hAnsi="Arial"/>
                <w:sz w:val="18"/>
                <w:szCs w:val="18"/>
                <w:u w:val="single" w:color="auto"/>
                <w:color w:val="auto"/>
                <w:w w:val="90"/>
              </w:rPr>
              <w:t>A$</w:t>
            </w:r>
          </w:p>
        </w:tc>
        <w:tc>
          <w:tcPr>
            <w:tcW w:w="1100" w:type="dxa"/>
            <w:vAlign w:val="bottom"/>
            <w:gridSpan w:val="2"/>
          </w:tcPr>
          <w:p>
            <w:pPr>
              <w:jc w:val="right"/>
              <w:ind w:right="260"/>
              <w:spacing w:after="0"/>
              <w:rPr>
                <w:sz w:val="20"/>
                <w:szCs w:val="20"/>
                <w:color w:val="auto"/>
              </w:rPr>
            </w:pPr>
            <w:r>
              <w:rPr>
                <w:rFonts w:ascii="Arial" w:cs="Arial" w:eastAsia="Arial" w:hAnsi="Arial"/>
                <w:sz w:val="18"/>
                <w:szCs w:val="18"/>
                <w:color w:val="auto"/>
                <w:w w:val="89"/>
              </w:rPr>
              <w:t>(3,098,175)</w:t>
            </w:r>
          </w:p>
        </w:tc>
        <w:tc>
          <w:tcPr>
            <w:tcW w:w="480" w:type="dxa"/>
            <w:vAlign w:val="bottom"/>
            <w:gridSpan w:val="2"/>
          </w:tcPr>
          <w:p>
            <w:pPr>
              <w:ind w:left="260"/>
              <w:spacing w:after="0"/>
              <w:rPr>
                <w:sz w:val="20"/>
                <w:szCs w:val="20"/>
                <w:color w:val="auto"/>
              </w:rPr>
            </w:pPr>
            <w:r>
              <w:rPr>
                <w:rFonts w:ascii="Arial" w:cs="Arial" w:eastAsia="Arial" w:hAnsi="Arial"/>
                <w:sz w:val="18"/>
                <w:szCs w:val="18"/>
                <w:color w:val="auto"/>
                <w:w w:val="90"/>
              </w:rPr>
              <w:t>A$</w:t>
            </w:r>
          </w:p>
        </w:tc>
        <w:tc>
          <w:tcPr>
            <w:tcW w:w="940" w:type="dxa"/>
            <w:vAlign w:val="bottom"/>
            <w:gridSpan w:val="2"/>
          </w:tcPr>
          <w:p>
            <w:pPr>
              <w:jc w:val="right"/>
              <w:ind w:right="60"/>
              <w:spacing w:after="0"/>
              <w:rPr>
                <w:sz w:val="20"/>
                <w:szCs w:val="20"/>
                <w:color w:val="auto"/>
              </w:rPr>
            </w:pPr>
            <w:r>
              <w:rPr>
                <w:rFonts w:ascii="Arial" w:cs="Arial" w:eastAsia="Arial" w:hAnsi="Arial"/>
                <w:sz w:val="18"/>
                <w:szCs w:val="18"/>
                <w:color w:val="auto"/>
                <w:w w:val="93"/>
              </w:rPr>
              <w:t>(5,112,942)</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4920" w:type="dxa"/>
            <w:vAlign w:val="bottom"/>
            <w:gridSpan w:val="2"/>
            <w:shd w:val="clear" w:color="auto" w:fill="CCEEFF"/>
          </w:tcPr>
          <w:p>
            <w:pPr>
              <w:spacing w:after="0" w:line="198" w:lineRule="exact"/>
              <w:rPr>
                <w:sz w:val="20"/>
                <w:szCs w:val="20"/>
                <w:color w:val="auto"/>
              </w:rPr>
            </w:pPr>
            <w:r>
              <w:rPr>
                <w:rFonts w:ascii="Arial" w:cs="Arial" w:eastAsia="Arial" w:hAnsi="Arial"/>
                <w:sz w:val="18"/>
                <w:szCs w:val="18"/>
                <w:b w:val="1"/>
                <w:bCs w:val="1"/>
                <w:color w:val="auto"/>
                <w:w w:val="93"/>
              </w:rPr>
              <w:t>Reconciliation of segment net result before tax to loss before</w:t>
            </w:r>
          </w:p>
        </w:tc>
        <w:tc>
          <w:tcPr>
            <w:tcW w:w="340" w:type="dxa"/>
            <w:vAlign w:val="bottom"/>
            <w:shd w:val="clear" w:color="auto" w:fill="CCEEFF"/>
          </w:tcPr>
          <w:p>
            <w:pPr>
              <w:spacing w:after="0"/>
              <w:rPr>
                <w:sz w:val="17"/>
                <w:szCs w:val="17"/>
                <w:color w:val="auto"/>
              </w:rPr>
            </w:pPr>
          </w:p>
        </w:tc>
        <w:tc>
          <w:tcPr>
            <w:tcW w:w="880" w:type="dxa"/>
            <w:vAlign w:val="bottom"/>
            <w:tcBorders>
              <w:top w:val="single" w:sz="8" w:color="auto"/>
            </w:tcBorders>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spacing w:after="0"/>
              <w:rPr>
                <w:sz w:val="17"/>
                <w:szCs w:val="17"/>
                <w:color w:val="auto"/>
              </w:rPr>
            </w:pPr>
          </w:p>
        </w:tc>
        <w:tc>
          <w:tcPr>
            <w:tcW w:w="800" w:type="dxa"/>
            <w:vAlign w:val="bottom"/>
            <w:tcBorders>
              <w:top w:val="single" w:sz="8" w:color="auto"/>
            </w:tcBorders>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spacing w:after="0"/>
              <w:rPr>
                <w:sz w:val="17"/>
                <w:szCs w:val="17"/>
                <w:color w:val="auto"/>
              </w:rPr>
            </w:pPr>
          </w:p>
        </w:tc>
        <w:tc>
          <w:tcPr>
            <w:tcW w:w="800" w:type="dxa"/>
            <w:vAlign w:val="bottom"/>
            <w:tcBorders>
              <w:top w:val="single" w:sz="8" w:color="auto"/>
            </w:tcBorders>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478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income tax</w:t>
            </w:r>
          </w:p>
        </w:tc>
        <w:tc>
          <w:tcPr>
            <w:tcW w:w="340" w:type="dxa"/>
            <w:vAlign w:val="bottom"/>
            <w:shd w:val="clear" w:color="auto" w:fill="CCEEFF"/>
          </w:tcPr>
          <w:p>
            <w:pPr>
              <w:spacing w:after="0"/>
              <w:rPr>
                <w:sz w:val="20"/>
                <w:szCs w:val="20"/>
                <w:color w:val="auto"/>
              </w:rPr>
            </w:pPr>
          </w:p>
        </w:tc>
        <w:tc>
          <w:tcPr>
            <w:tcW w:w="88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800" w:type="dxa"/>
            <w:vAlign w:val="bottom"/>
            <w:shd w:val="clear" w:color="auto" w:fill="CCEEFF"/>
          </w:tcPr>
          <w:p>
            <w:pPr>
              <w:spacing w:after="0"/>
              <w:rPr>
                <w:sz w:val="20"/>
                <w:szCs w:val="20"/>
                <w:color w:val="auto"/>
              </w:rPr>
            </w:pPr>
          </w:p>
        </w:tc>
        <w:tc>
          <w:tcPr>
            <w:tcW w:w="4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80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8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20" w:type="dxa"/>
            <w:vAlign w:val="bottom"/>
            <w:gridSpan w:val="2"/>
          </w:tcPr>
          <w:p>
            <w:pPr>
              <w:spacing w:after="0"/>
              <w:rPr>
                <w:sz w:val="20"/>
                <w:szCs w:val="20"/>
                <w:color w:val="auto"/>
              </w:rPr>
            </w:pPr>
            <w:r>
              <w:rPr>
                <w:rFonts w:ascii="Arial" w:cs="Arial" w:eastAsia="Arial" w:hAnsi="Arial"/>
                <w:sz w:val="18"/>
                <w:szCs w:val="18"/>
                <w:color w:val="auto"/>
              </w:rPr>
              <w:t>Corporate charges</w:t>
            </w:r>
          </w:p>
        </w:tc>
        <w:tc>
          <w:tcPr>
            <w:tcW w:w="3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gridSpan w:val="2"/>
          </w:tcPr>
          <w:p>
            <w:pPr>
              <w:jc w:val="right"/>
              <w:ind w:right="60"/>
              <w:spacing w:after="0"/>
              <w:rPr>
                <w:sz w:val="20"/>
                <w:szCs w:val="20"/>
                <w:color w:val="auto"/>
              </w:rPr>
            </w:pPr>
            <w:r>
              <w:rPr>
                <w:rFonts w:ascii="Arial" w:cs="Arial" w:eastAsia="Arial" w:hAnsi="Arial"/>
                <w:sz w:val="18"/>
                <w:szCs w:val="18"/>
                <w:color w:val="auto"/>
                <w:w w:val="93"/>
              </w:rPr>
              <w:t>(2,137,655)</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140" w:type="dxa"/>
            <w:vAlign w:val="bottom"/>
          </w:tcPr>
          <w:p>
            <w:pPr>
              <w:spacing w:after="0"/>
              <w:rPr>
                <w:sz w:val="2"/>
                <w:szCs w:val="2"/>
                <w:color w:val="auto"/>
              </w:rPr>
            </w:pPr>
          </w:p>
        </w:tc>
        <w:tc>
          <w:tcPr>
            <w:tcW w:w="4780" w:type="dxa"/>
            <w:vAlign w:val="bottom"/>
          </w:tcPr>
          <w:p>
            <w:pPr>
              <w:spacing w:after="0"/>
              <w:rPr>
                <w:sz w:val="2"/>
                <w:szCs w:val="2"/>
                <w:color w:val="auto"/>
              </w:rPr>
            </w:pPr>
          </w:p>
        </w:tc>
        <w:tc>
          <w:tcPr>
            <w:tcW w:w="340" w:type="dxa"/>
            <w:vAlign w:val="bottom"/>
          </w:tcPr>
          <w:p>
            <w:pPr>
              <w:spacing w:after="0"/>
              <w:rPr>
                <w:sz w:val="2"/>
                <w:szCs w:val="2"/>
                <w:color w:val="auto"/>
              </w:rPr>
            </w:pPr>
          </w:p>
        </w:tc>
        <w:tc>
          <w:tcPr>
            <w:tcW w:w="880" w:type="dxa"/>
            <w:vAlign w:val="bottom"/>
          </w:tcPr>
          <w:p>
            <w:pPr>
              <w:spacing w:after="0"/>
              <w:rPr>
                <w:sz w:val="2"/>
                <w:szCs w:val="2"/>
                <w:color w:val="auto"/>
              </w:rPr>
            </w:pPr>
          </w:p>
        </w:tc>
        <w:tc>
          <w:tcPr>
            <w:tcW w:w="240" w:type="dxa"/>
            <w:vAlign w:val="bottom"/>
          </w:tcPr>
          <w:p>
            <w:pPr>
              <w:spacing w:after="0"/>
              <w:rPr>
                <w:sz w:val="2"/>
                <w:szCs w:val="2"/>
                <w:color w:val="auto"/>
              </w:rPr>
            </w:pPr>
          </w:p>
        </w:tc>
        <w:tc>
          <w:tcPr>
            <w:tcW w:w="3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6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300" w:type="dxa"/>
            <w:vAlign w:val="bottom"/>
          </w:tcPr>
          <w:p>
            <w:pPr>
              <w:spacing w:after="0"/>
              <w:rPr>
                <w:sz w:val="2"/>
                <w:szCs w:val="2"/>
                <w:color w:val="auto"/>
              </w:rPr>
            </w:pPr>
          </w:p>
        </w:tc>
        <w:tc>
          <w:tcPr>
            <w:tcW w:w="26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92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Loss before income tax</w:t>
            </w:r>
          </w:p>
        </w:tc>
        <w:tc>
          <w:tcPr>
            <w:tcW w:w="3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480" w:type="dxa"/>
            <w:vAlign w:val="bottom"/>
            <w:gridSpan w:val="2"/>
            <w:shd w:val="clear" w:color="auto" w:fill="CCEEFF"/>
          </w:tcPr>
          <w:p>
            <w:pPr>
              <w:ind w:left="260"/>
              <w:spacing w:after="0"/>
              <w:rPr>
                <w:sz w:val="20"/>
                <w:szCs w:val="20"/>
                <w:color w:val="auto"/>
              </w:rPr>
            </w:pPr>
            <w:r>
              <w:rPr>
                <w:rFonts w:ascii="Arial" w:cs="Arial" w:eastAsia="Arial" w:hAnsi="Arial"/>
                <w:sz w:val="18"/>
                <w:szCs w:val="18"/>
                <w:b w:val="1"/>
                <w:bCs w:val="1"/>
                <w:u w:val="single" w:color="auto"/>
                <w:color w:val="auto"/>
                <w:w w:val="86"/>
              </w:rPr>
              <w:t>A</w:t>
            </w:r>
            <w:r>
              <w:rPr>
                <w:rFonts w:ascii="Arial" w:cs="Arial" w:eastAsia="Arial" w:hAnsi="Arial"/>
                <w:sz w:val="18"/>
                <w:szCs w:val="18"/>
                <w:b w:val="1"/>
                <w:bCs w:val="1"/>
                <w:color w:val="auto"/>
                <w:w w:val="86"/>
              </w:rPr>
              <w:t>$</w:t>
            </w:r>
          </w:p>
        </w:tc>
        <w:tc>
          <w:tcPr>
            <w:tcW w:w="9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b w:val="1"/>
                <w:bCs w:val="1"/>
                <w:color w:val="auto"/>
                <w:w w:val="93"/>
              </w:rPr>
              <w:t>(7,250,597)</w:t>
            </w:r>
          </w:p>
        </w:tc>
        <w:tc>
          <w:tcPr>
            <w:tcW w:w="0" w:type="dxa"/>
            <w:vAlign w:val="bottom"/>
          </w:tcPr>
          <w:p>
            <w:pPr>
              <w:spacing w:after="0"/>
              <w:rPr>
                <w:sz w:val="1"/>
                <w:szCs w:val="1"/>
                <w:color w:val="auto"/>
              </w:rPr>
            </w:pPr>
          </w:p>
        </w:tc>
      </w:tr>
      <w:tr>
        <w:trPr>
          <w:trHeight w:val="223"/>
        </w:trPr>
        <w:tc>
          <w:tcPr>
            <w:tcW w:w="4940" w:type="dxa"/>
            <w:vAlign w:val="bottom"/>
            <w:gridSpan w:val="3"/>
          </w:tcPr>
          <w:p>
            <w:pPr>
              <w:spacing w:after="0"/>
              <w:rPr>
                <w:sz w:val="20"/>
                <w:szCs w:val="20"/>
                <w:color w:val="auto"/>
              </w:rPr>
            </w:pPr>
            <w:r>
              <w:rPr>
                <w:rFonts w:ascii="Arial" w:cs="Arial" w:eastAsia="Arial" w:hAnsi="Arial"/>
                <w:sz w:val="18"/>
                <w:szCs w:val="18"/>
                <w:b w:val="1"/>
                <w:bCs w:val="1"/>
                <w:color w:val="auto"/>
              </w:rPr>
              <w:t>Segment assets</w:t>
            </w:r>
          </w:p>
        </w:tc>
        <w:tc>
          <w:tcPr>
            <w:tcW w:w="3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82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Segment operating assets</w:t>
            </w:r>
          </w:p>
        </w:tc>
        <w:tc>
          <w:tcPr>
            <w:tcW w:w="1460" w:type="dxa"/>
            <w:vAlign w:val="bottom"/>
            <w:gridSpan w:val="3"/>
            <w:shd w:val="clear" w:color="auto" w:fill="CCEEFF"/>
          </w:tcPr>
          <w:p>
            <w:pPr>
              <w:ind w:left="340"/>
              <w:spacing w:after="0"/>
              <w:rPr>
                <w:sz w:val="20"/>
                <w:szCs w:val="20"/>
                <w:color w:val="auto"/>
              </w:rPr>
            </w:pPr>
            <w:r>
              <w:rPr>
                <w:rFonts w:ascii="Arial" w:cs="Arial" w:eastAsia="Arial" w:hAnsi="Arial"/>
                <w:sz w:val="18"/>
                <w:szCs w:val="18"/>
                <w:u w:val="single" w:color="auto"/>
                <w:color w:val="auto"/>
              </w:rPr>
              <w:t>A</w:t>
            </w:r>
            <w:r>
              <w:rPr>
                <w:rFonts w:ascii="Arial" w:cs="Arial" w:eastAsia="Arial" w:hAnsi="Arial"/>
                <w:sz w:val="18"/>
                <w:szCs w:val="18"/>
                <w:color w:val="auto"/>
              </w:rPr>
              <w:t>$ 327,350</w:t>
            </w:r>
          </w:p>
        </w:tc>
        <w:tc>
          <w:tcPr>
            <w:tcW w:w="540" w:type="dxa"/>
            <w:vAlign w:val="bottom"/>
            <w:gridSpan w:val="2"/>
            <w:shd w:val="clear" w:color="auto" w:fill="CCEEFF"/>
          </w:tcPr>
          <w:p>
            <w:pPr>
              <w:ind w:left="320"/>
              <w:spacing w:after="0"/>
              <w:rPr>
                <w:sz w:val="20"/>
                <w:szCs w:val="20"/>
                <w:color w:val="auto"/>
              </w:rPr>
            </w:pPr>
            <w:r>
              <w:rPr>
                <w:rFonts w:ascii="Arial" w:cs="Arial" w:eastAsia="Arial" w:hAnsi="Arial"/>
                <w:sz w:val="18"/>
                <w:szCs w:val="18"/>
                <w:u w:val="single" w:color="auto"/>
                <w:color w:val="auto"/>
                <w:w w:val="90"/>
              </w:rPr>
              <w:t>A</w:t>
            </w:r>
            <w:r>
              <w:rPr>
                <w:rFonts w:ascii="Arial" w:cs="Arial" w:eastAsia="Arial" w:hAnsi="Arial"/>
                <w:sz w:val="18"/>
                <w:szCs w:val="18"/>
                <w:color w:val="auto"/>
                <w:w w:val="90"/>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692,388</w:t>
            </w:r>
          </w:p>
        </w:tc>
        <w:tc>
          <w:tcPr>
            <w:tcW w:w="400" w:type="dxa"/>
            <w:vAlign w:val="bottom"/>
            <w:shd w:val="clear" w:color="auto" w:fill="CCEEFF"/>
          </w:tcPr>
          <w:p>
            <w:pPr>
              <w:spacing w:after="0"/>
              <w:rPr>
                <w:sz w:val="18"/>
                <w:szCs w:val="18"/>
                <w:color w:val="auto"/>
              </w:rPr>
            </w:pPr>
          </w:p>
        </w:tc>
        <w:tc>
          <w:tcPr>
            <w:tcW w:w="380" w:type="dxa"/>
            <w:vAlign w:val="bottom"/>
            <w:gridSpan w:val="2"/>
            <w:shd w:val="clear" w:color="auto" w:fill="CCEEFF"/>
          </w:tcPr>
          <w:p>
            <w:pPr>
              <w:ind w:left="160"/>
              <w:spacing w:after="0"/>
              <w:rPr>
                <w:sz w:val="20"/>
                <w:szCs w:val="20"/>
                <w:color w:val="auto"/>
              </w:rPr>
            </w:pPr>
            <w:r>
              <w:rPr>
                <w:rFonts w:ascii="Arial" w:cs="Arial" w:eastAsia="Arial" w:hAnsi="Arial"/>
                <w:sz w:val="18"/>
                <w:szCs w:val="18"/>
                <w:u w:val="single" w:color="auto"/>
                <w:color w:val="auto"/>
                <w:w w:val="90"/>
              </w:rPr>
              <w:t>A</w:t>
            </w:r>
            <w:r>
              <w:rPr>
                <w:rFonts w:ascii="Arial" w:cs="Arial" w:eastAsia="Arial" w:hAnsi="Arial"/>
                <w:sz w:val="18"/>
                <w:szCs w:val="18"/>
                <w:color w:val="auto"/>
                <w:w w:val="90"/>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4,077,021</w:t>
            </w:r>
          </w:p>
        </w:tc>
        <w:tc>
          <w:tcPr>
            <w:tcW w:w="300" w:type="dxa"/>
            <w:vAlign w:val="bottom"/>
            <w:shd w:val="clear" w:color="auto" w:fill="CCEEFF"/>
          </w:tcPr>
          <w:p>
            <w:pPr>
              <w:spacing w:after="0"/>
              <w:rPr>
                <w:sz w:val="18"/>
                <w:szCs w:val="18"/>
                <w:color w:val="auto"/>
              </w:rPr>
            </w:pPr>
          </w:p>
        </w:tc>
        <w:tc>
          <w:tcPr>
            <w:tcW w:w="48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w w:val="90"/>
              </w:rPr>
              <w:t>A$</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5,096,759</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940" w:type="dxa"/>
            <w:vAlign w:val="bottom"/>
            <w:gridSpan w:val="3"/>
          </w:tcPr>
          <w:p>
            <w:pPr>
              <w:spacing w:after="0"/>
              <w:rPr>
                <w:sz w:val="20"/>
                <w:szCs w:val="20"/>
                <w:color w:val="auto"/>
              </w:rPr>
            </w:pPr>
            <w:r>
              <w:rPr>
                <w:rFonts w:ascii="Arial" w:cs="Arial" w:eastAsia="Arial" w:hAnsi="Arial"/>
                <w:sz w:val="18"/>
                <w:szCs w:val="18"/>
                <w:color w:val="auto"/>
              </w:rPr>
              <w:t>Unallocated assets</w:t>
            </w:r>
          </w:p>
        </w:tc>
        <w:tc>
          <w:tcPr>
            <w:tcW w:w="340" w:type="dxa"/>
            <w:vAlign w:val="bottom"/>
          </w:tcPr>
          <w:p>
            <w:pPr>
              <w:spacing w:after="0"/>
              <w:rPr>
                <w:sz w:val="20"/>
                <w:szCs w:val="20"/>
                <w:color w:val="auto"/>
              </w:rPr>
            </w:pPr>
          </w:p>
        </w:tc>
        <w:tc>
          <w:tcPr>
            <w:tcW w:w="880" w:type="dxa"/>
            <w:vAlign w:val="bottom"/>
            <w:tcBorders>
              <w:top w:val="single" w:sz="8" w:color="auto"/>
            </w:tcBorders>
          </w:tcPr>
          <w:p>
            <w:pPr>
              <w:spacing w:after="0"/>
              <w:rPr>
                <w:sz w:val="20"/>
                <w:szCs w:val="20"/>
                <w:color w:val="auto"/>
              </w:rPr>
            </w:pPr>
          </w:p>
        </w:tc>
        <w:tc>
          <w:tcPr>
            <w:tcW w:w="2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800" w:type="dxa"/>
            <w:vAlign w:val="bottom"/>
            <w:tcBorders>
              <w:top w:val="single" w:sz="8" w:color="auto"/>
            </w:tcBorders>
          </w:tcPr>
          <w:p>
            <w:pPr>
              <w:spacing w:after="0"/>
              <w:rPr>
                <w:sz w:val="20"/>
                <w:szCs w:val="20"/>
                <w:color w:val="auto"/>
              </w:rPr>
            </w:pPr>
          </w:p>
        </w:tc>
        <w:tc>
          <w:tcPr>
            <w:tcW w:w="4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800" w:type="dxa"/>
            <w:vAlign w:val="bottom"/>
            <w:tcBorders>
              <w:top w:val="single" w:sz="8" w:color="auto"/>
            </w:tcBorders>
          </w:tcPr>
          <w:p>
            <w:pPr>
              <w:spacing w:after="0"/>
              <w:rPr>
                <w:sz w:val="20"/>
                <w:szCs w:val="20"/>
                <w:color w:val="auto"/>
              </w:rPr>
            </w:pPr>
          </w:p>
        </w:tc>
        <w:tc>
          <w:tcPr>
            <w:tcW w:w="3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8"/>
              </w:rPr>
              <w:t>11,419,478</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2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Total assets per the statement of financial position</w:t>
            </w:r>
          </w:p>
        </w:tc>
        <w:tc>
          <w:tcPr>
            <w:tcW w:w="3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480" w:type="dxa"/>
            <w:vAlign w:val="bottom"/>
            <w:gridSpan w:val="2"/>
            <w:shd w:val="clear" w:color="auto" w:fill="CCEEFF"/>
          </w:tcPr>
          <w:p>
            <w:pPr>
              <w:ind w:left="260"/>
              <w:spacing w:after="0"/>
              <w:rPr>
                <w:sz w:val="20"/>
                <w:szCs w:val="20"/>
                <w:color w:val="auto"/>
              </w:rPr>
            </w:pPr>
            <w:r>
              <w:rPr>
                <w:rFonts w:ascii="Arial" w:cs="Arial" w:eastAsia="Arial" w:hAnsi="Arial"/>
                <w:sz w:val="18"/>
                <w:szCs w:val="18"/>
                <w:b w:val="1"/>
                <w:bCs w:val="1"/>
                <w:u w:val="single" w:color="auto"/>
                <w:color w:val="auto"/>
                <w:w w:val="86"/>
              </w:rPr>
              <w:t>A$</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88"/>
              </w:rPr>
              <w:t>16,516,237</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4940" w:type="dxa"/>
            <w:vAlign w:val="bottom"/>
            <w:gridSpan w:val="3"/>
          </w:tcPr>
          <w:p>
            <w:pPr>
              <w:spacing w:after="0"/>
              <w:rPr>
                <w:sz w:val="20"/>
                <w:szCs w:val="20"/>
                <w:color w:val="auto"/>
              </w:rPr>
            </w:pPr>
            <w:r>
              <w:rPr>
                <w:rFonts w:ascii="Arial" w:cs="Arial" w:eastAsia="Arial" w:hAnsi="Arial"/>
                <w:sz w:val="18"/>
                <w:szCs w:val="18"/>
                <w:b w:val="1"/>
                <w:bCs w:val="1"/>
                <w:color w:val="auto"/>
              </w:rPr>
              <w:t>Segment liabilities</w:t>
            </w:r>
          </w:p>
        </w:tc>
        <w:tc>
          <w:tcPr>
            <w:tcW w:w="3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82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Segment operating liabilities</w:t>
            </w:r>
          </w:p>
        </w:tc>
        <w:tc>
          <w:tcPr>
            <w:tcW w:w="1460" w:type="dxa"/>
            <w:vAlign w:val="bottom"/>
            <w:gridSpan w:val="3"/>
            <w:shd w:val="clear" w:color="auto" w:fill="CCEEFF"/>
          </w:tcPr>
          <w:p>
            <w:pPr>
              <w:ind w:left="340"/>
              <w:spacing w:after="0"/>
              <w:rPr>
                <w:sz w:val="20"/>
                <w:szCs w:val="20"/>
                <w:color w:val="auto"/>
              </w:rPr>
            </w:pPr>
            <w:r>
              <w:rPr>
                <w:rFonts w:ascii="Arial" w:cs="Arial" w:eastAsia="Arial" w:hAnsi="Arial"/>
                <w:sz w:val="18"/>
                <w:szCs w:val="18"/>
                <w:u w:val="single" w:color="auto"/>
                <w:color w:val="auto"/>
              </w:rPr>
              <w:t>A</w:t>
            </w:r>
            <w:r>
              <w:rPr>
                <w:rFonts w:ascii="Arial" w:cs="Arial" w:eastAsia="Arial" w:hAnsi="Arial"/>
                <w:sz w:val="18"/>
                <w:szCs w:val="18"/>
                <w:color w:val="auto"/>
              </w:rPr>
              <w:t>$ 119,882</w:t>
            </w:r>
          </w:p>
        </w:tc>
        <w:tc>
          <w:tcPr>
            <w:tcW w:w="540" w:type="dxa"/>
            <w:vAlign w:val="bottom"/>
            <w:gridSpan w:val="2"/>
            <w:shd w:val="clear" w:color="auto" w:fill="CCEEFF"/>
          </w:tcPr>
          <w:p>
            <w:pPr>
              <w:ind w:left="320"/>
              <w:spacing w:after="0"/>
              <w:rPr>
                <w:sz w:val="20"/>
                <w:szCs w:val="20"/>
                <w:color w:val="auto"/>
              </w:rPr>
            </w:pPr>
            <w:r>
              <w:rPr>
                <w:rFonts w:ascii="Arial" w:cs="Arial" w:eastAsia="Arial" w:hAnsi="Arial"/>
                <w:sz w:val="18"/>
                <w:szCs w:val="18"/>
                <w:u w:val="single" w:color="auto"/>
                <w:color w:val="auto"/>
                <w:w w:val="90"/>
              </w:rPr>
              <w:t>A</w:t>
            </w:r>
            <w:r>
              <w:rPr>
                <w:rFonts w:ascii="Arial" w:cs="Arial" w:eastAsia="Arial" w:hAnsi="Arial"/>
                <w:sz w:val="18"/>
                <w:szCs w:val="18"/>
                <w:color w:val="auto"/>
                <w:w w:val="90"/>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192,630</w:t>
            </w:r>
          </w:p>
        </w:tc>
        <w:tc>
          <w:tcPr>
            <w:tcW w:w="400" w:type="dxa"/>
            <w:vAlign w:val="bottom"/>
            <w:shd w:val="clear" w:color="auto" w:fill="CCEEFF"/>
          </w:tcPr>
          <w:p>
            <w:pPr>
              <w:spacing w:after="0"/>
              <w:rPr>
                <w:sz w:val="18"/>
                <w:szCs w:val="18"/>
                <w:color w:val="auto"/>
              </w:rPr>
            </w:pPr>
          </w:p>
        </w:tc>
        <w:tc>
          <w:tcPr>
            <w:tcW w:w="380" w:type="dxa"/>
            <w:vAlign w:val="bottom"/>
            <w:gridSpan w:val="2"/>
            <w:shd w:val="clear" w:color="auto" w:fill="CCEEFF"/>
          </w:tcPr>
          <w:p>
            <w:pPr>
              <w:ind w:left="160"/>
              <w:spacing w:after="0"/>
              <w:rPr>
                <w:sz w:val="20"/>
                <w:szCs w:val="20"/>
                <w:color w:val="auto"/>
              </w:rPr>
            </w:pPr>
            <w:r>
              <w:rPr>
                <w:rFonts w:ascii="Arial" w:cs="Arial" w:eastAsia="Arial" w:hAnsi="Arial"/>
                <w:sz w:val="18"/>
                <w:szCs w:val="18"/>
                <w:u w:val="single" w:color="auto"/>
                <w:color w:val="auto"/>
                <w:w w:val="90"/>
              </w:rPr>
              <w:t>A</w:t>
            </w:r>
            <w:r>
              <w:rPr>
                <w:rFonts w:ascii="Arial" w:cs="Arial" w:eastAsia="Arial" w:hAnsi="Arial"/>
                <w:sz w:val="18"/>
                <w:szCs w:val="18"/>
                <w:color w:val="auto"/>
                <w:w w:val="90"/>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1,526,727</w:t>
            </w:r>
          </w:p>
        </w:tc>
        <w:tc>
          <w:tcPr>
            <w:tcW w:w="300" w:type="dxa"/>
            <w:vAlign w:val="bottom"/>
            <w:shd w:val="clear" w:color="auto" w:fill="CCEEFF"/>
          </w:tcPr>
          <w:p>
            <w:pPr>
              <w:spacing w:after="0"/>
              <w:rPr>
                <w:sz w:val="18"/>
                <w:szCs w:val="18"/>
                <w:color w:val="auto"/>
              </w:rPr>
            </w:pPr>
          </w:p>
        </w:tc>
        <w:tc>
          <w:tcPr>
            <w:tcW w:w="48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w w:val="90"/>
              </w:rPr>
              <w:t>A$</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1,839,239</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940" w:type="dxa"/>
            <w:vAlign w:val="bottom"/>
            <w:gridSpan w:val="3"/>
          </w:tcPr>
          <w:p>
            <w:pPr>
              <w:spacing w:after="0"/>
              <w:rPr>
                <w:sz w:val="20"/>
                <w:szCs w:val="20"/>
                <w:color w:val="auto"/>
              </w:rPr>
            </w:pPr>
            <w:r>
              <w:rPr>
                <w:rFonts w:ascii="Arial" w:cs="Arial" w:eastAsia="Arial" w:hAnsi="Arial"/>
                <w:sz w:val="18"/>
                <w:szCs w:val="18"/>
                <w:color w:val="auto"/>
              </w:rPr>
              <w:t>Unallocated liabilities</w:t>
            </w:r>
          </w:p>
        </w:tc>
        <w:tc>
          <w:tcPr>
            <w:tcW w:w="340" w:type="dxa"/>
            <w:vAlign w:val="bottom"/>
          </w:tcPr>
          <w:p>
            <w:pPr>
              <w:spacing w:after="0"/>
              <w:rPr>
                <w:sz w:val="20"/>
                <w:szCs w:val="20"/>
                <w:color w:val="auto"/>
              </w:rPr>
            </w:pPr>
          </w:p>
        </w:tc>
        <w:tc>
          <w:tcPr>
            <w:tcW w:w="880" w:type="dxa"/>
            <w:vAlign w:val="bottom"/>
            <w:tcBorders>
              <w:top w:val="single" w:sz="8" w:color="auto"/>
            </w:tcBorders>
          </w:tcPr>
          <w:p>
            <w:pPr>
              <w:spacing w:after="0"/>
              <w:rPr>
                <w:sz w:val="20"/>
                <w:szCs w:val="20"/>
                <w:color w:val="auto"/>
              </w:rPr>
            </w:pPr>
          </w:p>
        </w:tc>
        <w:tc>
          <w:tcPr>
            <w:tcW w:w="2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800" w:type="dxa"/>
            <w:vAlign w:val="bottom"/>
            <w:tcBorders>
              <w:top w:val="single" w:sz="8" w:color="auto"/>
            </w:tcBorders>
          </w:tcPr>
          <w:p>
            <w:pPr>
              <w:spacing w:after="0"/>
              <w:rPr>
                <w:sz w:val="20"/>
                <w:szCs w:val="20"/>
                <w:color w:val="auto"/>
              </w:rPr>
            </w:pPr>
          </w:p>
        </w:tc>
        <w:tc>
          <w:tcPr>
            <w:tcW w:w="4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800" w:type="dxa"/>
            <w:vAlign w:val="bottom"/>
            <w:tcBorders>
              <w:top w:val="single" w:sz="8" w:color="auto"/>
            </w:tcBorders>
          </w:tcPr>
          <w:p>
            <w:pPr>
              <w:spacing w:after="0"/>
              <w:rPr>
                <w:sz w:val="20"/>
                <w:szCs w:val="20"/>
                <w:color w:val="auto"/>
              </w:rPr>
            </w:pPr>
          </w:p>
        </w:tc>
        <w:tc>
          <w:tcPr>
            <w:tcW w:w="3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153,693</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2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Total liabilities per the statement of financial position</w:t>
            </w:r>
          </w:p>
        </w:tc>
        <w:tc>
          <w:tcPr>
            <w:tcW w:w="3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480" w:type="dxa"/>
            <w:vAlign w:val="bottom"/>
            <w:gridSpan w:val="2"/>
            <w:shd w:val="clear" w:color="auto" w:fill="CCEEFF"/>
          </w:tcPr>
          <w:p>
            <w:pPr>
              <w:ind w:left="260"/>
              <w:spacing w:after="0"/>
              <w:rPr>
                <w:sz w:val="20"/>
                <w:szCs w:val="20"/>
                <w:color w:val="auto"/>
              </w:rPr>
            </w:pPr>
            <w:r>
              <w:rPr>
                <w:rFonts w:ascii="Arial" w:cs="Arial" w:eastAsia="Arial" w:hAnsi="Arial"/>
                <w:sz w:val="18"/>
                <w:szCs w:val="18"/>
                <w:b w:val="1"/>
                <w:bCs w:val="1"/>
                <w:u w:val="single" w:color="auto"/>
                <w:color w:val="auto"/>
                <w:w w:val="86"/>
              </w:rPr>
              <w:t>A</w:t>
            </w:r>
            <w:r>
              <w:rPr>
                <w:rFonts w:ascii="Arial" w:cs="Arial" w:eastAsia="Arial" w:hAnsi="Arial"/>
                <w:sz w:val="18"/>
                <w:szCs w:val="18"/>
                <w:b w:val="1"/>
                <w:bCs w:val="1"/>
                <w:color w:val="auto"/>
                <w:w w:val="86"/>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1,992,932</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7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60" w:lineRule="exact"/>
        <w:rPr>
          <w:sz w:val="20"/>
          <w:szCs w:val="20"/>
          <w:color w:val="auto"/>
        </w:rPr>
      </w:pPr>
    </w:p>
    <w:p>
      <w:pPr>
        <w:ind w:left="640" w:hanging="436"/>
        <w:spacing w:after="0"/>
        <w:tabs>
          <w:tab w:leader="none" w:pos="640" w:val="left"/>
        </w:tabs>
        <w:numPr>
          <w:ilvl w:val="0"/>
          <w:numId w:val="211"/>
        </w:numPr>
        <w:rPr>
          <w:rFonts w:ascii="Arial" w:cs="Arial" w:eastAsia="Arial" w:hAnsi="Arial"/>
          <w:sz w:val="18"/>
          <w:szCs w:val="18"/>
          <w:b w:val="1"/>
          <w:bCs w:val="1"/>
          <w:color w:val="auto"/>
        </w:rPr>
      </w:pPr>
      <w:r>
        <w:rPr>
          <w:rFonts w:ascii="Arial" w:cs="Arial" w:eastAsia="Arial" w:hAnsi="Arial"/>
          <w:sz w:val="18"/>
          <w:szCs w:val="18"/>
          <w:b w:val="1"/>
          <w:bCs w:val="1"/>
          <w:color w:val="auto"/>
        </w:rPr>
        <w:t>COMMITMENTS AND CONTINGENCIES</w:t>
      </w:r>
    </w:p>
    <w:p>
      <w:pPr>
        <w:spacing w:after="0" w:line="121" w:lineRule="exact"/>
        <w:rPr>
          <w:sz w:val="20"/>
          <w:szCs w:val="20"/>
          <w:color w:val="auto"/>
        </w:rPr>
      </w:pPr>
    </w:p>
    <w:p>
      <w:pPr>
        <w:ind w:left="200"/>
        <w:spacing w:after="0"/>
        <w:rPr>
          <w:sz w:val="20"/>
          <w:szCs w:val="20"/>
          <w:color w:val="auto"/>
        </w:rPr>
      </w:pPr>
      <w:r>
        <w:rPr>
          <w:rFonts w:ascii="Arial" w:cs="Arial" w:eastAsia="Arial" w:hAnsi="Arial"/>
          <w:sz w:val="18"/>
          <w:szCs w:val="18"/>
          <w:color w:val="auto"/>
        </w:rPr>
        <w:t>There are no significant changes to the commitments and contingencies disclosed in the most recent annual financial report.</w:t>
      </w:r>
    </w:p>
    <w:p>
      <w:pPr>
        <w:spacing w:after="0" w:line="370" w:lineRule="exact"/>
        <w:rPr>
          <w:sz w:val="20"/>
          <w:szCs w:val="20"/>
          <w:color w:val="auto"/>
        </w:rPr>
      </w:pPr>
    </w:p>
    <w:tbl>
      <w:tblPr>
        <w:tblLayout w:type="fixed"/>
        <w:tblInd w:w="200" w:type="dxa"/>
        <w:tblCellMar>
          <w:top w:w="0" w:type="dxa"/>
          <w:left w:w="0" w:type="dxa"/>
          <w:bottom w:w="0" w:type="dxa"/>
          <w:right w:w="0" w:type="dxa"/>
        </w:tblCellMar>
      </w:tblPr>
      <w:tr>
        <w:trPr>
          <w:trHeight w:val="234"/>
        </w:trPr>
        <w:tc>
          <w:tcPr>
            <w:tcW w:w="280" w:type="dxa"/>
            <w:vAlign w:val="bottom"/>
          </w:tcPr>
          <w:p>
            <w:pPr>
              <w:jc w:val="right"/>
              <w:ind w:right="50"/>
              <w:spacing w:after="0"/>
              <w:rPr>
                <w:sz w:val="20"/>
                <w:szCs w:val="20"/>
                <w:color w:val="auto"/>
              </w:rPr>
            </w:pPr>
            <w:r>
              <w:rPr>
                <w:rFonts w:ascii="Arial" w:cs="Arial" w:eastAsia="Arial" w:hAnsi="Arial"/>
                <w:sz w:val="18"/>
                <w:szCs w:val="18"/>
                <w:b w:val="1"/>
                <w:bCs w:val="1"/>
                <w:color w:val="auto"/>
                <w:w w:val="79"/>
              </w:rPr>
              <w:t>5.</w:t>
            </w:r>
          </w:p>
        </w:tc>
        <w:tc>
          <w:tcPr>
            <w:tcW w:w="4460" w:type="dxa"/>
            <w:vAlign w:val="bottom"/>
            <w:gridSpan w:val="2"/>
          </w:tcPr>
          <w:p>
            <w:pPr>
              <w:ind w:left="160"/>
              <w:spacing w:after="0"/>
              <w:rPr>
                <w:sz w:val="20"/>
                <w:szCs w:val="20"/>
                <w:color w:val="auto"/>
              </w:rPr>
            </w:pPr>
            <w:r>
              <w:rPr>
                <w:rFonts w:ascii="Arial" w:cs="Arial" w:eastAsia="Arial" w:hAnsi="Arial"/>
                <w:sz w:val="18"/>
                <w:szCs w:val="18"/>
                <w:b w:val="1"/>
                <w:bCs w:val="1"/>
                <w:color w:val="auto"/>
              </w:rPr>
              <w:t>CONTRIBUTED EQUITY</w:t>
            </w:r>
          </w:p>
        </w:tc>
        <w:tc>
          <w:tcPr>
            <w:tcW w:w="18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0"/>
        </w:trPr>
        <w:tc>
          <w:tcPr>
            <w:tcW w:w="280" w:type="dxa"/>
            <w:vAlign w:val="bottom"/>
          </w:tcPr>
          <w:p>
            <w:pPr>
              <w:spacing w:after="0"/>
              <w:rPr>
                <w:sz w:val="23"/>
                <w:szCs w:val="23"/>
                <w:color w:val="auto"/>
              </w:rPr>
            </w:pPr>
          </w:p>
        </w:tc>
        <w:tc>
          <w:tcPr>
            <w:tcW w:w="1060" w:type="dxa"/>
            <w:vAlign w:val="bottom"/>
          </w:tcPr>
          <w:p>
            <w:pPr>
              <w:spacing w:after="0"/>
              <w:rPr>
                <w:sz w:val="23"/>
                <w:szCs w:val="23"/>
                <w:color w:val="auto"/>
              </w:rPr>
            </w:pPr>
          </w:p>
        </w:tc>
        <w:tc>
          <w:tcPr>
            <w:tcW w:w="3400" w:type="dxa"/>
            <w:vAlign w:val="bottom"/>
          </w:tcPr>
          <w:p>
            <w:pPr>
              <w:spacing w:after="0"/>
              <w:rPr>
                <w:sz w:val="23"/>
                <w:szCs w:val="23"/>
                <w:color w:val="auto"/>
              </w:rPr>
            </w:pPr>
          </w:p>
        </w:tc>
        <w:tc>
          <w:tcPr>
            <w:tcW w:w="3040" w:type="dxa"/>
            <w:vAlign w:val="bottom"/>
            <w:gridSpan w:val="4"/>
          </w:tcPr>
          <w:p>
            <w:pPr>
              <w:jc w:val="right"/>
              <w:ind w:right="120"/>
              <w:spacing w:after="0"/>
              <w:rPr>
                <w:sz w:val="20"/>
                <w:szCs w:val="20"/>
                <w:color w:val="auto"/>
              </w:rPr>
            </w:pPr>
            <w:r>
              <w:rPr>
                <w:rFonts w:ascii="Arial" w:cs="Arial" w:eastAsia="Arial" w:hAnsi="Arial"/>
                <w:sz w:val="14"/>
                <w:szCs w:val="14"/>
                <w:b w:val="1"/>
                <w:bCs w:val="1"/>
                <w:color w:val="auto"/>
              </w:rPr>
              <w:t>As of Dec 31, 2018</w:t>
            </w:r>
          </w:p>
        </w:tc>
        <w:tc>
          <w:tcPr>
            <w:tcW w:w="640" w:type="dxa"/>
            <w:vAlign w:val="bottom"/>
          </w:tcPr>
          <w:p>
            <w:pPr>
              <w:spacing w:after="0"/>
              <w:rPr>
                <w:sz w:val="23"/>
                <w:szCs w:val="23"/>
                <w:color w:val="auto"/>
              </w:rPr>
            </w:pPr>
          </w:p>
        </w:tc>
        <w:tc>
          <w:tcPr>
            <w:tcW w:w="1280" w:type="dxa"/>
            <w:vAlign w:val="bottom"/>
            <w:gridSpan w:val="4"/>
          </w:tcPr>
          <w:p>
            <w:pPr>
              <w:ind w:left="100"/>
              <w:spacing w:after="0"/>
              <w:rPr>
                <w:sz w:val="20"/>
                <w:szCs w:val="20"/>
                <w:color w:val="auto"/>
              </w:rPr>
            </w:pPr>
            <w:r>
              <w:rPr>
                <w:rFonts w:ascii="Arial" w:cs="Arial" w:eastAsia="Arial" w:hAnsi="Arial"/>
                <w:sz w:val="14"/>
                <w:szCs w:val="14"/>
                <w:b w:val="1"/>
                <w:bCs w:val="1"/>
                <w:color w:val="auto"/>
                <w:w w:val="94"/>
              </w:rPr>
              <w:t>As of Jun 30, 2018</w:t>
            </w:r>
          </w:p>
        </w:tc>
        <w:tc>
          <w:tcPr>
            <w:tcW w:w="0" w:type="dxa"/>
            <w:vAlign w:val="bottom"/>
          </w:tcPr>
          <w:p>
            <w:pPr>
              <w:spacing w:after="0"/>
              <w:rPr>
                <w:sz w:val="1"/>
                <w:szCs w:val="1"/>
                <w:color w:val="auto"/>
              </w:rPr>
            </w:pPr>
          </w:p>
        </w:tc>
      </w:tr>
      <w:tr>
        <w:trPr>
          <w:trHeight w:val="196"/>
        </w:trPr>
        <w:tc>
          <w:tcPr>
            <w:tcW w:w="28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340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i w:val="1"/>
                <w:iCs w:val="1"/>
                <w:color w:val="auto"/>
              </w:rPr>
              <w:t>Ordinary shares</w:t>
            </w:r>
          </w:p>
        </w:tc>
        <w:tc>
          <w:tcPr>
            <w:tcW w:w="180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98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64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06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4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3400" w:type="dxa"/>
            <w:vAlign w:val="bottom"/>
          </w:tcPr>
          <w:p>
            <w:pPr>
              <w:spacing w:after="0"/>
              <w:rPr>
                <w:sz w:val="20"/>
                <w:szCs w:val="20"/>
                <w:color w:val="auto"/>
              </w:rPr>
            </w:pPr>
            <w:r>
              <w:rPr>
                <w:rFonts w:ascii="Arial" w:cs="Arial" w:eastAsia="Arial" w:hAnsi="Arial"/>
                <w:sz w:val="18"/>
                <w:szCs w:val="18"/>
                <w:color w:val="auto"/>
              </w:rPr>
              <w:t>Issued and fully paid</w:t>
            </w:r>
          </w:p>
        </w:tc>
        <w:tc>
          <w:tcPr>
            <w:tcW w:w="3040" w:type="dxa"/>
            <w:vAlign w:val="bottom"/>
            <w:gridSpan w:val="4"/>
          </w:tcPr>
          <w:p>
            <w:pPr>
              <w:jc w:val="right"/>
              <w:ind w:right="120"/>
              <w:spacing w:after="0"/>
              <w:rPr>
                <w:sz w:val="20"/>
                <w:szCs w:val="20"/>
                <w:color w:val="auto"/>
              </w:rPr>
            </w:pPr>
            <w:r>
              <w:rPr>
                <w:rFonts w:ascii="Arial" w:cs="Arial" w:eastAsia="Arial" w:hAnsi="Arial"/>
                <w:sz w:val="18"/>
                <w:szCs w:val="18"/>
                <w:u w:val="single" w:color="auto"/>
                <w:color w:val="auto"/>
              </w:rPr>
              <w:t>A$</w:t>
            </w:r>
            <w:r>
              <w:rPr>
                <w:rFonts w:ascii="Arial" w:cs="Arial" w:eastAsia="Arial" w:hAnsi="Arial"/>
                <w:sz w:val="18"/>
                <w:szCs w:val="18"/>
                <w:color w:val="auto"/>
              </w:rPr>
              <w:t>188,210,306</w:t>
            </w:r>
          </w:p>
        </w:tc>
        <w:tc>
          <w:tcPr>
            <w:tcW w:w="640" w:type="dxa"/>
            <w:vAlign w:val="bottom"/>
          </w:tcPr>
          <w:p>
            <w:pPr>
              <w:spacing w:after="0"/>
              <w:rPr>
                <w:sz w:val="18"/>
                <w:szCs w:val="18"/>
                <w:color w:val="auto"/>
              </w:rPr>
            </w:pPr>
          </w:p>
        </w:tc>
        <w:tc>
          <w:tcPr>
            <w:tcW w:w="1280" w:type="dxa"/>
            <w:vAlign w:val="bottom"/>
            <w:gridSpan w:val="4"/>
          </w:tcPr>
          <w:p>
            <w:pPr>
              <w:ind w:left="100"/>
              <w:spacing w:after="0"/>
              <w:rPr>
                <w:sz w:val="20"/>
                <w:szCs w:val="20"/>
                <w:color w:val="auto"/>
              </w:rPr>
            </w:pPr>
            <w:r>
              <w:rPr>
                <w:rFonts w:ascii="Arial" w:cs="Arial" w:eastAsia="Arial" w:hAnsi="Arial"/>
                <w:sz w:val="18"/>
                <w:szCs w:val="18"/>
                <w:u w:val="single" w:color="auto"/>
                <w:color w:val="auto"/>
                <w:w w:val="94"/>
              </w:rPr>
              <w:t>A$</w:t>
            </w:r>
            <w:r>
              <w:rPr>
                <w:rFonts w:ascii="Arial" w:cs="Arial" w:eastAsia="Arial" w:hAnsi="Arial"/>
                <w:sz w:val="18"/>
                <w:szCs w:val="18"/>
                <w:color w:val="auto"/>
                <w:w w:val="94"/>
              </w:rPr>
              <w:t>162,801,028</w:t>
            </w:r>
          </w:p>
        </w:tc>
        <w:tc>
          <w:tcPr>
            <w:tcW w:w="0" w:type="dxa"/>
            <w:vAlign w:val="bottom"/>
          </w:tcPr>
          <w:p>
            <w:pPr>
              <w:spacing w:after="0"/>
              <w:rPr>
                <w:sz w:val="1"/>
                <w:szCs w:val="1"/>
                <w:color w:val="auto"/>
              </w:rPr>
            </w:pPr>
          </w:p>
        </w:tc>
      </w:tr>
      <w:tr>
        <w:trPr>
          <w:trHeight w:val="20"/>
        </w:trPr>
        <w:tc>
          <w:tcPr>
            <w:tcW w:w="28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340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6"/>
        </w:trPr>
        <w:tc>
          <w:tcPr>
            <w:tcW w:w="2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3400" w:type="dxa"/>
            <w:vAlign w:val="bottom"/>
          </w:tcPr>
          <w:p>
            <w:pPr>
              <w:spacing w:after="0"/>
              <w:rPr>
                <w:sz w:val="24"/>
                <w:szCs w:val="24"/>
                <w:color w:val="auto"/>
              </w:rPr>
            </w:pPr>
          </w:p>
        </w:tc>
        <w:tc>
          <w:tcPr>
            <w:tcW w:w="18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00" w:type="dxa"/>
            <w:vAlign w:val="bottom"/>
            <w:gridSpan w:val="2"/>
          </w:tcPr>
          <w:p>
            <w:pPr>
              <w:jc w:val="right"/>
              <w:ind w:right="300"/>
              <w:spacing w:after="0"/>
              <w:rPr>
                <w:sz w:val="20"/>
                <w:szCs w:val="20"/>
                <w:color w:val="auto"/>
              </w:rPr>
            </w:pPr>
            <w:r>
              <w:rPr>
                <w:rFonts w:ascii="Arial" w:cs="Arial" w:eastAsia="Arial" w:hAnsi="Arial"/>
                <w:sz w:val="14"/>
                <w:szCs w:val="14"/>
                <w:b w:val="1"/>
                <w:bCs w:val="1"/>
                <w:color w:val="auto"/>
              </w:rPr>
              <w:t>Number</w:t>
            </w: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80" w:type="dxa"/>
            <w:vAlign w:val="bottom"/>
            <w:gridSpan w:val="3"/>
          </w:tcPr>
          <w:p>
            <w:pPr>
              <w:jc w:val="center"/>
              <w:ind w:right="220"/>
              <w:spacing w:after="0"/>
              <w:rPr>
                <w:sz w:val="20"/>
                <w:szCs w:val="20"/>
                <w:color w:val="auto"/>
              </w:rPr>
            </w:pPr>
            <w:r>
              <w:rPr>
                <w:rFonts w:ascii="Arial" w:cs="Arial" w:eastAsia="Arial" w:hAnsi="Arial"/>
                <w:sz w:val="14"/>
                <w:szCs w:val="14"/>
                <w:b w:val="1"/>
                <w:bCs w:val="1"/>
                <w:color w:val="auto"/>
                <w:w w:val="89"/>
              </w:rPr>
              <w:t>A$</w:t>
            </w:r>
          </w:p>
        </w:tc>
        <w:tc>
          <w:tcPr>
            <w:tcW w:w="0" w:type="dxa"/>
            <w:vAlign w:val="bottom"/>
          </w:tcPr>
          <w:p>
            <w:pPr>
              <w:spacing w:after="0"/>
              <w:rPr>
                <w:sz w:val="1"/>
                <w:szCs w:val="1"/>
                <w:color w:val="auto"/>
              </w:rPr>
            </w:pPr>
          </w:p>
        </w:tc>
      </w:tr>
      <w:tr>
        <w:trPr>
          <w:trHeight w:val="196"/>
        </w:trPr>
        <w:tc>
          <w:tcPr>
            <w:tcW w:w="28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340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i w:val="1"/>
                <w:iCs w:val="1"/>
                <w:color w:val="auto"/>
              </w:rPr>
              <w:t>Movement in ordinary shares on issue:</w:t>
            </w:r>
          </w:p>
        </w:tc>
        <w:tc>
          <w:tcPr>
            <w:tcW w:w="180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98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64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106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4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3400" w:type="dxa"/>
            <w:vAlign w:val="bottom"/>
          </w:tcPr>
          <w:p>
            <w:pPr>
              <w:spacing w:after="0"/>
              <w:rPr>
                <w:sz w:val="20"/>
                <w:szCs w:val="20"/>
                <w:color w:val="auto"/>
              </w:rPr>
            </w:pPr>
            <w:r>
              <w:rPr>
                <w:rFonts w:ascii="Arial" w:cs="Arial" w:eastAsia="Arial" w:hAnsi="Arial"/>
                <w:sz w:val="18"/>
                <w:szCs w:val="18"/>
                <w:color w:val="auto"/>
              </w:rPr>
              <w:t>At July 1, 2018</w:t>
            </w:r>
          </w:p>
        </w:tc>
        <w:tc>
          <w:tcPr>
            <w:tcW w:w="3040" w:type="dxa"/>
            <w:vAlign w:val="bottom"/>
            <w:gridSpan w:val="4"/>
          </w:tcPr>
          <w:p>
            <w:pPr>
              <w:jc w:val="right"/>
              <w:spacing w:after="0"/>
              <w:rPr>
                <w:sz w:val="20"/>
                <w:szCs w:val="20"/>
                <w:color w:val="auto"/>
              </w:rPr>
            </w:pPr>
            <w:r>
              <w:rPr>
                <w:rFonts w:ascii="Arial" w:cs="Arial" w:eastAsia="Arial" w:hAnsi="Arial"/>
                <w:sz w:val="18"/>
                <w:szCs w:val="18"/>
                <w:color w:val="auto"/>
              </w:rPr>
              <w:t>1,277,378,325</w:t>
            </w:r>
          </w:p>
        </w:tc>
        <w:tc>
          <w:tcPr>
            <w:tcW w:w="1920" w:type="dxa"/>
            <w:vAlign w:val="bottom"/>
            <w:gridSpan w:val="5"/>
          </w:tcPr>
          <w:p>
            <w:pPr>
              <w:jc w:val="center"/>
              <w:ind w:left="430"/>
              <w:spacing w:after="0"/>
              <w:rPr>
                <w:sz w:val="20"/>
                <w:szCs w:val="20"/>
                <w:color w:val="auto"/>
              </w:rPr>
            </w:pPr>
            <w:r>
              <w:rPr>
                <w:rFonts w:ascii="Arial" w:cs="Arial" w:eastAsia="Arial" w:hAnsi="Arial"/>
                <w:sz w:val="18"/>
                <w:szCs w:val="18"/>
                <w:color w:val="auto"/>
                <w:w w:val="91"/>
              </w:rPr>
              <w:t>A$ 162,801,028</w:t>
            </w:r>
          </w:p>
        </w:tc>
        <w:tc>
          <w:tcPr>
            <w:tcW w:w="0" w:type="dxa"/>
            <w:vAlign w:val="bottom"/>
          </w:tcPr>
          <w:p>
            <w:pPr>
              <w:spacing w:after="0"/>
              <w:rPr>
                <w:sz w:val="1"/>
                <w:szCs w:val="1"/>
                <w:color w:val="auto"/>
              </w:rPr>
            </w:pPr>
          </w:p>
        </w:tc>
      </w:tr>
      <w:tr>
        <w:trPr>
          <w:trHeight w:val="216"/>
        </w:trPr>
        <w:tc>
          <w:tcPr>
            <w:tcW w:w="2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3400" w:type="dxa"/>
            <w:vAlign w:val="bottom"/>
            <w:shd w:val="clear" w:color="auto" w:fill="CCEEFF"/>
          </w:tcPr>
          <w:p>
            <w:pPr>
              <w:spacing w:after="0"/>
              <w:rPr>
                <w:sz w:val="20"/>
                <w:szCs w:val="20"/>
                <w:color w:val="auto"/>
              </w:rPr>
            </w:pPr>
            <w:r>
              <w:rPr>
                <w:rFonts w:ascii="Arial" w:cs="Arial" w:eastAsia="Arial" w:hAnsi="Arial"/>
                <w:sz w:val="18"/>
                <w:szCs w:val="18"/>
                <w:color w:val="auto"/>
              </w:rPr>
              <w:t>Issue of shares</w:t>
            </w:r>
          </w:p>
        </w:tc>
        <w:tc>
          <w:tcPr>
            <w:tcW w:w="304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375,047,015</w:t>
            </w:r>
          </w:p>
        </w:tc>
        <w:tc>
          <w:tcPr>
            <w:tcW w:w="18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28,098,701</w:t>
            </w:r>
          </w:p>
        </w:tc>
        <w:tc>
          <w:tcPr>
            <w:tcW w:w="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3400" w:type="dxa"/>
            <w:vAlign w:val="bottom"/>
          </w:tcPr>
          <w:p>
            <w:pPr>
              <w:spacing w:after="0"/>
              <w:rPr>
                <w:sz w:val="20"/>
                <w:szCs w:val="20"/>
                <w:color w:val="auto"/>
              </w:rPr>
            </w:pPr>
            <w:r>
              <w:rPr>
                <w:rFonts w:ascii="Arial" w:cs="Arial" w:eastAsia="Arial" w:hAnsi="Arial"/>
                <w:sz w:val="18"/>
                <w:szCs w:val="18"/>
                <w:color w:val="auto"/>
              </w:rPr>
              <w:t>Capital raising costs</w:t>
            </w:r>
          </w:p>
        </w:tc>
        <w:tc>
          <w:tcPr>
            <w:tcW w:w="18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640" w:type="dxa"/>
            <w:vAlign w:val="bottom"/>
          </w:tcPr>
          <w:p>
            <w:pPr>
              <w:spacing w:after="0"/>
              <w:rPr>
                <w:sz w:val="18"/>
                <w:szCs w:val="18"/>
                <w:color w:val="auto"/>
              </w:rPr>
            </w:pPr>
          </w:p>
        </w:tc>
        <w:tc>
          <w:tcPr>
            <w:tcW w:w="1240" w:type="dxa"/>
            <w:vAlign w:val="bottom"/>
            <w:gridSpan w:val="3"/>
          </w:tcPr>
          <w:p>
            <w:pPr>
              <w:jc w:val="right"/>
              <w:ind w:right="20"/>
              <w:spacing w:after="0"/>
              <w:rPr>
                <w:sz w:val="20"/>
                <w:szCs w:val="20"/>
                <w:color w:val="auto"/>
              </w:rPr>
            </w:pPr>
            <w:r>
              <w:rPr>
                <w:rFonts w:ascii="Arial" w:cs="Arial" w:eastAsia="Arial" w:hAnsi="Arial"/>
                <w:sz w:val="18"/>
                <w:szCs w:val="18"/>
                <w:color w:val="auto"/>
              </w:rPr>
              <w:t>(2,689,423)</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80" w:type="dxa"/>
            <w:vAlign w:val="bottom"/>
          </w:tcPr>
          <w:p>
            <w:pPr>
              <w:spacing w:after="0"/>
              <w:rPr>
                <w:sz w:val="2"/>
                <w:szCs w:val="2"/>
                <w:color w:val="auto"/>
              </w:rPr>
            </w:pPr>
          </w:p>
        </w:tc>
        <w:tc>
          <w:tcPr>
            <w:tcW w:w="1060" w:type="dxa"/>
            <w:vAlign w:val="bottom"/>
            <w:vMerge w:val="restart"/>
          </w:tcPr>
          <w:p>
            <w:pPr>
              <w:spacing w:after="0"/>
              <w:rPr>
                <w:sz w:val="2"/>
                <w:szCs w:val="2"/>
                <w:color w:val="auto"/>
              </w:rPr>
            </w:pPr>
          </w:p>
        </w:tc>
        <w:tc>
          <w:tcPr>
            <w:tcW w:w="3400" w:type="dxa"/>
            <w:vAlign w:val="bottom"/>
          </w:tcPr>
          <w:p>
            <w:pPr>
              <w:spacing w:after="0"/>
              <w:rPr>
                <w:sz w:val="2"/>
                <w:szCs w:val="2"/>
                <w:color w:val="auto"/>
              </w:rPr>
            </w:pPr>
          </w:p>
        </w:tc>
        <w:tc>
          <w:tcPr>
            <w:tcW w:w="18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6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80" w:type="dxa"/>
            <w:vAlign w:val="bottom"/>
          </w:tcPr>
          <w:p>
            <w:pPr>
              <w:spacing w:after="0"/>
              <w:rPr>
                <w:sz w:val="18"/>
                <w:szCs w:val="18"/>
                <w:color w:val="auto"/>
              </w:rPr>
            </w:pPr>
          </w:p>
        </w:tc>
        <w:tc>
          <w:tcPr>
            <w:tcW w:w="1060" w:type="dxa"/>
            <w:vAlign w:val="bottom"/>
            <w:vMerge w:val="continue"/>
          </w:tcPr>
          <w:p>
            <w:pPr>
              <w:spacing w:after="0"/>
              <w:rPr>
                <w:sz w:val="18"/>
                <w:szCs w:val="18"/>
                <w:color w:val="auto"/>
              </w:rPr>
            </w:pPr>
          </w:p>
        </w:tc>
        <w:tc>
          <w:tcPr>
            <w:tcW w:w="34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At December 31, 2018</w:t>
            </w:r>
          </w:p>
        </w:tc>
        <w:tc>
          <w:tcPr>
            <w:tcW w:w="1940" w:type="dxa"/>
            <w:vAlign w:val="bottom"/>
            <w:gridSpan w:val="2"/>
            <w:shd w:val="clear" w:color="auto" w:fill="CCEEFF"/>
          </w:tcPr>
          <w:p>
            <w:pPr>
              <w:spacing w:after="0"/>
              <w:rPr>
                <w:sz w:val="18"/>
                <w:szCs w:val="18"/>
                <w:color w:val="auto"/>
              </w:rPr>
            </w:pPr>
          </w:p>
        </w:tc>
        <w:tc>
          <w:tcPr>
            <w:tcW w:w="110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w w:val="93"/>
              </w:rPr>
              <w:t>1,652,425,340</w:t>
            </w:r>
          </w:p>
        </w:tc>
        <w:tc>
          <w:tcPr>
            <w:tcW w:w="1920" w:type="dxa"/>
            <w:vAlign w:val="bottom"/>
            <w:gridSpan w:val="5"/>
            <w:shd w:val="clear" w:color="auto" w:fill="CCEEFF"/>
          </w:tcPr>
          <w:p>
            <w:pPr>
              <w:jc w:val="center"/>
              <w:ind w:left="430"/>
              <w:spacing w:after="0"/>
              <w:rPr>
                <w:sz w:val="20"/>
                <w:szCs w:val="20"/>
                <w:color w:val="auto"/>
              </w:rPr>
            </w:pPr>
            <w:r>
              <w:rPr>
                <w:rFonts w:ascii="Arial" w:cs="Arial" w:eastAsia="Arial" w:hAnsi="Arial"/>
                <w:sz w:val="18"/>
                <w:szCs w:val="18"/>
                <w:b w:val="1"/>
                <w:bCs w:val="1"/>
                <w:u w:val="single" w:color="auto"/>
                <w:color w:val="auto"/>
                <w:w w:val="90"/>
              </w:rPr>
              <w:t>A</w:t>
            </w:r>
            <w:r>
              <w:rPr>
                <w:rFonts w:ascii="Arial" w:cs="Arial" w:eastAsia="Arial" w:hAnsi="Arial"/>
                <w:sz w:val="18"/>
                <w:szCs w:val="18"/>
                <w:b w:val="1"/>
                <w:bCs w:val="1"/>
                <w:color w:val="auto"/>
                <w:w w:val="90"/>
              </w:rPr>
              <w:t>$ 188,210,306</w:t>
            </w:r>
          </w:p>
        </w:tc>
        <w:tc>
          <w:tcPr>
            <w:tcW w:w="0" w:type="dxa"/>
            <w:vAlign w:val="bottom"/>
          </w:tcPr>
          <w:p>
            <w:pPr>
              <w:spacing w:after="0"/>
              <w:rPr>
                <w:sz w:val="1"/>
                <w:szCs w:val="1"/>
                <w:color w:val="auto"/>
              </w:rPr>
            </w:pPr>
          </w:p>
        </w:tc>
      </w:tr>
      <w:tr>
        <w:trPr>
          <w:trHeight w:val="20"/>
        </w:trPr>
        <w:tc>
          <w:tcPr>
            <w:tcW w:w="28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3400" w:type="dxa"/>
            <w:vAlign w:val="bottom"/>
          </w:tcPr>
          <w:p>
            <w:pPr>
              <w:spacing w:after="0" w:line="20" w:lineRule="exact"/>
              <w:rPr>
                <w:sz w:val="1"/>
                <w:szCs w:val="1"/>
                <w:color w:val="auto"/>
              </w:rPr>
            </w:pPr>
          </w:p>
        </w:tc>
        <w:tc>
          <w:tcPr>
            <w:tcW w:w="1940" w:type="dxa"/>
            <w:vAlign w:val="bottom"/>
            <w:gridSpan w:val="2"/>
          </w:tcPr>
          <w:p>
            <w:pPr>
              <w:spacing w:after="0" w:line="20" w:lineRule="exact"/>
              <w:rPr>
                <w:sz w:val="1"/>
                <w:szCs w:val="1"/>
                <w:color w:val="auto"/>
              </w:rPr>
            </w:pPr>
          </w:p>
        </w:tc>
        <w:tc>
          <w:tcPr>
            <w:tcW w:w="1100" w:type="dxa"/>
            <w:vAlign w:val="bottom"/>
            <w:tcBorders>
              <w:top w:val="single" w:sz="8" w:color="auto"/>
              <w:bottom w:val="single" w:sz="8" w:color="auto"/>
            </w:tcBorders>
            <w:gridSpan w:val="2"/>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2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3400" w:type="dxa"/>
            <w:vAlign w:val="bottom"/>
          </w:tcPr>
          <w:p>
            <w:pPr>
              <w:spacing w:after="0"/>
              <w:rPr>
                <w:sz w:val="24"/>
                <w:szCs w:val="24"/>
                <w:color w:val="auto"/>
              </w:rPr>
            </w:pPr>
          </w:p>
        </w:tc>
        <w:tc>
          <w:tcPr>
            <w:tcW w:w="3040" w:type="dxa"/>
            <w:vAlign w:val="bottom"/>
            <w:gridSpan w:val="4"/>
          </w:tcPr>
          <w:p>
            <w:pPr>
              <w:jc w:val="right"/>
              <w:ind w:right="2100"/>
              <w:spacing w:after="0"/>
              <w:rPr>
                <w:sz w:val="20"/>
                <w:szCs w:val="20"/>
                <w:color w:val="auto"/>
              </w:rPr>
            </w:pPr>
            <w:r>
              <w:rPr>
                <w:rFonts w:ascii="Arial" w:cs="Arial" w:eastAsia="Arial" w:hAnsi="Arial"/>
                <w:sz w:val="18"/>
                <w:szCs w:val="18"/>
                <w:color w:val="auto"/>
              </w:rPr>
              <w:t>F-62</w:t>
            </w: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240" w:top="460" w:right="419" w:bottom="1440" w:gutter="0" w:footer="0" w:header="0"/>
        </w:sectPr>
      </w:pPr>
    </w:p>
    <w:bookmarkStart w:id="161" w:name="page162"/>
    <w:bookmarkEnd w:id="16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21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AVITA MEDICAL LIMITED</w:t>
      </w:r>
    </w:p>
    <w:p>
      <w:pPr>
        <w:spacing w:after="0" w:line="27"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NOTES TO THE HALF-YEAR CONDENSED CONSOLIDATED FINANCIAL STATEMENTS</w:t>
      </w:r>
    </w:p>
    <w:p>
      <w:pPr>
        <w:spacing w:after="0" w:line="9"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(IN AUSTRALIAN DOLLARS)</w:t>
      </w:r>
    </w:p>
    <w:p>
      <w:pPr>
        <w:spacing w:after="0" w:line="9"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(UNAUDITED)</w:t>
      </w:r>
    </w:p>
    <w:p>
      <w:pPr>
        <w:spacing w:after="0" w:line="234" w:lineRule="exact"/>
        <w:rPr>
          <w:sz w:val="20"/>
          <w:szCs w:val="20"/>
          <w:color w:val="auto"/>
        </w:rPr>
      </w:pPr>
    </w:p>
    <w:p>
      <w:pPr>
        <w:ind w:left="640" w:hanging="436"/>
        <w:spacing w:after="0"/>
        <w:tabs>
          <w:tab w:leader="none" w:pos="640" w:val="left"/>
        </w:tabs>
        <w:numPr>
          <w:ilvl w:val="0"/>
          <w:numId w:val="212"/>
        </w:numPr>
        <w:rPr>
          <w:rFonts w:ascii="Arial" w:cs="Arial" w:eastAsia="Arial" w:hAnsi="Arial"/>
          <w:sz w:val="18"/>
          <w:szCs w:val="18"/>
          <w:b w:val="1"/>
          <w:bCs w:val="1"/>
          <w:color w:val="auto"/>
        </w:rPr>
      </w:pPr>
      <w:r>
        <w:rPr>
          <w:rFonts w:ascii="Arial" w:cs="Arial" w:eastAsia="Arial" w:hAnsi="Arial"/>
          <w:sz w:val="18"/>
          <w:szCs w:val="18"/>
          <w:b w:val="1"/>
          <w:bCs w:val="1"/>
          <w:color w:val="auto"/>
        </w:rPr>
        <w:t>CONTRIBUTED EQUITY (CONTINUED)</w:t>
      </w:r>
    </w:p>
    <w:p>
      <w:pPr>
        <w:spacing w:after="0" w:line="131" w:lineRule="exact"/>
        <w:rPr>
          <w:sz w:val="20"/>
          <w:szCs w:val="20"/>
          <w:color w:val="auto"/>
        </w:rPr>
      </w:pPr>
    </w:p>
    <w:p>
      <w:pPr>
        <w:ind w:left="640" w:hanging="436"/>
        <w:spacing w:after="0"/>
        <w:tabs>
          <w:tab w:leader="none" w:pos="640" w:val="left"/>
        </w:tabs>
        <w:numPr>
          <w:ilvl w:val="0"/>
          <w:numId w:val="213"/>
        </w:numPr>
        <w:rPr>
          <w:rFonts w:ascii="Arial" w:cs="Arial" w:eastAsia="Arial" w:hAnsi="Arial"/>
          <w:sz w:val="18"/>
          <w:szCs w:val="18"/>
          <w:b w:val="1"/>
          <w:bCs w:val="1"/>
          <w:color w:val="auto"/>
        </w:rPr>
      </w:pPr>
      <w:r>
        <w:rPr>
          <w:rFonts w:ascii="Arial" w:cs="Arial" w:eastAsia="Arial" w:hAnsi="Arial"/>
          <w:sz w:val="18"/>
          <w:szCs w:val="18"/>
          <w:b w:val="1"/>
          <w:bCs w:val="1"/>
          <w:color w:val="auto"/>
        </w:rPr>
        <w:t>Recognized share-based payment expenses</w:t>
      </w:r>
    </w:p>
    <w:p>
      <w:pPr>
        <w:spacing w:after="0" w:line="121" w:lineRule="exact"/>
        <w:rPr>
          <w:sz w:val="20"/>
          <w:szCs w:val="20"/>
          <w:color w:val="auto"/>
        </w:rPr>
      </w:pPr>
    </w:p>
    <w:p>
      <w:pPr>
        <w:ind w:left="200"/>
        <w:spacing w:after="0"/>
        <w:rPr>
          <w:sz w:val="20"/>
          <w:szCs w:val="20"/>
          <w:color w:val="auto"/>
        </w:rPr>
      </w:pPr>
      <w:r>
        <w:rPr>
          <w:rFonts w:ascii="Arial" w:cs="Arial" w:eastAsia="Arial" w:hAnsi="Arial"/>
          <w:sz w:val="18"/>
          <w:szCs w:val="18"/>
          <w:color w:val="auto"/>
        </w:rPr>
        <w:t>The expense recognized for employee services received during the half-year is shown in the table below:</w:t>
      </w:r>
    </w:p>
    <w:p>
      <w:pPr>
        <w:spacing w:after="0" w:line="231" w:lineRule="exact"/>
        <w:rPr>
          <w:sz w:val="20"/>
          <w:szCs w:val="20"/>
          <w:color w:val="auto"/>
        </w:rPr>
      </w:pPr>
    </w:p>
    <w:tbl>
      <w:tblPr>
        <w:tblLayout w:type="fixed"/>
        <w:tblInd w:w="20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85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500" w:type="dxa"/>
            <w:vAlign w:val="bottom"/>
            <w:gridSpan w:val="4"/>
          </w:tcPr>
          <w:p>
            <w:pPr>
              <w:ind w:left="260"/>
              <w:spacing w:after="0"/>
              <w:rPr>
                <w:sz w:val="20"/>
                <w:szCs w:val="20"/>
                <w:color w:val="auto"/>
              </w:rPr>
            </w:pPr>
            <w:r>
              <w:rPr>
                <w:rFonts w:ascii="Arial" w:cs="Arial" w:eastAsia="Arial" w:hAnsi="Arial"/>
                <w:sz w:val="14"/>
                <w:szCs w:val="14"/>
                <w:b w:val="1"/>
                <w:bCs w:val="1"/>
                <w:color w:val="auto"/>
              </w:rPr>
              <w:t>Half-year ended December 31,</w:t>
            </w:r>
          </w:p>
        </w:tc>
      </w:tr>
      <w:tr>
        <w:trPr>
          <w:trHeight w:val="171"/>
        </w:trPr>
        <w:tc>
          <w:tcPr>
            <w:tcW w:w="20" w:type="dxa"/>
            <w:vAlign w:val="bottom"/>
          </w:tcPr>
          <w:p>
            <w:pPr>
              <w:spacing w:after="0"/>
              <w:rPr>
                <w:sz w:val="14"/>
                <w:szCs w:val="14"/>
                <w:color w:val="auto"/>
              </w:rPr>
            </w:pPr>
          </w:p>
        </w:tc>
        <w:tc>
          <w:tcPr>
            <w:tcW w:w="8500" w:type="dxa"/>
            <w:vAlign w:val="bottom"/>
          </w:tcPr>
          <w:p>
            <w:pPr>
              <w:spacing w:after="0"/>
              <w:rPr>
                <w:sz w:val="14"/>
                <w:szCs w:val="14"/>
                <w:color w:val="auto"/>
              </w:rPr>
            </w:pPr>
          </w:p>
        </w:tc>
        <w:tc>
          <w:tcPr>
            <w:tcW w:w="960" w:type="dxa"/>
            <w:vAlign w:val="bottom"/>
            <w:gridSpan w:val="2"/>
          </w:tcPr>
          <w:p>
            <w:pPr>
              <w:jc w:val="center"/>
              <w:spacing w:after="0"/>
              <w:rPr>
                <w:sz w:val="20"/>
                <w:szCs w:val="20"/>
                <w:color w:val="auto"/>
              </w:rPr>
            </w:pPr>
            <w:r>
              <w:rPr>
                <w:rFonts w:ascii="Arial" w:cs="Arial" w:eastAsia="Arial" w:hAnsi="Arial"/>
                <w:sz w:val="14"/>
                <w:szCs w:val="14"/>
                <w:b w:val="1"/>
                <w:bCs w:val="1"/>
                <w:color w:val="auto"/>
                <w:w w:val="96"/>
              </w:rPr>
              <w:t>2018</w:t>
            </w:r>
          </w:p>
        </w:tc>
        <w:tc>
          <w:tcPr>
            <w:tcW w:w="1500" w:type="dxa"/>
            <w:vAlign w:val="bottom"/>
            <w:gridSpan w:val="2"/>
          </w:tcPr>
          <w:p>
            <w:pPr>
              <w:jc w:val="center"/>
              <w:ind w:left="588"/>
              <w:spacing w:after="0"/>
              <w:rPr>
                <w:sz w:val="20"/>
                <w:szCs w:val="20"/>
                <w:color w:val="auto"/>
              </w:rPr>
            </w:pPr>
            <w:r>
              <w:rPr>
                <w:rFonts w:ascii="Arial" w:cs="Arial" w:eastAsia="Arial" w:hAnsi="Arial"/>
                <w:sz w:val="14"/>
                <w:szCs w:val="14"/>
                <w:b w:val="1"/>
                <w:bCs w:val="1"/>
                <w:color w:val="auto"/>
                <w:w w:val="89"/>
              </w:rPr>
              <w:t>2017</w:t>
            </w:r>
          </w:p>
        </w:tc>
        <w:tc>
          <w:tcPr>
            <w:tcW w:w="60" w:type="dxa"/>
            <w:vAlign w:val="bottom"/>
          </w:tcPr>
          <w:p>
            <w:pPr>
              <w:spacing w:after="0"/>
              <w:rPr>
                <w:sz w:val="14"/>
                <w:szCs w:val="14"/>
                <w:color w:val="auto"/>
              </w:rPr>
            </w:pPr>
          </w:p>
        </w:tc>
      </w:tr>
      <w:tr>
        <w:trPr>
          <w:trHeight w:val="210"/>
        </w:trPr>
        <w:tc>
          <w:tcPr>
            <w:tcW w:w="20" w:type="dxa"/>
            <w:vAlign w:val="bottom"/>
          </w:tcPr>
          <w:p>
            <w:pPr>
              <w:spacing w:after="0"/>
              <w:rPr>
                <w:sz w:val="18"/>
                <w:szCs w:val="18"/>
                <w:color w:val="auto"/>
              </w:rPr>
            </w:pPr>
          </w:p>
        </w:tc>
        <w:tc>
          <w:tcPr>
            <w:tcW w:w="85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Expenses arising from equity-settled share-based payment transactions</w:t>
            </w:r>
          </w:p>
        </w:tc>
        <w:tc>
          <w:tcPr>
            <w:tcW w:w="20" w:type="dxa"/>
            <w:vAlign w:val="bottom"/>
            <w:tcBorders>
              <w:top w:val="single" w:sz="8" w:color="CCEEFF"/>
            </w:tcBorders>
            <w:shd w:val="clear" w:color="auto" w:fill="CCEEFF"/>
          </w:tcPr>
          <w:p>
            <w:pPr>
              <w:spacing w:after="0"/>
              <w:rPr>
                <w:sz w:val="18"/>
                <w:szCs w:val="18"/>
                <w:color w:val="auto"/>
              </w:rPr>
            </w:pPr>
          </w:p>
        </w:tc>
        <w:tc>
          <w:tcPr>
            <w:tcW w:w="940" w:type="dxa"/>
            <w:vAlign w:val="bottom"/>
            <w:tcBorders>
              <w:top w:val="single" w:sz="8" w:color="auto"/>
              <w:bottom w:val="single" w:sz="8" w:color="auto"/>
            </w:tcBorders>
            <w:shd w:val="clear" w:color="auto" w:fill="CCEEFF"/>
          </w:tcPr>
          <w:p>
            <w:pPr>
              <w:jc w:val="center"/>
              <w:spacing w:after="0"/>
              <w:rPr>
                <w:sz w:val="20"/>
                <w:szCs w:val="20"/>
                <w:color w:val="auto"/>
              </w:rPr>
            </w:pPr>
            <w:r>
              <w:rPr>
                <w:rFonts w:ascii="Arial" w:cs="Arial" w:eastAsia="Arial" w:hAnsi="Arial"/>
                <w:sz w:val="18"/>
                <w:szCs w:val="18"/>
                <w:u w:val="single" w:color="auto"/>
                <w:color w:val="auto"/>
                <w:w w:val="92"/>
              </w:rPr>
              <w:t>A$</w:t>
            </w:r>
            <w:r>
              <w:rPr>
                <w:rFonts w:ascii="Arial" w:cs="Arial" w:eastAsia="Arial" w:hAnsi="Arial"/>
                <w:sz w:val="18"/>
                <w:szCs w:val="18"/>
                <w:color w:val="auto"/>
                <w:w w:val="92"/>
              </w:rPr>
              <w:t>1,043,694</w:t>
            </w:r>
          </w:p>
        </w:tc>
        <w:tc>
          <w:tcPr>
            <w:tcW w:w="680" w:type="dxa"/>
            <w:vAlign w:val="bottom"/>
            <w:tcBorders>
              <w:top w:val="single" w:sz="8" w:color="CCEEFF"/>
            </w:tcBorders>
            <w:shd w:val="clear" w:color="auto" w:fill="CCEEFF"/>
          </w:tcPr>
          <w:p>
            <w:pPr>
              <w:spacing w:after="0"/>
              <w:rPr>
                <w:sz w:val="18"/>
                <w:szCs w:val="18"/>
                <w:color w:val="auto"/>
              </w:rPr>
            </w:pPr>
          </w:p>
        </w:tc>
        <w:tc>
          <w:tcPr>
            <w:tcW w:w="820" w:type="dxa"/>
            <w:vAlign w:val="bottom"/>
            <w:tcBorders>
              <w:top w:val="single" w:sz="8" w:color="auto"/>
              <w:bottom w:val="single" w:sz="8" w:color="auto"/>
            </w:tcBorders>
            <w:shd w:val="clear" w:color="auto" w:fill="CCEEFF"/>
          </w:tcPr>
          <w:p>
            <w:pPr>
              <w:jc w:val="center"/>
              <w:spacing w:after="0"/>
              <w:rPr>
                <w:sz w:val="20"/>
                <w:szCs w:val="20"/>
                <w:color w:val="auto"/>
              </w:rPr>
            </w:pPr>
            <w:r>
              <w:rPr>
                <w:rFonts w:ascii="Arial" w:cs="Arial" w:eastAsia="Arial" w:hAnsi="Arial"/>
                <w:sz w:val="18"/>
                <w:szCs w:val="18"/>
                <w:u w:val="single" w:color="auto"/>
                <w:color w:val="auto"/>
                <w:w w:val="94"/>
              </w:rPr>
              <w:t>A$</w:t>
            </w:r>
            <w:r>
              <w:rPr>
                <w:rFonts w:ascii="Arial" w:cs="Arial" w:eastAsia="Arial" w:hAnsi="Arial"/>
                <w:sz w:val="18"/>
                <w:szCs w:val="18"/>
                <w:color w:val="auto"/>
                <w:w w:val="94"/>
              </w:rPr>
              <w:t>726,855</w:t>
            </w:r>
          </w:p>
        </w:tc>
        <w:tc>
          <w:tcPr>
            <w:tcW w:w="60" w:type="dxa"/>
            <w:vAlign w:val="bottom"/>
            <w:tcBorders>
              <w:top w:val="single" w:sz="8" w:color="CCEEFF"/>
            </w:tcBorders>
            <w:shd w:val="clear" w:color="auto" w:fill="CCEEFF"/>
          </w:tcPr>
          <w:p>
            <w:pPr>
              <w:spacing w:after="0"/>
              <w:rPr>
                <w:sz w:val="18"/>
                <w:szCs w:val="18"/>
                <w:color w:val="auto"/>
              </w:rPr>
            </w:pPr>
          </w:p>
        </w:tc>
      </w:tr>
      <w:tr>
        <w:trPr>
          <w:trHeight w:val="223"/>
        </w:trPr>
        <w:tc>
          <w:tcPr>
            <w:tcW w:w="8520" w:type="dxa"/>
            <w:vAlign w:val="bottom"/>
            <w:gridSpan w:val="2"/>
          </w:tcPr>
          <w:p>
            <w:pPr>
              <w:spacing w:after="0"/>
              <w:rPr>
                <w:sz w:val="20"/>
                <w:szCs w:val="20"/>
                <w:color w:val="auto"/>
              </w:rPr>
            </w:pPr>
            <w:r>
              <w:rPr>
                <w:rFonts w:ascii="Arial" w:cs="Arial" w:eastAsia="Arial" w:hAnsi="Arial"/>
                <w:sz w:val="18"/>
                <w:szCs w:val="18"/>
                <w:b w:val="1"/>
                <w:bCs w:val="1"/>
                <w:color w:val="auto"/>
              </w:rPr>
              <w:t>Total expense arising from share-based payment transactions</w:t>
            </w:r>
          </w:p>
        </w:tc>
        <w:tc>
          <w:tcPr>
            <w:tcW w:w="2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u w:val="single" w:color="auto"/>
                <w:color w:val="auto"/>
                <w:w w:val="91"/>
              </w:rPr>
              <w:t>A$</w:t>
            </w:r>
            <w:r>
              <w:rPr>
                <w:rFonts w:ascii="Arial" w:cs="Arial" w:eastAsia="Arial" w:hAnsi="Arial"/>
                <w:sz w:val="18"/>
                <w:szCs w:val="18"/>
                <w:b w:val="1"/>
                <w:bCs w:val="1"/>
                <w:color w:val="auto"/>
                <w:w w:val="91"/>
              </w:rPr>
              <w:t>1,043,694</w:t>
            </w:r>
          </w:p>
        </w:tc>
        <w:tc>
          <w:tcPr>
            <w:tcW w:w="680" w:type="dxa"/>
            <w:vAlign w:val="bottom"/>
          </w:tcPr>
          <w:p>
            <w:pPr>
              <w:spacing w:after="0"/>
              <w:rPr>
                <w:sz w:val="19"/>
                <w:szCs w:val="19"/>
                <w:color w:val="auto"/>
              </w:rPr>
            </w:pPr>
          </w:p>
        </w:tc>
        <w:tc>
          <w:tcPr>
            <w:tcW w:w="82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u w:val="single" w:color="auto"/>
                <w:color w:val="auto"/>
                <w:w w:val="93"/>
              </w:rPr>
              <w:t>A$</w:t>
            </w:r>
            <w:r>
              <w:rPr>
                <w:rFonts w:ascii="Arial" w:cs="Arial" w:eastAsia="Arial" w:hAnsi="Arial"/>
                <w:sz w:val="18"/>
                <w:szCs w:val="18"/>
                <w:b w:val="1"/>
                <w:bCs w:val="1"/>
                <w:color w:val="auto"/>
                <w:w w:val="93"/>
              </w:rPr>
              <w:t>726,855</w:t>
            </w:r>
          </w:p>
        </w:tc>
        <w:tc>
          <w:tcPr>
            <w:tcW w:w="60" w:type="dxa"/>
            <w:vAlign w:val="bottom"/>
          </w:tcPr>
          <w:p>
            <w:pPr>
              <w:spacing w:after="0"/>
              <w:rPr>
                <w:sz w:val="19"/>
                <w:szCs w:val="19"/>
                <w:color w:val="auto"/>
              </w:rPr>
            </w:pPr>
          </w:p>
        </w:tc>
      </w:tr>
      <w:tr>
        <w:trPr>
          <w:trHeight w:val="20"/>
        </w:trPr>
        <w:tc>
          <w:tcPr>
            <w:tcW w:w="20" w:type="dxa"/>
            <w:vAlign w:val="bottom"/>
          </w:tcPr>
          <w:p>
            <w:pPr>
              <w:spacing w:after="0" w:line="20" w:lineRule="exact"/>
              <w:rPr>
                <w:sz w:val="1"/>
                <w:szCs w:val="1"/>
                <w:color w:val="auto"/>
              </w:rPr>
            </w:pPr>
          </w:p>
        </w:tc>
        <w:tc>
          <w:tcPr>
            <w:tcW w:w="85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360" w:lineRule="exact"/>
        <w:rPr>
          <w:sz w:val="20"/>
          <w:szCs w:val="20"/>
          <w:color w:val="auto"/>
        </w:rPr>
      </w:pPr>
    </w:p>
    <w:p>
      <w:pPr>
        <w:ind w:left="200" w:right="7360" w:firstLine="4"/>
        <w:spacing w:after="0" w:line="378" w:lineRule="auto"/>
        <w:tabs>
          <w:tab w:leader="none" w:pos="632" w:val="left"/>
        </w:tabs>
        <w:numPr>
          <w:ilvl w:val="0"/>
          <w:numId w:val="214"/>
        </w:numPr>
        <w:rPr>
          <w:rFonts w:ascii="Arial" w:cs="Arial" w:eastAsia="Arial" w:hAnsi="Arial"/>
          <w:sz w:val="18"/>
          <w:szCs w:val="18"/>
          <w:b w:val="1"/>
          <w:bCs w:val="1"/>
          <w:color w:val="auto"/>
        </w:rPr>
      </w:pPr>
      <w:r>
        <w:rPr>
          <w:rFonts w:ascii="Arial" w:cs="Arial" w:eastAsia="Arial" w:hAnsi="Arial"/>
          <w:sz w:val="18"/>
          <w:szCs w:val="18"/>
          <w:b w:val="1"/>
          <w:bCs w:val="1"/>
          <w:color w:val="auto"/>
        </w:rPr>
        <w:t>Option pricing model: ESOP and Investor Equity-settled transactions</w:t>
      </w:r>
    </w:p>
    <w:p>
      <w:pPr>
        <w:ind w:left="200" w:right="240"/>
        <w:spacing w:after="0" w:line="277" w:lineRule="auto"/>
        <w:rPr>
          <w:sz w:val="20"/>
          <w:szCs w:val="20"/>
          <w:color w:val="auto"/>
        </w:rPr>
      </w:pPr>
      <w:r>
        <w:rPr>
          <w:rFonts w:ascii="Arial" w:cs="Arial" w:eastAsia="Arial" w:hAnsi="Arial"/>
          <w:sz w:val="18"/>
          <w:szCs w:val="18"/>
          <w:color w:val="auto"/>
        </w:rPr>
        <w:t>The fair value of the equity-settled share options granted under the ESOP is estimated at the date of grant using a Binomial Model taking into account the terms and conditions upon which the options were granted.</w:t>
      </w:r>
    </w:p>
    <w:p>
      <w:pPr>
        <w:spacing w:after="0" w:line="170" w:lineRule="exact"/>
        <w:rPr>
          <w:sz w:val="20"/>
          <w:szCs w:val="20"/>
          <w:color w:val="auto"/>
        </w:rPr>
      </w:pPr>
    </w:p>
    <w:p>
      <w:pPr>
        <w:ind w:left="200"/>
        <w:spacing w:after="0"/>
        <w:rPr>
          <w:sz w:val="20"/>
          <w:szCs w:val="20"/>
          <w:color w:val="auto"/>
        </w:rPr>
      </w:pPr>
      <w:r>
        <w:rPr>
          <w:rFonts w:ascii="Arial" w:cs="Arial" w:eastAsia="Arial" w:hAnsi="Arial"/>
          <w:sz w:val="18"/>
          <w:szCs w:val="18"/>
          <w:color w:val="auto"/>
        </w:rPr>
        <w:t>The options issued in the period have vesting criteria based on the following performance conditions:</w:t>
      </w:r>
    </w:p>
    <w:p>
      <w:pPr>
        <w:spacing w:after="0" w:line="131" w:lineRule="exact"/>
        <w:rPr>
          <w:sz w:val="20"/>
          <w:szCs w:val="20"/>
          <w:color w:val="auto"/>
        </w:rPr>
      </w:pPr>
    </w:p>
    <w:p>
      <w:pPr>
        <w:ind w:left="1180" w:hanging="436"/>
        <w:spacing w:after="0"/>
        <w:tabs>
          <w:tab w:leader="none" w:pos="1180" w:val="left"/>
        </w:tabs>
        <w:numPr>
          <w:ilvl w:val="1"/>
          <w:numId w:val="215"/>
        </w:numPr>
        <w:rPr>
          <w:rFonts w:ascii="Arial" w:cs="Arial" w:eastAsia="Arial" w:hAnsi="Arial"/>
          <w:sz w:val="18"/>
          <w:szCs w:val="18"/>
          <w:color w:val="auto"/>
        </w:rPr>
      </w:pPr>
      <w:r>
        <w:rPr>
          <w:rFonts w:ascii="Arial" w:cs="Arial" w:eastAsia="Arial" w:hAnsi="Arial"/>
          <w:sz w:val="18"/>
          <w:szCs w:val="18"/>
          <w:color w:val="auto"/>
        </w:rPr>
        <w:t>Tenure with the Company</w:t>
      </w:r>
    </w:p>
    <w:p>
      <w:pPr>
        <w:spacing w:after="0" w:line="130" w:lineRule="exact"/>
        <w:rPr>
          <w:rFonts w:ascii="Arial" w:cs="Arial" w:eastAsia="Arial" w:hAnsi="Arial"/>
          <w:sz w:val="18"/>
          <w:szCs w:val="18"/>
          <w:color w:val="auto"/>
        </w:rPr>
      </w:pPr>
    </w:p>
    <w:p>
      <w:pPr>
        <w:ind w:left="1180" w:hanging="436"/>
        <w:spacing w:after="0"/>
        <w:tabs>
          <w:tab w:leader="none" w:pos="1180" w:val="left"/>
        </w:tabs>
        <w:numPr>
          <w:ilvl w:val="1"/>
          <w:numId w:val="215"/>
        </w:numPr>
        <w:rPr>
          <w:rFonts w:ascii="Arial" w:cs="Arial" w:eastAsia="Arial" w:hAnsi="Arial"/>
          <w:sz w:val="18"/>
          <w:szCs w:val="18"/>
          <w:color w:val="auto"/>
        </w:rPr>
      </w:pPr>
      <w:r>
        <w:rPr>
          <w:rFonts w:ascii="Arial" w:cs="Arial" w:eastAsia="Arial" w:hAnsi="Arial"/>
          <w:sz w:val="18"/>
          <w:szCs w:val="18"/>
          <w:color w:val="auto"/>
        </w:rPr>
        <w:t>Revenue target</w:t>
      </w:r>
    </w:p>
    <w:p>
      <w:pPr>
        <w:spacing w:after="0" w:line="130" w:lineRule="exact"/>
        <w:rPr>
          <w:rFonts w:ascii="Arial" w:cs="Arial" w:eastAsia="Arial" w:hAnsi="Arial"/>
          <w:sz w:val="18"/>
          <w:szCs w:val="18"/>
          <w:color w:val="auto"/>
        </w:rPr>
      </w:pPr>
    </w:p>
    <w:p>
      <w:pPr>
        <w:ind w:left="1180" w:hanging="436"/>
        <w:spacing w:after="0"/>
        <w:tabs>
          <w:tab w:leader="none" w:pos="1180" w:val="left"/>
        </w:tabs>
        <w:numPr>
          <w:ilvl w:val="1"/>
          <w:numId w:val="215"/>
        </w:numPr>
        <w:rPr>
          <w:rFonts w:ascii="Arial" w:cs="Arial" w:eastAsia="Arial" w:hAnsi="Arial"/>
          <w:sz w:val="18"/>
          <w:szCs w:val="18"/>
          <w:color w:val="auto"/>
        </w:rPr>
      </w:pPr>
      <w:r>
        <w:rPr>
          <w:rFonts w:ascii="Arial" w:cs="Arial" w:eastAsia="Arial" w:hAnsi="Arial"/>
          <w:sz w:val="18"/>
          <w:szCs w:val="18"/>
          <w:color w:val="auto"/>
        </w:rPr>
        <w:t>FDA PMA approval of RECELL for burns</w:t>
      </w:r>
    </w:p>
    <w:p>
      <w:pPr>
        <w:spacing w:after="0" w:line="130" w:lineRule="exact"/>
        <w:rPr>
          <w:rFonts w:ascii="Arial" w:cs="Arial" w:eastAsia="Arial" w:hAnsi="Arial"/>
          <w:sz w:val="18"/>
          <w:szCs w:val="18"/>
          <w:color w:val="auto"/>
        </w:rPr>
      </w:pPr>
    </w:p>
    <w:p>
      <w:pPr>
        <w:ind w:left="1180" w:hanging="436"/>
        <w:spacing w:after="0"/>
        <w:tabs>
          <w:tab w:leader="none" w:pos="1180" w:val="left"/>
        </w:tabs>
        <w:numPr>
          <w:ilvl w:val="1"/>
          <w:numId w:val="215"/>
        </w:numPr>
        <w:rPr>
          <w:rFonts w:ascii="Arial" w:cs="Arial" w:eastAsia="Arial" w:hAnsi="Arial"/>
          <w:sz w:val="18"/>
          <w:szCs w:val="18"/>
          <w:color w:val="auto"/>
        </w:rPr>
      </w:pPr>
      <w:r>
        <w:rPr>
          <w:rFonts w:ascii="Arial" w:cs="Arial" w:eastAsia="Arial" w:hAnsi="Arial"/>
          <w:sz w:val="18"/>
          <w:szCs w:val="18"/>
          <w:color w:val="auto"/>
        </w:rPr>
        <w:t>Initial BARDA procurement under CLIN2 of the BARDA Contract</w:t>
      </w:r>
    </w:p>
    <w:p>
      <w:pPr>
        <w:spacing w:after="0" w:line="130" w:lineRule="exact"/>
        <w:rPr>
          <w:rFonts w:ascii="Arial" w:cs="Arial" w:eastAsia="Arial" w:hAnsi="Arial"/>
          <w:sz w:val="18"/>
          <w:szCs w:val="18"/>
          <w:color w:val="auto"/>
        </w:rPr>
      </w:pPr>
    </w:p>
    <w:p>
      <w:pPr>
        <w:ind w:left="1180" w:hanging="436"/>
        <w:spacing w:after="0"/>
        <w:tabs>
          <w:tab w:leader="none" w:pos="1180" w:val="left"/>
        </w:tabs>
        <w:numPr>
          <w:ilvl w:val="1"/>
          <w:numId w:val="215"/>
        </w:numPr>
        <w:rPr>
          <w:rFonts w:ascii="Arial" w:cs="Arial" w:eastAsia="Arial" w:hAnsi="Arial"/>
          <w:sz w:val="18"/>
          <w:szCs w:val="18"/>
          <w:color w:val="auto"/>
        </w:rPr>
      </w:pPr>
      <w:r>
        <w:rPr>
          <w:rFonts w:ascii="Arial" w:cs="Arial" w:eastAsia="Arial" w:hAnsi="Arial"/>
          <w:sz w:val="18"/>
          <w:szCs w:val="18"/>
          <w:color w:val="auto"/>
        </w:rPr>
        <w:t>US Quotation</w:t>
      </w:r>
    </w:p>
    <w:p>
      <w:pPr>
        <w:spacing w:after="0" w:line="225" w:lineRule="exact"/>
        <w:rPr>
          <w:rFonts w:ascii="Arial" w:cs="Arial" w:eastAsia="Arial" w:hAnsi="Arial"/>
          <w:sz w:val="18"/>
          <w:szCs w:val="18"/>
          <w:color w:val="auto"/>
        </w:rPr>
      </w:pPr>
    </w:p>
    <w:p>
      <w:pPr>
        <w:ind w:left="200" w:right="1380" w:firstLine="4"/>
        <w:spacing w:after="0" w:line="525" w:lineRule="auto"/>
        <w:tabs>
          <w:tab w:leader="none" w:pos="355" w:val="left"/>
        </w:tabs>
        <w:numPr>
          <w:ilvl w:val="0"/>
          <w:numId w:val="215"/>
        </w:numPr>
        <w:rPr>
          <w:rFonts w:ascii="Arial" w:cs="Arial" w:eastAsia="Arial" w:hAnsi="Arial"/>
          <w:sz w:val="18"/>
          <w:szCs w:val="18"/>
          <w:color w:val="auto"/>
        </w:rPr>
      </w:pPr>
      <w:r>
        <w:rPr>
          <w:rFonts w:ascii="Arial" w:cs="Arial" w:eastAsia="Arial" w:hAnsi="Arial"/>
          <w:sz w:val="18"/>
          <w:szCs w:val="18"/>
          <w:color w:val="auto"/>
        </w:rPr>
        <w:t>On November 1, 2018, 2,000,000 options were granted to employee at an exercise price of A$0.056 expiring on November 1, 2028. The following table lists the inputs to the models used for the options granted to employee each year:</w:t>
      </w:r>
    </w:p>
    <w:tbl>
      <w:tblPr>
        <w:tblLayout w:type="fixed"/>
        <w:tblInd w:w="200" w:type="dxa"/>
        <w:tblCellMar>
          <w:top w:w="0" w:type="dxa"/>
          <w:left w:w="0" w:type="dxa"/>
          <w:bottom w:w="0" w:type="dxa"/>
          <w:right w:w="0" w:type="dxa"/>
        </w:tblCellMar>
      </w:tblPr>
      <w:tr>
        <w:trPr>
          <w:trHeight w:val="216"/>
        </w:trPr>
        <w:tc>
          <w:tcPr>
            <w:tcW w:w="1780" w:type="dxa"/>
            <w:vAlign w:val="bottom"/>
          </w:tcPr>
          <w:p>
            <w:pPr>
              <w:spacing w:after="0"/>
              <w:rPr>
                <w:sz w:val="18"/>
                <w:szCs w:val="18"/>
                <w:color w:val="auto"/>
              </w:rPr>
            </w:pPr>
          </w:p>
        </w:tc>
        <w:tc>
          <w:tcPr>
            <w:tcW w:w="5640" w:type="dxa"/>
            <w:vAlign w:val="bottom"/>
            <w:shd w:val="clear" w:color="auto" w:fill="CCEEFF"/>
          </w:tcPr>
          <w:p>
            <w:pPr>
              <w:spacing w:after="0"/>
              <w:rPr>
                <w:sz w:val="20"/>
                <w:szCs w:val="20"/>
                <w:color w:val="auto"/>
              </w:rPr>
            </w:pPr>
            <w:r>
              <w:rPr>
                <w:rFonts w:ascii="Arial" w:cs="Arial" w:eastAsia="Arial" w:hAnsi="Arial"/>
                <w:sz w:val="18"/>
                <w:szCs w:val="18"/>
                <w:color w:val="auto"/>
              </w:rPr>
              <w:t>Grant date</w:t>
            </w:r>
          </w:p>
        </w:tc>
        <w:tc>
          <w:tcPr>
            <w:tcW w:w="900" w:type="dxa"/>
            <w:vAlign w:val="bottom"/>
            <w:shd w:val="clear" w:color="auto" w:fill="CCEEFF"/>
          </w:tcPr>
          <w:p>
            <w:pPr>
              <w:spacing w:after="0"/>
              <w:rPr>
                <w:sz w:val="18"/>
                <w:szCs w:val="18"/>
                <w:color w:val="auto"/>
              </w:rPr>
            </w:pPr>
          </w:p>
        </w:tc>
        <w:tc>
          <w:tcPr>
            <w:tcW w:w="94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89"/>
              </w:rPr>
              <w:t>11/1/2018</w:t>
            </w:r>
          </w:p>
        </w:tc>
        <w:tc>
          <w:tcPr>
            <w:tcW w:w="0" w:type="dxa"/>
            <w:vAlign w:val="bottom"/>
          </w:tcPr>
          <w:p>
            <w:pPr>
              <w:spacing w:after="0"/>
              <w:rPr>
                <w:sz w:val="1"/>
                <w:szCs w:val="1"/>
                <w:color w:val="auto"/>
              </w:rPr>
            </w:pPr>
          </w:p>
        </w:tc>
      </w:tr>
      <w:tr>
        <w:trPr>
          <w:trHeight w:val="216"/>
        </w:trPr>
        <w:tc>
          <w:tcPr>
            <w:tcW w:w="1780" w:type="dxa"/>
            <w:vAlign w:val="bottom"/>
          </w:tcPr>
          <w:p>
            <w:pPr>
              <w:spacing w:after="0"/>
              <w:rPr>
                <w:sz w:val="18"/>
                <w:szCs w:val="18"/>
                <w:color w:val="auto"/>
              </w:rPr>
            </w:pPr>
          </w:p>
        </w:tc>
        <w:tc>
          <w:tcPr>
            <w:tcW w:w="5640" w:type="dxa"/>
            <w:vAlign w:val="bottom"/>
          </w:tcPr>
          <w:p>
            <w:pPr>
              <w:spacing w:after="0"/>
              <w:rPr>
                <w:sz w:val="20"/>
                <w:szCs w:val="20"/>
                <w:color w:val="auto"/>
              </w:rPr>
            </w:pPr>
            <w:r>
              <w:rPr>
                <w:rFonts w:ascii="Arial" w:cs="Arial" w:eastAsia="Arial" w:hAnsi="Arial"/>
                <w:sz w:val="18"/>
                <w:szCs w:val="18"/>
                <w:color w:val="auto"/>
              </w:rPr>
              <w:t>Share price at date of grant</w:t>
            </w:r>
          </w:p>
        </w:tc>
        <w:tc>
          <w:tcPr>
            <w:tcW w:w="900" w:type="dxa"/>
            <w:vAlign w:val="bottom"/>
          </w:tcPr>
          <w:p>
            <w:pPr>
              <w:ind w:left="680"/>
              <w:spacing w:after="0"/>
              <w:rPr>
                <w:sz w:val="20"/>
                <w:szCs w:val="20"/>
                <w:color w:val="auto"/>
              </w:rPr>
            </w:pPr>
            <w:r>
              <w:rPr>
                <w:rFonts w:ascii="Arial" w:cs="Arial" w:eastAsia="Arial" w:hAnsi="Arial"/>
                <w:sz w:val="18"/>
                <w:szCs w:val="18"/>
                <w:color w:val="auto"/>
                <w:w w:val="90"/>
              </w:rPr>
              <w:t>A$</w:t>
            </w:r>
          </w:p>
        </w:tc>
        <w:tc>
          <w:tcPr>
            <w:tcW w:w="940" w:type="dxa"/>
            <w:vAlign w:val="bottom"/>
          </w:tcPr>
          <w:p>
            <w:pPr>
              <w:jc w:val="right"/>
              <w:ind w:right="110"/>
              <w:spacing w:after="0"/>
              <w:rPr>
                <w:sz w:val="20"/>
                <w:szCs w:val="20"/>
                <w:color w:val="auto"/>
              </w:rPr>
            </w:pPr>
            <w:r>
              <w:rPr>
                <w:rFonts w:ascii="Arial" w:cs="Arial" w:eastAsia="Arial" w:hAnsi="Arial"/>
                <w:sz w:val="18"/>
                <w:szCs w:val="18"/>
                <w:color w:val="auto"/>
              </w:rPr>
              <w:t>0.093</w:t>
            </w:r>
          </w:p>
        </w:tc>
        <w:tc>
          <w:tcPr>
            <w:tcW w:w="0" w:type="dxa"/>
            <w:vAlign w:val="bottom"/>
          </w:tcPr>
          <w:p>
            <w:pPr>
              <w:spacing w:after="0"/>
              <w:rPr>
                <w:sz w:val="1"/>
                <w:szCs w:val="1"/>
                <w:color w:val="auto"/>
              </w:rPr>
            </w:pPr>
          </w:p>
        </w:tc>
      </w:tr>
      <w:tr>
        <w:trPr>
          <w:trHeight w:val="216"/>
        </w:trPr>
        <w:tc>
          <w:tcPr>
            <w:tcW w:w="1780" w:type="dxa"/>
            <w:vAlign w:val="bottom"/>
          </w:tcPr>
          <w:p>
            <w:pPr>
              <w:spacing w:after="0"/>
              <w:rPr>
                <w:sz w:val="18"/>
                <w:szCs w:val="18"/>
                <w:color w:val="auto"/>
              </w:rPr>
            </w:pPr>
          </w:p>
        </w:tc>
        <w:tc>
          <w:tcPr>
            <w:tcW w:w="5640" w:type="dxa"/>
            <w:vAlign w:val="bottom"/>
            <w:shd w:val="clear" w:color="auto" w:fill="CCEEFF"/>
          </w:tcPr>
          <w:p>
            <w:pPr>
              <w:spacing w:after="0"/>
              <w:rPr>
                <w:sz w:val="20"/>
                <w:szCs w:val="20"/>
                <w:color w:val="auto"/>
              </w:rPr>
            </w:pPr>
            <w:r>
              <w:rPr>
                <w:rFonts w:ascii="Arial" w:cs="Arial" w:eastAsia="Arial" w:hAnsi="Arial"/>
                <w:sz w:val="18"/>
                <w:szCs w:val="18"/>
                <w:color w:val="auto"/>
              </w:rPr>
              <w:t>Dividend yield (%)</w:t>
            </w:r>
          </w:p>
        </w:tc>
        <w:tc>
          <w:tcPr>
            <w:tcW w:w="90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16"/>
        </w:trPr>
        <w:tc>
          <w:tcPr>
            <w:tcW w:w="1780" w:type="dxa"/>
            <w:vAlign w:val="bottom"/>
          </w:tcPr>
          <w:p>
            <w:pPr>
              <w:spacing w:after="0"/>
              <w:rPr>
                <w:sz w:val="18"/>
                <w:szCs w:val="18"/>
                <w:color w:val="auto"/>
              </w:rPr>
            </w:pPr>
          </w:p>
        </w:tc>
        <w:tc>
          <w:tcPr>
            <w:tcW w:w="5640" w:type="dxa"/>
            <w:vAlign w:val="bottom"/>
          </w:tcPr>
          <w:p>
            <w:pPr>
              <w:spacing w:after="0"/>
              <w:rPr>
                <w:sz w:val="20"/>
                <w:szCs w:val="20"/>
                <w:color w:val="auto"/>
              </w:rPr>
            </w:pPr>
            <w:r>
              <w:rPr>
                <w:rFonts w:ascii="Arial" w:cs="Arial" w:eastAsia="Arial" w:hAnsi="Arial"/>
                <w:sz w:val="18"/>
                <w:szCs w:val="18"/>
                <w:color w:val="auto"/>
              </w:rPr>
              <w:t>Expected volatility (%)</w:t>
            </w:r>
          </w:p>
        </w:tc>
        <w:tc>
          <w:tcPr>
            <w:tcW w:w="9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90%</w:t>
            </w:r>
          </w:p>
        </w:tc>
        <w:tc>
          <w:tcPr>
            <w:tcW w:w="0" w:type="dxa"/>
            <w:vAlign w:val="bottom"/>
          </w:tcPr>
          <w:p>
            <w:pPr>
              <w:spacing w:after="0"/>
              <w:rPr>
                <w:sz w:val="1"/>
                <w:szCs w:val="1"/>
                <w:color w:val="auto"/>
              </w:rPr>
            </w:pPr>
          </w:p>
        </w:tc>
      </w:tr>
      <w:tr>
        <w:trPr>
          <w:trHeight w:val="216"/>
        </w:trPr>
        <w:tc>
          <w:tcPr>
            <w:tcW w:w="1780" w:type="dxa"/>
            <w:vAlign w:val="bottom"/>
          </w:tcPr>
          <w:p>
            <w:pPr>
              <w:spacing w:after="0"/>
              <w:rPr>
                <w:sz w:val="18"/>
                <w:szCs w:val="18"/>
                <w:color w:val="auto"/>
              </w:rPr>
            </w:pPr>
          </w:p>
        </w:tc>
        <w:tc>
          <w:tcPr>
            <w:tcW w:w="5640" w:type="dxa"/>
            <w:vAlign w:val="bottom"/>
            <w:shd w:val="clear" w:color="auto" w:fill="CCEEFF"/>
          </w:tcPr>
          <w:p>
            <w:pPr>
              <w:spacing w:after="0"/>
              <w:rPr>
                <w:sz w:val="20"/>
                <w:szCs w:val="20"/>
                <w:color w:val="auto"/>
              </w:rPr>
            </w:pPr>
            <w:r>
              <w:rPr>
                <w:rFonts w:ascii="Arial" w:cs="Arial" w:eastAsia="Arial" w:hAnsi="Arial"/>
                <w:sz w:val="18"/>
                <w:szCs w:val="18"/>
                <w:color w:val="auto"/>
              </w:rPr>
              <w:t>Risk-free interest rate (%)</w:t>
            </w:r>
          </w:p>
        </w:tc>
        <w:tc>
          <w:tcPr>
            <w:tcW w:w="90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2.65%</w:t>
            </w:r>
          </w:p>
        </w:tc>
        <w:tc>
          <w:tcPr>
            <w:tcW w:w="0" w:type="dxa"/>
            <w:vAlign w:val="bottom"/>
          </w:tcPr>
          <w:p>
            <w:pPr>
              <w:spacing w:after="0"/>
              <w:rPr>
                <w:sz w:val="1"/>
                <w:szCs w:val="1"/>
                <w:color w:val="auto"/>
              </w:rPr>
            </w:pPr>
          </w:p>
        </w:tc>
      </w:tr>
      <w:tr>
        <w:trPr>
          <w:trHeight w:val="216"/>
        </w:trPr>
        <w:tc>
          <w:tcPr>
            <w:tcW w:w="1780" w:type="dxa"/>
            <w:vAlign w:val="bottom"/>
          </w:tcPr>
          <w:p>
            <w:pPr>
              <w:spacing w:after="0"/>
              <w:rPr>
                <w:sz w:val="18"/>
                <w:szCs w:val="18"/>
                <w:color w:val="auto"/>
              </w:rPr>
            </w:pPr>
          </w:p>
        </w:tc>
        <w:tc>
          <w:tcPr>
            <w:tcW w:w="5640" w:type="dxa"/>
            <w:vAlign w:val="bottom"/>
          </w:tcPr>
          <w:p>
            <w:pPr>
              <w:spacing w:after="0"/>
              <w:rPr>
                <w:sz w:val="20"/>
                <w:szCs w:val="20"/>
                <w:color w:val="auto"/>
              </w:rPr>
            </w:pPr>
            <w:r>
              <w:rPr>
                <w:rFonts w:ascii="Arial" w:cs="Arial" w:eastAsia="Arial" w:hAnsi="Arial"/>
                <w:sz w:val="18"/>
                <w:szCs w:val="18"/>
                <w:color w:val="auto"/>
              </w:rPr>
              <w:t>Expected life of option (days)</w:t>
            </w:r>
          </w:p>
        </w:tc>
        <w:tc>
          <w:tcPr>
            <w:tcW w:w="900" w:type="dxa"/>
            <w:vAlign w:val="bottom"/>
          </w:tcPr>
          <w:p>
            <w:pPr>
              <w:spacing w:after="0"/>
              <w:rPr>
                <w:sz w:val="18"/>
                <w:szCs w:val="18"/>
                <w:color w:val="auto"/>
              </w:rPr>
            </w:pPr>
          </w:p>
        </w:tc>
        <w:tc>
          <w:tcPr>
            <w:tcW w:w="940" w:type="dxa"/>
            <w:vAlign w:val="bottom"/>
          </w:tcPr>
          <w:p>
            <w:pPr>
              <w:jc w:val="right"/>
              <w:ind w:right="110"/>
              <w:spacing w:after="0"/>
              <w:rPr>
                <w:sz w:val="20"/>
                <w:szCs w:val="20"/>
                <w:color w:val="auto"/>
              </w:rPr>
            </w:pPr>
            <w:r>
              <w:rPr>
                <w:rFonts w:ascii="Arial" w:cs="Arial" w:eastAsia="Arial" w:hAnsi="Arial"/>
                <w:sz w:val="18"/>
                <w:szCs w:val="18"/>
                <w:color w:val="auto"/>
              </w:rPr>
              <w:t>3,650</w:t>
            </w:r>
          </w:p>
        </w:tc>
        <w:tc>
          <w:tcPr>
            <w:tcW w:w="0" w:type="dxa"/>
            <w:vAlign w:val="bottom"/>
          </w:tcPr>
          <w:p>
            <w:pPr>
              <w:spacing w:after="0"/>
              <w:rPr>
                <w:sz w:val="1"/>
                <w:szCs w:val="1"/>
                <w:color w:val="auto"/>
              </w:rPr>
            </w:pPr>
          </w:p>
        </w:tc>
      </w:tr>
      <w:tr>
        <w:trPr>
          <w:trHeight w:val="216"/>
        </w:trPr>
        <w:tc>
          <w:tcPr>
            <w:tcW w:w="1780" w:type="dxa"/>
            <w:vAlign w:val="bottom"/>
          </w:tcPr>
          <w:p>
            <w:pPr>
              <w:spacing w:after="0"/>
              <w:rPr>
                <w:sz w:val="18"/>
                <w:szCs w:val="18"/>
                <w:color w:val="auto"/>
              </w:rPr>
            </w:pPr>
          </w:p>
        </w:tc>
        <w:tc>
          <w:tcPr>
            <w:tcW w:w="5640" w:type="dxa"/>
            <w:vAlign w:val="bottom"/>
            <w:shd w:val="clear" w:color="auto" w:fill="CCEEFF"/>
          </w:tcPr>
          <w:p>
            <w:pPr>
              <w:spacing w:after="0"/>
              <w:rPr>
                <w:sz w:val="20"/>
                <w:szCs w:val="20"/>
                <w:color w:val="auto"/>
              </w:rPr>
            </w:pPr>
            <w:r>
              <w:rPr>
                <w:rFonts w:ascii="Arial" w:cs="Arial" w:eastAsia="Arial" w:hAnsi="Arial"/>
                <w:sz w:val="18"/>
                <w:szCs w:val="18"/>
                <w:color w:val="auto"/>
              </w:rPr>
              <w:t>Option exercise price (A$)</w:t>
            </w:r>
          </w:p>
        </w:tc>
        <w:tc>
          <w:tcPr>
            <w:tcW w:w="900" w:type="dxa"/>
            <w:vAlign w:val="bottom"/>
            <w:shd w:val="clear" w:color="auto" w:fill="CCEEFF"/>
          </w:tcPr>
          <w:p>
            <w:pPr>
              <w:ind w:left="680"/>
              <w:spacing w:after="0"/>
              <w:rPr>
                <w:sz w:val="20"/>
                <w:szCs w:val="20"/>
                <w:color w:val="auto"/>
              </w:rPr>
            </w:pPr>
            <w:r>
              <w:rPr>
                <w:rFonts w:ascii="Arial" w:cs="Arial" w:eastAsia="Arial" w:hAnsi="Arial"/>
                <w:sz w:val="18"/>
                <w:szCs w:val="18"/>
                <w:color w:val="auto"/>
                <w:w w:val="90"/>
              </w:rPr>
              <w:t>A$</w:t>
            </w:r>
          </w:p>
        </w:tc>
        <w:tc>
          <w:tcPr>
            <w:tcW w:w="94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0.056</w:t>
            </w:r>
          </w:p>
        </w:tc>
        <w:tc>
          <w:tcPr>
            <w:tcW w:w="0" w:type="dxa"/>
            <w:vAlign w:val="bottom"/>
          </w:tcPr>
          <w:p>
            <w:pPr>
              <w:spacing w:after="0"/>
              <w:rPr>
                <w:sz w:val="1"/>
                <w:szCs w:val="1"/>
                <w:color w:val="auto"/>
              </w:rPr>
            </w:pPr>
          </w:p>
        </w:tc>
      </w:tr>
      <w:tr>
        <w:trPr>
          <w:trHeight w:val="324"/>
        </w:trPr>
        <w:tc>
          <w:tcPr>
            <w:tcW w:w="7420" w:type="dxa"/>
            <w:vAlign w:val="bottom"/>
            <w:gridSpan w:val="2"/>
          </w:tcPr>
          <w:p>
            <w:pPr>
              <w:spacing w:after="0"/>
              <w:rPr>
                <w:sz w:val="20"/>
                <w:szCs w:val="20"/>
                <w:color w:val="auto"/>
              </w:rPr>
            </w:pPr>
            <w:r>
              <w:rPr>
                <w:rFonts w:ascii="Arial" w:cs="Arial" w:eastAsia="Arial" w:hAnsi="Arial"/>
                <w:sz w:val="18"/>
                <w:szCs w:val="18"/>
                <w:color w:val="auto"/>
                <w:w w:val="98"/>
              </w:rPr>
              <w:t>This represents tranches 2, 12-15, the fair value at date of grant for each tranche is as follows:</w:t>
            </w:r>
          </w:p>
        </w:tc>
        <w:tc>
          <w:tcPr>
            <w:tcW w:w="9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1780" w:type="dxa"/>
            <w:vAlign w:val="bottom"/>
            <w:vMerge w:val="restart"/>
          </w:tcPr>
          <w:p>
            <w:pPr>
              <w:spacing w:after="0"/>
              <w:rPr>
                <w:sz w:val="21"/>
                <w:szCs w:val="21"/>
                <w:color w:val="auto"/>
              </w:rPr>
            </w:pPr>
          </w:p>
        </w:tc>
        <w:tc>
          <w:tcPr>
            <w:tcW w:w="564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1780" w:type="dxa"/>
            <w:vAlign w:val="bottom"/>
            <w:vMerge w:val="continue"/>
          </w:tcPr>
          <w:p>
            <w:pPr>
              <w:spacing w:after="0"/>
              <w:rPr>
                <w:sz w:val="18"/>
                <w:szCs w:val="18"/>
                <w:color w:val="auto"/>
              </w:rPr>
            </w:pPr>
          </w:p>
        </w:tc>
        <w:tc>
          <w:tcPr>
            <w:tcW w:w="5640" w:type="dxa"/>
            <w:vAlign w:val="bottom"/>
            <w:shd w:val="clear" w:color="auto" w:fill="CCEEFF"/>
          </w:tcPr>
          <w:p>
            <w:pPr>
              <w:spacing w:after="0"/>
              <w:rPr>
                <w:sz w:val="20"/>
                <w:szCs w:val="20"/>
                <w:color w:val="auto"/>
              </w:rPr>
            </w:pPr>
            <w:r>
              <w:rPr>
                <w:rFonts w:ascii="Arial" w:cs="Arial" w:eastAsia="Arial" w:hAnsi="Arial"/>
                <w:sz w:val="18"/>
                <w:szCs w:val="18"/>
                <w:color w:val="auto"/>
              </w:rPr>
              <w:t>Tranche 2</w:t>
            </w:r>
          </w:p>
        </w:tc>
        <w:tc>
          <w:tcPr>
            <w:tcW w:w="90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A$0.0834</w:t>
            </w:r>
          </w:p>
        </w:tc>
        <w:tc>
          <w:tcPr>
            <w:tcW w:w="0" w:type="dxa"/>
            <w:vAlign w:val="bottom"/>
          </w:tcPr>
          <w:p>
            <w:pPr>
              <w:spacing w:after="0"/>
              <w:rPr>
                <w:sz w:val="1"/>
                <w:szCs w:val="1"/>
                <w:color w:val="auto"/>
              </w:rPr>
            </w:pPr>
          </w:p>
        </w:tc>
      </w:tr>
      <w:tr>
        <w:trPr>
          <w:trHeight w:val="216"/>
        </w:trPr>
        <w:tc>
          <w:tcPr>
            <w:tcW w:w="1780" w:type="dxa"/>
            <w:vAlign w:val="bottom"/>
          </w:tcPr>
          <w:p>
            <w:pPr>
              <w:spacing w:after="0"/>
              <w:rPr>
                <w:sz w:val="18"/>
                <w:szCs w:val="18"/>
                <w:color w:val="auto"/>
              </w:rPr>
            </w:pPr>
          </w:p>
        </w:tc>
        <w:tc>
          <w:tcPr>
            <w:tcW w:w="5640" w:type="dxa"/>
            <w:vAlign w:val="bottom"/>
          </w:tcPr>
          <w:p>
            <w:pPr>
              <w:spacing w:after="0"/>
              <w:rPr>
                <w:sz w:val="20"/>
                <w:szCs w:val="20"/>
                <w:color w:val="auto"/>
              </w:rPr>
            </w:pPr>
            <w:r>
              <w:rPr>
                <w:rFonts w:ascii="Arial" w:cs="Arial" w:eastAsia="Arial" w:hAnsi="Arial"/>
                <w:sz w:val="18"/>
                <w:szCs w:val="18"/>
                <w:color w:val="auto"/>
              </w:rPr>
              <w:t>Tranche 12</w:t>
            </w:r>
          </w:p>
        </w:tc>
        <w:tc>
          <w:tcPr>
            <w:tcW w:w="9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A$0.0607</w:t>
            </w:r>
          </w:p>
        </w:tc>
        <w:tc>
          <w:tcPr>
            <w:tcW w:w="0" w:type="dxa"/>
            <w:vAlign w:val="bottom"/>
          </w:tcPr>
          <w:p>
            <w:pPr>
              <w:spacing w:after="0"/>
              <w:rPr>
                <w:sz w:val="1"/>
                <w:szCs w:val="1"/>
                <w:color w:val="auto"/>
              </w:rPr>
            </w:pPr>
          </w:p>
        </w:tc>
      </w:tr>
      <w:tr>
        <w:trPr>
          <w:trHeight w:val="216"/>
        </w:trPr>
        <w:tc>
          <w:tcPr>
            <w:tcW w:w="1780" w:type="dxa"/>
            <w:vAlign w:val="bottom"/>
          </w:tcPr>
          <w:p>
            <w:pPr>
              <w:spacing w:after="0"/>
              <w:rPr>
                <w:sz w:val="18"/>
                <w:szCs w:val="18"/>
                <w:color w:val="auto"/>
              </w:rPr>
            </w:pPr>
          </w:p>
        </w:tc>
        <w:tc>
          <w:tcPr>
            <w:tcW w:w="5640" w:type="dxa"/>
            <w:vAlign w:val="bottom"/>
            <w:shd w:val="clear" w:color="auto" w:fill="CCEEFF"/>
          </w:tcPr>
          <w:p>
            <w:pPr>
              <w:spacing w:after="0"/>
              <w:rPr>
                <w:sz w:val="20"/>
                <w:szCs w:val="20"/>
                <w:color w:val="auto"/>
              </w:rPr>
            </w:pPr>
            <w:r>
              <w:rPr>
                <w:rFonts w:ascii="Arial" w:cs="Arial" w:eastAsia="Arial" w:hAnsi="Arial"/>
                <w:sz w:val="18"/>
                <w:szCs w:val="18"/>
                <w:color w:val="auto"/>
              </w:rPr>
              <w:t>Tranche 13</w:t>
            </w:r>
          </w:p>
        </w:tc>
        <w:tc>
          <w:tcPr>
            <w:tcW w:w="90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A$0.0673</w:t>
            </w:r>
          </w:p>
        </w:tc>
        <w:tc>
          <w:tcPr>
            <w:tcW w:w="0" w:type="dxa"/>
            <w:vAlign w:val="bottom"/>
          </w:tcPr>
          <w:p>
            <w:pPr>
              <w:spacing w:after="0"/>
              <w:rPr>
                <w:sz w:val="1"/>
                <w:szCs w:val="1"/>
                <w:color w:val="auto"/>
              </w:rPr>
            </w:pPr>
          </w:p>
        </w:tc>
      </w:tr>
      <w:tr>
        <w:trPr>
          <w:trHeight w:val="216"/>
        </w:trPr>
        <w:tc>
          <w:tcPr>
            <w:tcW w:w="1780" w:type="dxa"/>
            <w:vAlign w:val="bottom"/>
          </w:tcPr>
          <w:p>
            <w:pPr>
              <w:spacing w:after="0"/>
              <w:rPr>
                <w:sz w:val="18"/>
                <w:szCs w:val="18"/>
                <w:color w:val="auto"/>
              </w:rPr>
            </w:pPr>
          </w:p>
        </w:tc>
        <w:tc>
          <w:tcPr>
            <w:tcW w:w="5640" w:type="dxa"/>
            <w:vAlign w:val="bottom"/>
          </w:tcPr>
          <w:p>
            <w:pPr>
              <w:spacing w:after="0"/>
              <w:rPr>
                <w:sz w:val="20"/>
                <w:szCs w:val="20"/>
                <w:color w:val="auto"/>
              </w:rPr>
            </w:pPr>
            <w:r>
              <w:rPr>
                <w:rFonts w:ascii="Arial" w:cs="Arial" w:eastAsia="Arial" w:hAnsi="Arial"/>
                <w:sz w:val="18"/>
                <w:szCs w:val="18"/>
                <w:color w:val="auto"/>
              </w:rPr>
              <w:t>Tranche 14</w:t>
            </w:r>
          </w:p>
        </w:tc>
        <w:tc>
          <w:tcPr>
            <w:tcW w:w="9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A$0.0715</w:t>
            </w:r>
          </w:p>
        </w:tc>
        <w:tc>
          <w:tcPr>
            <w:tcW w:w="0" w:type="dxa"/>
            <w:vAlign w:val="bottom"/>
          </w:tcPr>
          <w:p>
            <w:pPr>
              <w:spacing w:after="0"/>
              <w:rPr>
                <w:sz w:val="1"/>
                <w:szCs w:val="1"/>
                <w:color w:val="auto"/>
              </w:rPr>
            </w:pPr>
          </w:p>
        </w:tc>
      </w:tr>
      <w:tr>
        <w:trPr>
          <w:trHeight w:val="216"/>
        </w:trPr>
        <w:tc>
          <w:tcPr>
            <w:tcW w:w="1780" w:type="dxa"/>
            <w:vAlign w:val="bottom"/>
          </w:tcPr>
          <w:p>
            <w:pPr>
              <w:spacing w:after="0"/>
              <w:rPr>
                <w:sz w:val="18"/>
                <w:szCs w:val="18"/>
                <w:color w:val="auto"/>
              </w:rPr>
            </w:pPr>
          </w:p>
        </w:tc>
        <w:tc>
          <w:tcPr>
            <w:tcW w:w="5640" w:type="dxa"/>
            <w:vAlign w:val="bottom"/>
            <w:shd w:val="clear" w:color="auto" w:fill="CCEEFF"/>
          </w:tcPr>
          <w:p>
            <w:pPr>
              <w:spacing w:after="0"/>
              <w:rPr>
                <w:sz w:val="20"/>
                <w:szCs w:val="20"/>
                <w:color w:val="auto"/>
              </w:rPr>
            </w:pPr>
            <w:r>
              <w:rPr>
                <w:rFonts w:ascii="Arial" w:cs="Arial" w:eastAsia="Arial" w:hAnsi="Arial"/>
                <w:sz w:val="18"/>
                <w:szCs w:val="18"/>
                <w:color w:val="auto"/>
              </w:rPr>
              <w:t>Tranche 15</w:t>
            </w:r>
          </w:p>
        </w:tc>
        <w:tc>
          <w:tcPr>
            <w:tcW w:w="90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A$0.0748</w:t>
            </w:r>
          </w:p>
        </w:tc>
        <w:tc>
          <w:tcPr>
            <w:tcW w:w="0" w:type="dxa"/>
            <w:vAlign w:val="bottom"/>
          </w:tcPr>
          <w:p>
            <w:pPr>
              <w:spacing w:after="0"/>
              <w:rPr>
                <w:sz w:val="1"/>
                <w:szCs w:val="1"/>
                <w:color w:val="auto"/>
              </w:rPr>
            </w:pPr>
          </w:p>
        </w:tc>
      </w:tr>
      <w:tr>
        <w:trPr>
          <w:trHeight w:val="365"/>
        </w:trPr>
        <w:tc>
          <w:tcPr>
            <w:tcW w:w="1780" w:type="dxa"/>
            <w:vAlign w:val="bottom"/>
          </w:tcPr>
          <w:p>
            <w:pPr>
              <w:spacing w:after="0"/>
              <w:rPr>
                <w:sz w:val="24"/>
                <w:szCs w:val="24"/>
                <w:color w:val="auto"/>
              </w:rPr>
            </w:pPr>
          </w:p>
        </w:tc>
        <w:tc>
          <w:tcPr>
            <w:tcW w:w="5640" w:type="dxa"/>
            <w:vAlign w:val="bottom"/>
          </w:tcPr>
          <w:p>
            <w:pPr>
              <w:ind w:left="3560"/>
              <w:spacing w:after="0"/>
              <w:rPr>
                <w:sz w:val="20"/>
                <w:szCs w:val="20"/>
                <w:color w:val="auto"/>
              </w:rPr>
            </w:pPr>
            <w:r>
              <w:rPr>
                <w:rFonts w:ascii="Arial" w:cs="Arial" w:eastAsia="Arial" w:hAnsi="Arial"/>
                <w:sz w:val="18"/>
                <w:szCs w:val="18"/>
                <w:color w:val="auto"/>
              </w:rPr>
              <w:t>F-63</w:t>
            </w:r>
          </w:p>
        </w:tc>
        <w:tc>
          <w:tcPr>
            <w:tcW w:w="9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240" w:top="459" w:right="419" w:bottom="1440" w:gutter="0" w:footer="0" w:header="0"/>
        </w:sectPr>
      </w:pPr>
    </w:p>
    <w:bookmarkStart w:id="162" w:name="page163"/>
    <w:bookmarkEnd w:id="16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21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079"/>
        <w:spacing w:after="0"/>
        <w:rPr>
          <w:sz w:val="20"/>
          <w:szCs w:val="20"/>
          <w:color w:val="auto"/>
        </w:rPr>
      </w:pPr>
      <w:r>
        <w:rPr>
          <w:rFonts w:ascii="Arial" w:cs="Arial" w:eastAsia="Arial" w:hAnsi="Arial"/>
          <w:sz w:val="18"/>
          <w:szCs w:val="18"/>
          <w:b w:val="1"/>
          <w:bCs w:val="1"/>
          <w:color w:val="auto"/>
        </w:rPr>
        <w:t>AVITA MEDICAL LIMITED</w:t>
      </w:r>
    </w:p>
    <w:p>
      <w:pPr>
        <w:spacing w:after="0" w:line="27" w:lineRule="exact"/>
        <w:rPr>
          <w:sz w:val="20"/>
          <w:szCs w:val="20"/>
          <w:color w:val="auto"/>
        </w:rPr>
      </w:pPr>
    </w:p>
    <w:p>
      <w:pPr>
        <w:jc w:val="center"/>
        <w:ind w:right="-1079"/>
        <w:spacing w:after="0"/>
        <w:rPr>
          <w:sz w:val="20"/>
          <w:szCs w:val="20"/>
          <w:color w:val="auto"/>
        </w:rPr>
      </w:pPr>
      <w:r>
        <w:rPr>
          <w:rFonts w:ascii="Arial" w:cs="Arial" w:eastAsia="Arial" w:hAnsi="Arial"/>
          <w:sz w:val="18"/>
          <w:szCs w:val="18"/>
          <w:b w:val="1"/>
          <w:bCs w:val="1"/>
          <w:color w:val="auto"/>
        </w:rPr>
        <w:t>NOTES TO THE HALF-YEAR CONDENSED CONSOLIDATED FINANCIAL STATEMENTS</w:t>
      </w:r>
    </w:p>
    <w:p>
      <w:pPr>
        <w:spacing w:after="0" w:line="9" w:lineRule="exact"/>
        <w:rPr>
          <w:sz w:val="20"/>
          <w:szCs w:val="20"/>
          <w:color w:val="auto"/>
        </w:rPr>
      </w:pPr>
    </w:p>
    <w:p>
      <w:pPr>
        <w:jc w:val="center"/>
        <w:ind w:right="-1079"/>
        <w:spacing w:after="0"/>
        <w:rPr>
          <w:sz w:val="20"/>
          <w:szCs w:val="20"/>
          <w:color w:val="auto"/>
        </w:rPr>
      </w:pPr>
      <w:r>
        <w:rPr>
          <w:rFonts w:ascii="Arial" w:cs="Arial" w:eastAsia="Arial" w:hAnsi="Arial"/>
          <w:sz w:val="18"/>
          <w:szCs w:val="18"/>
          <w:b w:val="1"/>
          <w:bCs w:val="1"/>
          <w:color w:val="auto"/>
        </w:rPr>
        <w:t>(IN AUSTRALIAN DOLLARS)</w:t>
      </w:r>
    </w:p>
    <w:p>
      <w:pPr>
        <w:spacing w:after="0" w:line="9" w:lineRule="exact"/>
        <w:rPr>
          <w:sz w:val="20"/>
          <w:szCs w:val="20"/>
          <w:color w:val="auto"/>
        </w:rPr>
      </w:pPr>
    </w:p>
    <w:p>
      <w:pPr>
        <w:jc w:val="center"/>
        <w:ind w:right="-1079"/>
        <w:spacing w:after="0"/>
        <w:rPr>
          <w:sz w:val="20"/>
          <w:szCs w:val="20"/>
          <w:color w:val="auto"/>
        </w:rPr>
      </w:pPr>
      <w:r>
        <w:rPr>
          <w:rFonts w:ascii="Arial" w:cs="Arial" w:eastAsia="Arial" w:hAnsi="Arial"/>
          <w:sz w:val="18"/>
          <w:szCs w:val="18"/>
          <w:b w:val="1"/>
          <w:bCs w:val="1"/>
          <w:color w:val="auto"/>
        </w:rPr>
        <w:t>(UNAUDITED)</w:t>
      </w:r>
    </w:p>
    <w:p>
      <w:pPr>
        <w:spacing w:after="0" w:line="234" w:lineRule="exact"/>
        <w:rPr>
          <w:sz w:val="20"/>
          <w:szCs w:val="20"/>
          <w:color w:val="auto"/>
        </w:rPr>
      </w:pPr>
    </w:p>
    <w:p>
      <w:pPr>
        <w:ind w:left="640" w:hanging="436"/>
        <w:spacing w:after="0"/>
        <w:tabs>
          <w:tab w:leader="none" w:pos="640" w:val="left"/>
        </w:tabs>
        <w:numPr>
          <w:ilvl w:val="0"/>
          <w:numId w:val="216"/>
        </w:numPr>
        <w:rPr>
          <w:rFonts w:ascii="Arial" w:cs="Arial" w:eastAsia="Arial" w:hAnsi="Arial"/>
          <w:sz w:val="18"/>
          <w:szCs w:val="18"/>
          <w:b w:val="1"/>
          <w:bCs w:val="1"/>
          <w:color w:val="auto"/>
        </w:rPr>
      </w:pPr>
      <w:r>
        <w:rPr>
          <w:rFonts w:ascii="Arial" w:cs="Arial" w:eastAsia="Arial" w:hAnsi="Arial"/>
          <w:sz w:val="18"/>
          <w:szCs w:val="18"/>
          <w:b w:val="1"/>
          <w:bCs w:val="1"/>
          <w:color w:val="auto"/>
        </w:rPr>
        <w:t>CONTRIBUTED EQUITY (CONTINUED)</w:t>
      </w:r>
    </w:p>
    <w:p>
      <w:pPr>
        <w:spacing w:after="0" w:line="131" w:lineRule="exact"/>
        <w:rPr>
          <w:sz w:val="20"/>
          <w:szCs w:val="20"/>
          <w:color w:val="auto"/>
        </w:rPr>
      </w:pPr>
    </w:p>
    <w:p>
      <w:pPr>
        <w:ind w:left="640" w:hanging="436"/>
        <w:spacing w:after="0"/>
        <w:tabs>
          <w:tab w:leader="none" w:pos="640" w:val="left"/>
        </w:tabs>
        <w:numPr>
          <w:ilvl w:val="0"/>
          <w:numId w:val="217"/>
        </w:numPr>
        <w:rPr>
          <w:rFonts w:ascii="Arial" w:cs="Arial" w:eastAsia="Arial" w:hAnsi="Arial"/>
          <w:sz w:val="18"/>
          <w:szCs w:val="18"/>
          <w:b w:val="1"/>
          <w:bCs w:val="1"/>
          <w:color w:val="auto"/>
        </w:rPr>
      </w:pPr>
      <w:r>
        <w:rPr>
          <w:rFonts w:ascii="Arial" w:cs="Arial" w:eastAsia="Arial" w:hAnsi="Arial"/>
          <w:sz w:val="18"/>
          <w:szCs w:val="18"/>
          <w:b w:val="1"/>
          <w:bCs w:val="1"/>
          <w:color w:val="auto"/>
        </w:rPr>
        <w:t>Option pricing model: ESOP and Investor (continued)</w:t>
      </w:r>
    </w:p>
    <w:p>
      <w:pPr>
        <w:spacing w:after="0" w:line="135" w:lineRule="exact"/>
        <w:rPr>
          <w:sz w:val="20"/>
          <w:szCs w:val="20"/>
          <w:color w:val="auto"/>
        </w:rPr>
      </w:pPr>
    </w:p>
    <w:p>
      <w:pPr>
        <w:ind w:left="200" w:right="260" w:firstLine="4"/>
        <w:spacing w:after="0" w:line="525" w:lineRule="auto"/>
        <w:tabs>
          <w:tab w:leader="none" w:pos="405" w:val="left"/>
        </w:tabs>
        <w:numPr>
          <w:ilvl w:val="0"/>
          <w:numId w:val="218"/>
        </w:numPr>
        <w:rPr>
          <w:rFonts w:ascii="Arial" w:cs="Arial" w:eastAsia="Arial" w:hAnsi="Arial"/>
          <w:sz w:val="18"/>
          <w:szCs w:val="18"/>
          <w:color w:val="auto"/>
        </w:rPr>
      </w:pPr>
      <w:r>
        <w:rPr>
          <w:rFonts w:ascii="Arial" w:cs="Arial" w:eastAsia="Arial" w:hAnsi="Arial"/>
          <w:sz w:val="18"/>
          <w:szCs w:val="18"/>
          <w:color w:val="auto"/>
        </w:rPr>
        <w:t>On November 1, 2018, 12,700,000 options were granted to employees at an exercise price of A$0.057 expiring on November 1, 2028. The following table lists the inputs to the models used for the options granted to employees:</w:t>
      </w:r>
    </w:p>
    <w:tbl>
      <w:tblPr>
        <w:tblLayout w:type="fixed"/>
        <w:tblInd w:w="1980" w:type="dxa"/>
        <w:tblCellMar>
          <w:top w:w="0" w:type="dxa"/>
          <w:left w:w="0" w:type="dxa"/>
          <w:bottom w:w="0" w:type="dxa"/>
          <w:right w:w="0" w:type="dxa"/>
        </w:tblCellMar>
      </w:tblPr>
      <w:tr>
        <w:trPr>
          <w:trHeight w:val="216"/>
        </w:trPr>
        <w:tc>
          <w:tcPr>
            <w:tcW w:w="4220" w:type="dxa"/>
            <w:vAlign w:val="bottom"/>
            <w:shd w:val="clear" w:color="auto" w:fill="CCEEFF"/>
          </w:tcPr>
          <w:p>
            <w:pPr>
              <w:spacing w:after="0"/>
              <w:rPr>
                <w:sz w:val="20"/>
                <w:szCs w:val="20"/>
                <w:color w:val="auto"/>
              </w:rPr>
            </w:pPr>
            <w:r>
              <w:rPr>
                <w:rFonts w:ascii="Arial" w:cs="Arial" w:eastAsia="Arial" w:hAnsi="Arial"/>
                <w:sz w:val="18"/>
                <w:szCs w:val="18"/>
                <w:color w:val="auto"/>
              </w:rPr>
              <w:t>Grant date</w:t>
            </w:r>
          </w:p>
        </w:tc>
        <w:tc>
          <w:tcPr>
            <w:tcW w:w="2320" w:type="dxa"/>
            <w:vAlign w:val="bottom"/>
            <w:shd w:val="clear" w:color="auto" w:fill="CCEEFF"/>
          </w:tcPr>
          <w:p>
            <w:pPr>
              <w:spacing w:after="0"/>
              <w:rPr>
                <w:sz w:val="18"/>
                <w:szCs w:val="18"/>
                <w:color w:val="auto"/>
              </w:rPr>
            </w:pPr>
          </w:p>
        </w:tc>
        <w:tc>
          <w:tcPr>
            <w:tcW w:w="94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89"/>
              </w:rPr>
              <w:t>11/1/2018</w:t>
            </w:r>
          </w:p>
        </w:tc>
      </w:tr>
      <w:tr>
        <w:trPr>
          <w:trHeight w:val="216"/>
        </w:trPr>
        <w:tc>
          <w:tcPr>
            <w:tcW w:w="4220" w:type="dxa"/>
            <w:vAlign w:val="bottom"/>
          </w:tcPr>
          <w:p>
            <w:pPr>
              <w:spacing w:after="0"/>
              <w:rPr>
                <w:sz w:val="20"/>
                <w:szCs w:val="20"/>
                <w:color w:val="auto"/>
              </w:rPr>
            </w:pPr>
            <w:r>
              <w:rPr>
                <w:rFonts w:ascii="Arial" w:cs="Arial" w:eastAsia="Arial" w:hAnsi="Arial"/>
                <w:sz w:val="18"/>
                <w:szCs w:val="18"/>
                <w:color w:val="auto"/>
              </w:rPr>
              <w:t>Share price at date of grant</w:t>
            </w:r>
          </w:p>
        </w:tc>
        <w:tc>
          <w:tcPr>
            <w:tcW w:w="2320" w:type="dxa"/>
            <w:vAlign w:val="bottom"/>
          </w:tcPr>
          <w:p>
            <w:pPr>
              <w:ind w:left="2100"/>
              <w:spacing w:after="0"/>
              <w:rPr>
                <w:sz w:val="20"/>
                <w:szCs w:val="20"/>
                <w:color w:val="auto"/>
              </w:rPr>
            </w:pPr>
            <w:r>
              <w:rPr>
                <w:rFonts w:ascii="Arial" w:cs="Arial" w:eastAsia="Arial" w:hAnsi="Arial"/>
                <w:sz w:val="18"/>
                <w:szCs w:val="18"/>
                <w:color w:val="auto"/>
                <w:w w:val="90"/>
              </w:rPr>
              <w:t>A$</w:t>
            </w:r>
          </w:p>
        </w:tc>
        <w:tc>
          <w:tcPr>
            <w:tcW w:w="940" w:type="dxa"/>
            <w:vAlign w:val="bottom"/>
          </w:tcPr>
          <w:p>
            <w:pPr>
              <w:jc w:val="right"/>
              <w:ind w:right="110"/>
              <w:spacing w:after="0"/>
              <w:rPr>
                <w:sz w:val="20"/>
                <w:szCs w:val="20"/>
                <w:color w:val="auto"/>
              </w:rPr>
            </w:pPr>
            <w:r>
              <w:rPr>
                <w:rFonts w:ascii="Arial" w:cs="Arial" w:eastAsia="Arial" w:hAnsi="Arial"/>
                <w:sz w:val="18"/>
                <w:szCs w:val="18"/>
                <w:color w:val="auto"/>
              </w:rPr>
              <w:t>0.093</w:t>
            </w:r>
          </w:p>
        </w:tc>
      </w:tr>
      <w:tr>
        <w:trPr>
          <w:trHeight w:val="216"/>
        </w:trPr>
        <w:tc>
          <w:tcPr>
            <w:tcW w:w="4220" w:type="dxa"/>
            <w:vAlign w:val="bottom"/>
            <w:shd w:val="clear" w:color="auto" w:fill="CCEEFF"/>
          </w:tcPr>
          <w:p>
            <w:pPr>
              <w:spacing w:after="0"/>
              <w:rPr>
                <w:sz w:val="20"/>
                <w:szCs w:val="20"/>
                <w:color w:val="auto"/>
              </w:rPr>
            </w:pPr>
            <w:r>
              <w:rPr>
                <w:rFonts w:ascii="Arial" w:cs="Arial" w:eastAsia="Arial" w:hAnsi="Arial"/>
                <w:sz w:val="18"/>
                <w:szCs w:val="18"/>
                <w:color w:val="auto"/>
              </w:rPr>
              <w:t>Dividend yield (%)</w:t>
            </w:r>
          </w:p>
        </w:tc>
        <w:tc>
          <w:tcPr>
            <w:tcW w:w="232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w:t>
            </w:r>
          </w:p>
        </w:tc>
      </w:tr>
      <w:tr>
        <w:trPr>
          <w:trHeight w:val="216"/>
        </w:trPr>
        <w:tc>
          <w:tcPr>
            <w:tcW w:w="4220" w:type="dxa"/>
            <w:vAlign w:val="bottom"/>
          </w:tcPr>
          <w:p>
            <w:pPr>
              <w:spacing w:after="0"/>
              <w:rPr>
                <w:sz w:val="20"/>
                <w:szCs w:val="20"/>
                <w:color w:val="auto"/>
              </w:rPr>
            </w:pPr>
            <w:r>
              <w:rPr>
                <w:rFonts w:ascii="Arial" w:cs="Arial" w:eastAsia="Arial" w:hAnsi="Arial"/>
                <w:sz w:val="18"/>
                <w:szCs w:val="18"/>
                <w:color w:val="auto"/>
              </w:rPr>
              <w:t>Expected volatility (%)</w:t>
            </w:r>
          </w:p>
        </w:tc>
        <w:tc>
          <w:tcPr>
            <w:tcW w:w="232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90%</w:t>
            </w:r>
          </w:p>
        </w:tc>
      </w:tr>
      <w:tr>
        <w:trPr>
          <w:trHeight w:val="216"/>
        </w:trPr>
        <w:tc>
          <w:tcPr>
            <w:tcW w:w="4220" w:type="dxa"/>
            <w:vAlign w:val="bottom"/>
            <w:shd w:val="clear" w:color="auto" w:fill="CCEEFF"/>
          </w:tcPr>
          <w:p>
            <w:pPr>
              <w:spacing w:after="0"/>
              <w:rPr>
                <w:sz w:val="20"/>
                <w:szCs w:val="20"/>
                <w:color w:val="auto"/>
              </w:rPr>
            </w:pPr>
            <w:r>
              <w:rPr>
                <w:rFonts w:ascii="Arial" w:cs="Arial" w:eastAsia="Arial" w:hAnsi="Arial"/>
                <w:sz w:val="18"/>
                <w:szCs w:val="18"/>
                <w:color w:val="auto"/>
              </w:rPr>
              <w:t>Risk-free interest rate (%)</w:t>
            </w:r>
          </w:p>
        </w:tc>
        <w:tc>
          <w:tcPr>
            <w:tcW w:w="232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2.65%</w:t>
            </w:r>
          </w:p>
        </w:tc>
      </w:tr>
      <w:tr>
        <w:trPr>
          <w:trHeight w:val="216"/>
        </w:trPr>
        <w:tc>
          <w:tcPr>
            <w:tcW w:w="4220" w:type="dxa"/>
            <w:vAlign w:val="bottom"/>
          </w:tcPr>
          <w:p>
            <w:pPr>
              <w:spacing w:after="0"/>
              <w:rPr>
                <w:sz w:val="20"/>
                <w:szCs w:val="20"/>
                <w:color w:val="auto"/>
              </w:rPr>
            </w:pPr>
            <w:r>
              <w:rPr>
                <w:rFonts w:ascii="Arial" w:cs="Arial" w:eastAsia="Arial" w:hAnsi="Arial"/>
                <w:sz w:val="18"/>
                <w:szCs w:val="18"/>
                <w:color w:val="auto"/>
              </w:rPr>
              <w:t>Expected life of option (days)</w:t>
            </w:r>
          </w:p>
        </w:tc>
        <w:tc>
          <w:tcPr>
            <w:tcW w:w="2320" w:type="dxa"/>
            <w:vAlign w:val="bottom"/>
          </w:tcPr>
          <w:p>
            <w:pPr>
              <w:spacing w:after="0"/>
              <w:rPr>
                <w:sz w:val="18"/>
                <w:szCs w:val="18"/>
                <w:color w:val="auto"/>
              </w:rPr>
            </w:pPr>
          </w:p>
        </w:tc>
        <w:tc>
          <w:tcPr>
            <w:tcW w:w="940" w:type="dxa"/>
            <w:vAlign w:val="bottom"/>
          </w:tcPr>
          <w:p>
            <w:pPr>
              <w:jc w:val="right"/>
              <w:ind w:right="110"/>
              <w:spacing w:after="0"/>
              <w:rPr>
                <w:sz w:val="20"/>
                <w:szCs w:val="20"/>
                <w:color w:val="auto"/>
              </w:rPr>
            </w:pPr>
            <w:r>
              <w:rPr>
                <w:rFonts w:ascii="Arial" w:cs="Arial" w:eastAsia="Arial" w:hAnsi="Arial"/>
                <w:sz w:val="18"/>
                <w:szCs w:val="18"/>
                <w:color w:val="auto"/>
              </w:rPr>
              <w:t>3,650</w:t>
            </w:r>
          </w:p>
        </w:tc>
      </w:tr>
      <w:tr>
        <w:trPr>
          <w:trHeight w:val="216"/>
        </w:trPr>
        <w:tc>
          <w:tcPr>
            <w:tcW w:w="4220" w:type="dxa"/>
            <w:vAlign w:val="bottom"/>
            <w:shd w:val="clear" w:color="auto" w:fill="CCEEFF"/>
          </w:tcPr>
          <w:p>
            <w:pPr>
              <w:spacing w:after="0"/>
              <w:rPr>
                <w:sz w:val="20"/>
                <w:szCs w:val="20"/>
                <w:color w:val="auto"/>
              </w:rPr>
            </w:pPr>
            <w:r>
              <w:rPr>
                <w:rFonts w:ascii="Arial" w:cs="Arial" w:eastAsia="Arial" w:hAnsi="Arial"/>
                <w:sz w:val="18"/>
                <w:szCs w:val="18"/>
                <w:color w:val="auto"/>
              </w:rPr>
              <w:t>Option exercise price (A$)</w:t>
            </w:r>
          </w:p>
        </w:tc>
        <w:tc>
          <w:tcPr>
            <w:tcW w:w="2320" w:type="dxa"/>
            <w:vAlign w:val="bottom"/>
            <w:shd w:val="clear" w:color="auto" w:fill="CCEEFF"/>
          </w:tcPr>
          <w:p>
            <w:pPr>
              <w:ind w:left="2100"/>
              <w:spacing w:after="0"/>
              <w:rPr>
                <w:sz w:val="20"/>
                <w:szCs w:val="20"/>
                <w:color w:val="auto"/>
              </w:rPr>
            </w:pPr>
            <w:r>
              <w:rPr>
                <w:rFonts w:ascii="Arial" w:cs="Arial" w:eastAsia="Arial" w:hAnsi="Arial"/>
                <w:sz w:val="18"/>
                <w:szCs w:val="18"/>
                <w:color w:val="auto"/>
                <w:w w:val="90"/>
              </w:rPr>
              <w:t>A$</w:t>
            </w:r>
          </w:p>
        </w:tc>
        <w:tc>
          <w:tcPr>
            <w:tcW w:w="94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0.057</w:t>
            </w:r>
          </w:p>
        </w:tc>
      </w:tr>
    </w:tbl>
    <w:p>
      <w:pPr>
        <w:spacing w:after="0" w:line="202" w:lineRule="exact"/>
        <w:rPr>
          <w:sz w:val="20"/>
          <w:szCs w:val="20"/>
          <w:color w:val="auto"/>
        </w:rPr>
      </w:pPr>
    </w:p>
    <w:tbl>
      <w:tblPr>
        <w:tblLayout w:type="fixed"/>
        <w:tblInd w:w="200" w:type="dxa"/>
        <w:tblCellMar>
          <w:top w:w="0" w:type="dxa"/>
          <w:left w:w="0" w:type="dxa"/>
          <w:bottom w:w="0" w:type="dxa"/>
          <w:right w:w="0" w:type="dxa"/>
        </w:tblCellMar>
      </w:tblPr>
      <w:tr>
        <w:trPr>
          <w:trHeight w:val="230"/>
        </w:trPr>
        <w:tc>
          <w:tcPr>
            <w:tcW w:w="8260" w:type="dxa"/>
            <w:vAlign w:val="bottom"/>
            <w:gridSpan w:val="4"/>
          </w:tcPr>
          <w:p>
            <w:pPr>
              <w:spacing w:after="0"/>
              <w:rPr>
                <w:sz w:val="20"/>
                <w:szCs w:val="20"/>
                <w:color w:val="auto"/>
              </w:rPr>
            </w:pPr>
            <w:r>
              <w:rPr>
                <w:rFonts w:ascii="Arial" w:cs="Arial" w:eastAsia="Arial" w:hAnsi="Arial"/>
                <w:sz w:val="18"/>
                <w:szCs w:val="18"/>
                <w:color w:val="auto"/>
              </w:rPr>
              <w:t>This represents tranches 1, 4-11, 16-19, the fair value at date of grant for each tranche is as follows:</w:t>
            </w:r>
          </w:p>
        </w:tc>
        <w:tc>
          <w:tcPr>
            <w:tcW w:w="18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880" w:type="dxa"/>
            <w:vAlign w:val="bottom"/>
            <w:vMerge w:val="restart"/>
          </w:tcPr>
          <w:p>
            <w:pPr>
              <w:spacing w:after="0"/>
              <w:rPr>
                <w:sz w:val="21"/>
                <w:szCs w:val="21"/>
                <w:color w:val="auto"/>
              </w:rPr>
            </w:pPr>
          </w:p>
        </w:tc>
        <w:tc>
          <w:tcPr>
            <w:tcW w:w="2280" w:type="dxa"/>
            <w:vAlign w:val="bottom"/>
          </w:tcPr>
          <w:p>
            <w:pPr>
              <w:spacing w:after="0"/>
              <w:rPr>
                <w:sz w:val="21"/>
                <w:szCs w:val="21"/>
                <w:color w:val="auto"/>
              </w:rPr>
            </w:pPr>
          </w:p>
        </w:tc>
        <w:tc>
          <w:tcPr>
            <w:tcW w:w="2520" w:type="dxa"/>
            <w:vAlign w:val="bottom"/>
          </w:tcPr>
          <w:p>
            <w:pPr>
              <w:spacing w:after="0"/>
              <w:rPr>
                <w:sz w:val="21"/>
                <w:szCs w:val="21"/>
                <w:color w:val="auto"/>
              </w:rPr>
            </w:pPr>
          </w:p>
        </w:tc>
        <w:tc>
          <w:tcPr>
            <w:tcW w:w="2580" w:type="dxa"/>
            <w:vAlign w:val="bottom"/>
          </w:tcPr>
          <w:p>
            <w:pPr>
              <w:spacing w:after="0"/>
              <w:rPr>
                <w:sz w:val="21"/>
                <w:szCs w:val="21"/>
                <w:color w:val="auto"/>
              </w:rPr>
            </w:pPr>
          </w:p>
        </w:tc>
        <w:tc>
          <w:tcPr>
            <w:tcW w:w="18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880" w:type="dxa"/>
            <w:vAlign w:val="bottom"/>
            <w:vMerge w:val="continue"/>
          </w:tcPr>
          <w:p>
            <w:pPr>
              <w:spacing w:after="0"/>
              <w:rPr>
                <w:sz w:val="18"/>
                <w:szCs w:val="18"/>
                <w:color w:val="auto"/>
              </w:rPr>
            </w:pPr>
          </w:p>
        </w:tc>
        <w:tc>
          <w:tcPr>
            <w:tcW w:w="2280" w:type="dxa"/>
            <w:vAlign w:val="bottom"/>
            <w:shd w:val="clear" w:color="auto" w:fill="CCEEFF"/>
          </w:tcPr>
          <w:p>
            <w:pPr>
              <w:spacing w:after="0"/>
              <w:rPr>
                <w:sz w:val="20"/>
                <w:szCs w:val="20"/>
                <w:color w:val="auto"/>
              </w:rPr>
            </w:pPr>
            <w:r>
              <w:rPr>
                <w:rFonts w:ascii="Arial" w:cs="Arial" w:eastAsia="Arial" w:hAnsi="Arial"/>
                <w:sz w:val="18"/>
                <w:szCs w:val="18"/>
                <w:color w:val="auto"/>
              </w:rPr>
              <w:t>Tranche 1</w:t>
            </w:r>
          </w:p>
        </w:tc>
        <w:tc>
          <w:tcPr>
            <w:tcW w:w="2520" w:type="dxa"/>
            <w:vAlign w:val="bottom"/>
            <w:shd w:val="clear" w:color="auto" w:fill="CCEEFF"/>
          </w:tcPr>
          <w:p>
            <w:pPr>
              <w:ind w:left="1560"/>
              <w:spacing w:after="0"/>
              <w:rPr>
                <w:sz w:val="20"/>
                <w:szCs w:val="20"/>
                <w:color w:val="auto"/>
              </w:rPr>
            </w:pPr>
            <w:r>
              <w:rPr>
                <w:rFonts w:ascii="Arial" w:cs="Arial" w:eastAsia="Arial" w:hAnsi="Arial"/>
                <w:sz w:val="18"/>
                <w:szCs w:val="18"/>
                <w:color w:val="auto"/>
              </w:rPr>
              <w:t>A$0.0834</w:t>
            </w:r>
          </w:p>
        </w:tc>
        <w:tc>
          <w:tcPr>
            <w:tcW w:w="2580" w:type="dxa"/>
            <w:vAlign w:val="bottom"/>
            <w:shd w:val="clear" w:color="auto" w:fill="CCEEFF"/>
          </w:tcPr>
          <w:p>
            <w:pPr>
              <w:ind w:left="240"/>
              <w:spacing w:after="0"/>
              <w:rPr>
                <w:sz w:val="20"/>
                <w:szCs w:val="20"/>
                <w:color w:val="auto"/>
              </w:rPr>
            </w:pPr>
            <w:r>
              <w:rPr>
                <w:rFonts w:ascii="Arial" w:cs="Arial" w:eastAsia="Arial" w:hAnsi="Arial"/>
                <w:sz w:val="18"/>
                <w:szCs w:val="18"/>
                <w:color w:val="auto"/>
              </w:rPr>
              <w:t>Tranche 10</w:t>
            </w:r>
          </w:p>
        </w:tc>
        <w:tc>
          <w:tcPr>
            <w:tcW w:w="1880" w:type="dxa"/>
            <w:vAlign w:val="bottom"/>
            <w:shd w:val="clear" w:color="auto" w:fill="CCEEFF"/>
          </w:tcPr>
          <w:p>
            <w:pPr>
              <w:ind w:left="1100"/>
              <w:spacing w:after="0"/>
              <w:rPr>
                <w:sz w:val="20"/>
                <w:szCs w:val="20"/>
                <w:color w:val="auto"/>
              </w:rPr>
            </w:pPr>
            <w:r>
              <w:rPr>
                <w:rFonts w:ascii="Arial" w:cs="Arial" w:eastAsia="Arial" w:hAnsi="Arial"/>
                <w:sz w:val="18"/>
                <w:szCs w:val="18"/>
                <w:color w:val="auto"/>
                <w:w w:val="98"/>
              </w:rPr>
              <w:t>A$0.0709</w:t>
            </w:r>
          </w:p>
        </w:tc>
        <w:tc>
          <w:tcPr>
            <w:tcW w:w="0" w:type="dxa"/>
            <w:vAlign w:val="bottom"/>
          </w:tcPr>
          <w:p>
            <w:pPr>
              <w:spacing w:after="0"/>
              <w:rPr>
                <w:sz w:val="1"/>
                <w:szCs w:val="1"/>
                <w:color w:val="auto"/>
              </w:rPr>
            </w:pPr>
          </w:p>
        </w:tc>
      </w:tr>
      <w:tr>
        <w:trPr>
          <w:trHeight w:val="216"/>
        </w:trPr>
        <w:tc>
          <w:tcPr>
            <w:tcW w:w="880" w:type="dxa"/>
            <w:vAlign w:val="bottom"/>
          </w:tcPr>
          <w:p>
            <w:pPr>
              <w:spacing w:after="0"/>
              <w:rPr>
                <w:sz w:val="18"/>
                <w:szCs w:val="18"/>
                <w:color w:val="auto"/>
              </w:rPr>
            </w:pPr>
          </w:p>
        </w:tc>
        <w:tc>
          <w:tcPr>
            <w:tcW w:w="2280" w:type="dxa"/>
            <w:vAlign w:val="bottom"/>
          </w:tcPr>
          <w:p>
            <w:pPr>
              <w:spacing w:after="0"/>
              <w:rPr>
                <w:sz w:val="20"/>
                <w:szCs w:val="20"/>
                <w:color w:val="auto"/>
              </w:rPr>
            </w:pPr>
            <w:r>
              <w:rPr>
                <w:rFonts w:ascii="Arial" w:cs="Arial" w:eastAsia="Arial" w:hAnsi="Arial"/>
                <w:sz w:val="18"/>
                <w:szCs w:val="18"/>
                <w:color w:val="auto"/>
              </w:rPr>
              <w:t>Tranche 4</w:t>
            </w:r>
          </w:p>
        </w:tc>
        <w:tc>
          <w:tcPr>
            <w:tcW w:w="2520" w:type="dxa"/>
            <w:vAlign w:val="bottom"/>
          </w:tcPr>
          <w:p>
            <w:pPr>
              <w:ind w:left="1560"/>
              <w:spacing w:after="0"/>
              <w:rPr>
                <w:sz w:val="20"/>
                <w:szCs w:val="20"/>
                <w:color w:val="auto"/>
              </w:rPr>
            </w:pPr>
            <w:r>
              <w:rPr>
                <w:rFonts w:ascii="Arial" w:cs="Arial" w:eastAsia="Arial" w:hAnsi="Arial"/>
                <w:sz w:val="18"/>
                <w:szCs w:val="18"/>
                <w:color w:val="auto"/>
              </w:rPr>
              <w:t>A$0.0593</w:t>
            </w:r>
          </w:p>
        </w:tc>
        <w:tc>
          <w:tcPr>
            <w:tcW w:w="2580" w:type="dxa"/>
            <w:vAlign w:val="bottom"/>
          </w:tcPr>
          <w:p>
            <w:pPr>
              <w:ind w:left="240"/>
              <w:spacing w:after="0"/>
              <w:rPr>
                <w:sz w:val="20"/>
                <w:szCs w:val="20"/>
                <w:color w:val="auto"/>
              </w:rPr>
            </w:pPr>
            <w:r>
              <w:rPr>
                <w:rFonts w:ascii="Arial" w:cs="Arial" w:eastAsia="Arial" w:hAnsi="Arial"/>
                <w:sz w:val="18"/>
                <w:szCs w:val="18"/>
                <w:color w:val="auto"/>
              </w:rPr>
              <w:t>Tranche 11</w:t>
            </w:r>
          </w:p>
        </w:tc>
        <w:tc>
          <w:tcPr>
            <w:tcW w:w="1880" w:type="dxa"/>
            <w:vAlign w:val="bottom"/>
          </w:tcPr>
          <w:p>
            <w:pPr>
              <w:ind w:left="1100"/>
              <w:spacing w:after="0"/>
              <w:rPr>
                <w:sz w:val="20"/>
                <w:szCs w:val="20"/>
                <w:color w:val="auto"/>
              </w:rPr>
            </w:pPr>
            <w:r>
              <w:rPr>
                <w:rFonts w:ascii="Arial" w:cs="Arial" w:eastAsia="Arial" w:hAnsi="Arial"/>
                <w:sz w:val="18"/>
                <w:szCs w:val="18"/>
                <w:color w:val="auto"/>
                <w:w w:val="98"/>
              </w:rPr>
              <w:t>A$0.0742</w:t>
            </w:r>
          </w:p>
        </w:tc>
        <w:tc>
          <w:tcPr>
            <w:tcW w:w="0" w:type="dxa"/>
            <w:vAlign w:val="bottom"/>
          </w:tcPr>
          <w:p>
            <w:pPr>
              <w:spacing w:after="0"/>
              <w:rPr>
                <w:sz w:val="1"/>
                <w:szCs w:val="1"/>
                <w:color w:val="auto"/>
              </w:rPr>
            </w:pPr>
          </w:p>
        </w:tc>
      </w:tr>
      <w:tr>
        <w:trPr>
          <w:trHeight w:val="216"/>
        </w:trPr>
        <w:tc>
          <w:tcPr>
            <w:tcW w:w="880" w:type="dxa"/>
            <w:vAlign w:val="bottom"/>
          </w:tcPr>
          <w:p>
            <w:pPr>
              <w:spacing w:after="0"/>
              <w:rPr>
                <w:sz w:val="18"/>
                <w:szCs w:val="18"/>
                <w:color w:val="auto"/>
              </w:rPr>
            </w:pPr>
          </w:p>
        </w:tc>
        <w:tc>
          <w:tcPr>
            <w:tcW w:w="2280" w:type="dxa"/>
            <w:vAlign w:val="bottom"/>
            <w:shd w:val="clear" w:color="auto" w:fill="CCEEFF"/>
          </w:tcPr>
          <w:p>
            <w:pPr>
              <w:spacing w:after="0"/>
              <w:rPr>
                <w:sz w:val="20"/>
                <w:szCs w:val="20"/>
                <w:color w:val="auto"/>
              </w:rPr>
            </w:pPr>
            <w:r>
              <w:rPr>
                <w:rFonts w:ascii="Arial" w:cs="Arial" w:eastAsia="Arial" w:hAnsi="Arial"/>
                <w:sz w:val="18"/>
                <w:szCs w:val="18"/>
                <w:color w:val="auto"/>
              </w:rPr>
              <w:t>Tranche 5</w:t>
            </w:r>
          </w:p>
        </w:tc>
        <w:tc>
          <w:tcPr>
            <w:tcW w:w="2520" w:type="dxa"/>
            <w:vAlign w:val="bottom"/>
            <w:shd w:val="clear" w:color="auto" w:fill="CCEEFF"/>
          </w:tcPr>
          <w:p>
            <w:pPr>
              <w:ind w:left="1560"/>
              <w:spacing w:after="0"/>
              <w:rPr>
                <w:sz w:val="20"/>
                <w:szCs w:val="20"/>
                <w:color w:val="auto"/>
              </w:rPr>
            </w:pPr>
            <w:r>
              <w:rPr>
                <w:rFonts w:ascii="Arial" w:cs="Arial" w:eastAsia="Arial" w:hAnsi="Arial"/>
                <w:sz w:val="18"/>
                <w:szCs w:val="18"/>
                <w:color w:val="auto"/>
              </w:rPr>
              <w:t>A$0.0662</w:t>
            </w:r>
          </w:p>
        </w:tc>
        <w:tc>
          <w:tcPr>
            <w:tcW w:w="2580" w:type="dxa"/>
            <w:vAlign w:val="bottom"/>
            <w:shd w:val="clear" w:color="auto" w:fill="CCEEFF"/>
          </w:tcPr>
          <w:p>
            <w:pPr>
              <w:ind w:left="240"/>
              <w:spacing w:after="0"/>
              <w:rPr>
                <w:sz w:val="20"/>
                <w:szCs w:val="20"/>
                <w:color w:val="auto"/>
              </w:rPr>
            </w:pPr>
            <w:r>
              <w:rPr>
                <w:rFonts w:ascii="Arial" w:cs="Arial" w:eastAsia="Arial" w:hAnsi="Arial"/>
                <w:sz w:val="18"/>
                <w:szCs w:val="18"/>
                <w:color w:val="auto"/>
              </w:rPr>
              <w:t>Tranche 16</w:t>
            </w:r>
          </w:p>
        </w:tc>
        <w:tc>
          <w:tcPr>
            <w:tcW w:w="1880" w:type="dxa"/>
            <w:vAlign w:val="bottom"/>
            <w:shd w:val="clear" w:color="auto" w:fill="CCEEFF"/>
          </w:tcPr>
          <w:p>
            <w:pPr>
              <w:ind w:left="1100"/>
              <w:spacing w:after="0"/>
              <w:rPr>
                <w:sz w:val="20"/>
                <w:szCs w:val="20"/>
                <w:color w:val="auto"/>
              </w:rPr>
            </w:pPr>
            <w:r>
              <w:rPr>
                <w:rFonts w:ascii="Arial" w:cs="Arial" w:eastAsia="Arial" w:hAnsi="Arial"/>
                <w:sz w:val="18"/>
                <w:szCs w:val="18"/>
                <w:color w:val="auto"/>
                <w:w w:val="98"/>
              </w:rPr>
              <w:t>A$0.0607</w:t>
            </w:r>
          </w:p>
        </w:tc>
        <w:tc>
          <w:tcPr>
            <w:tcW w:w="0" w:type="dxa"/>
            <w:vAlign w:val="bottom"/>
          </w:tcPr>
          <w:p>
            <w:pPr>
              <w:spacing w:after="0"/>
              <w:rPr>
                <w:sz w:val="1"/>
                <w:szCs w:val="1"/>
                <w:color w:val="auto"/>
              </w:rPr>
            </w:pPr>
          </w:p>
        </w:tc>
      </w:tr>
      <w:tr>
        <w:trPr>
          <w:trHeight w:val="216"/>
        </w:trPr>
        <w:tc>
          <w:tcPr>
            <w:tcW w:w="880" w:type="dxa"/>
            <w:vAlign w:val="bottom"/>
          </w:tcPr>
          <w:p>
            <w:pPr>
              <w:spacing w:after="0"/>
              <w:rPr>
                <w:sz w:val="18"/>
                <w:szCs w:val="18"/>
                <w:color w:val="auto"/>
              </w:rPr>
            </w:pPr>
          </w:p>
        </w:tc>
        <w:tc>
          <w:tcPr>
            <w:tcW w:w="2280" w:type="dxa"/>
            <w:vAlign w:val="bottom"/>
          </w:tcPr>
          <w:p>
            <w:pPr>
              <w:spacing w:after="0"/>
              <w:rPr>
                <w:sz w:val="20"/>
                <w:szCs w:val="20"/>
                <w:color w:val="auto"/>
              </w:rPr>
            </w:pPr>
            <w:r>
              <w:rPr>
                <w:rFonts w:ascii="Arial" w:cs="Arial" w:eastAsia="Arial" w:hAnsi="Arial"/>
                <w:sz w:val="18"/>
                <w:szCs w:val="18"/>
                <w:color w:val="auto"/>
              </w:rPr>
              <w:t>Tranche 6</w:t>
            </w:r>
          </w:p>
        </w:tc>
        <w:tc>
          <w:tcPr>
            <w:tcW w:w="2520" w:type="dxa"/>
            <w:vAlign w:val="bottom"/>
          </w:tcPr>
          <w:p>
            <w:pPr>
              <w:ind w:left="1560"/>
              <w:spacing w:after="0"/>
              <w:rPr>
                <w:sz w:val="20"/>
                <w:szCs w:val="20"/>
                <w:color w:val="auto"/>
              </w:rPr>
            </w:pPr>
            <w:r>
              <w:rPr>
                <w:rFonts w:ascii="Arial" w:cs="Arial" w:eastAsia="Arial" w:hAnsi="Arial"/>
                <w:sz w:val="18"/>
                <w:szCs w:val="18"/>
                <w:color w:val="auto"/>
              </w:rPr>
              <w:t>A$0.0709</w:t>
            </w:r>
          </w:p>
        </w:tc>
        <w:tc>
          <w:tcPr>
            <w:tcW w:w="2580" w:type="dxa"/>
            <w:vAlign w:val="bottom"/>
          </w:tcPr>
          <w:p>
            <w:pPr>
              <w:ind w:left="240"/>
              <w:spacing w:after="0"/>
              <w:rPr>
                <w:sz w:val="20"/>
                <w:szCs w:val="20"/>
                <w:color w:val="auto"/>
              </w:rPr>
            </w:pPr>
            <w:r>
              <w:rPr>
                <w:rFonts w:ascii="Arial" w:cs="Arial" w:eastAsia="Arial" w:hAnsi="Arial"/>
                <w:sz w:val="18"/>
                <w:szCs w:val="18"/>
                <w:color w:val="auto"/>
              </w:rPr>
              <w:t>Tranche 17</w:t>
            </w:r>
          </w:p>
        </w:tc>
        <w:tc>
          <w:tcPr>
            <w:tcW w:w="1880" w:type="dxa"/>
            <w:vAlign w:val="bottom"/>
          </w:tcPr>
          <w:p>
            <w:pPr>
              <w:ind w:left="1100"/>
              <w:spacing w:after="0"/>
              <w:rPr>
                <w:sz w:val="20"/>
                <w:szCs w:val="20"/>
                <w:color w:val="auto"/>
              </w:rPr>
            </w:pPr>
            <w:r>
              <w:rPr>
                <w:rFonts w:ascii="Arial" w:cs="Arial" w:eastAsia="Arial" w:hAnsi="Arial"/>
                <w:sz w:val="18"/>
                <w:szCs w:val="18"/>
                <w:color w:val="auto"/>
                <w:w w:val="98"/>
              </w:rPr>
              <w:t>A$0.0671</w:t>
            </w:r>
          </w:p>
        </w:tc>
        <w:tc>
          <w:tcPr>
            <w:tcW w:w="0" w:type="dxa"/>
            <w:vAlign w:val="bottom"/>
          </w:tcPr>
          <w:p>
            <w:pPr>
              <w:spacing w:after="0"/>
              <w:rPr>
                <w:sz w:val="1"/>
                <w:szCs w:val="1"/>
                <w:color w:val="auto"/>
              </w:rPr>
            </w:pPr>
          </w:p>
        </w:tc>
      </w:tr>
      <w:tr>
        <w:trPr>
          <w:trHeight w:val="216"/>
        </w:trPr>
        <w:tc>
          <w:tcPr>
            <w:tcW w:w="880" w:type="dxa"/>
            <w:vAlign w:val="bottom"/>
          </w:tcPr>
          <w:p>
            <w:pPr>
              <w:spacing w:after="0"/>
              <w:rPr>
                <w:sz w:val="18"/>
                <w:szCs w:val="18"/>
                <w:color w:val="auto"/>
              </w:rPr>
            </w:pPr>
          </w:p>
        </w:tc>
        <w:tc>
          <w:tcPr>
            <w:tcW w:w="2280" w:type="dxa"/>
            <w:vAlign w:val="bottom"/>
            <w:shd w:val="clear" w:color="auto" w:fill="CCEEFF"/>
          </w:tcPr>
          <w:p>
            <w:pPr>
              <w:spacing w:after="0"/>
              <w:rPr>
                <w:sz w:val="20"/>
                <w:szCs w:val="20"/>
                <w:color w:val="auto"/>
              </w:rPr>
            </w:pPr>
            <w:r>
              <w:rPr>
                <w:rFonts w:ascii="Arial" w:cs="Arial" w:eastAsia="Arial" w:hAnsi="Arial"/>
                <w:sz w:val="18"/>
                <w:szCs w:val="18"/>
                <w:color w:val="auto"/>
              </w:rPr>
              <w:t>Tranche 7</w:t>
            </w:r>
          </w:p>
        </w:tc>
        <w:tc>
          <w:tcPr>
            <w:tcW w:w="2520" w:type="dxa"/>
            <w:vAlign w:val="bottom"/>
            <w:shd w:val="clear" w:color="auto" w:fill="CCEEFF"/>
          </w:tcPr>
          <w:p>
            <w:pPr>
              <w:ind w:left="1560"/>
              <w:spacing w:after="0"/>
              <w:rPr>
                <w:sz w:val="20"/>
                <w:szCs w:val="20"/>
                <w:color w:val="auto"/>
              </w:rPr>
            </w:pPr>
            <w:r>
              <w:rPr>
                <w:rFonts w:ascii="Arial" w:cs="Arial" w:eastAsia="Arial" w:hAnsi="Arial"/>
                <w:sz w:val="18"/>
                <w:szCs w:val="18"/>
                <w:color w:val="auto"/>
              </w:rPr>
              <w:t>A$0.0742</w:t>
            </w:r>
          </w:p>
        </w:tc>
        <w:tc>
          <w:tcPr>
            <w:tcW w:w="2580" w:type="dxa"/>
            <w:vAlign w:val="bottom"/>
            <w:shd w:val="clear" w:color="auto" w:fill="CCEEFF"/>
          </w:tcPr>
          <w:p>
            <w:pPr>
              <w:ind w:left="240"/>
              <w:spacing w:after="0"/>
              <w:rPr>
                <w:sz w:val="20"/>
                <w:szCs w:val="20"/>
                <w:color w:val="auto"/>
              </w:rPr>
            </w:pPr>
            <w:r>
              <w:rPr>
                <w:rFonts w:ascii="Arial" w:cs="Arial" w:eastAsia="Arial" w:hAnsi="Arial"/>
                <w:sz w:val="18"/>
                <w:szCs w:val="18"/>
                <w:color w:val="auto"/>
              </w:rPr>
              <w:t>Tranche 18</w:t>
            </w:r>
          </w:p>
        </w:tc>
        <w:tc>
          <w:tcPr>
            <w:tcW w:w="1880" w:type="dxa"/>
            <w:vAlign w:val="bottom"/>
            <w:shd w:val="clear" w:color="auto" w:fill="CCEEFF"/>
          </w:tcPr>
          <w:p>
            <w:pPr>
              <w:ind w:left="1100"/>
              <w:spacing w:after="0"/>
              <w:rPr>
                <w:sz w:val="20"/>
                <w:szCs w:val="20"/>
                <w:color w:val="auto"/>
              </w:rPr>
            </w:pPr>
            <w:r>
              <w:rPr>
                <w:rFonts w:ascii="Arial" w:cs="Arial" w:eastAsia="Arial" w:hAnsi="Arial"/>
                <w:sz w:val="18"/>
                <w:szCs w:val="18"/>
                <w:color w:val="auto"/>
                <w:w w:val="98"/>
              </w:rPr>
              <w:t>A$0.0714</w:t>
            </w:r>
          </w:p>
        </w:tc>
        <w:tc>
          <w:tcPr>
            <w:tcW w:w="0" w:type="dxa"/>
            <w:vAlign w:val="bottom"/>
          </w:tcPr>
          <w:p>
            <w:pPr>
              <w:spacing w:after="0"/>
              <w:rPr>
                <w:sz w:val="1"/>
                <w:szCs w:val="1"/>
                <w:color w:val="auto"/>
              </w:rPr>
            </w:pPr>
          </w:p>
        </w:tc>
      </w:tr>
      <w:tr>
        <w:trPr>
          <w:trHeight w:val="216"/>
        </w:trPr>
        <w:tc>
          <w:tcPr>
            <w:tcW w:w="880" w:type="dxa"/>
            <w:vAlign w:val="bottom"/>
          </w:tcPr>
          <w:p>
            <w:pPr>
              <w:spacing w:after="0"/>
              <w:rPr>
                <w:sz w:val="18"/>
                <w:szCs w:val="18"/>
                <w:color w:val="auto"/>
              </w:rPr>
            </w:pPr>
          </w:p>
        </w:tc>
        <w:tc>
          <w:tcPr>
            <w:tcW w:w="2280" w:type="dxa"/>
            <w:vAlign w:val="bottom"/>
          </w:tcPr>
          <w:p>
            <w:pPr>
              <w:spacing w:after="0"/>
              <w:rPr>
                <w:sz w:val="20"/>
                <w:szCs w:val="20"/>
                <w:color w:val="auto"/>
              </w:rPr>
            </w:pPr>
            <w:r>
              <w:rPr>
                <w:rFonts w:ascii="Arial" w:cs="Arial" w:eastAsia="Arial" w:hAnsi="Arial"/>
                <w:sz w:val="18"/>
                <w:szCs w:val="18"/>
                <w:color w:val="auto"/>
              </w:rPr>
              <w:t>Tranche 8</w:t>
            </w:r>
          </w:p>
        </w:tc>
        <w:tc>
          <w:tcPr>
            <w:tcW w:w="2520" w:type="dxa"/>
            <w:vAlign w:val="bottom"/>
          </w:tcPr>
          <w:p>
            <w:pPr>
              <w:ind w:left="1560"/>
              <w:spacing w:after="0"/>
              <w:rPr>
                <w:sz w:val="20"/>
                <w:szCs w:val="20"/>
                <w:color w:val="auto"/>
              </w:rPr>
            </w:pPr>
            <w:r>
              <w:rPr>
                <w:rFonts w:ascii="Arial" w:cs="Arial" w:eastAsia="Arial" w:hAnsi="Arial"/>
                <w:sz w:val="18"/>
                <w:szCs w:val="18"/>
                <w:color w:val="auto"/>
              </w:rPr>
              <w:t>A$0.0593</w:t>
            </w:r>
          </w:p>
        </w:tc>
        <w:tc>
          <w:tcPr>
            <w:tcW w:w="2580" w:type="dxa"/>
            <w:vAlign w:val="bottom"/>
          </w:tcPr>
          <w:p>
            <w:pPr>
              <w:ind w:left="240"/>
              <w:spacing w:after="0"/>
              <w:rPr>
                <w:sz w:val="20"/>
                <w:szCs w:val="20"/>
                <w:color w:val="auto"/>
              </w:rPr>
            </w:pPr>
            <w:r>
              <w:rPr>
                <w:rFonts w:ascii="Arial" w:cs="Arial" w:eastAsia="Arial" w:hAnsi="Arial"/>
                <w:sz w:val="18"/>
                <w:szCs w:val="18"/>
                <w:color w:val="auto"/>
              </w:rPr>
              <w:t>Tranche 19</w:t>
            </w:r>
          </w:p>
        </w:tc>
        <w:tc>
          <w:tcPr>
            <w:tcW w:w="1880" w:type="dxa"/>
            <w:vAlign w:val="bottom"/>
          </w:tcPr>
          <w:p>
            <w:pPr>
              <w:ind w:left="1100"/>
              <w:spacing w:after="0"/>
              <w:rPr>
                <w:sz w:val="20"/>
                <w:szCs w:val="20"/>
                <w:color w:val="auto"/>
              </w:rPr>
            </w:pPr>
            <w:r>
              <w:rPr>
                <w:rFonts w:ascii="Arial" w:cs="Arial" w:eastAsia="Arial" w:hAnsi="Arial"/>
                <w:sz w:val="18"/>
                <w:szCs w:val="18"/>
                <w:color w:val="auto"/>
                <w:w w:val="98"/>
              </w:rPr>
              <w:t>A$0.0747</w:t>
            </w:r>
          </w:p>
        </w:tc>
        <w:tc>
          <w:tcPr>
            <w:tcW w:w="0" w:type="dxa"/>
            <w:vAlign w:val="bottom"/>
          </w:tcPr>
          <w:p>
            <w:pPr>
              <w:spacing w:after="0"/>
              <w:rPr>
                <w:sz w:val="1"/>
                <w:szCs w:val="1"/>
                <w:color w:val="auto"/>
              </w:rPr>
            </w:pPr>
          </w:p>
        </w:tc>
      </w:tr>
      <w:tr>
        <w:trPr>
          <w:trHeight w:val="216"/>
        </w:trPr>
        <w:tc>
          <w:tcPr>
            <w:tcW w:w="880" w:type="dxa"/>
            <w:vAlign w:val="bottom"/>
          </w:tcPr>
          <w:p>
            <w:pPr>
              <w:spacing w:after="0"/>
              <w:rPr>
                <w:sz w:val="18"/>
                <w:szCs w:val="18"/>
                <w:color w:val="auto"/>
              </w:rPr>
            </w:pPr>
          </w:p>
        </w:tc>
        <w:tc>
          <w:tcPr>
            <w:tcW w:w="2280" w:type="dxa"/>
            <w:vAlign w:val="bottom"/>
            <w:shd w:val="clear" w:color="auto" w:fill="CCEEFF"/>
          </w:tcPr>
          <w:p>
            <w:pPr>
              <w:spacing w:after="0"/>
              <w:rPr>
                <w:sz w:val="20"/>
                <w:szCs w:val="20"/>
                <w:color w:val="auto"/>
              </w:rPr>
            </w:pPr>
            <w:r>
              <w:rPr>
                <w:rFonts w:ascii="Arial" w:cs="Arial" w:eastAsia="Arial" w:hAnsi="Arial"/>
                <w:sz w:val="18"/>
                <w:szCs w:val="18"/>
                <w:color w:val="auto"/>
              </w:rPr>
              <w:t>Tranche 9</w:t>
            </w:r>
          </w:p>
        </w:tc>
        <w:tc>
          <w:tcPr>
            <w:tcW w:w="2520" w:type="dxa"/>
            <w:vAlign w:val="bottom"/>
            <w:shd w:val="clear" w:color="auto" w:fill="CCEEFF"/>
          </w:tcPr>
          <w:p>
            <w:pPr>
              <w:ind w:left="1560"/>
              <w:spacing w:after="0"/>
              <w:rPr>
                <w:sz w:val="20"/>
                <w:szCs w:val="20"/>
                <w:color w:val="auto"/>
              </w:rPr>
            </w:pPr>
            <w:r>
              <w:rPr>
                <w:rFonts w:ascii="Arial" w:cs="Arial" w:eastAsia="Arial" w:hAnsi="Arial"/>
                <w:sz w:val="18"/>
                <w:szCs w:val="18"/>
                <w:color w:val="auto"/>
              </w:rPr>
              <w:t>A$0.0662</w:t>
            </w:r>
          </w:p>
        </w:tc>
        <w:tc>
          <w:tcPr>
            <w:tcW w:w="2580" w:type="dxa"/>
            <w:vAlign w:val="bottom"/>
            <w:shd w:val="clear" w:color="auto" w:fill="CCEEFF"/>
          </w:tcPr>
          <w:p>
            <w:pPr>
              <w:spacing w:after="0"/>
              <w:rPr>
                <w:sz w:val="18"/>
                <w:szCs w:val="18"/>
                <w:color w:val="auto"/>
              </w:rPr>
            </w:pPr>
          </w:p>
        </w:tc>
        <w:tc>
          <w:tcPr>
            <w:tcW w:w="18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ind w:left="200" w:right="300" w:firstLine="4"/>
        <w:spacing w:after="0" w:line="525" w:lineRule="auto"/>
        <w:tabs>
          <w:tab w:leader="none" w:pos="455" w:val="left"/>
        </w:tabs>
        <w:numPr>
          <w:ilvl w:val="0"/>
          <w:numId w:val="219"/>
        </w:numPr>
        <w:rPr>
          <w:rFonts w:ascii="Arial" w:cs="Arial" w:eastAsia="Arial" w:hAnsi="Arial"/>
          <w:sz w:val="18"/>
          <w:szCs w:val="18"/>
          <w:color w:val="auto"/>
        </w:rPr>
      </w:pPr>
      <w:r>
        <w:rPr>
          <w:rFonts w:ascii="Arial" w:cs="Arial" w:eastAsia="Arial" w:hAnsi="Arial"/>
          <w:sz w:val="18"/>
          <w:szCs w:val="18"/>
          <w:color w:val="auto"/>
        </w:rPr>
        <w:t>On November 1, 2018, 3,000,000 options were granted to employees at an exercise price of A$0.059 expiring on November 1, 2028. The following table lists the inputs to the models used for the options granted to employees:</w:t>
      </w:r>
    </w:p>
    <w:tbl>
      <w:tblPr>
        <w:tblLayout w:type="fixed"/>
        <w:tblInd w:w="200" w:type="dxa"/>
        <w:tblCellMar>
          <w:top w:w="0" w:type="dxa"/>
          <w:left w:w="0" w:type="dxa"/>
          <w:bottom w:w="0" w:type="dxa"/>
          <w:right w:w="0" w:type="dxa"/>
        </w:tblCellMar>
      </w:tblPr>
      <w:tr>
        <w:trPr>
          <w:trHeight w:val="216"/>
        </w:trPr>
        <w:tc>
          <w:tcPr>
            <w:tcW w:w="1780" w:type="dxa"/>
            <w:vAlign w:val="bottom"/>
          </w:tcPr>
          <w:p>
            <w:pPr>
              <w:spacing w:after="0"/>
              <w:rPr>
                <w:sz w:val="18"/>
                <w:szCs w:val="18"/>
                <w:color w:val="auto"/>
              </w:rPr>
            </w:pPr>
          </w:p>
        </w:tc>
        <w:tc>
          <w:tcPr>
            <w:tcW w:w="5640" w:type="dxa"/>
            <w:vAlign w:val="bottom"/>
            <w:shd w:val="clear" w:color="auto" w:fill="CCEEFF"/>
          </w:tcPr>
          <w:p>
            <w:pPr>
              <w:spacing w:after="0"/>
              <w:rPr>
                <w:sz w:val="20"/>
                <w:szCs w:val="20"/>
                <w:color w:val="auto"/>
              </w:rPr>
            </w:pPr>
            <w:r>
              <w:rPr>
                <w:rFonts w:ascii="Arial" w:cs="Arial" w:eastAsia="Arial" w:hAnsi="Arial"/>
                <w:sz w:val="18"/>
                <w:szCs w:val="18"/>
                <w:color w:val="auto"/>
              </w:rPr>
              <w:t>Grant date</w:t>
            </w:r>
          </w:p>
        </w:tc>
        <w:tc>
          <w:tcPr>
            <w:tcW w:w="900" w:type="dxa"/>
            <w:vAlign w:val="bottom"/>
            <w:shd w:val="clear" w:color="auto" w:fill="CCEEFF"/>
          </w:tcPr>
          <w:p>
            <w:pPr>
              <w:spacing w:after="0"/>
              <w:rPr>
                <w:sz w:val="18"/>
                <w:szCs w:val="18"/>
                <w:color w:val="auto"/>
              </w:rPr>
            </w:pPr>
          </w:p>
        </w:tc>
        <w:tc>
          <w:tcPr>
            <w:tcW w:w="94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89"/>
              </w:rPr>
              <w:t>11/1/2018</w:t>
            </w:r>
          </w:p>
        </w:tc>
        <w:tc>
          <w:tcPr>
            <w:tcW w:w="0" w:type="dxa"/>
            <w:vAlign w:val="bottom"/>
          </w:tcPr>
          <w:p>
            <w:pPr>
              <w:spacing w:after="0"/>
              <w:rPr>
                <w:sz w:val="1"/>
                <w:szCs w:val="1"/>
                <w:color w:val="auto"/>
              </w:rPr>
            </w:pPr>
          </w:p>
        </w:tc>
      </w:tr>
      <w:tr>
        <w:trPr>
          <w:trHeight w:val="216"/>
        </w:trPr>
        <w:tc>
          <w:tcPr>
            <w:tcW w:w="1780" w:type="dxa"/>
            <w:vAlign w:val="bottom"/>
          </w:tcPr>
          <w:p>
            <w:pPr>
              <w:spacing w:after="0"/>
              <w:rPr>
                <w:sz w:val="18"/>
                <w:szCs w:val="18"/>
                <w:color w:val="auto"/>
              </w:rPr>
            </w:pPr>
          </w:p>
        </w:tc>
        <w:tc>
          <w:tcPr>
            <w:tcW w:w="5640" w:type="dxa"/>
            <w:vAlign w:val="bottom"/>
          </w:tcPr>
          <w:p>
            <w:pPr>
              <w:spacing w:after="0"/>
              <w:rPr>
                <w:sz w:val="20"/>
                <w:szCs w:val="20"/>
                <w:color w:val="auto"/>
              </w:rPr>
            </w:pPr>
            <w:r>
              <w:rPr>
                <w:rFonts w:ascii="Arial" w:cs="Arial" w:eastAsia="Arial" w:hAnsi="Arial"/>
                <w:sz w:val="18"/>
                <w:szCs w:val="18"/>
                <w:color w:val="auto"/>
              </w:rPr>
              <w:t>Share price at date of grant</w:t>
            </w:r>
          </w:p>
        </w:tc>
        <w:tc>
          <w:tcPr>
            <w:tcW w:w="900" w:type="dxa"/>
            <w:vAlign w:val="bottom"/>
          </w:tcPr>
          <w:p>
            <w:pPr>
              <w:ind w:left="680"/>
              <w:spacing w:after="0"/>
              <w:rPr>
                <w:sz w:val="20"/>
                <w:szCs w:val="20"/>
                <w:color w:val="auto"/>
              </w:rPr>
            </w:pPr>
            <w:r>
              <w:rPr>
                <w:rFonts w:ascii="Arial" w:cs="Arial" w:eastAsia="Arial" w:hAnsi="Arial"/>
                <w:sz w:val="18"/>
                <w:szCs w:val="18"/>
                <w:color w:val="auto"/>
                <w:w w:val="90"/>
              </w:rPr>
              <w:t>A$</w:t>
            </w:r>
          </w:p>
        </w:tc>
        <w:tc>
          <w:tcPr>
            <w:tcW w:w="940" w:type="dxa"/>
            <w:vAlign w:val="bottom"/>
          </w:tcPr>
          <w:p>
            <w:pPr>
              <w:jc w:val="right"/>
              <w:ind w:right="110"/>
              <w:spacing w:after="0"/>
              <w:rPr>
                <w:sz w:val="20"/>
                <w:szCs w:val="20"/>
                <w:color w:val="auto"/>
              </w:rPr>
            </w:pPr>
            <w:r>
              <w:rPr>
                <w:rFonts w:ascii="Arial" w:cs="Arial" w:eastAsia="Arial" w:hAnsi="Arial"/>
                <w:sz w:val="18"/>
                <w:szCs w:val="18"/>
                <w:color w:val="auto"/>
              </w:rPr>
              <w:t>0.093</w:t>
            </w:r>
          </w:p>
        </w:tc>
        <w:tc>
          <w:tcPr>
            <w:tcW w:w="0" w:type="dxa"/>
            <w:vAlign w:val="bottom"/>
          </w:tcPr>
          <w:p>
            <w:pPr>
              <w:spacing w:after="0"/>
              <w:rPr>
                <w:sz w:val="1"/>
                <w:szCs w:val="1"/>
                <w:color w:val="auto"/>
              </w:rPr>
            </w:pPr>
          </w:p>
        </w:tc>
      </w:tr>
      <w:tr>
        <w:trPr>
          <w:trHeight w:val="216"/>
        </w:trPr>
        <w:tc>
          <w:tcPr>
            <w:tcW w:w="1780" w:type="dxa"/>
            <w:vAlign w:val="bottom"/>
          </w:tcPr>
          <w:p>
            <w:pPr>
              <w:spacing w:after="0"/>
              <w:rPr>
                <w:sz w:val="18"/>
                <w:szCs w:val="18"/>
                <w:color w:val="auto"/>
              </w:rPr>
            </w:pPr>
          </w:p>
        </w:tc>
        <w:tc>
          <w:tcPr>
            <w:tcW w:w="5640" w:type="dxa"/>
            <w:vAlign w:val="bottom"/>
            <w:shd w:val="clear" w:color="auto" w:fill="CCEEFF"/>
          </w:tcPr>
          <w:p>
            <w:pPr>
              <w:spacing w:after="0"/>
              <w:rPr>
                <w:sz w:val="20"/>
                <w:szCs w:val="20"/>
                <w:color w:val="auto"/>
              </w:rPr>
            </w:pPr>
            <w:r>
              <w:rPr>
                <w:rFonts w:ascii="Arial" w:cs="Arial" w:eastAsia="Arial" w:hAnsi="Arial"/>
                <w:sz w:val="18"/>
                <w:szCs w:val="18"/>
                <w:color w:val="auto"/>
              </w:rPr>
              <w:t>Dividend yield (%)</w:t>
            </w:r>
          </w:p>
        </w:tc>
        <w:tc>
          <w:tcPr>
            <w:tcW w:w="90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16"/>
        </w:trPr>
        <w:tc>
          <w:tcPr>
            <w:tcW w:w="1780" w:type="dxa"/>
            <w:vAlign w:val="bottom"/>
          </w:tcPr>
          <w:p>
            <w:pPr>
              <w:spacing w:after="0"/>
              <w:rPr>
                <w:sz w:val="18"/>
                <w:szCs w:val="18"/>
                <w:color w:val="auto"/>
              </w:rPr>
            </w:pPr>
          </w:p>
        </w:tc>
        <w:tc>
          <w:tcPr>
            <w:tcW w:w="5640" w:type="dxa"/>
            <w:vAlign w:val="bottom"/>
          </w:tcPr>
          <w:p>
            <w:pPr>
              <w:spacing w:after="0"/>
              <w:rPr>
                <w:sz w:val="20"/>
                <w:szCs w:val="20"/>
                <w:color w:val="auto"/>
              </w:rPr>
            </w:pPr>
            <w:r>
              <w:rPr>
                <w:rFonts w:ascii="Arial" w:cs="Arial" w:eastAsia="Arial" w:hAnsi="Arial"/>
                <w:sz w:val="18"/>
                <w:szCs w:val="18"/>
                <w:color w:val="auto"/>
              </w:rPr>
              <w:t>Expected volatility (%)</w:t>
            </w:r>
          </w:p>
        </w:tc>
        <w:tc>
          <w:tcPr>
            <w:tcW w:w="9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90%</w:t>
            </w:r>
          </w:p>
        </w:tc>
        <w:tc>
          <w:tcPr>
            <w:tcW w:w="0" w:type="dxa"/>
            <w:vAlign w:val="bottom"/>
          </w:tcPr>
          <w:p>
            <w:pPr>
              <w:spacing w:after="0"/>
              <w:rPr>
                <w:sz w:val="1"/>
                <w:szCs w:val="1"/>
                <w:color w:val="auto"/>
              </w:rPr>
            </w:pPr>
          </w:p>
        </w:tc>
      </w:tr>
      <w:tr>
        <w:trPr>
          <w:trHeight w:val="216"/>
        </w:trPr>
        <w:tc>
          <w:tcPr>
            <w:tcW w:w="1780" w:type="dxa"/>
            <w:vAlign w:val="bottom"/>
          </w:tcPr>
          <w:p>
            <w:pPr>
              <w:spacing w:after="0"/>
              <w:rPr>
                <w:sz w:val="18"/>
                <w:szCs w:val="18"/>
                <w:color w:val="auto"/>
              </w:rPr>
            </w:pPr>
          </w:p>
        </w:tc>
        <w:tc>
          <w:tcPr>
            <w:tcW w:w="5640" w:type="dxa"/>
            <w:vAlign w:val="bottom"/>
            <w:shd w:val="clear" w:color="auto" w:fill="CCEEFF"/>
          </w:tcPr>
          <w:p>
            <w:pPr>
              <w:spacing w:after="0"/>
              <w:rPr>
                <w:sz w:val="20"/>
                <w:szCs w:val="20"/>
                <w:color w:val="auto"/>
              </w:rPr>
            </w:pPr>
            <w:r>
              <w:rPr>
                <w:rFonts w:ascii="Arial" w:cs="Arial" w:eastAsia="Arial" w:hAnsi="Arial"/>
                <w:sz w:val="18"/>
                <w:szCs w:val="18"/>
                <w:color w:val="auto"/>
              </w:rPr>
              <w:t>Risk-free interest rate (%)</w:t>
            </w:r>
          </w:p>
        </w:tc>
        <w:tc>
          <w:tcPr>
            <w:tcW w:w="90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2.65%</w:t>
            </w:r>
          </w:p>
        </w:tc>
        <w:tc>
          <w:tcPr>
            <w:tcW w:w="0" w:type="dxa"/>
            <w:vAlign w:val="bottom"/>
          </w:tcPr>
          <w:p>
            <w:pPr>
              <w:spacing w:after="0"/>
              <w:rPr>
                <w:sz w:val="1"/>
                <w:szCs w:val="1"/>
                <w:color w:val="auto"/>
              </w:rPr>
            </w:pPr>
          </w:p>
        </w:tc>
      </w:tr>
      <w:tr>
        <w:trPr>
          <w:trHeight w:val="216"/>
        </w:trPr>
        <w:tc>
          <w:tcPr>
            <w:tcW w:w="1780" w:type="dxa"/>
            <w:vAlign w:val="bottom"/>
          </w:tcPr>
          <w:p>
            <w:pPr>
              <w:spacing w:after="0"/>
              <w:rPr>
                <w:sz w:val="18"/>
                <w:szCs w:val="18"/>
                <w:color w:val="auto"/>
              </w:rPr>
            </w:pPr>
          </w:p>
        </w:tc>
        <w:tc>
          <w:tcPr>
            <w:tcW w:w="5640" w:type="dxa"/>
            <w:vAlign w:val="bottom"/>
          </w:tcPr>
          <w:p>
            <w:pPr>
              <w:spacing w:after="0"/>
              <w:rPr>
                <w:sz w:val="20"/>
                <w:szCs w:val="20"/>
                <w:color w:val="auto"/>
              </w:rPr>
            </w:pPr>
            <w:r>
              <w:rPr>
                <w:rFonts w:ascii="Arial" w:cs="Arial" w:eastAsia="Arial" w:hAnsi="Arial"/>
                <w:sz w:val="18"/>
                <w:szCs w:val="18"/>
                <w:color w:val="auto"/>
              </w:rPr>
              <w:t>Expected life of option (days)</w:t>
            </w:r>
          </w:p>
        </w:tc>
        <w:tc>
          <w:tcPr>
            <w:tcW w:w="900" w:type="dxa"/>
            <w:vAlign w:val="bottom"/>
          </w:tcPr>
          <w:p>
            <w:pPr>
              <w:spacing w:after="0"/>
              <w:rPr>
                <w:sz w:val="18"/>
                <w:szCs w:val="18"/>
                <w:color w:val="auto"/>
              </w:rPr>
            </w:pPr>
          </w:p>
        </w:tc>
        <w:tc>
          <w:tcPr>
            <w:tcW w:w="940" w:type="dxa"/>
            <w:vAlign w:val="bottom"/>
          </w:tcPr>
          <w:p>
            <w:pPr>
              <w:jc w:val="right"/>
              <w:ind w:right="110"/>
              <w:spacing w:after="0"/>
              <w:rPr>
                <w:sz w:val="20"/>
                <w:szCs w:val="20"/>
                <w:color w:val="auto"/>
              </w:rPr>
            </w:pPr>
            <w:r>
              <w:rPr>
                <w:rFonts w:ascii="Arial" w:cs="Arial" w:eastAsia="Arial" w:hAnsi="Arial"/>
                <w:sz w:val="18"/>
                <w:szCs w:val="18"/>
                <w:color w:val="auto"/>
              </w:rPr>
              <w:t>3,650</w:t>
            </w:r>
          </w:p>
        </w:tc>
        <w:tc>
          <w:tcPr>
            <w:tcW w:w="0" w:type="dxa"/>
            <w:vAlign w:val="bottom"/>
          </w:tcPr>
          <w:p>
            <w:pPr>
              <w:spacing w:after="0"/>
              <w:rPr>
                <w:sz w:val="1"/>
                <w:szCs w:val="1"/>
                <w:color w:val="auto"/>
              </w:rPr>
            </w:pPr>
          </w:p>
        </w:tc>
      </w:tr>
      <w:tr>
        <w:trPr>
          <w:trHeight w:val="216"/>
        </w:trPr>
        <w:tc>
          <w:tcPr>
            <w:tcW w:w="1780" w:type="dxa"/>
            <w:vAlign w:val="bottom"/>
          </w:tcPr>
          <w:p>
            <w:pPr>
              <w:spacing w:after="0"/>
              <w:rPr>
                <w:sz w:val="18"/>
                <w:szCs w:val="18"/>
                <w:color w:val="auto"/>
              </w:rPr>
            </w:pPr>
          </w:p>
        </w:tc>
        <w:tc>
          <w:tcPr>
            <w:tcW w:w="5640" w:type="dxa"/>
            <w:vAlign w:val="bottom"/>
            <w:shd w:val="clear" w:color="auto" w:fill="CCEEFF"/>
          </w:tcPr>
          <w:p>
            <w:pPr>
              <w:spacing w:after="0"/>
              <w:rPr>
                <w:sz w:val="20"/>
                <w:szCs w:val="20"/>
                <w:color w:val="auto"/>
              </w:rPr>
            </w:pPr>
            <w:r>
              <w:rPr>
                <w:rFonts w:ascii="Arial" w:cs="Arial" w:eastAsia="Arial" w:hAnsi="Arial"/>
                <w:sz w:val="18"/>
                <w:szCs w:val="18"/>
                <w:color w:val="auto"/>
              </w:rPr>
              <w:t>Option exercise price (A$)</w:t>
            </w:r>
          </w:p>
        </w:tc>
        <w:tc>
          <w:tcPr>
            <w:tcW w:w="900" w:type="dxa"/>
            <w:vAlign w:val="bottom"/>
            <w:shd w:val="clear" w:color="auto" w:fill="CCEEFF"/>
          </w:tcPr>
          <w:p>
            <w:pPr>
              <w:ind w:left="680"/>
              <w:spacing w:after="0"/>
              <w:rPr>
                <w:sz w:val="20"/>
                <w:szCs w:val="20"/>
                <w:color w:val="auto"/>
              </w:rPr>
            </w:pPr>
            <w:r>
              <w:rPr>
                <w:rFonts w:ascii="Arial" w:cs="Arial" w:eastAsia="Arial" w:hAnsi="Arial"/>
                <w:sz w:val="18"/>
                <w:szCs w:val="18"/>
                <w:color w:val="auto"/>
                <w:w w:val="90"/>
              </w:rPr>
              <w:t>A$</w:t>
            </w:r>
          </w:p>
        </w:tc>
        <w:tc>
          <w:tcPr>
            <w:tcW w:w="94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0.059</w:t>
            </w:r>
          </w:p>
        </w:tc>
        <w:tc>
          <w:tcPr>
            <w:tcW w:w="0" w:type="dxa"/>
            <w:vAlign w:val="bottom"/>
          </w:tcPr>
          <w:p>
            <w:pPr>
              <w:spacing w:after="0"/>
              <w:rPr>
                <w:sz w:val="1"/>
                <w:szCs w:val="1"/>
                <w:color w:val="auto"/>
              </w:rPr>
            </w:pPr>
          </w:p>
        </w:tc>
      </w:tr>
      <w:tr>
        <w:trPr>
          <w:trHeight w:val="432"/>
        </w:trPr>
        <w:tc>
          <w:tcPr>
            <w:tcW w:w="7420" w:type="dxa"/>
            <w:vAlign w:val="bottom"/>
            <w:gridSpan w:val="2"/>
          </w:tcPr>
          <w:p>
            <w:pPr>
              <w:spacing w:after="0"/>
              <w:rPr>
                <w:sz w:val="20"/>
                <w:szCs w:val="20"/>
                <w:color w:val="auto"/>
              </w:rPr>
            </w:pPr>
            <w:r>
              <w:rPr>
                <w:rFonts w:ascii="Arial" w:cs="Arial" w:eastAsia="Arial" w:hAnsi="Arial"/>
                <w:sz w:val="18"/>
                <w:szCs w:val="18"/>
                <w:color w:val="auto"/>
                <w:w w:val="98"/>
              </w:rPr>
              <w:t>This represents tranches 3, 20-23, the fair value at date of grant for each tranche is as follows:</w:t>
            </w:r>
          </w:p>
        </w:tc>
        <w:tc>
          <w:tcPr>
            <w:tcW w:w="9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1780" w:type="dxa"/>
            <w:vAlign w:val="bottom"/>
            <w:vMerge w:val="restart"/>
          </w:tcPr>
          <w:p>
            <w:pPr>
              <w:spacing w:after="0"/>
              <w:rPr>
                <w:sz w:val="21"/>
                <w:szCs w:val="21"/>
                <w:color w:val="auto"/>
              </w:rPr>
            </w:pPr>
          </w:p>
        </w:tc>
        <w:tc>
          <w:tcPr>
            <w:tcW w:w="564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1780" w:type="dxa"/>
            <w:vAlign w:val="bottom"/>
            <w:vMerge w:val="continue"/>
          </w:tcPr>
          <w:p>
            <w:pPr>
              <w:spacing w:after="0"/>
              <w:rPr>
                <w:sz w:val="18"/>
                <w:szCs w:val="18"/>
                <w:color w:val="auto"/>
              </w:rPr>
            </w:pPr>
          </w:p>
        </w:tc>
        <w:tc>
          <w:tcPr>
            <w:tcW w:w="5640" w:type="dxa"/>
            <w:vAlign w:val="bottom"/>
            <w:shd w:val="clear" w:color="auto" w:fill="CCEEFF"/>
          </w:tcPr>
          <w:p>
            <w:pPr>
              <w:spacing w:after="0"/>
              <w:rPr>
                <w:sz w:val="20"/>
                <w:szCs w:val="20"/>
                <w:color w:val="auto"/>
              </w:rPr>
            </w:pPr>
            <w:r>
              <w:rPr>
                <w:rFonts w:ascii="Arial" w:cs="Arial" w:eastAsia="Arial" w:hAnsi="Arial"/>
                <w:sz w:val="18"/>
                <w:szCs w:val="18"/>
                <w:color w:val="auto"/>
              </w:rPr>
              <w:t>Tranche 3</w:t>
            </w:r>
          </w:p>
        </w:tc>
        <w:tc>
          <w:tcPr>
            <w:tcW w:w="90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A$0.0831</w:t>
            </w:r>
          </w:p>
        </w:tc>
        <w:tc>
          <w:tcPr>
            <w:tcW w:w="0" w:type="dxa"/>
            <w:vAlign w:val="bottom"/>
          </w:tcPr>
          <w:p>
            <w:pPr>
              <w:spacing w:after="0"/>
              <w:rPr>
                <w:sz w:val="1"/>
                <w:szCs w:val="1"/>
                <w:color w:val="auto"/>
              </w:rPr>
            </w:pPr>
          </w:p>
        </w:tc>
      </w:tr>
      <w:tr>
        <w:trPr>
          <w:trHeight w:val="216"/>
        </w:trPr>
        <w:tc>
          <w:tcPr>
            <w:tcW w:w="1780" w:type="dxa"/>
            <w:vAlign w:val="bottom"/>
          </w:tcPr>
          <w:p>
            <w:pPr>
              <w:spacing w:after="0"/>
              <w:rPr>
                <w:sz w:val="18"/>
                <w:szCs w:val="18"/>
                <w:color w:val="auto"/>
              </w:rPr>
            </w:pPr>
          </w:p>
        </w:tc>
        <w:tc>
          <w:tcPr>
            <w:tcW w:w="5640" w:type="dxa"/>
            <w:vAlign w:val="bottom"/>
          </w:tcPr>
          <w:p>
            <w:pPr>
              <w:spacing w:after="0"/>
              <w:rPr>
                <w:sz w:val="20"/>
                <w:szCs w:val="20"/>
                <w:color w:val="auto"/>
              </w:rPr>
            </w:pPr>
            <w:r>
              <w:rPr>
                <w:rFonts w:ascii="Arial" w:cs="Arial" w:eastAsia="Arial" w:hAnsi="Arial"/>
                <w:sz w:val="18"/>
                <w:szCs w:val="18"/>
                <w:color w:val="auto"/>
              </w:rPr>
              <w:t>Tranche 20</w:t>
            </w:r>
          </w:p>
        </w:tc>
        <w:tc>
          <w:tcPr>
            <w:tcW w:w="9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A$0.0604</w:t>
            </w:r>
          </w:p>
        </w:tc>
        <w:tc>
          <w:tcPr>
            <w:tcW w:w="0" w:type="dxa"/>
            <w:vAlign w:val="bottom"/>
          </w:tcPr>
          <w:p>
            <w:pPr>
              <w:spacing w:after="0"/>
              <w:rPr>
                <w:sz w:val="1"/>
                <w:szCs w:val="1"/>
                <w:color w:val="auto"/>
              </w:rPr>
            </w:pPr>
          </w:p>
        </w:tc>
      </w:tr>
      <w:tr>
        <w:trPr>
          <w:trHeight w:val="216"/>
        </w:trPr>
        <w:tc>
          <w:tcPr>
            <w:tcW w:w="1780" w:type="dxa"/>
            <w:vAlign w:val="bottom"/>
          </w:tcPr>
          <w:p>
            <w:pPr>
              <w:spacing w:after="0"/>
              <w:rPr>
                <w:sz w:val="18"/>
                <w:szCs w:val="18"/>
                <w:color w:val="auto"/>
              </w:rPr>
            </w:pPr>
          </w:p>
        </w:tc>
        <w:tc>
          <w:tcPr>
            <w:tcW w:w="5640" w:type="dxa"/>
            <w:vAlign w:val="bottom"/>
            <w:shd w:val="clear" w:color="auto" w:fill="CCEEFF"/>
          </w:tcPr>
          <w:p>
            <w:pPr>
              <w:spacing w:after="0"/>
              <w:rPr>
                <w:sz w:val="20"/>
                <w:szCs w:val="20"/>
                <w:color w:val="auto"/>
              </w:rPr>
            </w:pPr>
            <w:r>
              <w:rPr>
                <w:rFonts w:ascii="Arial" w:cs="Arial" w:eastAsia="Arial" w:hAnsi="Arial"/>
                <w:sz w:val="18"/>
                <w:szCs w:val="18"/>
                <w:color w:val="auto"/>
              </w:rPr>
              <w:t>Tranche 21</w:t>
            </w:r>
          </w:p>
        </w:tc>
        <w:tc>
          <w:tcPr>
            <w:tcW w:w="90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A$0.0669</w:t>
            </w:r>
          </w:p>
        </w:tc>
        <w:tc>
          <w:tcPr>
            <w:tcW w:w="0" w:type="dxa"/>
            <w:vAlign w:val="bottom"/>
          </w:tcPr>
          <w:p>
            <w:pPr>
              <w:spacing w:after="0"/>
              <w:rPr>
                <w:sz w:val="1"/>
                <w:szCs w:val="1"/>
                <w:color w:val="auto"/>
              </w:rPr>
            </w:pPr>
          </w:p>
        </w:tc>
      </w:tr>
      <w:tr>
        <w:trPr>
          <w:trHeight w:val="216"/>
        </w:trPr>
        <w:tc>
          <w:tcPr>
            <w:tcW w:w="1780" w:type="dxa"/>
            <w:vAlign w:val="bottom"/>
          </w:tcPr>
          <w:p>
            <w:pPr>
              <w:spacing w:after="0"/>
              <w:rPr>
                <w:sz w:val="18"/>
                <w:szCs w:val="18"/>
                <w:color w:val="auto"/>
              </w:rPr>
            </w:pPr>
          </w:p>
        </w:tc>
        <w:tc>
          <w:tcPr>
            <w:tcW w:w="5640" w:type="dxa"/>
            <w:vAlign w:val="bottom"/>
          </w:tcPr>
          <w:p>
            <w:pPr>
              <w:spacing w:after="0"/>
              <w:rPr>
                <w:sz w:val="20"/>
                <w:szCs w:val="20"/>
                <w:color w:val="auto"/>
              </w:rPr>
            </w:pPr>
            <w:r>
              <w:rPr>
                <w:rFonts w:ascii="Arial" w:cs="Arial" w:eastAsia="Arial" w:hAnsi="Arial"/>
                <w:sz w:val="18"/>
                <w:szCs w:val="18"/>
                <w:color w:val="auto"/>
              </w:rPr>
              <w:t>Tranche 22</w:t>
            </w:r>
          </w:p>
        </w:tc>
        <w:tc>
          <w:tcPr>
            <w:tcW w:w="9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A$0.0712</w:t>
            </w:r>
          </w:p>
        </w:tc>
        <w:tc>
          <w:tcPr>
            <w:tcW w:w="0" w:type="dxa"/>
            <w:vAlign w:val="bottom"/>
          </w:tcPr>
          <w:p>
            <w:pPr>
              <w:spacing w:after="0"/>
              <w:rPr>
                <w:sz w:val="1"/>
                <w:szCs w:val="1"/>
                <w:color w:val="auto"/>
              </w:rPr>
            </w:pPr>
          </w:p>
        </w:tc>
      </w:tr>
      <w:tr>
        <w:trPr>
          <w:trHeight w:val="216"/>
        </w:trPr>
        <w:tc>
          <w:tcPr>
            <w:tcW w:w="1780" w:type="dxa"/>
            <w:vAlign w:val="bottom"/>
          </w:tcPr>
          <w:p>
            <w:pPr>
              <w:spacing w:after="0"/>
              <w:rPr>
                <w:sz w:val="18"/>
                <w:szCs w:val="18"/>
                <w:color w:val="auto"/>
              </w:rPr>
            </w:pPr>
          </w:p>
        </w:tc>
        <w:tc>
          <w:tcPr>
            <w:tcW w:w="5640" w:type="dxa"/>
            <w:vAlign w:val="bottom"/>
            <w:shd w:val="clear" w:color="auto" w:fill="CCEEFF"/>
          </w:tcPr>
          <w:p>
            <w:pPr>
              <w:spacing w:after="0"/>
              <w:rPr>
                <w:sz w:val="20"/>
                <w:szCs w:val="20"/>
                <w:color w:val="auto"/>
              </w:rPr>
            </w:pPr>
            <w:r>
              <w:rPr>
                <w:rFonts w:ascii="Arial" w:cs="Arial" w:eastAsia="Arial" w:hAnsi="Arial"/>
                <w:sz w:val="18"/>
                <w:szCs w:val="18"/>
                <w:color w:val="auto"/>
              </w:rPr>
              <w:t>Tranche 23</w:t>
            </w:r>
          </w:p>
        </w:tc>
        <w:tc>
          <w:tcPr>
            <w:tcW w:w="90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A$0.0744</w:t>
            </w:r>
          </w:p>
        </w:tc>
        <w:tc>
          <w:tcPr>
            <w:tcW w:w="0" w:type="dxa"/>
            <w:vAlign w:val="bottom"/>
          </w:tcPr>
          <w:p>
            <w:pPr>
              <w:spacing w:after="0"/>
              <w:rPr>
                <w:sz w:val="1"/>
                <w:szCs w:val="1"/>
                <w:color w:val="auto"/>
              </w:rPr>
            </w:pPr>
          </w:p>
        </w:tc>
      </w:tr>
    </w:tbl>
    <w:p>
      <w:pPr>
        <w:spacing w:after="0" w:line="202" w:lineRule="exact"/>
        <w:rPr>
          <w:sz w:val="20"/>
          <w:szCs w:val="20"/>
          <w:color w:val="auto"/>
        </w:rPr>
      </w:pPr>
    </w:p>
    <w:p>
      <w:pPr>
        <w:ind w:left="5540" w:right="220" w:hanging="5336"/>
        <w:spacing w:after="0" w:line="449" w:lineRule="auto"/>
        <w:tabs>
          <w:tab w:leader="none" w:pos="445" w:val="left"/>
        </w:tabs>
        <w:numPr>
          <w:ilvl w:val="0"/>
          <w:numId w:val="220"/>
        </w:numPr>
        <w:rPr>
          <w:rFonts w:ascii="Arial" w:cs="Arial" w:eastAsia="Arial" w:hAnsi="Arial"/>
          <w:sz w:val="18"/>
          <w:szCs w:val="18"/>
          <w:color w:val="auto"/>
        </w:rPr>
      </w:pPr>
      <w:r>
        <w:rPr>
          <w:rFonts w:ascii="Arial" w:cs="Arial" w:eastAsia="Arial" w:hAnsi="Arial"/>
          <w:sz w:val="18"/>
          <w:szCs w:val="18"/>
          <w:color w:val="auto"/>
        </w:rPr>
        <w:t>On November 1, 2018, 17,200,000 options were granted to employees at an exercise price of A$0.089 expiring on November 1, 2028. F-64</w:t>
      </w:r>
    </w:p>
    <w:p>
      <w:pPr>
        <w:sectPr>
          <w:pgSz w:w="11900" w:h="16838" w:orient="portrait"/>
          <w:cols w:equalWidth="0" w:num="1">
            <w:col w:w="10340"/>
          </w:cols>
          <w:pgMar w:left="240" w:top="460" w:right="1319" w:bottom="1440" w:gutter="0" w:footer="0" w:header="0"/>
        </w:sectPr>
      </w:pPr>
    </w:p>
    <w:bookmarkStart w:id="163" w:name="page164"/>
    <w:bookmarkEnd w:id="16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21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579"/>
        <w:spacing w:after="0"/>
        <w:rPr>
          <w:sz w:val="20"/>
          <w:szCs w:val="20"/>
          <w:color w:val="auto"/>
        </w:rPr>
      </w:pPr>
      <w:r>
        <w:rPr>
          <w:rFonts w:ascii="Arial" w:cs="Arial" w:eastAsia="Arial" w:hAnsi="Arial"/>
          <w:sz w:val="18"/>
          <w:szCs w:val="18"/>
          <w:b w:val="1"/>
          <w:bCs w:val="1"/>
          <w:color w:val="auto"/>
        </w:rPr>
        <w:t>AVITA MEDICAL LIMITED</w:t>
      </w:r>
    </w:p>
    <w:p>
      <w:pPr>
        <w:spacing w:after="0" w:line="27" w:lineRule="exact"/>
        <w:rPr>
          <w:sz w:val="20"/>
          <w:szCs w:val="20"/>
          <w:color w:val="auto"/>
        </w:rPr>
      </w:pPr>
    </w:p>
    <w:p>
      <w:pPr>
        <w:jc w:val="center"/>
        <w:ind w:right="-579"/>
        <w:spacing w:after="0"/>
        <w:rPr>
          <w:sz w:val="20"/>
          <w:szCs w:val="20"/>
          <w:color w:val="auto"/>
        </w:rPr>
      </w:pPr>
      <w:r>
        <w:rPr>
          <w:rFonts w:ascii="Arial" w:cs="Arial" w:eastAsia="Arial" w:hAnsi="Arial"/>
          <w:sz w:val="18"/>
          <w:szCs w:val="18"/>
          <w:b w:val="1"/>
          <w:bCs w:val="1"/>
          <w:color w:val="auto"/>
        </w:rPr>
        <w:t>NOTES TO THE HALF-YEAR CONDENSED CONSOLIDATED FINANCIAL STATEMENTS</w:t>
      </w:r>
    </w:p>
    <w:p>
      <w:pPr>
        <w:spacing w:after="0" w:line="9" w:lineRule="exact"/>
        <w:rPr>
          <w:sz w:val="20"/>
          <w:szCs w:val="20"/>
          <w:color w:val="auto"/>
        </w:rPr>
      </w:pPr>
    </w:p>
    <w:p>
      <w:pPr>
        <w:jc w:val="center"/>
        <w:ind w:right="-579"/>
        <w:spacing w:after="0"/>
        <w:rPr>
          <w:sz w:val="20"/>
          <w:szCs w:val="20"/>
          <w:color w:val="auto"/>
        </w:rPr>
      </w:pPr>
      <w:r>
        <w:rPr>
          <w:rFonts w:ascii="Arial" w:cs="Arial" w:eastAsia="Arial" w:hAnsi="Arial"/>
          <w:sz w:val="18"/>
          <w:szCs w:val="18"/>
          <w:b w:val="1"/>
          <w:bCs w:val="1"/>
          <w:color w:val="auto"/>
        </w:rPr>
        <w:t>(IN AUSTRALIAN DOLLARS)</w:t>
      </w:r>
    </w:p>
    <w:p>
      <w:pPr>
        <w:spacing w:after="0" w:line="9" w:lineRule="exact"/>
        <w:rPr>
          <w:sz w:val="20"/>
          <w:szCs w:val="20"/>
          <w:color w:val="auto"/>
        </w:rPr>
      </w:pPr>
    </w:p>
    <w:p>
      <w:pPr>
        <w:jc w:val="center"/>
        <w:ind w:right="-579"/>
        <w:spacing w:after="0"/>
        <w:rPr>
          <w:sz w:val="20"/>
          <w:szCs w:val="20"/>
          <w:color w:val="auto"/>
        </w:rPr>
      </w:pPr>
      <w:r>
        <w:rPr>
          <w:rFonts w:ascii="Arial" w:cs="Arial" w:eastAsia="Arial" w:hAnsi="Arial"/>
          <w:sz w:val="18"/>
          <w:szCs w:val="18"/>
          <w:b w:val="1"/>
          <w:bCs w:val="1"/>
          <w:color w:val="auto"/>
        </w:rPr>
        <w:t>(UNAUDITED)</w:t>
      </w:r>
    </w:p>
    <w:p>
      <w:pPr>
        <w:spacing w:after="0" w:line="234" w:lineRule="exact"/>
        <w:rPr>
          <w:sz w:val="20"/>
          <w:szCs w:val="20"/>
          <w:color w:val="auto"/>
        </w:rPr>
      </w:pPr>
    </w:p>
    <w:p>
      <w:pPr>
        <w:ind w:left="640" w:hanging="436"/>
        <w:spacing w:after="0"/>
        <w:tabs>
          <w:tab w:leader="none" w:pos="640" w:val="left"/>
        </w:tabs>
        <w:numPr>
          <w:ilvl w:val="0"/>
          <w:numId w:val="221"/>
        </w:numPr>
        <w:rPr>
          <w:rFonts w:ascii="Arial" w:cs="Arial" w:eastAsia="Arial" w:hAnsi="Arial"/>
          <w:sz w:val="18"/>
          <w:szCs w:val="18"/>
          <w:b w:val="1"/>
          <w:bCs w:val="1"/>
          <w:color w:val="auto"/>
        </w:rPr>
      </w:pPr>
      <w:r>
        <w:rPr>
          <w:rFonts w:ascii="Arial" w:cs="Arial" w:eastAsia="Arial" w:hAnsi="Arial"/>
          <w:sz w:val="18"/>
          <w:szCs w:val="18"/>
          <w:b w:val="1"/>
          <w:bCs w:val="1"/>
          <w:color w:val="auto"/>
        </w:rPr>
        <w:t>CONTRIBUTED EQUITY (CONTINUED)</w:t>
      </w:r>
    </w:p>
    <w:p>
      <w:pPr>
        <w:spacing w:after="0" w:line="131" w:lineRule="exact"/>
        <w:rPr>
          <w:sz w:val="20"/>
          <w:szCs w:val="20"/>
          <w:color w:val="auto"/>
        </w:rPr>
      </w:pPr>
    </w:p>
    <w:p>
      <w:pPr>
        <w:ind w:left="640" w:hanging="436"/>
        <w:spacing w:after="0"/>
        <w:tabs>
          <w:tab w:leader="none" w:pos="640" w:val="left"/>
        </w:tabs>
        <w:numPr>
          <w:ilvl w:val="0"/>
          <w:numId w:val="222"/>
        </w:numPr>
        <w:rPr>
          <w:rFonts w:ascii="Arial" w:cs="Arial" w:eastAsia="Arial" w:hAnsi="Arial"/>
          <w:sz w:val="18"/>
          <w:szCs w:val="18"/>
          <w:b w:val="1"/>
          <w:bCs w:val="1"/>
          <w:color w:val="auto"/>
        </w:rPr>
      </w:pPr>
      <w:r>
        <w:rPr>
          <w:rFonts w:ascii="Arial" w:cs="Arial" w:eastAsia="Arial" w:hAnsi="Arial"/>
          <w:sz w:val="18"/>
          <w:szCs w:val="18"/>
          <w:b w:val="1"/>
          <w:bCs w:val="1"/>
          <w:color w:val="auto"/>
        </w:rPr>
        <w:t>Option pricing model: ESOP and Investor (continued)</w:t>
      </w:r>
    </w:p>
    <w:p>
      <w:pPr>
        <w:spacing w:after="0" w:line="135" w:lineRule="exact"/>
        <w:rPr>
          <w:sz w:val="20"/>
          <w:szCs w:val="20"/>
          <w:color w:val="auto"/>
        </w:rPr>
      </w:pPr>
    </w:p>
    <w:p>
      <w:pPr>
        <w:ind w:left="200"/>
        <w:spacing w:after="0"/>
        <w:rPr>
          <w:sz w:val="20"/>
          <w:szCs w:val="20"/>
          <w:color w:val="auto"/>
        </w:rPr>
      </w:pPr>
      <w:r>
        <w:rPr>
          <w:rFonts w:ascii="Arial" w:cs="Arial" w:eastAsia="Arial" w:hAnsi="Arial"/>
          <w:sz w:val="18"/>
          <w:szCs w:val="18"/>
          <w:color w:val="auto"/>
        </w:rPr>
        <w:t>The following table lists the inputs to the models used for the options granted to employees.</w:t>
      </w:r>
    </w:p>
    <w:p>
      <w:pPr>
        <w:spacing w:after="0" w:line="244" w:lineRule="exact"/>
        <w:rPr>
          <w:sz w:val="20"/>
          <w:szCs w:val="20"/>
          <w:color w:val="auto"/>
        </w:rPr>
      </w:pPr>
    </w:p>
    <w:tbl>
      <w:tblPr>
        <w:tblLayout w:type="fixed"/>
        <w:tblInd w:w="64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28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460" w:type="dxa"/>
            <w:vAlign w:val="bottom"/>
            <w:gridSpan w:val="3"/>
          </w:tcPr>
          <w:p>
            <w:pPr>
              <w:jc w:val="right"/>
              <w:ind w:right="680"/>
              <w:spacing w:after="0"/>
              <w:rPr>
                <w:sz w:val="20"/>
                <w:szCs w:val="20"/>
                <w:color w:val="auto"/>
              </w:rPr>
            </w:pPr>
            <w:r>
              <w:rPr>
                <w:rFonts w:ascii="Arial" w:cs="Arial" w:eastAsia="Arial" w:hAnsi="Arial"/>
                <w:sz w:val="14"/>
                <w:szCs w:val="14"/>
                <w:b w:val="1"/>
                <w:bCs w:val="1"/>
                <w:color w:val="auto"/>
              </w:rPr>
              <w:t>Tranche 1</w:t>
            </w:r>
          </w:p>
        </w:tc>
        <w:tc>
          <w:tcPr>
            <w:tcW w:w="360" w:type="dxa"/>
            <w:vAlign w:val="bottom"/>
          </w:tcPr>
          <w:p>
            <w:pPr>
              <w:spacing w:after="0"/>
              <w:rPr>
                <w:sz w:val="14"/>
                <w:szCs w:val="14"/>
                <w:color w:val="auto"/>
              </w:rPr>
            </w:pPr>
          </w:p>
        </w:tc>
        <w:tc>
          <w:tcPr>
            <w:tcW w:w="1460" w:type="dxa"/>
            <w:vAlign w:val="bottom"/>
            <w:gridSpan w:val="3"/>
          </w:tcPr>
          <w:p>
            <w:pPr>
              <w:jc w:val="right"/>
              <w:ind w:right="680"/>
              <w:spacing w:after="0"/>
              <w:rPr>
                <w:sz w:val="20"/>
                <w:szCs w:val="20"/>
                <w:color w:val="auto"/>
              </w:rPr>
            </w:pPr>
            <w:r>
              <w:rPr>
                <w:rFonts w:ascii="Arial" w:cs="Arial" w:eastAsia="Arial" w:hAnsi="Arial"/>
                <w:sz w:val="14"/>
                <w:szCs w:val="14"/>
                <w:b w:val="1"/>
                <w:bCs w:val="1"/>
                <w:color w:val="auto"/>
              </w:rPr>
              <w:t>Tranche 2</w:t>
            </w:r>
          </w:p>
        </w:tc>
        <w:tc>
          <w:tcPr>
            <w:tcW w:w="360" w:type="dxa"/>
            <w:vAlign w:val="bottom"/>
          </w:tcPr>
          <w:p>
            <w:pPr>
              <w:spacing w:after="0"/>
              <w:rPr>
                <w:sz w:val="14"/>
                <w:szCs w:val="14"/>
                <w:color w:val="auto"/>
              </w:rPr>
            </w:pPr>
          </w:p>
        </w:tc>
        <w:tc>
          <w:tcPr>
            <w:tcW w:w="1480" w:type="dxa"/>
            <w:vAlign w:val="bottom"/>
            <w:gridSpan w:val="3"/>
          </w:tcPr>
          <w:p>
            <w:pPr>
              <w:jc w:val="right"/>
              <w:ind w:right="700"/>
              <w:spacing w:after="0"/>
              <w:rPr>
                <w:sz w:val="20"/>
                <w:szCs w:val="20"/>
                <w:color w:val="auto"/>
              </w:rPr>
            </w:pPr>
            <w:r>
              <w:rPr>
                <w:rFonts w:ascii="Arial" w:cs="Arial" w:eastAsia="Arial" w:hAnsi="Arial"/>
                <w:sz w:val="14"/>
                <w:szCs w:val="14"/>
                <w:b w:val="1"/>
                <w:bCs w:val="1"/>
                <w:color w:val="auto"/>
              </w:rPr>
              <w:t>Tranche 3</w:t>
            </w:r>
          </w:p>
        </w:tc>
        <w:tc>
          <w:tcPr>
            <w:tcW w:w="360" w:type="dxa"/>
            <w:vAlign w:val="bottom"/>
          </w:tcPr>
          <w:p>
            <w:pPr>
              <w:spacing w:after="0"/>
              <w:rPr>
                <w:sz w:val="14"/>
                <w:szCs w:val="14"/>
                <w:color w:val="auto"/>
              </w:rPr>
            </w:pPr>
          </w:p>
        </w:tc>
        <w:tc>
          <w:tcPr>
            <w:tcW w:w="1160" w:type="dxa"/>
            <w:vAlign w:val="bottom"/>
            <w:gridSpan w:val="3"/>
          </w:tcPr>
          <w:p>
            <w:pPr>
              <w:jc w:val="right"/>
              <w:ind w:right="380"/>
              <w:spacing w:after="0"/>
              <w:rPr>
                <w:sz w:val="20"/>
                <w:szCs w:val="20"/>
                <w:color w:val="auto"/>
              </w:rPr>
            </w:pPr>
            <w:r>
              <w:rPr>
                <w:rFonts w:ascii="Arial" w:cs="Arial" w:eastAsia="Arial" w:hAnsi="Arial"/>
                <w:sz w:val="14"/>
                <w:szCs w:val="14"/>
                <w:b w:val="1"/>
                <w:bCs w:val="1"/>
                <w:color w:val="auto"/>
              </w:rPr>
              <w:t>Tranche 4</w:t>
            </w:r>
          </w:p>
        </w:tc>
      </w:tr>
      <w:tr>
        <w:trPr>
          <w:trHeight w:val="210"/>
        </w:trPr>
        <w:tc>
          <w:tcPr>
            <w:tcW w:w="20" w:type="dxa"/>
            <w:vAlign w:val="bottom"/>
          </w:tcPr>
          <w:p>
            <w:pPr>
              <w:spacing w:after="0"/>
              <w:rPr>
                <w:sz w:val="18"/>
                <w:szCs w:val="18"/>
                <w:color w:val="auto"/>
              </w:rPr>
            </w:pPr>
          </w:p>
        </w:tc>
        <w:tc>
          <w:tcPr>
            <w:tcW w:w="28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Grant date</w:t>
            </w:r>
          </w:p>
        </w:tc>
        <w:tc>
          <w:tcPr>
            <w:tcW w:w="68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11/1/2018</w:t>
            </w:r>
          </w:p>
        </w:tc>
        <w:tc>
          <w:tcPr>
            <w:tcW w:w="50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11/1/2018</w:t>
            </w:r>
          </w:p>
        </w:tc>
        <w:tc>
          <w:tcPr>
            <w:tcW w:w="50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11/1/2018</w:t>
            </w:r>
          </w:p>
        </w:tc>
        <w:tc>
          <w:tcPr>
            <w:tcW w:w="52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11/1/2018</w:t>
            </w:r>
          </w:p>
        </w:tc>
        <w:tc>
          <w:tcPr>
            <w:tcW w:w="200" w:type="dxa"/>
            <w:vAlign w:val="bottom"/>
            <w:tcBorders>
              <w:top w:val="single" w:sz="8" w:color="CCEEFF"/>
            </w:tcBorders>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2800" w:type="dxa"/>
            <w:vAlign w:val="bottom"/>
          </w:tcPr>
          <w:p>
            <w:pPr>
              <w:spacing w:after="0"/>
              <w:rPr>
                <w:sz w:val="20"/>
                <w:szCs w:val="20"/>
                <w:color w:val="auto"/>
              </w:rPr>
            </w:pPr>
            <w:r>
              <w:rPr>
                <w:rFonts w:ascii="Arial" w:cs="Arial" w:eastAsia="Arial" w:hAnsi="Arial"/>
                <w:sz w:val="18"/>
                <w:szCs w:val="18"/>
                <w:color w:val="auto"/>
              </w:rPr>
              <w:t>Share price at date of grant</w:t>
            </w:r>
          </w:p>
        </w:tc>
        <w:tc>
          <w:tcPr>
            <w:tcW w:w="900" w:type="dxa"/>
            <w:vAlign w:val="bottom"/>
            <w:gridSpan w:val="2"/>
          </w:tcPr>
          <w:p>
            <w:pPr>
              <w:ind w:left="680"/>
              <w:spacing w:after="0"/>
              <w:rPr>
                <w:sz w:val="20"/>
                <w:szCs w:val="20"/>
                <w:color w:val="auto"/>
              </w:rPr>
            </w:pPr>
            <w:r>
              <w:rPr>
                <w:rFonts w:ascii="Arial" w:cs="Arial" w:eastAsia="Arial" w:hAnsi="Arial"/>
                <w:sz w:val="18"/>
                <w:szCs w:val="18"/>
                <w:color w:val="auto"/>
                <w:w w:val="90"/>
              </w:rPr>
              <w:t>A$</w:t>
            </w:r>
          </w:p>
        </w:tc>
        <w:tc>
          <w:tcPr>
            <w:tcW w:w="740" w:type="dxa"/>
            <w:vAlign w:val="bottom"/>
          </w:tcPr>
          <w:p>
            <w:pPr>
              <w:jc w:val="right"/>
              <w:spacing w:after="0"/>
              <w:rPr>
                <w:sz w:val="20"/>
                <w:szCs w:val="20"/>
                <w:color w:val="auto"/>
              </w:rPr>
            </w:pPr>
            <w:r>
              <w:rPr>
                <w:rFonts w:ascii="Arial" w:cs="Arial" w:eastAsia="Arial" w:hAnsi="Arial"/>
                <w:sz w:val="18"/>
                <w:szCs w:val="18"/>
                <w:color w:val="auto"/>
              </w:rPr>
              <w:t>0.093</w:t>
            </w:r>
          </w:p>
        </w:tc>
        <w:tc>
          <w:tcPr>
            <w:tcW w:w="500" w:type="dxa"/>
            <w:vAlign w:val="bottom"/>
          </w:tcPr>
          <w:p>
            <w:pPr>
              <w:spacing w:after="0"/>
              <w:rPr>
                <w:sz w:val="18"/>
                <w:szCs w:val="18"/>
                <w:color w:val="auto"/>
              </w:rPr>
            </w:pPr>
          </w:p>
        </w:tc>
        <w:tc>
          <w:tcPr>
            <w:tcW w:w="580" w:type="dxa"/>
            <w:vAlign w:val="bottom"/>
            <w:gridSpan w:val="2"/>
          </w:tcPr>
          <w:p>
            <w:pPr>
              <w:ind w:left="360"/>
              <w:spacing w:after="0"/>
              <w:rPr>
                <w:sz w:val="20"/>
                <w:szCs w:val="20"/>
                <w:color w:val="auto"/>
              </w:rPr>
            </w:pPr>
            <w:r>
              <w:rPr>
                <w:rFonts w:ascii="Arial" w:cs="Arial" w:eastAsia="Arial" w:hAnsi="Arial"/>
                <w:sz w:val="18"/>
                <w:szCs w:val="18"/>
                <w:color w:val="auto"/>
                <w:w w:val="90"/>
              </w:rPr>
              <w:t>A$</w:t>
            </w:r>
          </w:p>
        </w:tc>
        <w:tc>
          <w:tcPr>
            <w:tcW w:w="740" w:type="dxa"/>
            <w:vAlign w:val="bottom"/>
          </w:tcPr>
          <w:p>
            <w:pPr>
              <w:jc w:val="right"/>
              <w:spacing w:after="0"/>
              <w:rPr>
                <w:sz w:val="20"/>
                <w:szCs w:val="20"/>
                <w:color w:val="auto"/>
              </w:rPr>
            </w:pPr>
            <w:r>
              <w:rPr>
                <w:rFonts w:ascii="Arial" w:cs="Arial" w:eastAsia="Arial" w:hAnsi="Arial"/>
                <w:sz w:val="18"/>
                <w:szCs w:val="18"/>
                <w:color w:val="auto"/>
              </w:rPr>
              <w:t>0.093</w:t>
            </w:r>
          </w:p>
        </w:tc>
        <w:tc>
          <w:tcPr>
            <w:tcW w:w="500" w:type="dxa"/>
            <w:vAlign w:val="bottom"/>
          </w:tcPr>
          <w:p>
            <w:pPr>
              <w:spacing w:after="0"/>
              <w:rPr>
                <w:sz w:val="18"/>
                <w:szCs w:val="18"/>
                <w:color w:val="auto"/>
              </w:rPr>
            </w:pPr>
          </w:p>
        </w:tc>
        <w:tc>
          <w:tcPr>
            <w:tcW w:w="580" w:type="dxa"/>
            <w:vAlign w:val="bottom"/>
            <w:gridSpan w:val="2"/>
          </w:tcPr>
          <w:p>
            <w:pPr>
              <w:ind w:left="360"/>
              <w:spacing w:after="0"/>
              <w:rPr>
                <w:sz w:val="20"/>
                <w:szCs w:val="20"/>
                <w:color w:val="auto"/>
              </w:rPr>
            </w:pPr>
            <w:r>
              <w:rPr>
                <w:rFonts w:ascii="Arial" w:cs="Arial" w:eastAsia="Arial" w:hAnsi="Arial"/>
                <w:sz w:val="18"/>
                <w:szCs w:val="18"/>
                <w:color w:val="auto"/>
                <w:w w:val="90"/>
              </w:rPr>
              <w:t>A$</w:t>
            </w:r>
          </w:p>
        </w:tc>
        <w:tc>
          <w:tcPr>
            <w:tcW w:w="740" w:type="dxa"/>
            <w:vAlign w:val="bottom"/>
          </w:tcPr>
          <w:p>
            <w:pPr>
              <w:jc w:val="right"/>
              <w:spacing w:after="0"/>
              <w:rPr>
                <w:sz w:val="20"/>
                <w:szCs w:val="20"/>
                <w:color w:val="auto"/>
              </w:rPr>
            </w:pPr>
            <w:r>
              <w:rPr>
                <w:rFonts w:ascii="Arial" w:cs="Arial" w:eastAsia="Arial" w:hAnsi="Arial"/>
                <w:sz w:val="18"/>
                <w:szCs w:val="18"/>
                <w:color w:val="auto"/>
              </w:rPr>
              <w:t>0.093</w:t>
            </w:r>
          </w:p>
        </w:tc>
        <w:tc>
          <w:tcPr>
            <w:tcW w:w="520" w:type="dxa"/>
            <w:vAlign w:val="bottom"/>
          </w:tcPr>
          <w:p>
            <w:pPr>
              <w:spacing w:after="0"/>
              <w:rPr>
                <w:sz w:val="18"/>
                <w:szCs w:val="18"/>
                <w:color w:val="auto"/>
              </w:rPr>
            </w:pPr>
          </w:p>
        </w:tc>
        <w:tc>
          <w:tcPr>
            <w:tcW w:w="580" w:type="dxa"/>
            <w:vAlign w:val="bottom"/>
            <w:gridSpan w:val="2"/>
          </w:tcPr>
          <w:p>
            <w:pPr>
              <w:ind w:left="360"/>
              <w:spacing w:after="0"/>
              <w:rPr>
                <w:sz w:val="20"/>
                <w:szCs w:val="20"/>
                <w:color w:val="auto"/>
              </w:rPr>
            </w:pPr>
            <w:r>
              <w:rPr>
                <w:rFonts w:ascii="Arial" w:cs="Arial" w:eastAsia="Arial" w:hAnsi="Arial"/>
                <w:sz w:val="18"/>
                <w:szCs w:val="18"/>
                <w:color w:val="auto"/>
                <w:w w:val="90"/>
              </w:rPr>
              <w:t>A$</w:t>
            </w:r>
          </w:p>
        </w:tc>
        <w:tc>
          <w:tcPr>
            <w:tcW w:w="740" w:type="dxa"/>
            <w:vAlign w:val="bottom"/>
          </w:tcPr>
          <w:p>
            <w:pPr>
              <w:jc w:val="right"/>
              <w:spacing w:after="0"/>
              <w:rPr>
                <w:sz w:val="20"/>
                <w:szCs w:val="20"/>
                <w:color w:val="auto"/>
              </w:rPr>
            </w:pPr>
            <w:r>
              <w:rPr>
                <w:rFonts w:ascii="Arial" w:cs="Arial" w:eastAsia="Arial" w:hAnsi="Arial"/>
                <w:sz w:val="18"/>
                <w:szCs w:val="18"/>
                <w:color w:val="auto"/>
              </w:rPr>
              <w:t>0.093</w:t>
            </w:r>
          </w:p>
        </w:tc>
        <w:tc>
          <w:tcPr>
            <w:tcW w:w="2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2800" w:type="dxa"/>
            <w:vAlign w:val="bottom"/>
            <w:shd w:val="clear" w:color="auto" w:fill="CCEEFF"/>
          </w:tcPr>
          <w:p>
            <w:pPr>
              <w:spacing w:after="0"/>
              <w:rPr>
                <w:sz w:val="20"/>
                <w:szCs w:val="20"/>
                <w:color w:val="auto"/>
              </w:rPr>
            </w:pPr>
            <w:r>
              <w:rPr>
                <w:rFonts w:ascii="Arial" w:cs="Arial" w:eastAsia="Arial" w:hAnsi="Arial"/>
                <w:sz w:val="18"/>
                <w:szCs w:val="18"/>
                <w:color w:val="auto"/>
              </w:rPr>
              <w:t>Dividend yield (%)</w:t>
            </w:r>
          </w:p>
        </w:tc>
        <w:tc>
          <w:tcPr>
            <w:tcW w:w="6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0%</w:t>
            </w:r>
          </w:p>
        </w:tc>
        <w:tc>
          <w:tcPr>
            <w:tcW w:w="3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0%</w:t>
            </w:r>
          </w:p>
        </w:tc>
        <w:tc>
          <w:tcPr>
            <w:tcW w:w="3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0%</w:t>
            </w:r>
          </w:p>
        </w:tc>
        <w:tc>
          <w:tcPr>
            <w:tcW w:w="3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0%</w:t>
            </w:r>
          </w:p>
        </w:tc>
      </w:tr>
      <w:tr>
        <w:trPr>
          <w:trHeight w:val="216"/>
        </w:trPr>
        <w:tc>
          <w:tcPr>
            <w:tcW w:w="20" w:type="dxa"/>
            <w:vAlign w:val="bottom"/>
          </w:tcPr>
          <w:p>
            <w:pPr>
              <w:spacing w:after="0"/>
              <w:rPr>
                <w:sz w:val="18"/>
                <w:szCs w:val="18"/>
                <w:color w:val="auto"/>
              </w:rPr>
            </w:pPr>
          </w:p>
        </w:tc>
        <w:tc>
          <w:tcPr>
            <w:tcW w:w="2800" w:type="dxa"/>
            <w:vAlign w:val="bottom"/>
          </w:tcPr>
          <w:p>
            <w:pPr>
              <w:spacing w:after="0"/>
              <w:rPr>
                <w:sz w:val="20"/>
                <w:szCs w:val="20"/>
                <w:color w:val="auto"/>
              </w:rPr>
            </w:pPr>
            <w:r>
              <w:rPr>
                <w:rFonts w:ascii="Arial" w:cs="Arial" w:eastAsia="Arial" w:hAnsi="Arial"/>
                <w:sz w:val="18"/>
                <w:szCs w:val="18"/>
                <w:color w:val="auto"/>
              </w:rPr>
              <w:t>Expected volatility (%)</w:t>
            </w:r>
          </w:p>
        </w:tc>
        <w:tc>
          <w:tcPr>
            <w:tcW w:w="6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40" w:type="dxa"/>
            <w:vAlign w:val="bottom"/>
            <w:gridSpan w:val="2"/>
          </w:tcPr>
          <w:p>
            <w:pPr>
              <w:jc w:val="right"/>
              <w:ind w:right="360"/>
              <w:spacing w:after="0"/>
              <w:rPr>
                <w:sz w:val="20"/>
                <w:szCs w:val="20"/>
                <w:color w:val="auto"/>
              </w:rPr>
            </w:pPr>
            <w:r>
              <w:rPr>
                <w:rFonts w:ascii="Arial" w:cs="Arial" w:eastAsia="Arial" w:hAnsi="Arial"/>
                <w:sz w:val="18"/>
                <w:szCs w:val="18"/>
                <w:color w:val="auto"/>
              </w:rPr>
              <w:t>90%</w:t>
            </w:r>
          </w:p>
        </w:tc>
        <w:tc>
          <w:tcPr>
            <w:tcW w:w="3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40" w:type="dxa"/>
            <w:vAlign w:val="bottom"/>
            <w:gridSpan w:val="2"/>
          </w:tcPr>
          <w:p>
            <w:pPr>
              <w:jc w:val="right"/>
              <w:ind w:right="360"/>
              <w:spacing w:after="0"/>
              <w:rPr>
                <w:sz w:val="20"/>
                <w:szCs w:val="20"/>
                <w:color w:val="auto"/>
              </w:rPr>
            </w:pPr>
            <w:r>
              <w:rPr>
                <w:rFonts w:ascii="Arial" w:cs="Arial" w:eastAsia="Arial" w:hAnsi="Arial"/>
                <w:sz w:val="18"/>
                <w:szCs w:val="18"/>
                <w:color w:val="auto"/>
              </w:rPr>
              <w:t>90%</w:t>
            </w:r>
          </w:p>
        </w:tc>
        <w:tc>
          <w:tcPr>
            <w:tcW w:w="3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60" w:type="dxa"/>
            <w:vAlign w:val="bottom"/>
            <w:gridSpan w:val="2"/>
          </w:tcPr>
          <w:p>
            <w:pPr>
              <w:jc w:val="right"/>
              <w:ind w:right="380"/>
              <w:spacing w:after="0"/>
              <w:rPr>
                <w:sz w:val="20"/>
                <w:szCs w:val="20"/>
                <w:color w:val="auto"/>
              </w:rPr>
            </w:pPr>
            <w:r>
              <w:rPr>
                <w:rFonts w:ascii="Arial" w:cs="Arial" w:eastAsia="Arial" w:hAnsi="Arial"/>
                <w:sz w:val="18"/>
                <w:szCs w:val="18"/>
                <w:color w:val="auto"/>
              </w:rPr>
              <w:t>90%</w:t>
            </w:r>
          </w:p>
        </w:tc>
        <w:tc>
          <w:tcPr>
            <w:tcW w:w="3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gridSpan w:val="2"/>
          </w:tcPr>
          <w:p>
            <w:pPr>
              <w:jc w:val="right"/>
              <w:ind w:right="60"/>
              <w:spacing w:after="0"/>
              <w:rPr>
                <w:sz w:val="20"/>
                <w:szCs w:val="20"/>
                <w:color w:val="auto"/>
              </w:rPr>
            </w:pPr>
            <w:r>
              <w:rPr>
                <w:rFonts w:ascii="Arial" w:cs="Arial" w:eastAsia="Arial" w:hAnsi="Arial"/>
                <w:sz w:val="18"/>
                <w:szCs w:val="18"/>
                <w:color w:val="auto"/>
              </w:rPr>
              <w:t>90%</w:t>
            </w:r>
          </w:p>
        </w:tc>
      </w:tr>
      <w:tr>
        <w:trPr>
          <w:trHeight w:val="216"/>
        </w:trPr>
        <w:tc>
          <w:tcPr>
            <w:tcW w:w="20" w:type="dxa"/>
            <w:vAlign w:val="bottom"/>
          </w:tcPr>
          <w:p>
            <w:pPr>
              <w:spacing w:after="0"/>
              <w:rPr>
                <w:sz w:val="18"/>
                <w:szCs w:val="18"/>
                <w:color w:val="auto"/>
              </w:rPr>
            </w:pPr>
          </w:p>
        </w:tc>
        <w:tc>
          <w:tcPr>
            <w:tcW w:w="2800" w:type="dxa"/>
            <w:vAlign w:val="bottom"/>
            <w:shd w:val="clear" w:color="auto" w:fill="CCEEFF"/>
          </w:tcPr>
          <w:p>
            <w:pPr>
              <w:spacing w:after="0"/>
              <w:rPr>
                <w:sz w:val="20"/>
                <w:szCs w:val="20"/>
                <w:color w:val="auto"/>
              </w:rPr>
            </w:pPr>
            <w:r>
              <w:rPr>
                <w:rFonts w:ascii="Arial" w:cs="Arial" w:eastAsia="Arial" w:hAnsi="Arial"/>
                <w:sz w:val="18"/>
                <w:szCs w:val="18"/>
                <w:color w:val="auto"/>
              </w:rPr>
              <w:t>Risk-free interest rate (%)</w:t>
            </w:r>
          </w:p>
        </w:tc>
        <w:tc>
          <w:tcPr>
            <w:tcW w:w="6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2.65%</w:t>
            </w:r>
          </w:p>
        </w:tc>
        <w:tc>
          <w:tcPr>
            <w:tcW w:w="3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2.65%</w:t>
            </w:r>
          </w:p>
        </w:tc>
        <w:tc>
          <w:tcPr>
            <w:tcW w:w="3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2.65%</w:t>
            </w:r>
          </w:p>
        </w:tc>
        <w:tc>
          <w:tcPr>
            <w:tcW w:w="3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2.65%</w:t>
            </w:r>
          </w:p>
        </w:tc>
      </w:tr>
      <w:tr>
        <w:trPr>
          <w:trHeight w:val="216"/>
        </w:trPr>
        <w:tc>
          <w:tcPr>
            <w:tcW w:w="20" w:type="dxa"/>
            <w:vAlign w:val="bottom"/>
          </w:tcPr>
          <w:p>
            <w:pPr>
              <w:spacing w:after="0"/>
              <w:rPr>
                <w:sz w:val="18"/>
                <w:szCs w:val="18"/>
                <w:color w:val="auto"/>
              </w:rPr>
            </w:pPr>
          </w:p>
        </w:tc>
        <w:tc>
          <w:tcPr>
            <w:tcW w:w="2800" w:type="dxa"/>
            <w:vAlign w:val="bottom"/>
          </w:tcPr>
          <w:p>
            <w:pPr>
              <w:spacing w:after="0"/>
              <w:rPr>
                <w:sz w:val="20"/>
                <w:szCs w:val="20"/>
                <w:color w:val="auto"/>
              </w:rPr>
            </w:pPr>
            <w:r>
              <w:rPr>
                <w:rFonts w:ascii="Arial" w:cs="Arial" w:eastAsia="Arial" w:hAnsi="Arial"/>
                <w:sz w:val="18"/>
                <w:szCs w:val="18"/>
                <w:color w:val="auto"/>
              </w:rPr>
              <w:t>Expected life of option (days)</w:t>
            </w:r>
          </w:p>
        </w:tc>
        <w:tc>
          <w:tcPr>
            <w:tcW w:w="6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3,650</w:t>
            </w:r>
          </w:p>
        </w:tc>
        <w:tc>
          <w:tcPr>
            <w:tcW w:w="5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3,650</w:t>
            </w:r>
          </w:p>
        </w:tc>
        <w:tc>
          <w:tcPr>
            <w:tcW w:w="5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3,650</w:t>
            </w:r>
          </w:p>
        </w:tc>
        <w:tc>
          <w:tcPr>
            <w:tcW w:w="5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3,650</w:t>
            </w:r>
          </w:p>
        </w:tc>
        <w:tc>
          <w:tcPr>
            <w:tcW w:w="2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2800" w:type="dxa"/>
            <w:vAlign w:val="bottom"/>
            <w:shd w:val="clear" w:color="auto" w:fill="CCEEFF"/>
          </w:tcPr>
          <w:p>
            <w:pPr>
              <w:spacing w:after="0"/>
              <w:rPr>
                <w:sz w:val="20"/>
                <w:szCs w:val="20"/>
                <w:color w:val="auto"/>
              </w:rPr>
            </w:pPr>
            <w:r>
              <w:rPr>
                <w:rFonts w:ascii="Arial" w:cs="Arial" w:eastAsia="Arial" w:hAnsi="Arial"/>
                <w:sz w:val="18"/>
                <w:szCs w:val="18"/>
                <w:color w:val="auto"/>
              </w:rPr>
              <w:t>Fair value at date of grant</w:t>
            </w:r>
          </w:p>
        </w:tc>
        <w:tc>
          <w:tcPr>
            <w:tcW w:w="900" w:type="dxa"/>
            <w:vAlign w:val="bottom"/>
            <w:gridSpan w:val="2"/>
            <w:shd w:val="clear" w:color="auto" w:fill="CCEEFF"/>
          </w:tcPr>
          <w:p>
            <w:pPr>
              <w:ind w:left="680"/>
              <w:spacing w:after="0"/>
              <w:rPr>
                <w:sz w:val="20"/>
                <w:szCs w:val="20"/>
                <w:color w:val="auto"/>
              </w:rPr>
            </w:pPr>
            <w:r>
              <w:rPr>
                <w:rFonts w:ascii="Arial" w:cs="Arial" w:eastAsia="Arial" w:hAnsi="Arial"/>
                <w:sz w:val="18"/>
                <w:szCs w:val="18"/>
                <w:color w:val="auto"/>
                <w:w w:val="90"/>
              </w:rPr>
              <w:t>A$</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0.0587</w:t>
            </w:r>
          </w:p>
        </w:tc>
        <w:tc>
          <w:tcPr>
            <w:tcW w:w="5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w w:val="90"/>
              </w:rPr>
              <w:t>A$</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0.0641</w:t>
            </w:r>
          </w:p>
        </w:tc>
        <w:tc>
          <w:tcPr>
            <w:tcW w:w="5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w w:val="90"/>
              </w:rPr>
              <w:t>A$</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0683</w:t>
            </w:r>
          </w:p>
        </w:tc>
        <w:tc>
          <w:tcPr>
            <w:tcW w:w="520" w:type="dxa"/>
            <w:vAlign w:val="bottom"/>
            <w:shd w:val="clear" w:color="auto" w:fill="CCEEFF"/>
          </w:tcPr>
          <w:p>
            <w:pPr>
              <w:spacing w:after="0"/>
              <w:rPr>
                <w:sz w:val="18"/>
                <w:szCs w:val="18"/>
                <w:color w:val="auto"/>
              </w:rPr>
            </w:pPr>
          </w:p>
        </w:tc>
        <w:tc>
          <w:tcPr>
            <w:tcW w:w="58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w w:val="90"/>
              </w:rPr>
              <w:t>A$</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0.0716</w:t>
            </w:r>
          </w:p>
        </w:tc>
        <w:tc>
          <w:tcPr>
            <w:tcW w:w="200" w:type="dxa"/>
            <w:vAlign w:val="bottom"/>
            <w:shd w:val="clear" w:color="auto" w:fill="CCEEFF"/>
          </w:tcPr>
          <w:p>
            <w:pPr>
              <w:spacing w:after="0"/>
              <w:rPr>
                <w:sz w:val="18"/>
                <w:szCs w:val="18"/>
                <w:color w:val="auto"/>
              </w:rPr>
            </w:pPr>
          </w:p>
        </w:tc>
      </w:tr>
      <w:tr>
        <w:trPr>
          <w:trHeight w:val="230"/>
        </w:trPr>
        <w:tc>
          <w:tcPr>
            <w:tcW w:w="20" w:type="dxa"/>
            <w:vAlign w:val="bottom"/>
          </w:tcPr>
          <w:p>
            <w:pPr>
              <w:spacing w:after="0"/>
              <w:rPr>
                <w:sz w:val="20"/>
                <w:szCs w:val="20"/>
                <w:color w:val="auto"/>
              </w:rPr>
            </w:pPr>
          </w:p>
        </w:tc>
        <w:tc>
          <w:tcPr>
            <w:tcW w:w="2800" w:type="dxa"/>
            <w:vAlign w:val="bottom"/>
          </w:tcPr>
          <w:p>
            <w:pPr>
              <w:spacing w:after="0"/>
              <w:rPr>
                <w:sz w:val="20"/>
                <w:szCs w:val="20"/>
                <w:color w:val="auto"/>
              </w:rPr>
            </w:pPr>
            <w:r>
              <w:rPr>
                <w:rFonts w:ascii="Arial" w:cs="Arial" w:eastAsia="Arial" w:hAnsi="Arial"/>
                <w:sz w:val="18"/>
                <w:szCs w:val="18"/>
                <w:color w:val="auto"/>
              </w:rPr>
              <w:t>Option exercise price (A$)</w:t>
            </w:r>
          </w:p>
        </w:tc>
        <w:tc>
          <w:tcPr>
            <w:tcW w:w="900" w:type="dxa"/>
            <w:vAlign w:val="bottom"/>
            <w:gridSpan w:val="2"/>
          </w:tcPr>
          <w:p>
            <w:pPr>
              <w:ind w:left="680"/>
              <w:spacing w:after="0"/>
              <w:rPr>
                <w:sz w:val="20"/>
                <w:szCs w:val="20"/>
                <w:color w:val="auto"/>
              </w:rPr>
            </w:pPr>
            <w:r>
              <w:rPr>
                <w:rFonts w:ascii="Arial" w:cs="Arial" w:eastAsia="Arial" w:hAnsi="Arial"/>
                <w:sz w:val="18"/>
                <w:szCs w:val="18"/>
                <w:color w:val="auto"/>
                <w:w w:val="90"/>
              </w:rPr>
              <w:t>A$</w:t>
            </w:r>
          </w:p>
        </w:tc>
        <w:tc>
          <w:tcPr>
            <w:tcW w:w="740" w:type="dxa"/>
            <w:vAlign w:val="bottom"/>
          </w:tcPr>
          <w:p>
            <w:pPr>
              <w:jc w:val="right"/>
              <w:spacing w:after="0"/>
              <w:rPr>
                <w:sz w:val="20"/>
                <w:szCs w:val="20"/>
                <w:color w:val="auto"/>
              </w:rPr>
            </w:pPr>
            <w:r>
              <w:rPr>
                <w:rFonts w:ascii="Arial" w:cs="Arial" w:eastAsia="Arial" w:hAnsi="Arial"/>
                <w:sz w:val="18"/>
                <w:szCs w:val="18"/>
                <w:color w:val="auto"/>
              </w:rPr>
              <w:t>0.089</w:t>
            </w:r>
          </w:p>
        </w:tc>
        <w:tc>
          <w:tcPr>
            <w:tcW w:w="500" w:type="dxa"/>
            <w:vAlign w:val="bottom"/>
          </w:tcPr>
          <w:p>
            <w:pPr>
              <w:spacing w:after="0"/>
              <w:rPr>
                <w:sz w:val="20"/>
                <w:szCs w:val="20"/>
                <w:color w:val="auto"/>
              </w:rPr>
            </w:pPr>
          </w:p>
        </w:tc>
        <w:tc>
          <w:tcPr>
            <w:tcW w:w="580" w:type="dxa"/>
            <w:vAlign w:val="bottom"/>
            <w:gridSpan w:val="2"/>
          </w:tcPr>
          <w:p>
            <w:pPr>
              <w:ind w:left="360"/>
              <w:spacing w:after="0"/>
              <w:rPr>
                <w:sz w:val="20"/>
                <w:szCs w:val="20"/>
                <w:color w:val="auto"/>
              </w:rPr>
            </w:pPr>
            <w:r>
              <w:rPr>
                <w:rFonts w:ascii="Arial" w:cs="Arial" w:eastAsia="Arial" w:hAnsi="Arial"/>
                <w:sz w:val="18"/>
                <w:szCs w:val="18"/>
                <w:color w:val="auto"/>
                <w:w w:val="90"/>
              </w:rPr>
              <w:t>A$</w:t>
            </w:r>
          </w:p>
        </w:tc>
        <w:tc>
          <w:tcPr>
            <w:tcW w:w="740" w:type="dxa"/>
            <w:vAlign w:val="bottom"/>
          </w:tcPr>
          <w:p>
            <w:pPr>
              <w:jc w:val="right"/>
              <w:spacing w:after="0"/>
              <w:rPr>
                <w:sz w:val="20"/>
                <w:szCs w:val="20"/>
                <w:color w:val="auto"/>
              </w:rPr>
            </w:pPr>
            <w:r>
              <w:rPr>
                <w:rFonts w:ascii="Arial" w:cs="Arial" w:eastAsia="Arial" w:hAnsi="Arial"/>
                <w:sz w:val="18"/>
                <w:szCs w:val="18"/>
                <w:color w:val="auto"/>
              </w:rPr>
              <w:t>0.089</w:t>
            </w:r>
          </w:p>
        </w:tc>
        <w:tc>
          <w:tcPr>
            <w:tcW w:w="500" w:type="dxa"/>
            <w:vAlign w:val="bottom"/>
          </w:tcPr>
          <w:p>
            <w:pPr>
              <w:spacing w:after="0"/>
              <w:rPr>
                <w:sz w:val="20"/>
                <w:szCs w:val="20"/>
                <w:color w:val="auto"/>
              </w:rPr>
            </w:pPr>
          </w:p>
        </w:tc>
        <w:tc>
          <w:tcPr>
            <w:tcW w:w="580" w:type="dxa"/>
            <w:vAlign w:val="bottom"/>
            <w:gridSpan w:val="2"/>
          </w:tcPr>
          <w:p>
            <w:pPr>
              <w:ind w:left="360"/>
              <w:spacing w:after="0"/>
              <w:rPr>
                <w:sz w:val="20"/>
                <w:szCs w:val="20"/>
                <w:color w:val="auto"/>
              </w:rPr>
            </w:pPr>
            <w:r>
              <w:rPr>
                <w:rFonts w:ascii="Arial" w:cs="Arial" w:eastAsia="Arial" w:hAnsi="Arial"/>
                <w:sz w:val="18"/>
                <w:szCs w:val="18"/>
                <w:color w:val="auto"/>
                <w:w w:val="90"/>
              </w:rPr>
              <w:t>A$</w:t>
            </w:r>
          </w:p>
        </w:tc>
        <w:tc>
          <w:tcPr>
            <w:tcW w:w="740" w:type="dxa"/>
            <w:vAlign w:val="bottom"/>
          </w:tcPr>
          <w:p>
            <w:pPr>
              <w:jc w:val="right"/>
              <w:spacing w:after="0"/>
              <w:rPr>
                <w:sz w:val="20"/>
                <w:szCs w:val="20"/>
                <w:color w:val="auto"/>
              </w:rPr>
            </w:pPr>
            <w:r>
              <w:rPr>
                <w:rFonts w:ascii="Arial" w:cs="Arial" w:eastAsia="Arial" w:hAnsi="Arial"/>
                <w:sz w:val="18"/>
                <w:szCs w:val="18"/>
                <w:color w:val="auto"/>
              </w:rPr>
              <w:t>0.089</w:t>
            </w:r>
          </w:p>
        </w:tc>
        <w:tc>
          <w:tcPr>
            <w:tcW w:w="520" w:type="dxa"/>
            <w:vAlign w:val="bottom"/>
          </w:tcPr>
          <w:p>
            <w:pPr>
              <w:spacing w:after="0"/>
              <w:rPr>
                <w:sz w:val="20"/>
                <w:szCs w:val="20"/>
                <w:color w:val="auto"/>
              </w:rPr>
            </w:pPr>
          </w:p>
        </w:tc>
        <w:tc>
          <w:tcPr>
            <w:tcW w:w="580" w:type="dxa"/>
            <w:vAlign w:val="bottom"/>
            <w:gridSpan w:val="2"/>
          </w:tcPr>
          <w:p>
            <w:pPr>
              <w:ind w:left="360"/>
              <w:spacing w:after="0"/>
              <w:rPr>
                <w:sz w:val="20"/>
                <w:szCs w:val="20"/>
                <w:color w:val="auto"/>
              </w:rPr>
            </w:pPr>
            <w:r>
              <w:rPr>
                <w:rFonts w:ascii="Arial" w:cs="Arial" w:eastAsia="Arial" w:hAnsi="Arial"/>
                <w:sz w:val="18"/>
                <w:szCs w:val="18"/>
                <w:color w:val="auto"/>
                <w:w w:val="90"/>
              </w:rPr>
              <w:t>A$</w:t>
            </w:r>
          </w:p>
        </w:tc>
        <w:tc>
          <w:tcPr>
            <w:tcW w:w="740" w:type="dxa"/>
            <w:vAlign w:val="bottom"/>
          </w:tcPr>
          <w:p>
            <w:pPr>
              <w:jc w:val="right"/>
              <w:spacing w:after="0"/>
              <w:rPr>
                <w:sz w:val="20"/>
                <w:szCs w:val="20"/>
                <w:color w:val="auto"/>
              </w:rPr>
            </w:pPr>
            <w:r>
              <w:rPr>
                <w:rFonts w:ascii="Arial" w:cs="Arial" w:eastAsia="Arial" w:hAnsi="Arial"/>
                <w:sz w:val="18"/>
                <w:szCs w:val="18"/>
                <w:color w:val="auto"/>
              </w:rPr>
              <w:t>0.089</w:t>
            </w:r>
          </w:p>
        </w:tc>
        <w:tc>
          <w:tcPr>
            <w:tcW w:w="200" w:type="dxa"/>
            <w:vAlign w:val="bottom"/>
          </w:tcPr>
          <w:p>
            <w:pPr>
              <w:spacing w:after="0"/>
              <w:rPr>
                <w:sz w:val="20"/>
                <w:szCs w:val="20"/>
                <w:color w:val="auto"/>
              </w:rPr>
            </w:pPr>
          </w:p>
        </w:tc>
      </w:tr>
    </w:tbl>
    <w:p>
      <w:pPr>
        <w:spacing w:after="0" w:line="187" w:lineRule="exact"/>
        <w:rPr>
          <w:sz w:val="20"/>
          <w:szCs w:val="20"/>
          <w:color w:val="auto"/>
        </w:rPr>
      </w:pPr>
    </w:p>
    <w:p>
      <w:pPr>
        <w:ind w:left="200" w:right="600" w:firstLine="4"/>
        <w:spacing w:after="0" w:line="511" w:lineRule="auto"/>
        <w:tabs>
          <w:tab w:leader="none" w:pos="395" w:val="left"/>
        </w:tabs>
        <w:numPr>
          <w:ilvl w:val="0"/>
          <w:numId w:val="223"/>
        </w:numPr>
        <w:rPr>
          <w:rFonts w:ascii="Arial" w:cs="Arial" w:eastAsia="Arial" w:hAnsi="Arial"/>
          <w:sz w:val="18"/>
          <w:szCs w:val="18"/>
          <w:color w:val="auto"/>
        </w:rPr>
      </w:pPr>
      <w:r>
        <w:rPr>
          <w:rFonts w:ascii="Arial" w:cs="Arial" w:eastAsia="Arial" w:hAnsi="Arial"/>
          <w:sz w:val="18"/>
          <w:szCs w:val="18"/>
          <w:color w:val="auto"/>
        </w:rPr>
        <w:t>On November 30, 2018, 24,851,250 options were granted to employees at an exercise price of A$0.082 expiring on November 30, 2028. The following table lists the inputs to the models used for the options granted to employees.</w:t>
      </w:r>
    </w:p>
    <w:p>
      <w:pPr>
        <w:spacing w:after="0" w:line="2" w:lineRule="exact"/>
        <w:rPr>
          <w:sz w:val="20"/>
          <w:szCs w:val="20"/>
          <w:color w:val="auto"/>
        </w:rPr>
      </w:pPr>
    </w:p>
    <w:tbl>
      <w:tblPr>
        <w:tblLayout w:type="fixed"/>
        <w:tblInd w:w="64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28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440" w:type="dxa"/>
            <w:vAlign w:val="bottom"/>
            <w:gridSpan w:val="3"/>
          </w:tcPr>
          <w:p>
            <w:pPr>
              <w:jc w:val="right"/>
              <w:ind w:right="660"/>
              <w:spacing w:after="0"/>
              <w:rPr>
                <w:sz w:val="20"/>
                <w:szCs w:val="20"/>
                <w:color w:val="auto"/>
              </w:rPr>
            </w:pPr>
            <w:r>
              <w:rPr>
                <w:rFonts w:ascii="Arial" w:cs="Arial" w:eastAsia="Arial" w:hAnsi="Arial"/>
                <w:sz w:val="14"/>
                <w:szCs w:val="14"/>
                <w:b w:val="1"/>
                <w:bCs w:val="1"/>
                <w:color w:val="auto"/>
              </w:rPr>
              <w:t>Tranche 1</w:t>
            </w:r>
          </w:p>
        </w:tc>
        <w:tc>
          <w:tcPr>
            <w:tcW w:w="340" w:type="dxa"/>
            <w:vAlign w:val="bottom"/>
          </w:tcPr>
          <w:p>
            <w:pPr>
              <w:spacing w:after="0"/>
              <w:rPr>
                <w:sz w:val="14"/>
                <w:szCs w:val="14"/>
                <w:color w:val="auto"/>
              </w:rPr>
            </w:pPr>
          </w:p>
        </w:tc>
        <w:tc>
          <w:tcPr>
            <w:tcW w:w="1440" w:type="dxa"/>
            <w:vAlign w:val="bottom"/>
            <w:gridSpan w:val="3"/>
          </w:tcPr>
          <w:p>
            <w:pPr>
              <w:jc w:val="right"/>
              <w:ind w:right="660"/>
              <w:spacing w:after="0"/>
              <w:rPr>
                <w:sz w:val="20"/>
                <w:szCs w:val="20"/>
                <w:color w:val="auto"/>
              </w:rPr>
            </w:pPr>
            <w:r>
              <w:rPr>
                <w:rFonts w:ascii="Arial" w:cs="Arial" w:eastAsia="Arial" w:hAnsi="Arial"/>
                <w:sz w:val="14"/>
                <w:szCs w:val="14"/>
                <w:b w:val="1"/>
                <w:bCs w:val="1"/>
                <w:color w:val="auto"/>
              </w:rPr>
              <w:t>Tranche 2</w:t>
            </w:r>
          </w:p>
        </w:tc>
        <w:tc>
          <w:tcPr>
            <w:tcW w:w="340" w:type="dxa"/>
            <w:vAlign w:val="bottom"/>
          </w:tcPr>
          <w:p>
            <w:pPr>
              <w:spacing w:after="0"/>
              <w:rPr>
                <w:sz w:val="14"/>
                <w:szCs w:val="14"/>
                <w:color w:val="auto"/>
              </w:rPr>
            </w:pPr>
          </w:p>
        </w:tc>
        <w:tc>
          <w:tcPr>
            <w:tcW w:w="1460" w:type="dxa"/>
            <w:vAlign w:val="bottom"/>
            <w:gridSpan w:val="3"/>
          </w:tcPr>
          <w:p>
            <w:pPr>
              <w:jc w:val="right"/>
              <w:ind w:right="680"/>
              <w:spacing w:after="0"/>
              <w:rPr>
                <w:sz w:val="20"/>
                <w:szCs w:val="20"/>
                <w:color w:val="auto"/>
              </w:rPr>
            </w:pPr>
            <w:r>
              <w:rPr>
                <w:rFonts w:ascii="Arial" w:cs="Arial" w:eastAsia="Arial" w:hAnsi="Arial"/>
                <w:sz w:val="14"/>
                <w:szCs w:val="14"/>
                <w:b w:val="1"/>
                <w:bCs w:val="1"/>
                <w:color w:val="auto"/>
              </w:rPr>
              <w:t>Tranche 3</w:t>
            </w:r>
          </w:p>
        </w:tc>
        <w:tc>
          <w:tcPr>
            <w:tcW w:w="340" w:type="dxa"/>
            <w:vAlign w:val="bottom"/>
          </w:tcPr>
          <w:p>
            <w:pPr>
              <w:spacing w:after="0"/>
              <w:rPr>
                <w:sz w:val="14"/>
                <w:szCs w:val="14"/>
                <w:color w:val="auto"/>
              </w:rPr>
            </w:pPr>
          </w:p>
        </w:tc>
        <w:tc>
          <w:tcPr>
            <w:tcW w:w="1160" w:type="dxa"/>
            <w:vAlign w:val="bottom"/>
            <w:gridSpan w:val="3"/>
          </w:tcPr>
          <w:p>
            <w:pPr>
              <w:jc w:val="right"/>
              <w:ind w:right="380"/>
              <w:spacing w:after="0"/>
              <w:rPr>
                <w:sz w:val="20"/>
                <w:szCs w:val="20"/>
                <w:color w:val="auto"/>
              </w:rPr>
            </w:pPr>
            <w:r>
              <w:rPr>
                <w:rFonts w:ascii="Arial" w:cs="Arial" w:eastAsia="Arial" w:hAnsi="Arial"/>
                <w:sz w:val="14"/>
                <w:szCs w:val="14"/>
                <w:b w:val="1"/>
                <w:bCs w:val="1"/>
                <w:color w:val="auto"/>
              </w:rPr>
              <w:t>Tranche 4</w:t>
            </w:r>
          </w:p>
        </w:tc>
      </w:tr>
      <w:tr>
        <w:trPr>
          <w:trHeight w:val="210"/>
        </w:trPr>
        <w:tc>
          <w:tcPr>
            <w:tcW w:w="20" w:type="dxa"/>
            <w:vAlign w:val="bottom"/>
          </w:tcPr>
          <w:p>
            <w:pPr>
              <w:spacing w:after="0"/>
              <w:rPr>
                <w:sz w:val="18"/>
                <w:szCs w:val="18"/>
                <w:color w:val="auto"/>
              </w:rPr>
            </w:pPr>
          </w:p>
        </w:tc>
        <w:tc>
          <w:tcPr>
            <w:tcW w:w="28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Grant date</w:t>
            </w:r>
          </w:p>
        </w:tc>
        <w:tc>
          <w:tcPr>
            <w:tcW w:w="74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11/1/2018</w:t>
            </w:r>
          </w:p>
        </w:tc>
        <w:tc>
          <w:tcPr>
            <w:tcW w:w="48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11/1/2018</w:t>
            </w:r>
          </w:p>
        </w:tc>
        <w:tc>
          <w:tcPr>
            <w:tcW w:w="48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11/1/2018</w:t>
            </w:r>
          </w:p>
        </w:tc>
        <w:tc>
          <w:tcPr>
            <w:tcW w:w="50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11/1/2018</w:t>
            </w:r>
          </w:p>
        </w:tc>
        <w:tc>
          <w:tcPr>
            <w:tcW w:w="200" w:type="dxa"/>
            <w:vAlign w:val="bottom"/>
            <w:tcBorders>
              <w:top w:val="single" w:sz="8" w:color="CCEEFF"/>
            </w:tcBorders>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2860" w:type="dxa"/>
            <w:vAlign w:val="bottom"/>
          </w:tcPr>
          <w:p>
            <w:pPr>
              <w:spacing w:after="0"/>
              <w:rPr>
                <w:sz w:val="20"/>
                <w:szCs w:val="20"/>
                <w:color w:val="auto"/>
              </w:rPr>
            </w:pPr>
            <w:r>
              <w:rPr>
                <w:rFonts w:ascii="Arial" w:cs="Arial" w:eastAsia="Arial" w:hAnsi="Arial"/>
                <w:sz w:val="18"/>
                <w:szCs w:val="18"/>
                <w:color w:val="auto"/>
              </w:rPr>
              <w:t>Share price at date of grant</w:t>
            </w:r>
          </w:p>
        </w:tc>
        <w:tc>
          <w:tcPr>
            <w:tcW w:w="960" w:type="dxa"/>
            <w:vAlign w:val="bottom"/>
            <w:gridSpan w:val="2"/>
          </w:tcPr>
          <w:p>
            <w:pPr>
              <w:ind w:left="740"/>
              <w:spacing w:after="0"/>
              <w:rPr>
                <w:sz w:val="20"/>
                <w:szCs w:val="20"/>
                <w:color w:val="auto"/>
              </w:rPr>
            </w:pPr>
            <w:r>
              <w:rPr>
                <w:rFonts w:ascii="Arial" w:cs="Arial" w:eastAsia="Arial" w:hAnsi="Arial"/>
                <w:sz w:val="18"/>
                <w:szCs w:val="18"/>
                <w:color w:val="auto"/>
                <w:w w:val="90"/>
              </w:rPr>
              <w:t>A$</w:t>
            </w:r>
          </w:p>
        </w:tc>
        <w:tc>
          <w:tcPr>
            <w:tcW w:w="740" w:type="dxa"/>
            <w:vAlign w:val="bottom"/>
          </w:tcPr>
          <w:p>
            <w:pPr>
              <w:jc w:val="right"/>
              <w:spacing w:after="0"/>
              <w:rPr>
                <w:sz w:val="20"/>
                <w:szCs w:val="20"/>
                <w:color w:val="auto"/>
              </w:rPr>
            </w:pPr>
            <w:r>
              <w:rPr>
                <w:rFonts w:ascii="Arial" w:cs="Arial" w:eastAsia="Arial" w:hAnsi="Arial"/>
                <w:sz w:val="18"/>
                <w:szCs w:val="18"/>
                <w:color w:val="auto"/>
              </w:rPr>
              <w:t>0.082</w:t>
            </w:r>
          </w:p>
        </w:tc>
        <w:tc>
          <w:tcPr>
            <w:tcW w:w="480" w:type="dxa"/>
            <w:vAlign w:val="bottom"/>
          </w:tcPr>
          <w:p>
            <w:pPr>
              <w:spacing w:after="0"/>
              <w:rPr>
                <w:sz w:val="18"/>
                <w:szCs w:val="18"/>
                <w:color w:val="auto"/>
              </w:rPr>
            </w:pPr>
          </w:p>
        </w:tc>
        <w:tc>
          <w:tcPr>
            <w:tcW w:w="560" w:type="dxa"/>
            <w:vAlign w:val="bottom"/>
            <w:gridSpan w:val="2"/>
          </w:tcPr>
          <w:p>
            <w:pPr>
              <w:ind w:left="340"/>
              <w:spacing w:after="0"/>
              <w:rPr>
                <w:sz w:val="20"/>
                <w:szCs w:val="20"/>
                <w:color w:val="auto"/>
              </w:rPr>
            </w:pPr>
            <w:r>
              <w:rPr>
                <w:rFonts w:ascii="Arial" w:cs="Arial" w:eastAsia="Arial" w:hAnsi="Arial"/>
                <w:sz w:val="18"/>
                <w:szCs w:val="18"/>
                <w:color w:val="auto"/>
                <w:w w:val="90"/>
              </w:rPr>
              <w:t>A$</w:t>
            </w:r>
          </w:p>
        </w:tc>
        <w:tc>
          <w:tcPr>
            <w:tcW w:w="740" w:type="dxa"/>
            <w:vAlign w:val="bottom"/>
          </w:tcPr>
          <w:p>
            <w:pPr>
              <w:jc w:val="right"/>
              <w:spacing w:after="0"/>
              <w:rPr>
                <w:sz w:val="20"/>
                <w:szCs w:val="20"/>
                <w:color w:val="auto"/>
              </w:rPr>
            </w:pPr>
            <w:r>
              <w:rPr>
                <w:rFonts w:ascii="Arial" w:cs="Arial" w:eastAsia="Arial" w:hAnsi="Arial"/>
                <w:sz w:val="18"/>
                <w:szCs w:val="18"/>
                <w:color w:val="auto"/>
              </w:rPr>
              <w:t>0.082</w:t>
            </w:r>
          </w:p>
        </w:tc>
        <w:tc>
          <w:tcPr>
            <w:tcW w:w="480" w:type="dxa"/>
            <w:vAlign w:val="bottom"/>
          </w:tcPr>
          <w:p>
            <w:pPr>
              <w:spacing w:after="0"/>
              <w:rPr>
                <w:sz w:val="18"/>
                <w:szCs w:val="18"/>
                <w:color w:val="auto"/>
              </w:rPr>
            </w:pPr>
          </w:p>
        </w:tc>
        <w:tc>
          <w:tcPr>
            <w:tcW w:w="560" w:type="dxa"/>
            <w:vAlign w:val="bottom"/>
            <w:gridSpan w:val="2"/>
          </w:tcPr>
          <w:p>
            <w:pPr>
              <w:ind w:left="340"/>
              <w:spacing w:after="0"/>
              <w:rPr>
                <w:sz w:val="20"/>
                <w:szCs w:val="20"/>
                <w:color w:val="auto"/>
              </w:rPr>
            </w:pPr>
            <w:r>
              <w:rPr>
                <w:rFonts w:ascii="Arial" w:cs="Arial" w:eastAsia="Arial" w:hAnsi="Arial"/>
                <w:sz w:val="18"/>
                <w:szCs w:val="18"/>
                <w:color w:val="auto"/>
                <w:w w:val="90"/>
              </w:rPr>
              <w:t>A$</w:t>
            </w:r>
          </w:p>
        </w:tc>
        <w:tc>
          <w:tcPr>
            <w:tcW w:w="740" w:type="dxa"/>
            <w:vAlign w:val="bottom"/>
          </w:tcPr>
          <w:p>
            <w:pPr>
              <w:jc w:val="right"/>
              <w:spacing w:after="0"/>
              <w:rPr>
                <w:sz w:val="20"/>
                <w:szCs w:val="20"/>
                <w:color w:val="auto"/>
              </w:rPr>
            </w:pPr>
            <w:r>
              <w:rPr>
                <w:rFonts w:ascii="Arial" w:cs="Arial" w:eastAsia="Arial" w:hAnsi="Arial"/>
                <w:sz w:val="18"/>
                <w:szCs w:val="18"/>
                <w:color w:val="auto"/>
              </w:rPr>
              <w:t>0.082</w:t>
            </w:r>
          </w:p>
        </w:tc>
        <w:tc>
          <w:tcPr>
            <w:tcW w:w="500" w:type="dxa"/>
            <w:vAlign w:val="bottom"/>
          </w:tcPr>
          <w:p>
            <w:pPr>
              <w:spacing w:after="0"/>
              <w:rPr>
                <w:sz w:val="18"/>
                <w:szCs w:val="18"/>
                <w:color w:val="auto"/>
              </w:rPr>
            </w:pPr>
          </w:p>
        </w:tc>
        <w:tc>
          <w:tcPr>
            <w:tcW w:w="560" w:type="dxa"/>
            <w:vAlign w:val="bottom"/>
            <w:gridSpan w:val="2"/>
          </w:tcPr>
          <w:p>
            <w:pPr>
              <w:ind w:left="340"/>
              <w:spacing w:after="0"/>
              <w:rPr>
                <w:sz w:val="20"/>
                <w:szCs w:val="20"/>
                <w:color w:val="auto"/>
              </w:rPr>
            </w:pPr>
            <w:r>
              <w:rPr>
                <w:rFonts w:ascii="Arial" w:cs="Arial" w:eastAsia="Arial" w:hAnsi="Arial"/>
                <w:sz w:val="18"/>
                <w:szCs w:val="18"/>
                <w:color w:val="auto"/>
                <w:w w:val="90"/>
              </w:rPr>
              <w:t>A$</w:t>
            </w:r>
          </w:p>
        </w:tc>
        <w:tc>
          <w:tcPr>
            <w:tcW w:w="740" w:type="dxa"/>
            <w:vAlign w:val="bottom"/>
          </w:tcPr>
          <w:p>
            <w:pPr>
              <w:jc w:val="right"/>
              <w:spacing w:after="0"/>
              <w:rPr>
                <w:sz w:val="20"/>
                <w:szCs w:val="20"/>
                <w:color w:val="auto"/>
              </w:rPr>
            </w:pPr>
            <w:r>
              <w:rPr>
                <w:rFonts w:ascii="Arial" w:cs="Arial" w:eastAsia="Arial" w:hAnsi="Arial"/>
                <w:sz w:val="18"/>
                <w:szCs w:val="18"/>
                <w:color w:val="auto"/>
              </w:rPr>
              <w:t>0.082</w:t>
            </w:r>
          </w:p>
        </w:tc>
        <w:tc>
          <w:tcPr>
            <w:tcW w:w="2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2860" w:type="dxa"/>
            <w:vAlign w:val="bottom"/>
            <w:shd w:val="clear" w:color="auto" w:fill="CCEEFF"/>
          </w:tcPr>
          <w:p>
            <w:pPr>
              <w:spacing w:after="0"/>
              <w:rPr>
                <w:sz w:val="20"/>
                <w:szCs w:val="20"/>
                <w:color w:val="auto"/>
              </w:rPr>
            </w:pPr>
            <w:r>
              <w:rPr>
                <w:rFonts w:ascii="Arial" w:cs="Arial" w:eastAsia="Arial" w:hAnsi="Arial"/>
                <w:sz w:val="18"/>
                <w:szCs w:val="18"/>
                <w:color w:val="auto"/>
              </w:rPr>
              <w:t>Dividend yield (%)</w:t>
            </w:r>
          </w:p>
        </w:tc>
        <w:tc>
          <w:tcPr>
            <w:tcW w:w="7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0%</w:t>
            </w:r>
          </w:p>
        </w:tc>
        <w:tc>
          <w:tcPr>
            <w:tcW w:w="3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0%</w:t>
            </w:r>
          </w:p>
        </w:tc>
        <w:tc>
          <w:tcPr>
            <w:tcW w:w="3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0%</w:t>
            </w:r>
          </w:p>
        </w:tc>
        <w:tc>
          <w:tcPr>
            <w:tcW w:w="3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0%</w:t>
            </w:r>
          </w:p>
        </w:tc>
      </w:tr>
      <w:tr>
        <w:trPr>
          <w:trHeight w:val="216"/>
        </w:trPr>
        <w:tc>
          <w:tcPr>
            <w:tcW w:w="20" w:type="dxa"/>
            <w:vAlign w:val="bottom"/>
          </w:tcPr>
          <w:p>
            <w:pPr>
              <w:spacing w:after="0"/>
              <w:rPr>
                <w:sz w:val="18"/>
                <w:szCs w:val="18"/>
                <w:color w:val="auto"/>
              </w:rPr>
            </w:pPr>
          </w:p>
        </w:tc>
        <w:tc>
          <w:tcPr>
            <w:tcW w:w="2860" w:type="dxa"/>
            <w:vAlign w:val="bottom"/>
          </w:tcPr>
          <w:p>
            <w:pPr>
              <w:spacing w:after="0"/>
              <w:rPr>
                <w:sz w:val="20"/>
                <w:szCs w:val="20"/>
                <w:color w:val="auto"/>
              </w:rPr>
            </w:pPr>
            <w:r>
              <w:rPr>
                <w:rFonts w:ascii="Arial" w:cs="Arial" w:eastAsia="Arial" w:hAnsi="Arial"/>
                <w:sz w:val="18"/>
                <w:szCs w:val="18"/>
                <w:color w:val="auto"/>
              </w:rPr>
              <w:t>Expected volatility (%)</w:t>
            </w:r>
          </w:p>
        </w:tc>
        <w:tc>
          <w:tcPr>
            <w:tcW w:w="7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20" w:type="dxa"/>
            <w:vAlign w:val="bottom"/>
            <w:gridSpan w:val="2"/>
          </w:tcPr>
          <w:p>
            <w:pPr>
              <w:jc w:val="right"/>
              <w:ind w:right="340"/>
              <w:spacing w:after="0"/>
              <w:rPr>
                <w:sz w:val="20"/>
                <w:szCs w:val="20"/>
                <w:color w:val="auto"/>
              </w:rPr>
            </w:pPr>
            <w:r>
              <w:rPr>
                <w:rFonts w:ascii="Arial" w:cs="Arial" w:eastAsia="Arial" w:hAnsi="Arial"/>
                <w:sz w:val="18"/>
                <w:szCs w:val="18"/>
                <w:color w:val="auto"/>
              </w:rPr>
              <w:t>90%</w:t>
            </w:r>
          </w:p>
        </w:tc>
        <w:tc>
          <w:tcPr>
            <w:tcW w:w="3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20" w:type="dxa"/>
            <w:vAlign w:val="bottom"/>
            <w:gridSpan w:val="2"/>
          </w:tcPr>
          <w:p>
            <w:pPr>
              <w:jc w:val="right"/>
              <w:ind w:right="340"/>
              <w:spacing w:after="0"/>
              <w:rPr>
                <w:sz w:val="20"/>
                <w:szCs w:val="20"/>
                <w:color w:val="auto"/>
              </w:rPr>
            </w:pPr>
            <w:r>
              <w:rPr>
                <w:rFonts w:ascii="Arial" w:cs="Arial" w:eastAsia="Arial" w:hAnsi="Arial"/>
                <w:sz w:val="18"/>
                <w:szCs w:val="18"/>
                <w:color w:val="auto"/>
              </w:rPr>
              <w:t>90%</w:t>
            </w:r>
          </w:p>
        </w:tc>
        <w:tc>
          <w:tcPr>
            <w:tcW w:w="3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40" w:type="dxa"/>
            <w:vAlign w:val="bottom"/>
            <w:gridSpan w:val="2"/>
          </w:tcPr>
          <w:p>
            <w:pPr>
              <w:jc w:val="right"/>
              <w:ind w:right="360"/>
              <w:spacing w:after="0"/>
              <w:rPr>
                <w:sz w:val="20"/>
                <w:szCs w:val="20"/>
                <w:color w:val="auto"/>
              </w:rPr>
            </w:pPr>
            <w:r>
              <w:rPr>
                <w:rFonts w:ascii="Arial" w:cs="Arial" w:eastAsia="Arial" w:hAnsi="Arial"/>
                <w:sz w:val="18"/>
                <w:szCs w:val="18"/>
                <w:color w:val="auto"/>
              </w:rPr>
              <w:t>90%</w:t>
            </w:r>
          </w:p>
        </w:tc>
        <w:tc>
          <w:tcPr>
            <w:tcW w:w="3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gridSpan w:val="2"/>
          </w:tcPr>
          <w:p>
            <w:pPr>
              <w:jc w:val="right"/>
              <w:ind w:right="60"/>
              <w:spacing w:after="0"/>
              <w:rPr>
                <w:sz w:val="20"/>
                <w:szCs w:val="20"/>
                <w:color w:val="auto"/>
              </w:rPr>
            </w:pPr>
            <w:r>
              <w:rPr>
                <w:rFonts w:ascii="Arial" w:cs="Arial" w:eastAsia="Arial" w:hAnsi="Arial"/>
                <w:sz w:val="18"/>
                <w:szCs w:val="18"/>
                <w:color w:val="auto"/>
              </w:rPr>
              <w:t>90%</w:t>
            </w:r>
          </w:p>
        </w:tc>
      </w:tr>
      <w:tr>
        <w:trPr>
          <w:trHeight w:val="216"/>
        </w:trPr>
        <w:tc>
          <w:tcPr>
            <w:tcW w:w="20" w:type="dxa"/>
            <w:vAlign w:val="bottom"/>
          </w:tcPr>
          <w:p>
            <w:pPr>
              <w:spacing w:after="0"/>
              <w:rPr>
                <w:sz w:val="18"/>
                <w:szCs w:val="18"/>
                <w:color w:val="auto"/>
              </w:rPr>
            </w:pPr>
          </w:p>
        </w:tc>
        <w:tc>
          <w:tcPr>
            <w:tcW w:w="2860" w:type="dxa"/>
            <w:vAlign w:val="bottom"/>
            <w:shd w:val="clear" w:color="auto" w:fill="CCEEFF"/>
          </w:tcPr>
          <w:p>
            <w:pPr>
              <w:spacing w:after="0"/>
              <w:rPr>
                <w:sz w:val="20"/>
                <w:szCs w:val="20"/>
                <w:color w:val="auto"/>
              </w:rPr>
            </w:pPr>
            <w:r>
              <w:rPr>
                <w:rFonts w:ascii="Arial" w:cs="Arial" w:eastAsia="Arial" w:hAnsi="Arial"/>
                <w:sz w:val="18"/>
                <w:szCs w:val="18"/>
                <w:color w:val="auto"/>
              </w:rPr>
              <w:t>Risk-free interest rate (%)</w:t>
            </w:r>
          </w:p>
        </w:tc>
        <w:tc>
          <w:tcPr>
            <w:tcW w:w="7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2.65%</w:t>
            </w:r>
          </w:p>
        </w:tc>
        <w:tc>
          <w:tcPr>
            <w:tcW w:w="3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2.65%</w:t>
            </w:r>
          </w:p>
        </w:tc>
        <w:tc>
          <w:tcPr>
            <w:tcW w:w="3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2.65%</w:t>
            </w:r>
          </w:p>
        </w:tc>
        <w:tc>
          <w:tcPr>
            <w:tcW w:w="3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2.65%</w:t>
            </w:r>
          </w:p>
        </w:tc>
      </w:tr>
      <w:tr>
        <w:trPr>
          <w:trHeight w:val="216"/>
        </w:trPr>
        <w:tc>
          <w:tcPr>
            <w:tcW w:w="20" w:type="dxa"/>
            <w:vAlign w:val="bottom"/>
          </w:tcPr>
          <w:p>
            <w:pPr>
              <w:spacing w:after="0"/>
              <w:rPr>
                <w:sz w:val="18"/>
                <w:szCs w:val="18"/>
                <w:color w:val="auto"/>
              </w:rPr>
            </w:pPr>
          </w:p>
        </w:tc>
        <w:tc>
          <w:tcPr>
            <w:tcW w:w="2860" w:type="dxa"/>
            <w:vAlign w:val="bottom"/>
          </w:tcPr>
          <w:p>
            <w:pPr>
              <w:spacing w:after="0"/>
              <w:rPr>
                <w:sz w:val="20"/>
                <w:szCs w:val="20"/>
                <w:color w:val="auto"/>
              </w:rPr>
            </w:pPr>
            <w:r>
              <w:rPr>
                <w:rFonts w:ascii="Arial" w:cs="Arial" w:eastAsia="Arial" w:hAnsi="Arial"/>
                <w:sz w:val="18"/>
                <w:szCs w:val="18"/>
                <w:color w:val="auto"/>
              </w:rPr>
              <w:t>Expected life of option (days)</w:t>
            </w:r>
          </w:p>
        </w:tc>
        <w:tc>
          <w:tcPr>
            <w:tcW w:w="7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3,650</w:t>
            </w:r>
          </w:p>
        </w:tc>
        <w:tc>
          <w:tcPr>
            <w:tcW w:w="4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3,650</w:t>
            </w:r>
          </w:p>
        </w:tc>
        <w:tc>
          <w:tcPr>
            <w:tcW w:w="4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3,650</w:t>
            </w:r>
          </w:p>
        </w:tc>
        <w:tc>
          <w:tcPr>
            <w:tcW w:w="5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3,650</w:t>
            </w:r>
          </w:p>
        </w:tc>
        <w:tc>
          <w:tcPr>
            <w:tcW w:w="2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2860" w:type="dxa"/>
            <w:vAlign w:val="bottom"/>
            <w:shd w:val="clear" w:color="auto" w:fill="CCEEFF"/>
          </w:tcPr>
          <w:p>
            <w:pPr>
              <w:spacing w:after="0"/>
              <w:rPr>
                <w:sz w:val="20"/>
                <w:szCs w:val="20"/>
                <w:color w:val="auto"/>
              </w:rPr>
            </w:pPr>
            <w:r>
              <w:rPr>
                <w:rFonts w:ascii="Arial" w:cs="Arial" w:eastAsia="Arial" w:hAnsi="Arial"/>
                <w:sz w:val="18"/>
                <w:szCs w:val="18"/>
                <w:color w:val="auto"/>
              </w:rPr>
              <w:t>Fair value at date of grant</w:t>
            </w:r>
          </w:p>
        </w:tc>
        <w:tc>
          <w:tcPr>
            <w:tcW w:w="960" w:type="dxa"/>
            <w:vAlign w:val="bottom"/>
            <w:gridSpan w:val="2"/>
            <w:shd w:val="clear" w:color="auto" w:fill="CCEEFF"/>
          </w:tcPr>
          <w:p>
            <w:pPr>
              <w:ind w:left="740"/>
              <w:spacing w:after="0"/>
              <w:rPr>
                <w:sz w:val="20"/>
                <w:szCs w:val="20"/>
                <w:color w:val="auto"/>
              </w:rPr>
            </w:pPr>
            <w:r>
              <w:rPr>
                <w:rFonts w:ascii="Arial" w:cs="Arial" w:eastAsia="Arial" w:hAnsi="Arial"/>
                <w:sz w:val="18"/>
                <w:szCs w:val="18"/>
                <w:color w:val="auto"/>
                <w:w w:val="90"/>
              </w:rPr>
              <w:t>A$</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0.0514</w:t>
            </w:r>
          </w:p>
        </w:tc>
        <w:tc>
          <w:tcPr>
            <w:tcW w:w="480" w:type="dxa"/>
            <w:vAlign w:val="bottom"/>
            <w:shd w:val="clear" w:color="auto" w:fill="CCEEFF"/>
          </w:tcPr>
          <w:p>
            <w:pPr>
              <w:spacing w:after="0"/>
              <w:rPr>
                <w:sz w:val="18"/>
                <w:szCs w:val="18"/>
                <w:color w:val="auto"/>
              </w:rPr>
            </w:pPr>
          </w:p>
        </w:tc>
        <w:tc>
          <w:tcPr>
            <w:tcW w:w="56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w w:val="90"/>
              </w:rPr>
              <w:t>A$</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0.0561</w:t>
            </w:r>
          </w:p>
        </w:tc>
        <w:tc>
          <w:tcPr>
            <w:tcW w:w="480" w:type="dxa"/>
            <w:vAlign w:val="bottom"/>
            <w:shd w:val="clear" w:color="auto" w:fill="CCEEFF"/>
          </w:tcPr>
          <w:p>
            <w:pPr>
              <w:spacing w:after="0"/>
              <w:rPr>
                <w:sz w:val="18"/>
                <w:szCs w:val="18"/>
                <w:color w:val="auto"/>
              </w:rPr>
            </w:pPr>
          </w:p>
        </w:tc>
        <w:tc>
          <w:tcPr>
            <w:tcW w:w="56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w w:val="90"/>
              </w:rPr>
              <w:t>A$</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0.0599</w:t>
            </w:r>
          </w:p>
        </w:tc>
        <w:tc>
          <w:tcPr>
            <w:tcW w:w="500" w:type="dxa"/>
            <w:vAlign w:val="bottom"/>
            <w:shd w:val="clear" w:color="auto" w:fill="CCEEFF"/>
          </w:tcPr>
          <w:p>
            <w:pPr>
              <w:spacing w:after="0"/>
              <w:rPr>
                <w:sz w:val="18"/>
                <w:szCs w:val="18"/>
                <w:color w:val="auto"/>
              </w:rPr>
            </w:pPr>
          </w:p>
        </w:tc>
        <w:tc>
          <w:tcPr>
            <w:tcW w:w="56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w w:val="90"/>
              </w:rPr>
              <w:t>A$</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0.0628</w:t>
            </w:r>
          </w:p>
        </w:tc>
        <w:tc>
          <w:tcPr>
            <w:tcW w:w="200" w:type="dxa"/>
            <w:vAlign w:val="bottom"/>
            <w:shd w:val="clear" w:color="auto" w:fill="CCEEFF"/>
          </w:tcPr>
          <w:p>
            <w:pPr>
              <w:spacing w:after="0"/>
              <w:rPr>
                <w:sz w:val="18"/>
                <w:szCs w:val="18"/>
                <w:color w:val="auto"/>
              </w:rPr>
            </w:pPr>
          </w:p>
        </w:tc>
      </w:tr>
      <w:tr>
        <w:trPr>
          <w:trHeight w:val="230"/>
        </w:trPr>
        <w:tc>
          <w:tcPr>
            <w:tcW w:w="20" w:type="dxa"/>
            <w:vAlign w:val="bottom"/>
          </w:tcPr>
          <w:p>
            <w:pPr>
              <w:spacing w:after="0"/>
              <w:rPr>
                <w:sz w:val="20"/>
                <w:szCs w:val="20"/>
                <w:color w:val="auto"/>
              </w:rPr>
            </w:pPr>
          </w:p>
        </w:tc>
        <w:tc>
          <w:tcPr>
            <w:tcW w:w="2860" w:type="dxa"/>
            <w:vAlign w:val="bottom"/>
          </w:tcPr>
          <w:p>
            <w:pPr>
              <w:spacing w:after="0"/>
              <w:rPr>
                <w:sz w:val="20"/>
                <w:szCs w:val="20"/>
                <w:color w:val="auto"/>
              </w:rPr>
            </w:pPr>
            <w:r>
              <w:rPr>
                <w:rFonts w:ascii="Arial" w:cs="Arial" w:eastAsia="Arial" w:hAnsi="Arial"/>
                <w:sz w:val="18"/>
                <w:szCs w:val="18"/>
                <w:color w:val="auto"/>
              </w:rPr>
              <w:t>Option exercise price (A$)</w:t>
            </w:r>
          </w:p>
        </w:tc>
        <w:tc>
          <w:tcPr>
            <w:tcW w:w="960" w:type="dxa"/>
            <w:vAlign w:val="bottom"/>
            <w:gridSpan w:val="2"/>
          </w:tcPr>
          <w:p>
            <w:pPr>
              <w:ind w:left="740"/>
              <w:spacing w:after="0"/>
              <w:rPr>
                <w:sz w:val="20"/>
                <w:szCs w:val="20"/>
                <w:color w:val="auto"/>
              </w:rPr>
            </w:pPr>
            <w:r>
              <w:rPr>
                <w:rFonts w:ascii="Arial" w:cs="Arial" w:eastAsia="Arial" w:hAnsi="Arial"/>
                <w:sz w:val="18"/>
                <w:szCs w:val="18"/>
                <w:color w:val="auto"/>
                <w:w w:val="90"/>
              </w:rPr>
              <w:t>A$</w:t>
            </w:r>
          </w:p>
        </w:tc>
        <w:tc>
          <w:tcPr>
            <w:tcW w:w="740" w:type="dxa"/>
            <w:vAlign w:val="bottom"/>
          </w:tcPr>
          <w:p>
            <w:pPr>
              <w:jc w:val="right"/>
              <w:spacing w:after="0"/>
              <w:rPr>
                <w:sz w:val="20"/>
                <w:szCs w:val="20"/>
                <w:color w:val="auto"/>
              </w:rPr>
            </w:pPr>
            <w:r>
              <w:rPr>
                <w:rFonts w:ascii="Arial" w:cs="Arial" w:eastAsia="Arial" w:hAnsi="Arial"/>
                <w:sz w:val="18"/>
                <w:szCs w:val="18"/>
                <w:color w:val="auto"/>
              </w:rPr>
              <w:t>0.082</w:t>
            </w:r>
          </w:p>
        </w:tc>
        <w:tc>
          <w:tcPr>
            <w:tcW w:w="480" w:type="dxa"/>
            <w:vAlign w:val="bottom"/>
          </w:tcPr>
          <w:p>
            <w:pPr>
              <w:spacing w:after="0"/>
              <w:rPr>
                <w:sz w:val="20"/>
                <w:szCs w:val="20"/>
                <w:color w:val="auto"/>
              </w:rPr>
            </w:pPr>
          </w:p>
        </w:tc>
        <w:tc>
          <w:tcPr>
            <w:tcW w:w="560" w:type="dxa"/>
            <w:vAlign w:val="bottom"/>
            <w:gridSpan w:val="2"/>
          </w:tcPr>
          <w:p>
            <w:pPr>
              <w:ind w:left="340"/>
              <w:spacing w:after="0"/>
              <w:rPr>
                <w:sz w:val="20"/>
                <w:szCs w:val="20"/>
                <w:color w:val="auto"/>
              </w:rPr>
            </w:pPr>
            <w:r>
              <w:rPr>
                <w:rFonts w:ascii="Arial" w:cs="Arial" w:eastAsia="Arial" w:hAnsi="Arial"/>
                <w:sz w:val="18"/>
                <w:szCs w:val="18"/>
                <w:color w:val="auto"/>
                <w:w w:val="90"/>
              </w:rPr>
              <w:t>A$</w:t>
            </w:r>
          </w:p>
        </w:tc>
        <w:tc>
          <w:tcPr>
            <w:tcW w:w="740" w:type="dxa"/>
            <w:vAlign w:val="bottom"/>
          </w:tcPr>
          <w:p>
            <w:pPr>
              <w:jc w:val="right"/>
              <w:spacing w:after="0"/>
              <w:rPr>
                <w:sz w:val="20"/>
                <w:szCs w:val="20"/>
                <w:color w:val="auto"/>
              </w:rPr>
            </w:pPr>
            <w:r>
              <w:rPr>
                <w:rFonts w:ascii="Arial" w:cs="Arial" w:eastAsia="Arial" w:hAnsi="Arial"/>
                <w:sz w:val="18"/>
                <w:szCs w:val="18"/>
                <w:color w:val="auto"/>
              </w:rPr>
              <w:t>0.082</w:t>
            </w:r>
          </w:p>
        </w:tc>
        <w:tc>
          <w:tcPr>
            <w:tcW w:w="480" w:type="dxa"/>
            <w:vAlign w:val="bottom"/>
          </w:tcPr>
          <w:p>
            <w:pPr>
              <w:spacing w:after="0"/>
              <w:rPr>
                <w:sz w:val="20"/>
                <w:szCs w:val="20"/>
                <w:color w:val="auto"/>
              </w:rPr>
            </w:pPr>
          </w:p>
        </w:tc>
        <w:tc>
          <w:tcPr>
            <w:tcW w:w="560" w:type="dxa"/>
            <w:vAlign w:val="bottom"/>
            <w:gridSpan w:val="2"/>
          </w:tcPr>
          <w:p>
            <w:pPr>
              <w:ind w:left="340"/>
              <w:spacing w:after="0"/>
              <w:rPr>
                <w:sz w:val="20"/>
                <w:szCs w:val="20"/>
                <w:color w:val="auto"/>
              </w:rPr>
            </w:pPr>
            <w:r>
              <w:rPr>
                <w:rFonts w:ascii="Arial" w:cs="Arial" w:eastAsia="Arial" w:hAnsi="Arial"/>
                <w:sz w:val="18"/>
                <w:szCs w:val="18"/>
                <w:color w:val="auto"/>
                <w:w w:val="90"/>
              </w:rPr>
              <w:t>A$</w:t>
            </w:r>
          </w:p>
        </w:tc>
        <w:tc>
          <w:tcPr>
            <w:tcW w:w="740" w:type="dxa"/>
            <w:vAlign w:val="bottom"/>
          </w:tcPr>
          <w:p>
            <w:pPr>
              <w:jc w:val="right"/>
              <w:spacing w:after="0"/>
              <w:rPr>
                <w:sz w:val="20"/>
                <w:szCs w:val="20"/>
                <w:color w:val="auto"/>
              </w:rPr>
            </w:pPr>
            <w:r>
              <w:rPr>
                <w:rFonts w:ascii="Arial" w:cs="Arial" w:eastAsia="Arial" w:hAnsi="Arial"/>
                <w:sz w:val="18"/>
                <w:szCs w:val="18"/>
                <w:color w:val="auto"/>
              </w:rPr>
              <w:t>0.082</w:t>
            </w:r>
          </w:p>
        </w:tc>
        <w:tc>
          <w:tcPr>
            <w:tcW w:w="500" w:type="dxa"/>
            <w:vAlign w:val="bottom"/>
          </w:tcPr>
          <w:p>
            <w:pPr>
              <w:spacing w:after="0"/>
              <w:rPr>
                <w:sz w:val="20"/>
                <w:szCs w:val="20"/>
                <w:color w:val="auto"/>
              </w:rPr>
            </w:pPr>
          </w:p>
        </w:tc>
        <w:tc>
          <w:tcPr>
            <w:tcW w:w="560" w:type="dxa"/>
            <w:vAlign w:val="bottom"/>
            <w:gridSpan w:val="2"/>
          </w:tcPr>
          <w:p>
            <w:pPr>
              <w:ind w:left="340"/>
              <w:spacing w:after="0"/>
              <w:rPr>
                <w:sz w:val="20"/>
                <w:szCs w:val="20"/>
                <w:color w:val="auto"/>
              </w:rPr>
            </w:pPr>
            <w:r>
              <w:rPr>
                <w:rFonts w:ascii="Arial" w:cs="Arial" w:eastAsia="Arial" w:hAnsi="Arial"/>
                <w:sz w:val="18"/>
                <w:szCs w:val="18"/>
                <w:color w:val="auto"/>
                <w:w w:val="90"/>
              </w:rPr>
              <w:t>A$</w:t>
            </w:r>
          </w:p>
        </w:tc>
        <w:tc>
          <w:tcPr>
            <w:tcW w:w="740" w:type="dxa"/>
            <w:vAlign w:val="bottom"/>
          </w:tcPr>
          <w:p>
            <w:pPr>
              <w:jc w:val="right"/>
              <w:spacing w:after="0"/>
              <w:rPr>
                <w:sz w:val="20"/>
                <w:szCs w:val="20"/>
                <w:color w:val="auto"/>
              </w:rPr>
            </w:pPr>
            <w:r>
              <w:rPr>
                <w:rFonts w:ascii="Arial" w:cs="Arial" w:eastAsia="Arial" w:hAnsi="Arial"/>
                <w:sz w:val="18"/>
                <w:szCs w:val="18"/>
                <w:color w:val="auto"/>
              </w:rPr>
              <w:t>0.082</w:t>
            </w:r>
          </w:p>
        </w:tc>
        <w:tc>
          <w:tcPr>
            <w:tcW w:w="200" w:type="dxa"/>
            <w:vAlign w:val="bottom"/>
          </w:tcPr>
          <w:p>
            <w:pPr>
              <w:spacing w:after="0"/>
              <w:rPr>
                <w:sz w:val="20"/>
                <w:szCs w:val="20"/>
                <w:color w:val="auto"/>
              </w:rPr>
            </w:pPr>
          </w:p>
        </w:tc>
      </w:tr>
    </w:tbl>
    <w:p>
      <w:pPr>
        <w:spacing w:after="0" w:line="79" w:lineRule="exact"/>
        <w:rPr>
          <w:sz w:val="20"/>
          <w:szCs w:val="20"/>
          <w:color w:val="auto"/>
        </w:rPr>
      </w:pPr>
    </w:p>
    <w:p>
      <w:pPr>
        <w:ind w:left="200" w:right="60" w:firstLine="4"/>
        <w:spacing w:after="0" w:line="277" w:lineRule="auto"/>
        <w:tabs>
          <w:tab w:leader="none" w:pos="445" w:val="left"/>
        </w:tabs>
        <w:numPr>
          <w:ilvl w:val="0"/>
          <w:numId w:val="224"/>
        </w:numPr>
        <w:rPr>
          <w:rFonts w:ascii="Arial" w:cs="Arial" w:eastAsia="Arial" w:hAnsi="Arial"/>
          <w:sz w:val="18"/>
          <w:szCs w:val="18"/>
          <w:color w:val="auto"/>
        </w:rPr>
      </w:pPr>
      <w:r>
        <w:rPr>
          <w:rFonts w:ascii="Arial" w:cs="Arial" w:eastAsia="Arial" w:hAnsi="Arial"/>
          <w:sz w:val="18"/>
          <w:szCs w:val="18"/>
          <w:color w:val="auto"/>
        </w:rPr>
        <w:t>On November 30, 2018, 15,000,000 options were granted to Dr. Michael Perry at an exercise price of A$0.082 expiring on November 20, 2028 based on the following milestones:</w:t>
      </w:r>
    </w:p>
    <w:p>
      <w:pPr>
        <w:spacing w:after="0" w:line="75" w:lineRule="exact"/>
        <w:rPr>
          <w:rFonts w:ascii="Arial" w:cs="Arial" w:eastAsia="Arial" w:hAnsi="Arial"/>
          <w:sz w:val="18"/>
          <w:szCs w:val="18"/>
          <w:color w:val="auto"/>
        </w:rPr>
      </w:pPr>
    </w:p>
    <w:p>
      <w:pPr>
        <w:ind w:left="1180" w:hanging="544"/>
        <w:spacing w:after="0"/>
        <w:tabs>
          <w:tab w:leader="none" w:pos="1180" w:val="left"/>
        </w:tabs>
        <w:numPr>
          <w:ilvl w:val="1"/>
          <w:numId w:val="224"/>
        </w:numPr>
        <w:rPr>
          <w:rFonts w:ascii="Arial" w:cs="Arial" w:eastAsia="Arial" w:hAnsi="Arial"/>
          <w:sz w:val="17"/>
          <w:szCs w:val="17"/>
          <w:color w:val="auto"/>
        </w:rPr>
      </w:pPr>
      <w:r>
        <w:rPr>
          <w:rFonts w:ascii="Arial" w:cs="Arial" w:eastAsia="Arial" w:hAnsi="Arial"/>
          <w:sz w:val="17"/>
          <w:szCs w:val="17"/>
          <w:color w:val="auto"/>
        </w:rPr>
        <w:t>Tenure – a total of 7,499,999 options issued for immediate vesting and over the two-year period commencing July 1, 2017;</w:t>
      </w:r>
    </w:p>
    <w:p>
      <w:pPr>
        <w:spacing w:after="0" w:line="142" w:lineRule="exact"/>
        <w:rPr>
          <w:rFonts w:ascii="Arial" w:cs="Arial" w:eastAsia="Arial" w:hAnsi="Arial"/>
          <w:sz w:val="17"/>
          <w:szCs w:val="17"/>
          <w:color w:val="auto"/>
        </w:rPr>
      </w:pPr>
    </w:p>
    <w:p>
      <w:pPr>
        <w:ind w:left="1180" w:hanging="544"/>
        <w:spacing w:after="0" w:line="264" w:lineRule="auto"/>
        <w:tabs>
          <w:tab w:leader="none" w:pos="1180" w:val="left"/>
        </w:tabs>
        <w:numPr>
          <w:ilvl w:val="1"/>
          <w:numId w:val="224"/>
        </w:numPr>
        <w:rPr>
          <w:rFonts w:ascii="Arial" w:cs="Arial" w:eastAsia="Arial" w:hAnsi="Arial"/>
          <w:sz w:val="18"/>
          <w:szCs w:val="18"/>
          <w:color w:val="auto"/>
        </w:rPr>
      </w:pPr>
      <w:r>
        <w:rPr>
          <w:rFonts w:ascii="Arial" w:cs="Arial" w:eastAsia="Arial" w:hAnsi="Arial"/>
          <w:sz w:val="18"/>
          <w:szCs w:val="18"/>
          <w:color w:val="auto"/>
        </w:rPr>
        <w:t>Company Share Price – a total of 5,000,001 options issued but to vest in three equal tranches subject to the Volume Weighted Average Price (VWAP) of Company share price (as at close of trade on the ASX on relevant date) achieving multiples of 2x, 3x and 4x the Company’s share price at the time of shareholder approval; and</w:t>
      </w:r>
    </w:p>
    <w:p>
      <w:pPr>
        <w:spacing w:after="0" w:line="114" w:lineRule="exact"/>
        <w:rPr>
          <w:sz w:val="20"/>
          <w:szCs w:val="20"/>
          <w:color w:val="auto"/>
        </w:rPr>
      </w:pPr>
    </w:p>
    <w:p>
      <w:pPr>
        <w:ind w:left="5540"/>
        <w:spacing w:after="0"/>
        <w:rPr>
          <w:sz w:val="20"/>
          <w:szCs w:val="20"/>
          <w:color w:val="auto"/>
        </w:rPr>
      </w:pPr>
      <w:r>
        <w:rPr>
          <w:rFonts w:ascii="Arial" w:cs="Arial" w:eastAsia="Arial" w:hAnsi="Arial"/>
          <w:sz w:val="18"/>
          <w:szCs w:val="18"/>
          <w:color w:val="auto"/>
        </w:rPr>
        <w:t>F-65</w:t>
      </w:r>
    </w:p>
    <w:p>
      <w:pPr>
        <w:sectPr>
          <w:pgSz w:w="11900" w:h="16838" w:orient="portrait"/>
          <w:cols w:equalWidth="0" w:num="1">
            <w:col w:w="10840"/>
          </w:cols>
          <w:pgMar w:left="240" w:top="460" w:right="819" w:bottom="1440" w:gutter="0" w:footer="0" w:header="0"/>
        </w:sectPr>
      </w:pPr>
    </w:p>
    <w:bookmarkStart w:id="164" w:name="page165"/>
    <w:bookmarkEnd w:id="16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1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AVITA MEDICAL LIMITED</w:t>
      </w:r>
    </w:p>
    <w:p>
      <w:pPr>
        <w:spacing w:after="0" w:line="27"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NOTES TO THE HALF-YEAR CONDENSED CONSOLIDATED FINANCIAL STATEMENTS</w:t>
      </w:r>
    </w:p>
    <w:p>
      <w:pPr>
        <w:spacing w:after="0" w:line="9"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(IN AUSTRALIAN DOLLARS)</w:t>
      </w:r>
    </w:p>
    <w:p>
      <w:pPr>
        <w:spacing w:after="0" w:line="9"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(UNAUDITED)</w:t>
      </w:r>
    </w:p>
    <w:p>
      <w:pPr>
        <w:spacing w:after="0" w:line="234" w:lineRule="exact"/>
        <w:rPr>
          <w:sz w:val="20"/>
          <w:szCs w:val="20"/>
          <w:color w:val="auto"/>
        </w:rPr>
      </w:pPr>
    </w:p>
    <w:p>
      <w:pPr>
        <w:ind w:left="640" w:hanging="436"/>
        <w:spacing w:after="0"/>
        <w:tabs>
          <w:tab w:leader="none" w:pos="640" w:val="left"/>
        </w:tabs>
        <w:numPr>
          <w:ilvl w:val="0"/>
          <w:numId w:val="225"/>
        </w:numPr>
        <w:rPr>
          <w:rFonts w:ascii="Arial" w:cs="Arial" w:eastAsia="Arial" w:hAnsi="Arial"/>
          <w:sz w:val="18"/>
          <w:szCs w:val="18"/>
          <w:b w:val="1"/>
          <w:bCs w:val="1"/>
          <w:color w:val="auto"/>
        </w:rPr>
      </w:pPr>
      <w:r>
        <w:rPr>
          <w:rFonts w:ascii="Arial" w:cs="Arial" w:eastAsia="Arial" w:hAnsi="Arial"/>
          <w:sz w:val="18"/>
          <w:szCs w:val="18"/>
          <w:b w:val="1"/>
          <w:bCs w:val="1"/>
          <w:color w:val="auto"/>
        </w:rPr>
        <w:t>CONTRIBUTED EQUITY (CONTINUED)</w:t>
      </w:r>
    </w:p>
    <w:p>
      <w:pPr>
        <w:spacing w:after="0" w:line="131" w:lineRule="exact"/>
        <w:rPr>
          <w:sz w:val="20"/>
          <w:szCs w:val="20"/>
          <w:color w:val="auto"/>
        </w:rPr>
      </w:pPr>
    </w:p>
    <w:p>
      <w:pPr>
        <w:ind w:left="640" w:hanging="436"/>
        <w:spacing w:after="0"/>
        <w:tabs>
          <w:tab w:leader="none" w:pos="640" w:val="left"/>
        </w:tabs>
        <w:numPr>
          <w:ilvl w:val="0"/>
          <w:numId w:val="226"/>
        </w:numPr>
        <w:rPr>
          <w:rFonts w:ascii="Arial" w:cs="Arial" w:eastAsia="Arial" w:hAnsi="Arial"/>
          <w:sz w:val="18"/>
          <w:szCs w:val="18"/>
          <w:b w:val="1"/>
          <w:bCs w:val="1"/>
          <w:color w:val="auto"/>
        </w:rPr>
      </w:pPr>
      <w:r>
        <w:rPr>
          <w:rFonts w:ascii="Arial" w:cs="Arial" w:eastAsia="Arial" w:hAnsi="Arial"/>
          <w:sz w:val="18"/>
          <w:szCs w:val="18"/>
          <w:b w:val="1"/>
          <w:bCs w:val="1"/>
          <w:color w:val="auto"/>
        </w:rPr>
        <w:t>Option pricing model: ESOP and Investor (continued)</w:t>
      </w:r>
    </w:p>
    <w:p>
      <w:pPr>
        <w:spacing w:after="0" w:line="134" w:lineRule="exact"/>
        <w:rPr>
          <w:rFonts w:ascii="Arial" w:cs="Arial" w:eastAsia="Arial" w:hAnsi="Arial"/>
          <w:sz w:val="18"/>
          <w:szCs w:val="18"/>
          <w:b w:val="1"/>
          <w:bCs w:val="1"/>
          <w:color w:val="auto"/>
        </w:rPr>
      </w:pPr>
    </w:p>
    <w:p>
      <w:pPr>
        <w:ind w:left="1180" w:right="520" w:hanging="544"/>
        <w:spacing w:after="0" w:line="277" w:lineRule="auto"/>
        <w:tabs>
          <w:tab w:leader="none" w:pos="1180" w:val="left"/>
        </w:tabs>
        <w:numPr>
          <w:ilvl w:val="1"/>
          <w:numId w:val="226"/>
        </w:numPr>
        <w:rPr>
          <w:rFonts w:ascii="Arial" w:cs="Arial" w:eastAsia="Arial" w:hAnsi="Arial"/>
          <w:sz w:val="18"/>
          <w:szCs w:val="18"/>
          <w:color w:val="auto"/>
        </w:rPr>
      </w:pPr>
      <w:r>
        <w:rPr>
          <w:rFonts w:ascii="Arial" w:cs="Arial" w:eastAsia="Arial" w:hAnsi="Arial"/>
          <w:sz w:val="18"/>
          <w:szCs w:val="18"/>
          <w:color w:val="auto"/>
        </w:rPr>
        <w:t>Milestone performance – a total of 2,500,000 options issued, but to vest upon the achievement of initial BARDA procurement under CLIN2 of the BARDA Contract.</w:t>
      </w:r>
    </w:p>
    <w:p>
      <w:pPr>
        <w:spacing w:after="0" w:line="189" w:lineRule="exact"/>
        <w:rPr>
          <w:sz w:val="20"/>
          <w:szCs w:val="20"/>
          <w:color w:val="auto"/>
        </w:rPr>
      </w:pPr>
    </w:p>
    <w:tbl>
      <w:tblPr>
        <w:tblLayout w:type="fixed"/>
        <w:tblInd w:w="20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30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340" w:type="dxa"/>
            <w:vAlign w:val="bottom"/>
            <w:gridSpan w:val="2"/>
          </w:tcPr>
          <w:p>
            <w:pPr>
              <w:jc w:val="right"/>
              <w:ind w:right="740"/>
              <w:spacing w:after="0"/>
              <w:rPr>
                <w:sz w:val="20"/>
                <w:szCs w:val="20"/>
                <w:color w:val="auto"/>
              </w:rPr>
            </w:pPr>
            <w:r>
              <w:rPr>
                <w:rFonts w:ascii="Arial" w:cs="Arial" w:eastAsia="Arial" w:hAnsi="Arial"/>
                <w:sz w:val="14"/>
                <w:szCs w:val="14"/>
                <w:b w:val="1"/>
                <w:bCs w:val="1"/>
                <w:color w:val="auto"/>
                <w:w w:val="87"/>
              </w:rPr>
              <w:t>Tranche 1</w:t>
            </w:r>
          </w:p>
        </w:tc>
        <w:tc>
          <w:tcPr>
            <w:tcW w:w="3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360" w:type="dxa"/>
            <w:vAlign w:val="bottom"/>
            <w:gridSpan w:val="2"/>
          </w:tcPr>
          <w:p>
            <w:pPr>
              <w:jc w:val="right"/>
              <w:ind w:right="740"/>
              <w:spacing w:after="0"/>
              <w:rPr>
                <w:sz w:val="20"/>
                <w:szCs w:val="20"/>
                <w:color w:val="auto"/>
              </w:rPr>
            </w:pPr>
            <w:r>
              <w:rPr>
                <w:rFonts w:ascii="Arial" w:cs="Arial" w:eastAsia="Arial" w:hAnsi="Arial"/>
                <w:sz w:val="14"/>
                <w:szCs w:val="14"/>
                <w:b w:val="1"/>
                <w:bCs w:val="1"/>
                <w:color w:val="auto"/>
                <w:w w:val="90"/>
              </w:rPr>
              <w:t>Tranche 2</w:t>
            </w:r>
          </w:p>
        </w:tc>
        <w:tc>
          <w:tcPr>
            <w:tcW w:w="3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360" w:type="dxa"/>
            <w:vAlign w:val="bottom"/>
            <w:gridSpan w:val="2"/>
          </w:tcPr>
          <w:p>
            <w:pPr>
              <w:jc w:val="right"/>
              <w:ind w:right="740"/>
              <w:spacing w:after="0"/>
              <w:rPr>
                <w:sz w:val="20"/>
                <w:szCs w:val="20"/>
                <w:color w:val="auto"/>
              </w:rPr>
            </w:pPr>
            <w:r>
              <w:rPr>
                <w:rFonts w:ascii="Arial" w:cs="Arial" w:eastAsia="Arial" w:hAnsi="Arial"/>
                <w:sz w:val="14"/>
                <w:szCs w:val="14"/>
                <w:b w:val="1"/>
                <w:bCs w:val="1"/>
                <w:color w:val="auto"/>
                <w:w w:val="90"/>
              </w:rPr>
              <w:t>Tranche 3</w:t>
            </w:r>
          </w:p>
        </w:tc>
        <w:tc>
          <w:tcPr>
            <w:tcW w:w="3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60" w:type="dxa"/>
            <w:vAlign w:val="bottom"/>
            <w:gridSpan w:val="2"/>
          </w:tcPr>
          <w:p>
            <w:pPr>
              <w:jc w:val="right"/>
              <w:ind w:right="440"/>
              <w:spacing w:after="0"/>
              <w:rPr>
                <w:sz w:val="20"/>
                <w:szCs w:val="20"/>
                <w:color w:val="auto"/>
              </w:rPr>
            </w:pPr>
            <w:r>
              <w:rPr>
                <w:rFonts w:ascii="Arial" w:cs="Arial" w:eastAsia="Arial" w:hAnsi="Arial"/>
                <w:sz w:val="14"/>
                <w:szCs w:val="14"/>
                <w:b w:val="1"/>
                <w:bCs w:val="1"/>
                <w:color w:val="auto"/>
                <w:w w:val="90"/>
              </w:rPr>
              <w:t>Tranche 4</w:t>
            </w:r>
          </w:p>
        </w:tc>
      </w:tr>
      <w:tr>
        <w:trPr>
          <w:trHeight w:val="210"/>
        </w:trPr>
        <w:tc>
          <w:tcPr>
            <w:tcW w:w="20" w:type="dxa"/>
            <w:vAlign w:val="bottom"/>
          </w:tcPr>
          <w:p>
            <w:pPr>
              <w:spacing w:after="0"/>
              <w:rPr>
                <w:sz w:val="18"/>
                <w:szCs w:val="18"/>
                <w:color w:val="auto"/>
              </w:rPr>
            </w:pPr>
          </w:p>
        </w:tc>
        <w:tc>
          <w:tcPr>
            <w:tcW w:w="30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Grant date</w:t>
            </w:r>
          </w:p>
        </w:tc>
        <w:tc>
          <w:tcPr>
            <w:tcW w:w="9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8"/>
              </w:rPr>
              <w:t>11/30/2018</w:t>
            </w:r>
          </w:p>
        </w:tc>
        <w:tc>
          <w:tcPr>
            <w:tcW w:w="500" w:type="dxa"/>
            <w:vAlign w:val="bottom"/>
            <w:tcBorders>
              <w:top w:val="single" w:sz="8" w:color="CCEEFF"/>
            </w:tcBorders>
            <w:shd w:val="clear" w:color="auto" w:fill="CCEEFF"/>
          </w:tcPr>
          <w:p>
            <w:pPr>
              <w:spacing w:after="0"/>
              <w:rPr>
                <w:sz w:val="18"/>
                <w:szCs w:val="18"/>
                <w:color w:val="auto"/>
              </w:rPr>
            </w:pPr>
          </w:p>
        </w:tc>
        <w:tc>
          <w:tcPr>
            <w:tcW w:w="38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0"/>
              </w:rPr>
              <w:t>11/30/2018</w:t>
            </w:r>
          </w:p>
        </w:tc>
        <w:tc>
          <w:tcPr>
            <w:tcW w:w="520" w:type="dxa"/>
            <w:vAlign w:val="bottom"/>
            <w:tcBorders>
              <w:top w:val="single" w:sz="8" w:color="CCEEFF"/>
            </w:tcBorders>
            <w:shd w:val="clear" w:color="auto" w:fill="CCEEFF"/>
          </w:tcPr>
          <w:p>
            <w:pPr>
              <w:spacing w:after="0"/>
              <w:rPr>
                <w:sz w:val="18"/>
                <w:szCs w:val="18"/>
                <w:color w:val="auto"/>
              </w:rPr>
            </w:pPr>
          </w:p>
        </w:tc>
        <w:tc>
          <w:tcPr>
            <w:tcW w:w="38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0"/>
              </w:rPr>
              <w:t>11/30/2018</w:t>
            </w:r>
          </w:p>
        </w:tc>
        <w:tc>
          <w:tcPr>
            <w:tcW w:w="520" w:type="dxa"/>
            <w:vAlign w:val="bottom"/>
            <w:tcBorders>
              <w:top w:val="single" w:sz="8" w:color="CCEEFF"/>
            </w:tcBorders>
            <w:shd w:val="clear" w:color="auto" w:fill="CCEEFF"/>
          </w:tcPr>
          <w:p>
            <w:pPr>
              <w:spacing w:after="0"/>
              <w:rPr>
                <w:sz w:val="18"/>
                <w:szCs w:val="18"/>
                <w:color w:val="auto"/>
              </w:rPr>
            </w:pPr>
          </w:p>
        </w:tc>
        <w:tc>
          <w:tcPr>
            <w:tcW w:w="38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0"/>
              </w:rPr>
              <w:t>11/30/2018</w:t>
            </w:r>
          </w:p>
        </w:tc>
        <w:tc>
          <w:tcPr>
            <w:tcW w:w="220" w:type="dxa"/>
            <w:vAlign w:val="bottom"/>
            <w:tcBorders>
              <w:top w:val="single" w:sz="8" w:color="CCEEFF"/>
            </w:tcBorders>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020" w:type="dxa"/>
            <w:vAlign w:val="bottom"/>
          </w:tcPr>
          <w:p>
            <w:pPr>
              <w:spacing w:after="0"/>
              <w:rPr>
                <w:sz w:val="20"/>
                <w:szCs w:val="20"/>
                <w:color w:val="auto"/>
              </w:rPr>
            </w:pPr>
            <w:r>
              <w:rPr>
                <w:rFonts w:ascii="Arial" w:cs="Arial" w:eastAsia="Arial" w:hAnsi="Arial"/>
                <w:sz w:val="18"/>
                <w:szCs w:val="18"/>
                <w:color w:val="auto"/>
              </w:rPr>
              <w:t>Share price at date of grant</w:t>
            </w:r>
          </w:p>
        </w:tc>
        <w:tc>
          <w:tcPr>
            <w:tcW w:w="1120" w:type="dxa"/>
            <w:vAlign w:val="bottom"/>
            <w:gridSpan w:val="2"/>
          </w:tcPr>
          <w:p>
            <w:pPr>
              <w:ind w:left="900"/>
              <w:spacing w:after="0"/>
              <w:rPr>
                <w:sz w:val="20"/>
                <w:szCs w:val="20"/>
                <w:color w:val="auto"/>
              </w:rPr>
            </w:pPr>
            <w:r>
              <w:rPr>
                <w:rFonts w:ascii="Arial" w:cs="Arial" w:eastAsia="Arial" w:hAnsi="Arial"/>
                <w:sz w:val="18"/>
                <w:szCs w:val="18"/>
                <w:color w:val="auto"/>
                <w:w w:val="90"/>
              </w:rPr>
              <w:t>A$</w:t>
            </w:r>
          </w:p>
        </w:tc>
        <w:tc>
          <w:tcPr>
            <w:tcW w:w="840" w:type="dxa"/>
            <w:vAlign w:val="bottom"/>
          </w:tcPr>
          <w:p>
            <w:pPr>
              <w:jc w:val="right"/>
              <w:spacing w:after="0"/>
              <w:rPr>
                <w:sz w:val="20"/>
                <w:szCs w:val="20"/>
                <w:color w:val="auto"/>
              </w:rPr>
            </w:pPr>
            <w:r>
              <w:rPr>
                <w:rFonts w:ascii="Arial" w:cs="Arial" w:eastAsia="Arial" w:hAnsi="Arial"/>
                <w:sz w:val="18"/>
                <w:szCs w:val="18"/>
                <w:color w:val="auto"/>
              </w:rPr>
              <w:t>0.082</w:t>
            </w:r>
          </w:p>
        </w:tc>
        <w:tc>
          <w:tcPr>
            <w:tcW w:w="500" w:type="dxa"/>
            <w:vAlign w:val="bottom"/>
          </w:tcPr>
          <w:p>
            <w:pPr>
              <w:spacing w:after="0"/>
              <w:rPr>
                <w:sz w:val="18"/>
                <w:szCs w:val="18"/>
                <w:color w:val="auto"/>
              </w:rPr>
            </w:pPr>
          </w:p>
        </w:tc>
        <w:tc>
          <w:tcPr>
            <w:tcW w:w="600" w:type="dxa"/>
            <w:vAlign w:val="bottom"/>
            <w:gridSpan w:val="2"/>
          </w:tcPr>
          <w:p>
            <w:pPr>
              <w:ind w:left="380"/>
              <w:spacing w:after="0"/>
              <w:rPr>
                <w:sz w:val="20"/>
                <w:szCs w:val="20"/>
                <w:color w:val="auto"/>
              </w:rPr>
            </w:pPr>
            <w:r>
              <w:rPr>
                <w:rFonts w:ascii="Arial" w:cs="Arial" w:eastAsia="Arial" w:hAnsi="Arial"/>
                <w:sz w:val="18"/>
                <w:szCs w:val="18"/>
                <w:color w:val="auto"/>
                <w:w w:val="90"/>
              </w:rPr>
              <w:t>A$</w:t>
            </w:r>
          </w:p>
        </w:tc>
        <w:tc>
          <w:tcPr>
            <w:tcW w:w="840" w:type="dxa"/>
            <w:vAlign w:val="bottom"/>
          </w:tcPr>
          <w:p>
            <w:pPr>
              <w:jc w:val="right"/>
              <w:spacing w:after="0"/>
              <w:rPr>
                <w:sz w:val="20"/>
                <w:szCs w:val="20"/>
                <w:color w:val="auto"/>
              </w:rPr>
            </w:pPr>
            <w:r>
              <w:rPr>
                <w:rFonts w:ascii="Arial" w:cs="Arial" w:eastAsia="Arial" w:hAnsi="Arial"/>
                <w:sz w:val="18"/>
                <w:szCs w:val="18"/>
                <w:color w:val="auto"/>
              </w:rPr>
              <w:t>0.082</w:t>
            </w:r>
          </w:p>
        </w:tc>
        <w:tc>
          <w:tcPr>
            <w:tcW w:w="520" w:type="dxa"/>
            <w:vAlign w:val="bottom"/>
          </w:tcPr>
          <w:p>
            <w:pPr>
              <w:spacing w:after="0"/>
              <w:rPr>
                <w:sz w:val="18"/>
                <w:szCs w:val="18"/>
                <w:color w:val="auto"/>
              </w:rPr>
            </w:pPr>
          </w:p>
        </w:tc>
        <w:tc>
          <w:tcPr>
            <w:tcW w:w="580" w:type="dxa"/>
            <w:vAlign w:val="bottom"/>
            <w:gridSpan w:val="2"/>
          </w:tcPr>
          <w:p>
            <w:pPr>
              <w:ind w:left="360"/>
              <w:spacing w:after="0"/>
              <w:rPr>
                <w:sz w:val="20"/>
                <w:szCs w:val="20"/>
                <w:color w:val="auto"/>
              </w:rPr>
            </w:pPr>
            <w:r>
              <w:rPr>
                <w:rFonts w:ascii="Arial" w:cs="Arial" w:eastAsia="Arial" w:hAnsi="Arial"/>
                <w:sz w:val="18"/>
                <w:szCs w:val="18"/>
                <w:color w:val="auto"/>
                <w:w w:val="90"/>
              </w:rPr>
              <w:t>A$</w:t>
            </w:r>
          </w:p>
        </w:tc>
        <w:tc>
          <w:tcPr>
            <w:tcW w:w="840" w:type="dxa"/>
            <w:vAlign w:val="bottom"/>
          </w:tcPr>
          <w:p>
            <w:pPr>
              <w:jc w:val="right"/>
              <w:spacing w:after="0"/>
              <w:rPr>
                <w:sz w:val="20"/>
                <w:szCs w:val="20"/>
                <w:color w:val="auto"/>
              </w:rPr>
            </w:pPr>
            <w:r>
              <w:rPr>
                <w:rFonts w:ascii="Arial" w:cs="Arial" w:eastAsia="Arial" w:hAnsi="Arial"/>
                <w:sz w:val="18"/>
                <w:szCs w:val="18"/>
                <w:color w:val="auto"/>
              </w:rPr>
              <w:t>0.082</w:t>
            </w:r>
          </w:p>
        </w:tc>
        <w:tc>
          <w:tcPr>
            <w:tcW w:w="520" w:type="dxa"/>
            <w:vAlign w:val="bottom"/>
          </w:tcPr>
          <w:p>
            <w:pPr>
              <w:spacing w:after="0"/>
              <w:rPr>
                <w:sz w:val="18"/>
                <w:szCs w:val="18"/>
                <w:color w:val="auto"/>
              </w:rPr>
            </w:pPr>
          </w:p>
        </w:tc>
        <w:tc>
          <w:tcPr>
            <w:tcW w:w="580" w:type="dxa"/>
            <w:vAlign w:val="bottom"/>
            <w:gridSpan w:val="2"/>
          </w:tcPr>
          <w:p>
            <w:pPr>
              <w:ind w:left="360"/>
              <w:spacing w:after="0"/>
              <w:rPr>
                <w:sz w:val="20"/>
                <w:szCs w:val="20"/>
                <w:color w:val="auto"/>
              </w:rPr>
            </w:pPr>
            <w:r>
              <w:rPr>
                <w:rFonts w:ascii="Arial" w:cs="Arial" w:eastAsia="Arial" w:hAnsi="Arial"/>
                <w:sz w:val="18"/>
                <w:szCs w:val="18"/>
                <w:color w:val="auto"/>
                <w:w w:val="90"/>
              </w:rPr>
              <w:t>A$</w:t>
            </w:r>
          </w:p>
        </w:tc>
        <w:tc>
          <w:tcPr>
            <w:tcW w:w="840" w:type="dxa"/>
            <w:vAlign w:val="bottom"/>
          </w:tcPr>
          <w:p>
            <w:pPr>
              <w:jc w:val="right"/>
              <w:spacing w:after="0"/>
              <w:rPr>
                <w:sz w:val="20"/>
                <w:szCs w:val="20"/>
                <w:color w:val="auto"/>
              </w:rPr>
            </w:pPr>
            <w:r>
              <w:rPr>
                <w:rFonts w:ascii="Arial" w:cs="Arial" w:eastAsia="Arial" w:hAnsi="Arial"/>
                <w:sz w:val="18"/>
                <w:szCs w:val="18"/>
                <w:color w:val="auto"/>
              </w:rPr>
              <w:t>0.082</w:t>
            </w:r>
          </w:p>
        </w:tc>
        <w:tc>
          <w:tcPr>
            <w:tcW w:w="2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020" w:type="dxa"/>
            <w:vAlign w:val="bottom"/>
            <w:shd w:val="clear" w:color="auto" w:fill="CCEEFF"/>
          </w:tcPr>
          <w:p>
            <w:pPr>
              <w:spacing w:after="0"/>
              <w:rPr>
                <w:sz w:val="20"/>
                <w:szCs w:val="20"/>
                <w:color w:val="auto"/>
              </w:rPr>
            </w:pPr>
            <w:r>
              <w:rPr>
                <w:rFonts w:ascii="Arial" w:cs="Arial" w:eastAsia="Arial" w:hAnsi="Arial"/>
                <w:sz w:val="18"/>
                <w:szCs w:val="18"/>
                <w:color w:val="auto"/>
              </w:rPr>
              <w:t>Dividend yield (%)</w:t>
            </w:r>
          </w:p>
        </w:tc>
        <w:tc>
          <w:tcPr>
            <w:tcW w:w="9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0%</w:t>
            </w:r>
          </w:p>
        </w:tc>
        <w:tc>
          <w:tcPr>
            <w:tcW w:w="3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0%</w:t>
            </w:r>
          </w:p>
        </w:tc>
        <w:tc>
          <w:tcPr>
            <w:tcW w:w="3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0%</w:t>
            </w:r>
          </w:p>
        </w:tc>
        <w:tc>
          <w:tcPr>
            <w:tcW w:w="3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0%</w:t>
            </w:r>
          </w:p>
        </w:tc>
      </w:tr>
      <w:tr>
        <w:trPr>
          <w:trHeight w:val="216"/>
        </w:trPr>
        <w:tc>
          <w:tcPr>
            <w:tcW w:w="20" w:type="dxa"/>
            <w:vAlign w:val="bottom"/>
          </w:tcPr>
          <w:p>
            <w:pPr>
              <w:spacing w:after="0"/>
              <w:rPr>
                <w:sz w:val="18"/>
                <w:szCs w:val="18"/>
                <w:color w:val="auto"/>
              </w:rPr>
            </w:pPr>
          </w:p>
        </w:tc>
        <w:tc>
          <w:tcPr>
            <w:tcW w:w="3020" w:type="dxa"/>
            <w:vAlign w:val="bottom"/>
          </w:tcPr>
          <w:p>
            <w:pPr>
              <w:spacing w:after="0"/>
              <w:rPr>
                <w:sz w:val="20"/>
                <w:szCs w:val="20"/>
                <w:color w:val="auto"/>
              </w:rPr>
            </w:pPr>
            <w:r>
              <w:rPr>
                <w:rFonts w:ascii="Arial" w:cs="Arial" w:eastAsia="Arial" w:hAnsi="Arial"/>
                <w:sz w:val="18"/>
                <w:szCs w:val="18"/>
                <w:color w:val="auto"/>
              </w:rPr>
              <w:t>Expected volatility (%)</w:t>
            </w: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40" w:type="dxa"/>
            <w:vAlign w:val="bottom"/>
            <w:gridSpan w:val="2"/>
          </w:tcPr>
          <w:p>
            <w:pPr>
              <w:jc w:val="right"/>
              <w:ind w:right="360"/>
              <w:spacing w:after="0"/>
              <w:rPr>
                <w:sz w:val="20"/>
                <w:szCs w:val="20"/>
                <w:color w:val="auto"/>
              </w:rPr>
            </w:pPr>
            <w:r>
              <w:rPr>
                <w:rFonts w:ascii="Arial" w:cs="Arial" w:eastAsia="Arial" w:hAnsi="Arial"/>
                <w:sz w:val="18"/>
                <w:szCs w:val="18"/>
                <w:color w:val="auto"/>
              </w:rPr>
              <w:t>90%</w:t>
            </w:r>
          </w:p>
        </w:tc>
        <w:tc>
          <w:tcPr>
            <w:tcW w:w="3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60" w:type="dxa"/>
            <w:vAlign w:val="bottom"/>
            <w:gridSpan w:val="2"/>
          </w:tcPr>
          <w:p>
            <w:pPr>
              <w:jc w:val="right"/>
              <w:ind w:right="380"/>
              <w:spacing w:after="0"/>
              <w:rPr>
                <w:sz w:val="20"/>
                <w:szCs w:val="20"/>
                <w:color w:val="auto"/>
              </w:rPr>
            </w:pPr>
            <w:r>
              <w:rPr>
                <w:rFonts w:ascii="Arial" w:cs="Arial" w:eastAsia="Arial" w:hAnsi="Arial"/>
                <w:sz w:val="18"/>
                <w:szCs w:val="18"/>
                <w:color w:val="auto"/>
              </w:rPr>
              <w:t>90%</w:t>
            </w:r>
          </w:p>
        </w:tc>
        <w:tc>
          <w:tcPr>
            <w:tcW w:w="3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60" w:type="dxa"/>
            <w:vAlign w:val="bottom"/>
            <w:gridSpan w:val="2"/>
          </w:tcPr>
          <w:p>
            <w:pPr>
              <w:jc w:val="right"/>
              <w:ind w:right="380"/>
              <w:spacing w:after="0"/>
              <w:rPr>
                <w:sz w:val="20"/>
                <w:szCs w:val="20"/>
                <w:color w:val="auto"/>
              </w:rPr>
            </w:pPr>
            <w:r>
              <w:rPr>
                <w:rFonts w:ascii="Arial" w:cs="Arial" w:eastAsia="Arial" w:hAnsi="Arial"/>
                <w:sz w:val="18"/>
                <w:szCs w:val="18"/>
                <w:color w:val="auto"/>
              </w:rPr>
              <w:t>90%</w:t>
            </w:r>
          </w:p>
        </w:tc>
        <w:tc>
          <w:tcPr>
            <w:tcW w:w="3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60" w:type="dxa"/>
            <w:vAlign w:val="bottom"/>
            <w:gridSpan w:val="2"/>
          </w:tcPr>
          <w:p>
            <w:pPr>
              <w:jc w:val="right"/>
              <w:ind w:right="60"/>
              <w:spacing w:after="0"/>
              <w:rPr>
                <w:sz w:val="20"/>
                <w:szCs w:val="20"/>
                <w:color w:val="auto"/>
              </w:rPr>
            </w:pPr>
            <w:r>
              <w:rPr>
                <w:rFonts w:ascii="Arial" w:cs="Arial" w:eastAsia="Arial" w:hAnsi="Arial"/>
                <w:sz w:val="18"/>
                <w:szCs w:val="18"/>
                <w:color w:val="auto"/>
              </w:rPr>
              <w:t>90%</w:t>
            </w:r>
          </w:p>
        </w:tc>
      </w:tr>
      <w:tr>
        <w:trPr>
          <w:trHeight w:val="216"/>
        </w:trPr>
        <w:tc>
          <w:tcPr>
            <w:tcW w:w="20" w:type="dxa"/>
            <w:vAlign w:val="bottom"/>
          </w:tcPr>
          <w:p>
            <w:pPr>
              <w:spacing w:after="0"/>
              <w:rPr>
                <w:sz w:val="18"/>
                <w:szCs w:val="18"/>
                <w:color w:val="auto"/>
              </w:rPr>
            </w:pPr>
          </w:p>
        </w:tc>
        <w:tc>
          <w:tcPr>
            <w:tcW w:w="3020" w:type="dxa"/>
            <w:vAlign w:val="bottom"/>
            <w:shd w:val="clear" w:color="auto" w:fill="CCEEFF"/>
          </w:tcPr>
          <w:p>
            <w:pPr>
              <w:spacing w:after="0"/>
              <w:rPr>
                <w:sz w:val="20"/>
                <w:szCs w:val="20"/>
                <w:color w:val="auto"/>
              </w:rPr>
            </w:pPr>
            <w:r>
              <w:rPr>
                <w:rFonts w:ascii="Arial" w:cs="Arial" w:eastAsia="Arial" w:hAnsi="Arial"/>
                <w:sz w:val="18"/>
                <w:szCs w:val="18"/>
                <w:color w:val="auto"/>
              </w:rPr>
              <w:t>Risk-free interest rate (%)</w:t>
            </w:r>
          </w:p>
        </w:tc>
        <w:tc>
          <w:tcPr>
            <w:tcW w:w="9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2.59%</w:t>
            </w:r>
          </w:p>
        </w:tc>
        <w:tc>
          <w:tcPr>
            <w:tcW w:w="3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2.59%</w:t>
            </w:r>
          </w:p>
        </w:tc>
        <w:tc>
          <w:tcPr>
            <w:tcW w:w="3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2.59%</w:t>
            </w:r>
          </w:p>
        </w:tc>
        <w:tc>
          <w:tcPr>
            <w:tcW w:w="3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2.59%</w:t>
            </w:r>
          </w:p>
        </w:tc>
      </w:tr>
      <w:tr>
        <w:trPr>
          <w:trHeight w:val="216"/>
        </w:trPr>
        <w:tc>
          <w:tcPr>
            <w:tcW w:w="20" w:type="dxa"/>
            <w:vAlign w:val="bottom"/>
          </w:tcPr>
          <w:p>
            <w:pPr>
              <w:spacing w:after="0"/>
              <w:rPr>
                <w:sz w:val="18"/>
                <w:szCs w:val="18"/>
                <w:color w:val="auto"/>
              </w:rPr>
            </w:pPr>
          </w:p>
        </w:tc>
        <w:tc>
          <w:tcPr>
            <w:tcW w:w="3020" w:type="dxa"/>
            <w:vAlign w:val="bottom"/>
          </w:tcPr>
          <w:p>
            <w:pPr>
              <w:spacing w:after="0"/>
              <w:rPr>
                <w:sz w:val="20"/>
                <w:szCs w:val="20"/>
                <w:color w:val="auto"/>
              </w:rPr>
            </w:pPr>
            <w:r>
              <w:rPr>
                <w:rFonts w:ascii="Arial" w:cs="Arial" w:eastAsia="Arial" w:hAnsi="Arial"/>
                <w:sz w:val="18"/>
                <w:szCs w:val="18"/>
                <w:color w:val="auto"/>
              </w:rPr>
              <w:t>Expected life of option (days)</w:t>
            </w: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3,650</w:t>
            </w:r>
          </w:p>
        </w:tc>
        <w:tc>
          <w:tcPr>
            <w:tcW w:w="5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3,650</w:t>
            </w:r>
          </w:p>
        </w:tc>
        <w:tc>
          <w:tcPr>
            <w:tcW w:w="5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3,650</w:t>
            </w:r>
          </w:p>
        </w:tc>
        <w:tc>
          <w:tcPr>
            <w:tcW w:w="5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3,650</w:t>
            </w:r>
          </w:p>
        </w:tc>
        <w:tc>
          <w:tcPr>
            <w:tcW w:w="2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020" w:type="dxa"/>
            <w:vAlign w:val="bottom"/>
            <w:shd w:val="clear" w:color="auto" w:fill="CCEEFF"/>
          </w:tcPr>
          <w:p>
            <w:pPr>
              <w:spacing w:after="0"/>
              <w:rPr>
                <w:sz w:val="20"/>
                <w:szCs w:val="20"/>
                <w:color w:val="auto"/>
              </w:rPr>
            </w:pPr>
            <w:r>
              <w:rPr>
                <w:rFonts w:ascii="Arial" w:cs="Arial" w:eastAsia="Arial" w:hAnsi="Arial"/>
                <w:sz w:val="18"/>
                <w:szCs w:val="18"/>
                <w:color w:val="auto"/>
              </w:rPr>
              <w:t>Fair value at date of grant</w:t>
            </w:r>
          </w:p>
        </w:tc>
        <w:tc>
          <w:tcPr>
            <w:tcW w:w="1120" w:type="dxa"/>
            <w:vAlign w:val="bottom"/>
            <w:gridSpan w:val="2"/>
            <w:shd w:val="clear" w:color="auto" w:fill="CCEEFF"/>
          </w:tcPr>
          <w:p>
            <w:pPr>
              <w:ind w:left="900"/>
              <w:spacing w:after="0"/>
              <w:rPr>
                <w:sz w:val="20"/>
                <w:szCs w:val="20"/>
                <w:color w:val="auto"/>
              </w:rPr>
            </w:pPr>
            <w:r>
              <w:rPr>
                <w:rFonts w:ascii="Arial" w:cs="Arial" w:eastAsia="Arial" w:hAnsi="Arial"/>
                <w:sz w:val="18"/>
                <w:szCs w:val="18"/>
                <w:color w:val="auto"/>
                <w:w w:val="90"/>
              </w:rPr>
              <w:t>A$</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0.049</w:t>
            </w:r>
          </w:p>
        </w:tc>
        <w:tc>
          <w:tcPr>
            <w:tcW w:w="5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ind w:left="380"/>
              <w:spacing w:after="0"/>
              <w:rPr>
                <w:sz w:val="20"/>
                <w:szCs w:val="20"/>
                <w:color w:val="auto"/>
              </w:rPr>
            </w:pPr>
            <w:r>
              <w:rPr>
                <w:rFonts w:ascii="Arial" w:cs="Arial" w:eastAsia="Arial" w:hAnsi="Arial"/>
                <w:sz w:val="18"/>
                <w:szCs w:val="18"/>
                <w:color w:val="auto"/>
                <w:w w:val="90"/>
              </w:rPr>
              <w:t>A$</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0.054</w:t>
            </w:r>
          </w:p>
        </w:tc>
        <w:tc>
          <w:tcPr>
            <w:tcW w:w="520" w:type="dxa"/>
            <w:vAlign w:val="bottom"/>
            <w:shd w:val="clear" w:color="auto" w:fill="CCEEFF"/>
          </w:tcPr>
          <w:p>
            <w:pPr>
              <w:spacing w:after="0"/>
              <w:rPr>
                <w:sz w:val="18"/>
                <w:szCs w:val="18"/>
                <w:color w:val="auto"/>
              </w:rPr>
            </w:pPr>
          </w:p>
        </w:tc>
        <w:tc>
          <w:tcPr>
            <w:tcW w:w="58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w w:val="90"/>
              </w:rPr>
              <w:t>A$</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0.048</w:t>
            </w:r>
          </w:p>
        </w:tc>
        <w:tc>
          <w:tcPr>
            <w:tcW w:w="520" w:type="dxa"/>
            <w:vAlign w:val="bottom"/>
            <w:shd w:val="clear" w:color="auto" w:fill="CCEEFF"/>
          </w:tcPr>
          <w:p>
            <w:pPr>
              <w:spacing w:after="0"/>
              <w:rPr>
                <w:sz w:val="18"/>
                <w:szCs w:val="18"/>
                <w:color w:val="auto"/>
              </w:rPr>
            </w:pPr>
          </w:p>
        </w:tc>
        <w:tc>
          <w:tcPr>
            <w:tcW w:w="58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w w:val="90"/>
              </w:rPr>
              <w:t>A$</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0.052</w:t>
            </w:r>
          </w:p>
        </w:tc>
        <w:tc>
          <w:tcPr>
            <w:tcW w:w="220" w:type="dxa"/>
            <w:vAlign w:val="bottom"/>
            <w:shd w:val="clear" w:color="auto" w:fill="CCEEFF"/>
          </w:tcPr>
          <w:p>
            <w:pPr>
              <w:spacing w:after="0"/>
              <w:rPr>
                <w:sz w:val="18"/>
                <w:szCs w:val="18"/>
                <w:color w:val="auto"/>
              </w:rPr>
            </w:pPr>
          </w:p>
        </w:tc>
      </w:tr>
      <w:tr>
        <w:trPr>
          <w:trHeight w:val="230"/>
        </w:trPr>
        <w:tc>
          <w:tcPr>
            <w:tcW w:w="20" w:type="dxa"/>
            <w:vAlign w:val="bottom"/>
          </w:tcPr>
          <w:p>
            <w:pPr>
              <w:spacing w:after="0"/>
              <w:rPr>
                <w:sz w:val="20"/>
                <w:szCs w:val="20"/>
                <w:color w:val="auto"/>
              </w:rPr>
            </w:pPr>
          </w:p>
        </w:tc>
        <w:tc>
          <w:tcPr>
            <w:tcW w:w="3020" w:type="dxa"/>
            <w:vAlign w:val="bottom"/>
          </w:tcPr>
          <w:p>
            <w:pPr>
              <w:spacing w:after="0"/>
              <w:rPr>
                <w:sz w:val="20"/>
                <w:szCs w:val="20"/>
                <w:color w:val="auto"/>
              </w:rPr>
            </w:pPr>
            <w:r>
              <w:rPr>
                <w:rFonts w:ascii="Arial" w:cs="Arial" w:eastAsia="Arial" w:hAnsi="Arial"/>
                <w:sz w:val="18"/>
                <w:szCs w:val="18"/>
                <w:color w:val="auto"/>
              </w:rPr>
              <w:t>Option exercise price (A$)</w:t>
            </w:r>
          </w:p>
        </w:tc>
        <w:tc>
          <w:tcPr>
            <w:tcW w:w="1120" w:type="dxa"/>
            <w:vAlign w:val="bottom"/>
            <w:gridSpan w:val="2"/>
          </w:tcPr>
          <w:p>
            <w:pPr>
              <w:ind w:left="900"/>
              <w:spacing w:after="0"/>
              <w:rPr>
                <w:sz w:val="20"/>
                <w:szCs w:val="20"/>
                <w:color w:val="auto"/>
              </w:rPr>
            </w:pPr>
            <w:r>
              <w:rPr>
                <w:rFonts w:ascii="Arial" w:cs="Arial" w:eastAsia="Arial" w:hAnsi="Arial"/>
                <w:sz w:val="18"/>
                <w:szCs w:val="18"/>
                <w:color w:val="auto"/>
                <w:w w:val="90"/>
              </w:rPr>
              <w:t>A$</w:t>
            </w:r>
          </w:p>
        </w:tc>
        <w:tc>
          <w:tcPr>
            <w:tcW w:w="840" w:type="dxa"/>
            <w:vAlign w:val="bottom"/>
          </w:tcPr>
          <w:p>
            <w:pPr>
              <w:jc w:val="right"/>
              <w:spacing w:after="0"/>
              <w:rPr>
                <w:sz w:val="20"/>
                <w:szCs w:val="20"/>
                <w:color w:val="auto"/>
              </w:rPr>
            </w:pPr>
            <w:r>
              <w:rPr>
                <w:rFonts w:ascii="Arial" w:cs="Arial" w:eastAsia="Arial" w:hAnsi="Arial"/>
                <w:sz w:val="18"/>
                <w:szCs w:val="18"/>
                <w:color w:val="auto"/>
              </w:rPr>
              <w:t>0.082</w:t>
            </w:r>
          </w:p>
        </w:tc>
        <w:tc>
          <w:tcPr>
            <w:tcW w:w="500" w:type="dxa"/>
            <w:vAlign w:val="bottom"/>
          </w:tcPr>
          <w:p>
            <w:pPr>
              <w:spacing w:after="0"/>
              <w:rPr>
                <w:sz w:val="20"/>
                <w:szCs w:val="20"/>
                <w:color w:val="auto"/>
              </w:rPr>
            </w:pPr>
          </w:p>
        </w:tc>
        <w:tc>
          <w:tcPr>
            <w:tcW w:w="600" w:type="dxa"/>
            <w:vAlign w:val="bottom"/>
            <w:gridSpan w:val="2"/>
          </w:tcPr>
          <w:p>
            <w:pPr>
              <w:ind w:left="380"/>
              <w:spacing w:after="0"/>
              <w:rPr>
                <w:sz w:val="20"/>
                <w:szCs w:val="20"/>
                <w:color w:val="auto"/>
              </w:rPr>
            </w:pPr>
            <w:r>
              <w:rPr>
                <w:rFonts w:ascii="Arial" w:cs="Arial" w:eastAsia="Arial" w:hAnsi="Arial"/>
                <w:sz w:val="18"/>
                <w:szCs w:val="18"/>
                <w:color w:val="auto"/>
                <w:w w:val="90"/>
              </w:rPr>
              <w:t>A$</w:t>
            </w:r>
          </w:p>
        </w:tc>
        <w:tc>
          <w:tcPr>
            <w:tcW w:w="840" w:type="dxa"/>
            <w:vAlign w:val="bottom"/>
          </w:tcPr>
          <w:p>
            <w:pPr>
              <w:jc w:val="right"/>
              <w:spacing w:after="0"/>
              <w:rPr>
                <w:sz w:val="20"/>
                <w:szCs w:val="20"/>
                <w:color w:val="auto"/>
              </w:rPr>
            </w:pPr>
            <w:r>
              <w:rPr>
                <w:rFonts w:ascii="Arial" w:cs="Arial" w:eastAsia="Arial" w:hAnsi="Arial"/>
                <w:sz w:val="18"/>
                <w:szCs w:val="18"/>
                <w:color w:val="auto"/>
              </w:rPr>
              <w:t>0.082</w:t>
            </w:r>
          </w:p>
        </w:tc>
        <w:tc>
          <w:tcPr>
            <w:tcW w:w="520" w:type="dxa"/>
            <w:vAlign w:val="bottom"/>
          </w:tcPr>
          <w:p>
            <w:pPr>
              <w:spacing w:after="0"/>
              <w:rPr>
                <w:sz w:val="20"/>
                <w:szCs w:val="20"/>
                <w:color w:val="auto"/>
              </w:rPr>
            </w:pPr>
          </w:p>
        </w:tc>
        <w:tc>
          <w:tcPr>
            <w:tcW w:w="580" w:type="dxa"/>
            <w:vAlign w:val="bottom"/>
            <w:gridSpan w:val="2"/>
          </w:tcPr>
          <w:p>
            <w:pPr>
              <w:ind w:left="360"/>
              <w:spacing w:after="0"/>
              <w:rPr>
                <w:sz w:val="20"/>
                <w:szCs w:val="20"/>
                <w:color w:val="auto"/>
              </w:rPr>
            </w:pPr>
            <w:r>
              <w:rPr>
                <w:rFonts w:ascii="Arial" w:cs="Arial" w:eastAsia="Arial" w:hAnsi="Arial"/>
                <w:sz w:val="18"/>
                <w:szCs w:val="18"/>
                <w:color w:val="auto"/>
                <w:w w:val="90"/>
              </w:rPr>
              <w:t>A$</w:t>
            </w:r>
          </w:p>
        </w:tc>
        <w:tc>
          <w:tcPr>
            <w:tcW w:w="840" w:type="dxa"/>
            <w:vAlign w:val="bottom"/>
          </w:tcPr>
          <w:p>
            <w:pPr>
              <w:jc w:val="right"/>
              <w:spacing w:after="0"/>
              <w:rPr>
                <w:sz w:val="20"/>
                <w:szCs w:val="20"/>
                <w:color w:val="auto"/>
              </w:rPr>
            </w:pPr>
            <w:r>
              <w:rPr>
                <w:rFonts w:ascii="Arial" w:cs="Arial" w:eastAsia="Arial" w:hAnsi="Arial"/>
                <w:sz w:val="18"/>
                <w:szCs w:val="18"/>
                <w:color w:val="auto"/>
              </w:rPr>
              <w:t>0.082</w:t>
            </w:r>
          </w:p>
        </w:tc>
        <w:tc>
          <w:tcPr>
            <w:tcW w:w="520" w:type="dxa"/>
            <w:vAlign w:val="bottom"/>
          </w:tcPr>
          <w:p>
            <w:pPr>
              <w:spacing w:after="0"/>
              <w:rPr>
                <w:sz w:val="20"/>
                <w:szCs w:val="20"/>
                <w:color w:val="auto"/>
              </w:rPr>
            </w:pPr>
          </w:p>
        </w:tc>
        <w:tc>
          <w:tcPr>
            <w:tcW w:w="580" w:type="dxa"/>
            <w:vAlign w:val="bottom"/>
            <w:gridSpan w:val="2"/>
          </w:tcPr>
          <w:p>
            <w:pPr>
              <w:ind w:left="360"/>
              <w:spacing w:after="0"/>
              <w:rPr>
                <w:sz w:val="20"/>
                <w:szCs w:val="20"/>
                <w:color w:val="auto"/>
              </w:rPr>
            </w:pPr>
            <w:r>
              <w:rPr>
                <w:rFonts w:ascii="Arial" w:cs="Arial" w:eastAsia="Arial" w:hAnsi="Arial"/>
                <w:sz w:val="18"/>
                <w:szCs w:val="18"/>
                <w:color w:val="auto"/>
                <w:w w:val="90"/>
              </w:rPr>
              <w:t>A$</w:t>
            </w:r>
          </w:p>
        </w:tc>
        <w:tc>
          <w:tcPr>
            <w:tcW w:w="840" w:type="dxa"/>
            <w:vAlign w:val="bottom"/>
          </w:tcPr>
          <w:p>
            <w:pPr>
              <w:jc w:val="right"/>
              <w:spacing w:after="0"/>
              <w:rPr>
                <w:sz w:val="20"/>
                <w:szCs w:val="20"/>
                <w:color w:val="auto"/>
              </w:rPr>
            </w:pPr>
            <w:r>
              <w:rPr>
                <w:rFonts w:ascii="Arial" w:cs="Arial" w:eastAsia="Arial" w:hAnsi="Arial"/>
                <w:sz w:val="18"/>
                <w:szCs w:val="18"/>
                <w:color w:val="auto"/>
              </w:rPr>
              <w:t>0.082</w:t>
            </w:r>
          </w:p>
        </w:tc>
        <w:tc>
          <w:tcPr>
            <w:tcW w:w="220" w:type="dxa"/>
            <w:vAlign w:val="bottom"/>
          </w:tcPr>
          <w:p>
            <w:pPr>
              <w:spacing w:after="0"/>
              <w:rPr>
                <w:sz w:val="20"/>
                <w:szCs w:val="20"/>
                <w:color w:val="auto"/>
              </w:rPr>
            </w:pPr>
          </w:p>
        </w:tc>
      </w:tr>
    </w:tbl>
    <w:p>
      <w:pPr>
        <w:spacing w:after="0" w:line="206" w:lineRule="exact"/>
        <w:rPr>
          <w:sz w:val="20"/>
          <w:szCs w:val="20"/>
          <w:color w:val="auto"/>
        </w:rPr>
      </w:pPr>
    </w:p>
    <w:tbl>
      <w:tblPr>
        <w:tblLayout w:type="fixed"/>
        <w:tblInd w:w="20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330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60" w:type="dxa"/>
            <w:vAlign w:val="bottom"/>
            <w:gridSpan w:val="2"/>
          </w:tcPr>
          <w:p>
            <w:pPr>
              <w:jc w:val="right"/>
              <w:ind w:right="840"/>
              <w:spacing w:after="0"/>
              <w:rPr>
                <w:sz w:val="20"/>
                <w:szCs w:val="20"/>
                <w:color w:val="auto"/>
              </w:rPr>
            </w:pPr>
            <w:r>
              <w:rPr>
                <w:rFonts w:ascii="Arial" w:cs="Arial" w:eastAsia="Arial" w:hAnsi="Arial"/>
                <w:sz w:val="14"/>
                <w:szCs w:val="14"/>
                <w:b w:val="1"/>
                <w:bCs w:val="1"/>
                <w:color w:val="auto"/>
                <w:w w:val="90"/>
              </w:rPr>
              <w:t>Tranche 5</w:t>
            </w:r>
          </w:p>
        </w:tc>
        <w:tc>
          <w:tcPr>
            <w:tcW w:w="4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60" w:type="dxa"/>
            <w:vAlign w:val="bottom"/>
            <w:gridSpan w:val="2"/>
          </w:tcPr>
          <w:p>
            <w:pPr>
              <w:jc w:val="right"/>
              <w:ind w:right="840"/>
              <w:spacing w:after="0"/>
              <w:rPr>
                <w:sz w:val="20"/>
                <w:szCs w:val="20"/>
                <w:color w:val="auto"/>
              </w:rPr>
            </w:pPr>
            <w:r>
              <w:rPr>
                <w:rFonts w:ascii="Arial" w:cs="Arial" w:eastAsia="Arial" w:hAnsi="Arial"/>
                <w:sz w:val="14"/>
                <w:szCs w:val="14"/>
                <w:b w:val="1"/>
                <w:bCs w:val="1"/>
                <w:color w:val="auto"/>
                <w:w w:val="90"/>
              </w:rPr>
              <w:t>Tranche 6</w:t>
            </w:r>
          </w:p>
        </w:tc>
        <w:tc>
          <w:tcPr>
            <w:tcW w:w="4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020" w:type="dxa"/>
            <w:vAlign w:val="bottom"/>
            <w:gridSpan w:val="2"/>
          </w:tcPr>
          <w:p>
            <w:pPr>
              <w:jc w:val="right"/>
              <w:ind w:right="1400"/>
              <w:spacing w:after="0"/>
              <w:rPr>
                <w:sz w:val="20"/>
                <w:szCs w:val="20"/>
                <w:color w:val="auto"/>
              </w:rPr>
            </w:pPr>
            <w:r>
              <w:rPr>
                <w:rFonts w:ascii="Arial" w:cs="Arial" w:eastAsia="Arial" w:hAnsi="Arial"/>
                <w:sz w:val="14"/>
                <w:szCs w:val="14"/>
                <w:b w:val="1"/>
                <w:bCs w:val="1"/>
                <w:color w:val="auto"/>
                <w:w w:val="90"/>
              </w:rPr>
              <w:t>Tranche 7</w:t>
            </w:r>
          </w:p>
        </w:tc>
      </w:tr>
      <w:tr>
        <w:trPr>
          <w:trHeight w:val="210"/>
        </w:trPr>
        <w:tc>
          <w:tcPr>
            <w:tcW w:w="20" w:type="dxa"/>
            <w:vAlign w:val="bottom"/>
          </w:tcPr>
          <w:p>
            <w:pPr>
              <w:spacing w:after="0"/>
              <w:rPr>
                <w:sz w:val="18"/>
                <w:szCs w:val="18"/>
                <w:color w:val="auto"/>
              </w:rPr>
            </w:pPr>
          </w:p>
        </w:tc>
        <w:tc>
          <w:tcPr>
            <w:tcW w:w="33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Grant date</w:t>
            </w:r>
          </w:p>
        </w:tc>
        <w:tc>
          <w:tcPr>
            <w:tcW w:w="118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0"/>
              </w:rPr>
              <w:t>11/30/2018</w:t>
            </w:r>
          </w:p>
        </w:tc>
        <w:tc>
          <w:tcPr>
            <w:tcW w:w="620" w:type="dxa"/>
            <w:vAlign w:val="bottom"/>
            <w:tcBorders>
              <w:top w:val="single" w:sz="8" w:color="CCEEFF"/>
            </w:tcBorders>
            <w:shd w:val="clear" w:color="auto" w:fill="CCEEFF"/>
          </w:tcPr>
          <w:p>
            <w:pPr>
              <w:spacing w:after="0"/>
              <w:rPr>
                <w:sz w:val="18"/>
                <w:szCs w:val="18"/>
                <w:color w:val="auto"/>
              </w:rPr>
            </w:pPr>
          </w:p>
        </w:tc>
        <w:tc>
          <w:tcPr>
            <w:tcW w:w="48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0"/>
              </w:rPr>
              <w:t>11/30/2018</w:t>
            </w:r>
          </w:p>
        </w:tc>
        <w:tc>
          <w:tcPr>
            <w:tcW w:w="620" w:type="dxa"/>
            <w:vAlign w:val="bottom"/>
            <w:tcBorders>
              <w:top w:val="single" w:sz="8" w:color="CCEEFF"/>
            </w:tcBorders>
            <w:shd w:val="clear" w:color="auto" w:fill="CCEEFF"/>
          </w:tcPr>
          <w:p>
            <w:pPr>
              <w:spacing w:after="0"/>
              <w:rPr>
                <w:sz w:val="18"/>
                <w:szCs w:val="18"/>
                <w:color w:val="auto"/>
              </w:rPr>
            </w:pPr>
          </w:p>
        </w:tc>
        <w:tc>
          <w:tcPr>
            <w:tcW w:w="48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8"/>
              </w:rPr>
              <w:t>11/30/2018</w:t>
            </w:r>
          </w:p>
        </w:tc>
        <w:tc>
          <w:tcPr>
            <w:tcW w:w="1180" w:type="dxa"/>
            <w:vAlign w:val="bottom"/>
            <w:tcBorders>
              <w:top w:val="single" w:sz="8" w:color="CCEEFF"/>
            </w:tcBorders>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300" w:type="dxa"/>
            <w:vAlign w:val="bottom"/>
          </w:tcPr>
          <w:p>
            <w:pPr>
              <w:spacing w:after="0"/>
              <w:rPr>
                <w:sz w:val="20"/>
                <w:szCs w:val="20"/>
                <w:color w:val="auto"/>
              </w:rPr>
            </w:pPr>
            <w:r>
              <w:rPr>
                <w:rFonts w:ascii="Arial" w:cs="Arial" w:eastAsia="Arial" w:hAnsi="Arial"/>
                <w:sz w:val="18"/>
                <w:szCs w:val="18"/>
                <w:color w:val="auto"/>
              </w:rPr>
              <w:t>Share price at date of grant</w:t>
            </w:r>
          </w:p>
        </w:tc>
        <w:tc>
          <w:tcPr>
            <w:tcW w:w="1400" w:type="dxa"/>
            <w:vAlign w:val="bottom"/>
            <w:gridSpan w:val="2"/>
          </w:tcPr>
          <w:p>
            <w:pPr>
              <w:ind w:left="1180"/>
              <w:spacing w:after="0"/>
              <w:rPr>
                <w:sz w:val="20"/>
                <w:szCs w:val="20"/>
                <w:color w:val="auto"/>
              </w:rPr>
            </w:pPr>
            <w:r>
              <w:rPr>
                <w:rFonts w:ascii="Arial" w:cs="Arial" w:eastAsia="Arial" w:hAnsi="Arial"/>
                <w:sz w:val="18"/>
                <w:szCs w:val="18"/>
                <w:color w:val="auto"/>
                <w:w w:val="90"/>
              </w:rPr>
              <w:t>A$</w:t>
            </w:r>
          </w:p>
        </w:tc>
        <w:tc>
          <w:tcPr>
            <w:tcW w:w="840" w:type="dxa"/>
            <w:vAlign w:val="bottom"/>
          </w:tcPr>
          <w:p>
            <w:pPr>
              <w:jc w:val="right"/>
              <w:spacing w:after="0"/>
              <w:rPr>
                <w:sz w:val="20"/>
                <w:szCs w:val="20"/>
                <w:color w:val="auto"/>
              </w:rPr>
            </w:pPr>
            <w:r>
              <w:rPr>
                <w:rFonts w:ascii="Arial" w:cs="Arial" w:eastAsia="Arial" w:hAnsi="Arial"/>
                <w:sz w:val="18"/>
                <w:szCs w:val="18"/>
                <w:color w:val="auto"/>
              </w:rPr>
              <w:t>0.082</w:t>
            </w:r>
          </w:p>
        </w:tc>
        <w:tc>
          <w:tcPr>
            <w:tcW w:w="620" w:type="dxa"/>
            <w:vAlign w:val="bottom"/>
          </w:tcPr>
          <w:p>
            <w:pPr>
              <w:spacing w:after="0"/>
              <w:rPr>
                <w:sz w:val="18"/>
                <w:szCs w:val="18"/>
                <w:color w:val="auto"/>
              </w:rPr>
            </w:pPr>
          </w:p>
        </w:tc>
        <w:tc>
          <w:tcPr>
            <w:tcW w:w="680" w:type="dxa"/>
            <w:vAlign w:val="bottom"/>
            <w:gridSpan w:val="2"/>
          </w:tcPr>
          <w:p>
            <w:pPr>
              <w:ind w:left="460"/>
              <w:spacing w:after="0"/>
              <w:rPr>
                <w:sz w:val="20"/>
                <w:szCs w:val="20"/>
                <w:color w:val="auto"/>
              </w:rPr>
            </w:pPr>
            <w:r>
              <w:rPr>
                <w:rFonts w:ascii="Arial" w:cs="Arial" w:eastAsia="Arial" w:hAnsi="Arial"/>
                <w:sz w:val="18"/>
                <w:szCs w:val="18"/>
                <w:color w:val="auto"/>
                <w:w w:val="90"/>
              </w:rPr>
              <w:t>A$</w:t>
            </w:r>
          </w:p>
        </w:tc>
        <w:tc>
          <w:tcPr>
            <w:tcW w:w="840" w:type="dxa"/>
            <w:vAlign w:val="bottom"/>
          </w:tcPr>
          <w:p>
            <w:pPr>
              <w:jc w:val="right"/>
              <w:spacing w:after="0"/>
              <w:rPr>
                <w:sz w:val="20"/>
                <w:szCs w:val="20"/>
                <w:color w:val="auto"/>
              </w:rPr>
            </w:pPr>
            <w:r>
              <w:rPr>
                <w:rFonts w:ascii="Arial" w:cs="Arial" w:eastAsia="Arial" w:hAnsi="Arial"/>
                <w:sz w:val="18"/>
                <w:szCs w:val="18"/>
                <w:color w:val="auto"/>
              </w:rPr>
              <w:t>0.082</w:t>
            </w:r>
          </w:p>
        </w:tc>
        <w:tc>
          <w:tcPr>
            <w:tcW w:w="620" w:type="dxa"/>
            <w:vAlign w:val="bottom"/>
          </w:tcPr>
          <w:p>
            <w:pPr>
              <w:spacing w:after="0"/>
              <w:rPr>
                <w:sz w:val="18"/>
                <w:szCs w:val="18"/>
                <w:color w:val="auto"/>
              </w:rPr>
            </w:pPr>
          </w:p>
        </w:tc>
        <w:tc>
          <w:tcPr>
            <w:tcW w:w="700" w:type="dxa"/>
            <w:vAlign w:val="bottom"/>
            <w:gridSpan w:val="2"/>
          </w:tcPr>
          <w:p>
            <w:pPr>
              <w:ind w:left="480"/>
              <w:spacing w:after="0"/>
              <w:rPr>
                <w:sz w:val="20"/>
                <w:szCs w:val="20"/>
                <w:color w:val="auto"/>
              </w:rPr>
            </w:pPr>
            <w:r>
              <w:rPr>
                <w:rFonts w:ascii="Arial" w:cs="Arial" w:eastAsia="Arial" w:hAnsi="Arial"/>
                <w:sz w:val="18"/>
                <w:szCs w:val="18"/>
                <w:color w:val="auto"/>
                <w:w w:val="90"/>
              </w:rPr>
              <w:t>A$</w:t>
            </w:r>
          </w:p>
        </w:tc>
        <w:tc>
          <w:tcPr>
            <w:tcW w:w="840" w:type="dxa"/>
            <w:vAlign w:val="bottom"/>
          </w:tcPr>
          <w:p>
            <w:pPr>
              <w:jc w:val="right"/>
              <w:spacing w:after="0"/>
              <w:rPr>
                <w:sz w:val="20"/>
                <w:szCs w:val="20"/>
                <w:color w:val="auto"/>
              </w:rPr>
            </w:pPr>
            <w:r>
              <w:rPr>
                <w:rFonts w:ascii="Arial" w:cs="Arial" w:eastAsia="Arial" w:hAnsi="Arial"/>
                <w:sz w:val="18"/>
                <w:szCs w:val="18"/>
                <w:color w:val="auto"/>
              </w:rPr>
              <w:t>0.082</w:t>
            </w:r>
          </w:p>
        </w:tc>
        <w:tc>
          <w:tcPr>
            <w:tcW w:w="118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300" w:type="dxa"/>
            <w:vAlign w:val="bottom"/>
            <w:shd w:val="clear" w:color="auto" w:fill="CCEEFF"/>
          </w:tcPr>
          <w:p>
            <w:pPr>
              <w:spacing w:after="0"/>
              <w:rPr>
                <w:sz w:val="20"/>
                <w:szCs w:val="20"/>
                <w:color w:val="auto"/>
              </w:rPr>
            </w:pPr>
            <w:r>
              <w:rPr>
                <w:rFonts w:ascii="Arial" w:cs="Arial" w:eastAsia="Arial" w:hAnsi="Arial"/>
                <w:sz w:val="18"/>
                <w:szCs w:val="18"/>
                <w:color w:val="auto"/>
              </w:rPr>
              <w:t>Dividend yield (%)</w:t>
            </w:r>
          </w:p>
        </w:tc>
        <w:tc>
          <w:tcPr>
            <w:tcW w:w="11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0%</w:t>
            </w:r>
          </w:p>
        </w:tc>
        <w:tc>
          <w:tcPr>
            <w:tcW w:w="4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0%</w:t>
            </w:r>
          </w:p>
        </w:tc>
        <w:tc>
          <w:tcPr>
            <w:tcW w:w="4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20" w:type="dxa"/>
            <w:vAlign w:val="bottom"/>
            <w:gridSpan w:val="2"/>
            <w:shd w:val="clear" w:color="auto" w:fill="CCEEFF"/>
          </w:tcPr>
          <w:p>
            <w:pPr>
              <w:jc w:val="right"/>
              <w:ind w:right="1040"/>
              <w:spacing w:after="0"/>
              <w:rPr>
                <w:sz w:val="20"/>
                <w:szCs w:val="20"/>
                <w:color w:val="auto"/>
              </w:rPr>
            </w:pPr>
            <w:r>
              <w:rPr>
                <w:rFonts w:ascii="Arial" w:cs="Arial" w:eastAsia="Arial" w:hAnsi="Arial"/>
                <w:sz w:val="18"/>
                <w:szCs w:val="18"/>
                <w:color w:val="auto"/>
              </w:rPr>
              <w:t>0%</w:t>
            </w:r>
          </w:p>
        </w:tc>
      </w:tr>
      <w:tr>
        <w:trPr>
          <w:trHeight w:val="216"/>
        </w:trPr>
        <w:tc>
          <w:tcPr>
            <w:tcW w:w="20" w:type="dxa"/>
            <w:vAlign w:val="bottom"/>
          </w:tcPr>
          <w:p>
            <w:pPr>
              <w:spacing w:after="0"/>
              <w:rPr>
                <w:sz w:val="18"/>
                <w:szCs w:val="18"/>
                <w:color w:val="auto"/>
              </w:rPr>
            </w:pPr>
          </w:p>
        </w:tc>
        <w:tc>
          <w:tcPr>
            <w:tcW w:w="3300" w:type="dxa"/>
            <w:vAlign w:val="bottom"/>
          </w:tcPr>
          <w:p>
            <w:pPr>
              <w:spacing w:after="0"/>
              <w:rPr>
                <w:sz w:val="20"/>
                <w:szCs w:val="20"/>
                <w:color w:val="auto"/>
              </w:rPr>
            </w:pPr>
            <w:r>
              <w:rPr>
                <w:rFonts w:ascii="Arial" w:cs="Arial" w:eastAsia="Arial" w:hAnsi="Arial"/>
                <w:sz w:val="18"/>
                <w:szCs w:val="18"/>
                <w:color w:val="auto"/>
              </w:rPr>
              <w:t>Expected volatility (%)</w:t>
            </w:r>
          </w:p>
        </w:tc>
        <w:tc>
          <w:tcPr>
            <w:tcW w:w="1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60" w:type="dxa"/>
            <w:vAlign w:val="bottom"/>
            <w:gridSpan w:val="2"/>
          </w:tcPr>
          <w:p>
            <w:pPr>
              <w:jc w:val="right"/>
              <w:ind w:right="480"/>
              <w:spacing w:after="0"/>
              <w:rPr>
                <w:sz w:val="20"/>
                <w:szCs w:val="20"/>
                <w:color w:val="auto"/>
              </w:rPr>
            </w:pPr>
            <w:r>
              <w:rPr>
                <w:rFonts w:ascii="Arial" w:cs="Arial" w:eastAsia="Arial" w:hAnsi="Arial"/>
                <w:sz w:val="18"/>
                <w:szCs w:val="18"/>
                <w:color w:val="auto"/>
              </w:rPr>
              <w:t>90%</w:t>
            </w:r>
          </w:p>
        </w:tc>
        <w:tc>
          <w:tcPr>
            <w:tcW w:w="4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60" w:type="dxa"/>
            <w:vAlign w:val="bottom"/>
            <w:gridSpan w:val="2"/>
          </w:tcPr>
          <w:p>
            <w:pPr>
              <w:jc w:val="right"/>
              <w:ind w:right="460"/>
              <w:spacing w:after="0"/>
              <w:rPr>
                <w:sz w:val="20"/>
                <w:szCs w:val="20"/>
                <w:color w:val="auto"/>
              </w:rPr>
            </w:pPr>
            <w:r>
              <w:rPr>
                <w:rFonts w:ascii="Arial" w:cs="Arial" w:eastAsia="Arial" w:hAnsi="Arial"/>
                <w:sz w:val="18"/>
                <w:szCs w:val="18"/>
                <w:color w:val="auto"/>
              </w:rPr>
              <w:t>90%</w:t>
            </w:r>
          </w:p>
        </w:tc>
        <w:tc>
          <w:tcPr>
            <w:tcW w:w="4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20" w:type="dxa"/>
            <w:vAlign w:val="bottom"/>
            <w:gridSpan w:val="2"/>
          </w:tcPr>
          <w:p>
            <w:pPr>
              <w:jc w:val="right"/>
              <w:ind w:right="1040"/>
              <w:spacing w:after="0"/>
              <w:rPr>
                <w:sz w:val="20"/>
                <w:szCs w:val="20"/>
                <w:color w:val="auto"/>
              </w:rPr>
            </w:pPr>
            <w:r>
              <w:rPr>
                <w:rFonts w:ascii="Arial" w:cs="Arial" w:eastAsia="Arial" w:hAnsi="Arial"/>
                <w:sz w:val="18"/>
                <w:szCs w:val="18"/>
                <w:color w:val="auto"/>
              </w:rPr>
              <w:t>90%</w:t>
            </w:r>
          </w:p>
        </w:tc>
      </w:tr>
      <w:tr>
        <w:trPr>
          <w:trHeight w:val="216"/>
        </w:trPr>
        <w:tc>
          <w:tcPr>
            <w:tcW w:w="20" w:type="dxa"/>
            <w:vAlign w:val="bottom"/>
          </w:tcPr>
          <w:p>
            <w:pPr>
              <w:spacing w:after="0"/>
              <w:rPr>
                <w:sz w:val="18"/>
                <w:szCs w:val="18"/>
                <w:color w:val="auto"/>
              </w:rPr>
            </w:pPr>
          </w:p>
        </w:tc>
        <w:tc>
          <w:tcPr>
            <w:tcW w:w="3300" w:type="dxa"/>
            <w:vAlign w:val="bottom"/>
            <w:shd w:val="clear" w:color="auto" w:fill="CCEEFF"/>
          </w:tcPr>
          <w:p>
            <w:pPr>
              <w:spacing w:after="0"/>
              <w:rPr>
                <w:sz w:val="20"/>
                <w:szCs w:val="20"/>
                <w:color w:val="auto"/>
              </w:rPr>
            </w:pPr>
            <w:r>
              <w:rPr>
                <w:rFonts w:ascii="Arial" w:cs="Arial" w:eastAsia="Arial" w:hAnsi="Arial"/>
                <w:sz w:val="18"/>
                <w:szCs w:val="18"/>
                <w:color w:val="auto"/>
              </w:rPr>
              <w:t>Risk-free interest rate (%)</w:t>
            </w:r>
          </w:p>
        </w:tc>
        <w:tc>
          <w:tcPr>
            <w:tcW w:w="11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2.59%</w:t>
            </w:r>
          </w:p>
        </w:tc>
        <w:tc>
          <w:tcPr>
            <w:tcW w:w="4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2.59%</w:t>
            </w:r>
          </w:p>
        </w:tc>
        <w:tc>
          <w:tcPr>
            <w:tcW w:w="4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20" w:type="dxa"/>
            <w:vAlign w:val="bottom"/>
            <w:gridSpan w:val="2"/>
            <w:shd w:val="clear" w:color="auto" w:fill="CCEEFF"/>
          </w:tcPr>
          <w:p>
            <w:pPr>
              <w:jc w:val="right"/>
              <w:ind w:right="1040"/>
              <w:spacing w:after="0"/>
              <w:rPr>
                <w:sz w:val="20"/>
                <w:szCs w:val="20"/>
                <w:color w:val="auto"/>
              </w:rPr>
            </w:pPr>
            <w:r>
              <w:rPr>
                <w:rFonts w:ascii="Arial" w:cs="Arial" w:eastAsia="Arial" w:hAnsi="Arial"/>
                <w:sz w:val="18"/>
                <w:szCs w:val="18"/>
                <w:color w:val="auto"/>
              </w:rPr>
              <w:t>2.59%</w:t>
            </w:r>
          </w:p>
        </w:tc>
      </w:tr>
      <w:tr>
        <w:trPr>
          <w:trHeight w:val="216"/>
        </w:trPr>
        <w:tc>
          <w:tcPr>
            <w:tcW w:w="20" w:type="dxa"/>
            <w:vAlign w:val="bottom"/>
          </w:tcPr>
          <w:p>
            <w:pPr>
              <w:spacing w:after="0"/>
              <w:rPr>
                <w:sz w:val="18"/>
                <w:szCs w:val="18"/>
                <w:color w:val="auto"/>
              </w:rPr>
            </w:pPr>
          </w:p>
        </w:tc>
        <w:tc>
          <w:tcPr>
            <w:tcW w:w="3300" w:type="dxa"/>
            <w:vAlign w:val="bottom"/>
          </w:tcPr>
          <w:p>
            <w:pPr>
              <w:spacing w:after="0"/>
              <w:rPr>
                <w:sz w:val="20"/>
                <w:szCs w:val="20"/>
                <w:color w:val="auto"/>
              </w:rPr>
            </w:pPr>
            <w:r>
              <w:rPr>
                <w:rFonts w:ascii="Arial" w:cs="Arial" w:eastAsia="Arial" w:hAnsi="Arial"/>
                <w:sz w:val="18"/>
                <w:szCs w:val="18"/>
                <w:color w:val="auto"/>
              </w:rPr>
              <w:t>Expected life of option (days)</w:t>
            </w:r>
          </w:p>
        </w:tc>
        <w:tc>
          <w:tcPr>
            <w:tcW w:w="1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3,650</w:t>
            </w:r>
          </w:p>
        </w:tc>
        <w:tc>
          <w:tcPr>
            <w:tcW w:w="6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3,650</w:t>
            </w:r>
          </w:p>
        </w:tc>
        <w:tc>
          <w:tcPr>
            <w:tcW w:w="6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3,650</w:t>
            </w:r>
          </w:p>
        </w:tc>
        <w:tc>
          <w:tcPr>
            <w:tcW w:w="118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300" w:type="dxa"/>
            <w:vAlign w:val="bottom"/>
            <w:shd w:val="clear" w:color="auto" w:fill="CCEEFF"/>
          </w:tcPr>
          <w:p>
            <w:pPr>
              <w:spacing w:after="0"/>
              <w:rPr>
                <w:sz w:val="20"/>
                <w:szCs w:val="20"/>
                <w:color w:val="auto"/>
              </w:rPr>
            </w:pPr>
            <w:r>
              <w:rPr>
                <w:rFonts w:ascii="Arial" w:cs="Arial" w:eastAsia="Arial" w:hAnsi="Arial"/>
                <w:sz w:val="18"/>
                <w:szCs w:val="18"/>
                <w:color w:val="auto"/>
              </w:rPr>
              <w:t>Fair value at date of grant</w:t>
            </w:r>
          </w:p>
        </w:tc>
        <w:tc>
          <w:tcPr>
            <w:tcW w:w="1400" w:type="dxa"/>
            <w:vAlign w:val="bottom"/>
            <w:gridSpan w:val="2"/>
            <w:shd w:val="clear" w:color="auto" w:fill="CCEEFF"/>
          </w:tcPr>
          <w:p>
            <w:pPr>
              <w:ind w:left="1180"/>
              <w:spacing w:after="0"/>
              <w:rPr>
                <w:sz w:val="20"/>
                <w:szCs w:val="20"/>
                <w:color w:val="auto"/>
              </w:rPr>
            </w:pPr>
            <w:r>
              <w:rPr>
                <w:rFonts w:ascii="Arial" w:cs="Arial" w:eastAsia="Arial" w:hAnsi="Arial"/>
                <w:sz w:val="18"/>
                <w:szCs w:val="18"/>
                <w:color w:val="auto"/>
                <w:w w:val="90"/>
              </w:rPr>
              <w:t>A$</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0.058</w:t>
            </w:r>
          </w:p>
        </w:tc>
        <w:tc>
          <w:tcPr>
            <w:tcW w:w="620" w:type="dxa"/>
            <w:vAlign w:val="bottom"/>
            <w:shd w:val="clear" w:color="auto" w:fill="CCEEFF"/>
          </w:tcPr>
          <w:p>
            <w:pPr>
              <w:spacing w:after="0"/>
              <w:rPr>
                <w:sz w:val="18"/>
                <w:szCs w:val="18"/>
                <w:color w:val="auto"/>
              </w:rPr>
            </w:pPr>
          </w:p>
        </w:tc>
        <w:tc>
          <w:tcPr>
            <w:tcW w:w="680" w:type="dxa"/>
            <w:vAlign w:val="bottom"/>
            <w:gridSpan w:val="2"/>
            <w:shd w:val="clear" w:color="auto" w:fill="CCEEFF"/>
          </w:tcPr>
          <w:p>
            <w:pPr>
              <w:ind w:left="460"/>
              <w:spacing w:after="0"/>
              <w:rPr>
                <w:sz w:val="20"/>
                <w:szCs w:val="20"/>
                <w:color w:val="auto"/>
              </w:rPr>
            </w:pPr>
            <w:r>
              <w:rPr>
                <w:rFonts w:ascii="Arial" w:cs="Arial" w:eastAsia="Arial" w:hAnsi="Arial"/>
                <w:sz w:val="18"/>
                <w:szCs w:val="18"/>
                <w:color w:val="auto"/>
                <w:w w:val="90"/>
              </w:rPr>
              <w:t>A$</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0.071</w:t>
            </w:r>
          </w:p>
        </w:tc>
        <w:tc>
          <w:tcPr>
            <w:tcW w:w="6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ind w:left="480"/>
              <w:spacing w:after="0"/>
              <w:rPr>
                <w:sz w:val="20"/>
                <w:szCs w:val="20"/>
                <w:color w:val="auto"/>
              </w:rPr>
            </w:pPr>
            <w:r>
              <w:rPr>
                <w:rFonts w:ascii="Arial" w:cs="Arial" w:eastAsia="Arial" w:hAnsi="Arial"/>
                <w:sz w:val="18"/>
                <w:szCs w:val="18"/>
                <w:color w:val="auto"/>
                <w:w w:val="90"/>
              </w:rPr>
              <w:t>A$</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0.048</w:t>
            </w:r>
          </w:p>
        </w:tc>
        <w:tc>
          <w:tcPr>
            <w:tcW w:w="1180" w:type="dxa"/>
            <w:vAlign w:val="bottom"/>
            <w:shd w:val="clear" w:color="auto" w:fill="CCEEFF"/>
          </w:tcPr>
          <w:p>
            <w:pPr>
              <w:spacing w:after="0"/>
              <w:rPr>
                <w:sz w:val="18"/>
                <w:szCs w:val="18"/>
                <w:color w:val="auto"/>
              </w:rPr>
            </w:pPr>
          </w:p>
        </w:tc>
      </w:tr>
      <w:tr>
        <w:trPr>
          <w:trHeight w:val="230"/>
        </w:trPr>
        <w:tc>
          <w:tcPr>
            <w:tcW w:w="20" w:type="dxa"/>
            <w:vAlign w:val="bottom"/>
          </w:tcPr>
          <w:p>
            <w:pPr>
              <w:spacing w:after="0"/>
              <w:rPr>
                <w:sz w:val="20"/>
                <w:szCs w:val="20"/>
                <w:color w:val="auto"/>
              </w:rPr>
            </w:pPr>
          </w:p>
        </w:tc>
        <w:tc>
          <w:tcPr>
            <w:tcW w:w="3300" w:type="dxa"/>
            <w:vAlign w:val="bottom"/>
          </w:tcPr>
          <w:p>
            <w:pPr>
              <w:spacing w:after="0"/>
              <w:rPr>
                <w:sz w:val="20"/>
                <w:szCs w:val="20"/>
                <w:color w:val="auto"/>
              </w:rPr>
            </w:pPr>
            <w:r>
              <w:rPr>
                <w:rFonts w:ascii="Arial" w:cs="Arial" w:eastAsia="Arial" w:hAnsi="Arial"/>
                <w:sz w:val="18"/>
                <w:szCs w:val="18"/>
                <w:color w:val="auto"/>
              </w:rPr>
              <w:t>Option exercise price (A$)</w:t>
            </w:r>
          </w:p>
        </w:tc>
        <w:tc>
          <w:tcPr>
            <w:tcW w:w="1400" w:type="dxa"/>
            <w:vAlign w:val="bottom"/>
            <w:gridSpan w:val="2"/>
          </w:tcPr>
          <w:p>
            <w:pPr>
              <w:ind w:left="1180"/>
              <w:spacing w:after="0"/>
              <w:rPr>
                <w:sz w:val="20"/>
                <w:szCs w:val="20"/>
                <w:color w:val="auto"/>
              </w:rPr>
            </w:pPr>
            <w:r>
              <w:rPr>
                <w:rFonts w:ascii="Arial" w:cs="Arial" w:eastAsia="Arial" w:hAnsi="Arial"/>
                <w:sz w:val="18"/>
                <w:szCs w:val="18"/>
                <w:color w:val="auto"/>
                <w:w w:val="90"/>
              </w:rPr>
              <w:t>A$</w:t>
            </w:r>
          </w:p>
        </w:tc>
        <w:tc>
          <w:tcPr>
            <w:tcW w:w="840" w:type="dxa"/>
            <w:vAlign w:val="bottom"/>
          </w:tcPr>
          <w:p>
            <w:pPr>
              <w:jc w:val="right"/>
              <w:spacing w:after="0"/>
              <w:rPr>
                <w:sz w:val="20"/>
                <w:szCs w:val="20"/>
                <w:color w:val="auto"/>
              </w:rPr>
            </w:pPr>
            <w:r>
              <w:rPr>
                <w:rFonts w:ascii="Arial" w:cs="Arial" w:eastAsia="Arial" w:hAnsi="Arial"/>
                <w:sz w:val="18"/>
                <w:szCs w:val="18"/>
                <w:color w:val="auto"/>
              </w:rPr>
              <w:t>0.082</w:t>
            </w:r>
          </w:p>
        </w:tc>
        <w:tc>
          <w:tcPr>
            <w:tcW w:w="620" w:type="dxa"/>
            <w:vAlign w:val="bottom"/>
          </w:tcPr>
          <w:p>
            <w:pPr>
              <w:spacing w:after="0"/>
              <w:rPr>
                <w:sz w:val="20"/>
                <w:szCs w:val="20"/>
                <w:color w:val="auto"/>
              </w:rPr>
            </w:pPr>
          </w:p>
        </w:tc>
        <w:tc>
          <w:tcPr>
            <w:tcW w:w="680" w:type="dxa"/>
            <w:vAlign w:val="bottom"/>
            <w:gridSpan w:val="2"/>
          </w:tcPr>
          <w:p>
            <w:pPr>
              <w:ind w:left="460"/>
              <w:spacing w:after="0"/>
              <w:rPr>
                <w:sz w:val="20"/>
                <w:szCs w:val="20"/>
                <w:color w:val="auto"/>
              </w:rPr>
            </w:pPr>
            <w:r>
              <w:rPr>
                <w:rFonts w:ascii="Arial" w:cs="Arial" w:eastAsia="Arial" w:hAnsi="Arial"/>
                <w:sz w:val="18"/>
                <w:szCs w:val="18"/>
                <w:color w:val="auto"/>
                <w:w w:val="90"/>
              </w:rPr>
              <w:t>A$</w:t>
            </w:r>
          </w:p>
        </w:tc>
        <w:tc>
          <w:tcPr>
            <w:tcW w:w="840" w:type="dxa"/>
            <w:vAlign w:val="bottom"/>
          </w:tcPr>
          <w:p>
            <w:pPr>
              <w:jc w:val="right"/>
              <w:spacing w:after="0"/>
              <w:rPr>
                <w:sz w:val="20"/>
                <w:szCs w:val="20"/>
                <w:color w:val="auto"/>
              </w:rPr>
            </w:pPr>
            <w:r>
              <w:rPr>
                <w:rFonts w:ascii="Arial" w:cs="Arial" w:eastAsia="Arial" w:hAnsi="Arial"/>
                <w:sz w:val="18"/>
                <w:szCs w:val="18"/>
                <w:color w:val="auto"/>
              </w:rPr>
              <w:t>0.082</w:t>
            </w:r>
          </w:p>
        </w:tc>
        <w:tc>
          <w:tcPr>
            <w:tcW w:w="620" w:type="dxa"/>
            <w:vAlign w:val="bottom"/>
          </w:tcPr>
          <w:p>
            <w:pPr>
              <w:spacing w:after="0"/>
              <w:rPr>
                <w:sz w:val="20"/>
                <w:szCs w:val="20"/>
                <w:color w:val="auto"/>
              </w:rPr>
            </w:pPr>
          </w:p>
        </w:tc>
        <w:tc>
          <w:tcPr>
            <w:tcW w:w="700" w:type="dxa"/>
            <w:vAlign w:val="bottom"/>
            <w:gridSpan w:val="2"/>
          </w:tcPr>
          <w:p>
            <w:pPr>
              <w:ind w:left="480"/>
              <w:spacing w:after="0"/>
              <w:rPr>
                <w:sz w:val="20"/>
                <w:szCs w:val="20"/>
                <w:color w:val="auto"/>
              </w:rPr>
            </w:pPr>
            <w:r>
              <w:rPr>
                <w:rFonts w:ascii="Arial" w:cs="Arial" w:eastAsia="Arial" w:hAnsi="Arial"/>
                <w:sz w:val="18"/>
                <w:szCs w:val="18"/>
                <w:color w:val="auto"/>
                <w:w w:val="90"/>
              </w:rPr>
              <w:t>A$</w:t>
            </w:r>
          </w:p>
        </w:tc>
        <w:tc>
          <w:tcPr>
            <w:tcW w:w="840" w:type="dxa"/>
            <w:vAlign w:val="bottom"/>
          </w:tcPr>
          <w:p>
            <w:pPr>
              <w:jc w:val="right"/>
              <w:spacing w:after="0"/>
              <w:rPr>
                <w:sz w:val="20"/>
                <w:szCs w:val="20"/>
                <w:color w:val="auto"/>
              </w:rPr>
            </w:pPr>
            <w:r>
              <w:rPr>
                <w:rFonts w:ascii="Arial" w:cs="Arial" w:eastAsia="Arial" w:hAnsi="Arial"/>
                <w:sz w:val="18"/>
                <w:szCs w:val="18"/>
                <w:color w:val="auto"/>
              </w:rPr>
              <w:t>0.082</w:t>
            </w:r>
          </w:p>
        </w:tc>
        <w:tc>
          <w:tcPr>
            <w:tcW w:w="1180" w:type="dxa"/>
            <w:vAlign w:val="bottom"/>
          </w:tcPr>
          <w:p>
            <w:pPr>
              <w:spacing w:after="0"/>
              <w:rPr>
                <w:sz w:val="20"/>
                <w:szCs w:val="20"/>
                <w:color w:val="auto"/>
              </w:rPr>
            </w:pPr>
          </w:p>
        </w:tc>
      </w:tr>
    </w:tbl>
    <w:p>
      <w:pPr>
        <w:spacing w:after="0" w:line="332" w:lineRule="exact"/>
        <w:rPr>
          <w:sz w:val="20"/>
          <w:szCs w:val="20"/>
          <w:color w:val="auto"/>
        </w:rPr>
      </w:pPr>
    </w:p>
    <w:p>
      <w:pPr>
        <w:ind w:left="640" w:hanging="436"/>
        <w:spacing w:after="0"/>
        <w:tabs>
          <w:tab w:leader="none" w:pos="640" w:val="left"/>
        </w:tabs>
        <w:numPr>
          <w:ilvl w:val="0"/>
          <w:numId w:val="227"/>
        </w:numPr>
        <w:rPr>
          <w:rFonts w:ascii="Arial" w:cs="Arial" w:eastAsia="Arial" w:hAnsi="Arial"/>
          <w:sz w:val="18"/>
          <w:szCs w:val="18"/>
          <w:b w:val="1"/>
          <w:bCs w:val="1"/>
          <w:color w:val="auto"/>
        </w:rPr>
      </w:pPr>
      <w:r>
        <w:rPr>
          <w:rFonts w:ascii="Arial" w:cs="Arial" w:eastAsia="Arial" w:hAnsi="Arial"/>
          <w:sz w:val="18"/>
          <w:szCs w:val="18"/>
          <w:b w:val="1"/>
          <w:bCs w:val="1"/>
          <w:color w:val="auto"/>
        </w:rPr>
        <w:t>RELATED PARTY DISCLOSURES</w:t>
      </w:r>
    </w:p>
    <w:p>
      <w:pPr>
        <w:spacing w:after="0" w:line="121" w:lineRule="exact"/>
        <w:rPr>
          <w:sz w:val="20"/>
          <w:szCs w:val="20"/>
          <w:color w:val="auto"/>
        </w:rPr>
      </w:pPr>
    </w:p>
    <w:p>
      <w:pPr>
        <w:ind w:left="200" w:right="100"/>
        <w:spacing w:after="0" w:line="264" w:lineRule="auto"/>
        <w:rPr>
          <w:sz w:val="20"/>
          <w:szCs w:val="20"/>
          <w:color w:val="auto"/>
        </w:rPr>
      </w:pPr>
      <w:r>
        <w:rPr>
          <w:rFonts w:ascii="Arial" w:cs="Arial" w:eastAsia="Arial" w:hAnsi="Arial"/>
          <w:sz w:val="18"/>
          <w:szCs w:val="18"/>
          <w:color w:val="auto"/>
        </w:rPr>
        <w:t>The total amount of transactions entered into with Key Management Personnel for the half-year ended December 31, 2018 were A$51,802 Consultancy fees (2017: A$124,156) paid under normal terms and conditions to Bioscience Managers Pty Ltd of which Mr. Curnock Cook is an officer and Dr. Michael Perry is a director.</w:t>
      </w:r>
    </w:p>
    <w:p>
      <w:pPr>
        <w:spacing w:after="0" w:line="181" w:lineRule="exact"/>
        <w:rPr>
          <w:sz w:val="20"/>
          <w:szCs w:val="20"/>
          <w:color w:val="auto"/>
        </w:rPr>
      </w:pPr>
    </w:p>
    <w:p>
      <w:pPr>
        <w:ind w:left="200" w:right="300"/>
        <w:spacing w:after="0" w:line="277" w:lineRule="auto"/>
        <w:rPr>
          <w:sz w:val="20"/>
          <w:szCs w:val="20"/>
          <w:color w:val="auto"/>
        </w:rPr>
      </w:pPr>
      <w:r>
        <w:rPr>
          <w:rFonts w:ascii="Arial" w:cs="Arial" w:eastAsia="Arial" w:hAnsi="Arial"/>
          <w:sz w:val="18"/>
          <w:szCs w:val="18"/>
          <w:color w:val="auto"/>
        </w:rPr>
        <w:t>Details of all related party transactions have been disclosed in the annual report for the year ended 30 June 2018. There have been no new significant related party transactions during the interim period.</w:t>
      </w:r>
    </w:p>
    <w:p>
      <w:pPr>
        <w:spacing w:after="0" w:line="315" w:lineRule="exact"/>
        <w:rPr>
          <w:sz w:val="20"/>
          <w:szCs w:val="20"/>
          <w:color w:val="auto"/>
        </w:rPr>
      </w:pPr>
    </w:p>
    <w:p>
      <w:pPr>
        <w:ind w:left="640" w:hanging="436"/>
        <w:spacing w:after="0"/>
        <w:tabs>
          <w:tab w:leader="none" w:pos="640" w:val="left"/>
        </w:tabs>
        <w:numPr>
          <w:ilvl w:val="0"/>
          <w:numId w:val="228"/>
        </w:numPr>
        <w:rPr>
          <w:rFonts w:ascii="Arial" w:cs="Arial" w:eastAsia="Arial" w:hAnsi="Arial"/>
          <w:sz w:val="18"/>
          <w:szCs w:val="18"/>
          <w:b w:val="1"/>
          <w:bCs w:val="1"/>
          <w:color w:val="auto"/>
        </w:rPr>
      </w:pPr>
      <w:r>
        <w:rPr>
          <w:rFonts w:ascii="Arial" w:cs="Arial" w:eastAsia="Arial" w:hAnsi="Arial"/>
          <w:sz w:val="18"/>
          <w:szCs w:val="18"/>
          <w:b w:val="1"/>
          <w:bCs w:val="1"/>
          <w:color w:val="auto"/>
        </w:rPr>
        <w:t>SUBSEQUENT EVENTS</w:t>
      </w:r>
    </w:p>
    <w:p>
      <w:pPr>
        <w:spacing w:after="0" w:line="121" w:lineRule="exact"/>
        <w:rPr>
          <w:sz w:val="20"/>
          <w:szCs w:val="20"/>
          <w:color w:val="auto"/>
        </w:rPr>
      </w:pPr>
    </w:p>
    <w:p>
      <w:pPr>
        <w:ind w:left="200" w:right="140"/>
        <w:spacing w:after="0" w:line="273" w:lineRule="auto"/>
        <w:rPr>
          <w:sz w:val="20"/>
          <w:szCs w:val="20"/>
          <w:color w:val="auto"/>
        </w:rPr>
      </w:pPr>
      <w:r>
        <w:rPr>
          <w:rFonts w:ascii="Arial" w:cs="Arial" w:eastAsia="Arial" w:hAnsi="Arial"/>
          <w:sz w:val="17"/>
          <w:szCs w:val="17"/>
          <w:color w:val="auto"/>
        </w:rPr>
        <w:t>During the six months ended December 31, 2018, the Company completed an institutional placement of shares to institutional placements of shares to U.S., Australian and international institutional and sophisticated investors. The institutional placement included a second tranche contingent upon shareholder approval. Shareholder approval for Tranche 2 was received at an Extraordinary General Meeting held on January 14, 2019, and subsequent to December 31, 2018 the Company issued 189,952,985 shares at a price of A$0.080 per share and received gross proceeds of A$15,196,239 on January 14, 2019. Also subsequent to December 31, 2018, on January 11, 2019 the Company completed a Share Purchase Plan under which it issued 22,061,250 shares of stock at a price of A$0.080 per share and received gross proceeds of A$1,764,900.</w:t>
      </w:r>
    </w:p>
    <w:p>
      <w:pPr>
        <w:spacing w:after="0" w:line="111"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F-66</w:t>
      </w:r>
    </w:p>
    <w:sectPr>
      <w:pgSz w:w="11900" w:h="16838" w:orient="portrait"/>
      <w:cols w:equalWidth="0" w:num="1">
        <w:col w:w="11240"/>
      </w:cols>
      <w:pgMar w:left="240" w:top="459" w:right="4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C5991AA"/>
    <w:multiLevelType w:val="hybridMultilevel"/>
    <w:lvl w:ilvl="0">
      <w:lvlJc w:val="left"/>
      <w:lvlText w:val="☒"/>
      <w:numFmt w:val="bullet"/>
      <w:start w:val="1"/>
    </w:lvl>
  </w:abstractNum>
  <w:abstractNum w:abstractNumId="1">
    <w:nsid w:val="4BD8591A"/>
    <w:multiLevelType w:val="hybridMultilevel"/>
    <w:lvl w:ilvl="0">
      <w:lvlJc w:val="left"/>
      <w:lvlText w:val="☐"/>
      <w:numFmt w:val="bullet"/>
      <w:start w:val="1"/>
    </w:lvl>
  </w:abstractNum>
  <w:abstractNum w:abstractNumId="2">
    <w:nsid w:val="78DF6A55"/>
    <w:multiLevelType w:val="hybridMultilevel"/>
    <w:lvl w:ilvl="0">
      <w:lvlJc w:val="left"/>
      <w:lvlText w:val="☐"/>
      <w:numFmt w:val="bullet"/>
      <w:start w:val="1"/>
    </w:lvl>
  </w:abstractNum>
  <w:abstractNum w:abstractNumId="3">
    <w:nsid w:val="39B7AAA2"/>
    <w:multiLevelType w:val="hybridMultilevel"/>
    <w:lvl w:ilvl="0">
      <w:lvlJc w:val="left"/>
      <w:lvlText w:val="☐"/>
      <w:numFmt w:val="bullet"/>
      <w:start w:val="1"/>
    </w:lvl>
  </w:abstractNum>
  <w:abstractNum w:abstractNumId="4">
    <w:nsid w:val="2B0D8DBE"/>
    <w:multiLevelType w:val="hybridMultilevel"/>
    <w:lvl w:ilvl="0">
      <w:lvlJc w:val="left"/>
      <w:lvlText w:val="•"/>
      <w:numFmt w:val="bullet"/>
      <w:start w:val="1"/>
    </w:lvl>
  </w:abstractNum>
  <w:abstractNum w:abstractNumId="5">
    <w:nsid w:val="6C80EC70"/>
    <w:multiLevelType w:val="hybridMultilevel"/>
    <w:lvl w:ilvl="0">
      <w:lvlJc w:val="left"/>
      <w:lvlText w:val="•"/>
      <w:numFmt w:val="bullet"/>
      <w:start w:val="1"/>
    </w:lvl>
  </w:abstractNum>
  <w:abstractNum w:abstractNumId="6">
    <w:nsid w:val="379E21B5"/>
    <w:multiLevelType w:val="hybridMultilevel"/>
    <w:lvl w:ilvl="0">
      <w:lvlJc w:val="left"/>
      <w:lvlText w:val="•"/>
      <w:numFmt w:val="bullet"/>
      <w:start w:val="1"/>
    </w:lvl>
  </w:abstractNum>
  <w:abstractNum w:abstractNumId="7">
    <w:nsid w:val="69E373"/>
    <w:multiLevelType w:val="hybridMultilevel"/>
    <w:lvl w:ilvl="0">
      <w:lvlJc w:val="left"/>
      <w:lvlText w:val="•"/>
      <w:numFmt w:val="bullet"/>
      <w:start w:val="1"/>
    </w:lvl>
  </w:abstractNum>
  <w:abstractNum w:abstractNumId="8">
    <w:nsid w:val="2C27173B"/>
    <w:multiLevelType w:val="hybridMultilevel"/>
    <w:lvl w:ilvl="0">
      <w:lvlJc w:val="left"/>
      <w:lvlText w:val="•"/>
      <w:numFmt w:val="bullet"/>
      <w:start w:val="1"/>
    </w:lvl>
  </w:abstractNum>
  <w:abstractNum w:abstractNumId="9">
    <w:nsid w:val="4C9B0904"/>
    <w:multiLevelType w:val="hybridMultilevel"/>
    <w:lvl w:ilvl="0">
      <w:lvlJc w:val="left"/>
      <w:lvlText w:val="•"/>
      <w:numFmt w:val="bullet"/>
      <w:start w:val="1"/>
    </w:lvl>
  </w:abstractNum>
  <w:abstractNum w:abstractNumId="10">
    <w:nsid w:val="6AA7B75C"/>
    <w:multiLevelType w:val="hybridMultilevel"/>
    <w:lvl w:ilvl="0">
      <w:lvlJc w:val="left"/>
      <w:lvlText w:val="•"/>
      <w:numFmt w:val="bullet"/>
      <w:start w:val="1"/>
    </w:lvl>
  </w:abstractNum>
  <w:abstractNum w:abstractNumId="11">
    <w:nsid w:val="1DF029D3"/>
    <w:multiLevelType w:val="hybridMultilevel"/>
    <w:lvl w:ilvl="0">
      <w:lvlJc w:val="left"/>
      <w:lvlText w:val="•"/>
      <w:numFmt w:val="bullet"/>
      <w:start w:val="1"/>
    </w:lvl>
  </w:abstractNum>
  <w:abstractNum w:abstractNumId="12">
    <w:nsid w:val="5675FF36"/>
    <w:multiLevelType w:val="hybridMultilevel"/>
    <w:lvl w:ilvl="0">
      <w:lvlJc w:val="left"/>
      <w:lvlText w:val="•"/>
      <w:numFmt w:val="bullet"/>
      <w:start w:val="1"/>
    </w:lvl>
  </w:abstractNum>
  <w:abstractNum w:abstractNumId="13">
    <w:nsid w:val="3DD15094"/>
    <w:multiLevelType w:val="hybridMultilevel"/>
    <w:lvl w:ilvl="0">
      <w:lvlJc w:val="left"/>
      <w:lvlText w:val="•"/>
      <w:numFmt w:val="bullet"/>
      <w:start w:val="1"/>
    </w:lvl>
  </w:abstractNum>
  <w:abstractNum w:abstractNumId="14">
    <w:nsid w:val="3DB012B3"/>
    <w:multiLevelType w:val="hybridMultilevel"/>
    <w:lvl w:ilvl="0">
      <w:lvlJc w:val="left"/>
      <w:lvlText w:val="•"/>
      <w:numFmt w:val="bullet"/>
      <w:start w:val="1"/>
    </w:lvl>
  </w:abstractNum>
  <w:abstractNum w:abstractNumId="15">
    <w:nsid w:val="2708C9AF"/>
    <w:multiLevelType w:val="hybridMultilevel"/>
    <w:lvl w:ilvl="0">
      <w:lvlJc w:val="left"/>
      <w:lvlText w:val="•"/>
      <w:numFmt w:val="bullet"/>
      <w:start w:val="1"/>
    </w:lvl>
  </w:abstractNum>
  <w:abstractNum w:abstractNumId="16">
    <w:nsid w:val="5B25ACE2"/>
    <w:multiLevelType w:val="hybridMultilevel"/>
    <w:lvl w:ilvl="0">
      <w:lvlJc w:val="left"/>
      <w:lvlText w:val="•"/>
      <w:numFmt w:val="bullet"/>
      <w:start w:val="1"/>
    </w:lvl>
  </w:abstractNum>
  <w:abstractNum w:abstractNumId="17">
    <w:nsid w:val="175DFCF0"/>
    <w:multiLevelType w:val="hybridMultilevel"/>
    <w:lvl w:ilvl="0">
      <w:lvlJc w:val="left"/>
      <w:lvlText w:val="•"/>
      <w:numFmt w:val="bullet"/>
      <w:start w:val="1"/>
    </w:lvl>
  </w:abstractNum>
  <w:abstractNum w:abstractNumId="18">
    <w:nsid w:val="4F97E3E4"/>
    <w:multiLevelType w:val="hybridMultilevel"/>
    <w:lvl w:ilvl="0">
      <w:lvlJc w:val="left"/>
      <w:lvlText w:val="•"/>
      <w:numFmt w:val="bullet"/>
      <w:start w:val="1"/>
    </w:lvl>
  </w:abstractNum>
  <w:abstractNum w:abstractNumId="19">
    <w:nsid w:val="53B0A9E"/>
    <w:multiLevelType w:val="hybridMultilevel"/>
    <w:lvl w:ilvl="0">
      <w:lvlJc w:val="left"/>
      <w:lvlText w:val="•"/>
      <w:numFmt w:val="bullet"/>
      <w:start w:val="1"/>
    </w:lvl>
  </w:abstractNum>
  <w:abstractNum w:abstractNumId="20">
    <w:nsid w:val="34FD6B4F"/>
    <w:multiLevelType w:val="hybridMultilevel"/>
    <w:lvl w:ilvl="0">
      <w:lvlJc w:val="left"/>
      <w:lvlText w:val="(%1)"/>
      <w:numFmt w:val="decimal"/>
      <w:start w:val="1"/>
    </w:lvl>
  </w:abstractNum>
  <w:abstractNum w:abstractNumId="21">
    <w:nsid w:val="5915FF32"/>
    <w:multiLevelType w:val="hybridMultilevel"/>
    <w:lvl w:ilvl="0">
      <w:lvlJc w:val="left"/>
      <w:lvlText w:val="%1."/>
      <w:numFmt w:val="upperLetter"/>
      <w:start w:val="2"/>
    </w:lvl>
  </w:abstractNum>
  <w:abstractNum w:abstractNumId="22">
    <w:nsid w:val="56438D15"/>
    <w:multiLevelType w:val="hybridMultilevel"/>
    <w:lvl w:ilvl="0">
      <w:lvlJc w:val="left"/>
      <w:lvlText w:val="•"/>
      <w:numFmt w:val="bullet"/>
      <w:start w:val="1"/>
    </w:lvl>
  </w:abstractNum>
  <w:abstractNum w:abstractNumId="23">
    <w:nsid w:val="519E3149"/>
    <w:multiLevelType w:val="hybridMultilevel"/>
    <w:lvl w:ilvl="0">
      <w:lvlJc w:val="left"/>
      <w:lvlText w:val="•"/>
      <w:numFmt w:val="bullet"/>
      <w:start w:val="1"/>
    </w:lvl>
  </w:abstractNum>
  <w:abstractNum w:abstractNumId="24">
    <w:nsid w:val="2C6E4AFD"/>
    <w:multiLevelType w:val="hybridMultilevel"/>
    <w:lvl w:ilvl="0">
      <w:lvlJc w:val="left"/>
      <w:lvlText w:val="•"/>
      <w:numFmt w:val="bullet"/>
      <w:start w:val="1"/>
    </w:lvl>
  </w:abstractNum>
  <w:abstractNum w:abstractNumId="25">
    <w:nsid w:val="17A1B582"/>
    <w:multiLevelType w:val="hybridMultilevel"/>
    <w:lvl w:ilvl="0">
      <w:lvlJc w:val="left"/>
      <w:lvlText w:val="•"/>
      <w:numFmt w:val="bullet"/>
      <w:start w:val="1"/>
    </w:lvl>
  </w:abstractNum>
  <w:abstractNum w:abstractNumId="26">
    <w:nsid w:val="4DF72E4E"/>
    <w:multiLevelType w:val="hybridMultilevel"/>
    <w:lvl w:ilvl="0">
      <w:lvlJc w:val="left"/>
      <w:lvlText w:val="•"/>
      <w:numFmt w:val="bullet"/>
      <w:start w:val="1"/>
    </w:lvl>
  </w:abstractNum>
  <w:abstractNum w:abstractNumId="27">
    <w:nsid w:val="5046B5A9"/>
    <w:multiLevelType w:val="hybridMultilevel"/>
    <w:lvl w:ilvl="0">
      <w:lvlJc w:val="left"/>
      <w:lvlText w:val="•"/>
      <w:numFmt w:val="bullet"/>
      <w:start w:val="1"/>
    </w:lvl>
    <w:lvl w:ilvl="1">
      <w:lvlJc w:val="left"/>
      <w:lvlText w:val="•"/>
      <w:numFmt w:val="bullet"/>
      <w:start w:val="1"/>
    </w:lvl>
  </w:abstractNum>
  <w:abstractNum w:abstractNumId="28">
    <w:nsid w:val="5D888A08"/>
    <w:multiLevelType w:val="hybridMultilevel"/>
    <w:lvl w:ilvl="0">
      <w:lvlJc w:val="left"/>
      <w:lvlText w:val="•"/>
      <w:numFmt w:val="bullet"/>
      <w:start w:val="1"/>
    </w:lvl>
  </w:abstractNum>
  <w:abstractNum w:abstractNumId="29">
    <w:nsid w:val="2A082C70"/>
    <w:multiLevelType w:val="hybridMultilevel"/>
    <w:lvl w:ilvl="0">
      <w:lvlJc w:val="left"/>
      <w:lvlText w:val="%1"/>
      <w:numFmt w:val="decimal"/>
      <w:start w:val="12"/>
    </w:lvl>
  </w:abstractNum>
  <w:abstractNum w:abstractNumId="30">
    <w:nsid w:val="5EC6AFD4"/>
    <w:multiLevelType w:val="hybridMultilevel"/>
    <w:lvl w:ilvl="0">
      <w:lvlJc w:val="left"/>
      <w:lvlText w:val="%1"/>
      <w:numFmt w:val="decimal"/>
      <w:start w:val="12"/>
    </w:lvl>
  </w:abstractNum>
  <w:abstractNum w:abstractNumId="31">
    <w:nsid w:val="19E21BB2"/>
    <w:multiLevelType w:val="hybridMultilevel"/>
    <w:lvl w:ilvl="0">
      <w:lvlJc w:val="left"/>
      <w:lvlText w:val="(%1)"/>
      <w:numFmt w:val="decimal"/>
      <w:start w:val="1"/>
    </w:lvl>
  </w:abstractNum>
  <w:abstractNum w:abstractNumId="32">
    <w:nsid w:val="75E0858A"/>
    <w:multiLevelType w:val="hybridMultilevel"/>
    <w:lvl w:ilvl="0">
      <w:lvlJc w:val="left"/>
      <w:lvlText w:val="(%1)"/>
      <w:numFmt w:val="decimal"/>
      <w:start w:val="1"/>
    </w:lvl>
  </w:abstractNum>
  <w:abstractNum w:abstractNumId="33">
    <w:nsid w:val="57A61A29"/>
    <w:multiLevelType w:val="hybridMultilevel"/>
    <w:lvl w:ilvl="0">
      <w:lvlJc w:val="left"/>
      <w:lvlText w:val="(%1)"/>
      <w:numFmt w:val="decimal"/>
      <w:start w:val="3"/>
    </w:lvl>
    <w:lvl w:ilvl="1">
      <w:lvlJc w:val="left"/>
      <w:lvlText w:val="%2."/>
      <w:numFmt w:val="lowerLetter"/>
      <w:start w:val="1"/>
    </w:lvl>
  </w:abstractNum>
  <w:abstractNum w:abstractNumId="34">
    <w:nsid w:val="5399C654"/>
    <w:multiLevelType w:val="hybridMultilevel"/>
    <w:lvl w:ilvl="0">
      <w:lvlJc w:val="left"/>
      <w:lvlText w:val="•"/>
      <w:numFmt w:val="bullet"/>
      <w:start w:val="1"/>
    </w:lvl>
  </w:abstractNum>
  <w:abstractNum w:abstractNumId="35">
    <w:nsid w:val="20EE1348"/>
    <w:multiLevelType w:val="hybridMultilevel"/>
    <w:lvl w:ilvl="0">
      <w:lvlJc w:val="left"/>
      <w:lvlText w:val="•"/>
      <w:numFmt w:val="bullet"/>
      <w:start w:val="1"/>
    </w:lvl>
  </w:abstractNum>
  <w:abstractNum w:abstractNumId="36">
    <w:nsid w:val="4427069A"/>
    <w:multiLevelType w:val="hybridMultilevel"/>
    <w:lvl w:ilvl="0">
      <w:lvlJc w:val="left"/>
      <w:lvlText w:val="(%1)"/>
      <w:numFmt w:val="decimal"/>
      <w:start w:val="1"/>
    </w:lvl>
  </w:abstractNum>
  <w:abstractNum w:abstractNumId="37">
    <w:nsid w:val="B37E80A"/>
    <w:multiLevelType w:val="hybridMultilevel"/>
    <w:lvl w:ilvl="0">
      <w:lvlJc w:val="left"/>
      <w:lvlText w:val="(%1)"/>
      <w:numFmt w:val="lowerLetter"/>
      <w:start w:val="1"/>
    </w:lvl>
  </w:abstractNum>
  <w:abstractNum w:abstractNumId="38">
    <w:nsid w:val="2157F6BC"/>
    <w:multiLevelType w:val="hybridMultilevel"/>
    <w:lvl w:ilvl="0">
      <w:lvlJc w:val="left"/>
      <w:lvlText w:val="(%1)"/>
      <w:numFmt w:val="lowerLetter"/>
      <w:start w:val="3"/>
    </w:lvl>
  </w:abstractNum>
  <w:abstractNum w:abstractNumId="39">
    <w:nsid w:val="704E1DD5"/>
    <w:multiLevelType w:val="hybridMultilevel"/>
    <w:lvl w:ilvl="0">
      <w:lvlJc w:val="left"/>
      <w:lvlText w:val="%1."/>
      <w:numFmt w:val="decimal"/>
      <w:start w:val="1"/>
    </w:lvl>
  </w:abstractNum>
  <w:abstractNum w:abstractNumId="40">
    <w:nsid w:val="57D2F10E"/>
    <w:multiLevelType w:val="hybridMultilevel"/>
    <w:lvl w:ilvl="0">
      <w:lvlJc w:val="left"/>
      <w:lvlText w:val="%1"/>
      <w:numFmt w:val="decimal"/>
      <w:start w:val="1"/>
    </w:lvl>
    <w:lvl w:ilvl="1">
      <w:lvlJc w:val="left"/>
      <w:lvlText w:val="%2."/>
      <w:numFmt w:val="lowerLetter"/>
      <w:start w:val="1"/>
    </w:lvl>
  </w:abstractNum>
  <w:abstractNum w:abstractNumId="41">
    <w:nsid w:val="BFFAE18"/>
    <w:multiLevelType w:val="hybridMultilevel"/>
    <w:lvl w:ilvl="0">
      <w:lvlJc w:val="left"/>
      <w:lvlText w:val="%1."/>
      <w:numFmt w:val="decimal"/>
      <w:start w:val="3"/>
    </w:lvl>
    <w:lvl w:ilvl="1">
      <w:lvlJc w:val="left"/>
      <w:lvlText w:val="%2"/>
      <w:numFmt w:val="lowerLetter"/>
      <w:start w:val="1"/>
    </w:lvl>
  </w:abstractNum>
  <w:abstractNum w:abstractNumId="42">
    <w:nsid w:val="E3E47A8"/>
    <w:multiLevelType w:val="hybridMultilevel"/>
    <w:lvl w:ilvl="0">
      <w:lvlJc w:val="left"/>
      <w:lvlText w:val="•"/>
      <w:numFmt w:val="bullet"/>
      <w:start w:val="1"/>
    </w:lvl>
  </w:abstractNum>
  <w:abstractNum w:abstractNumId="43">
    <w:nsid w:val="2E48F044"/>
    <w:multiLevelType w:val="hybridMultilevel"/>
    <w:lvl w:ilvl="0">
      <w:lvlJc w:val="left"/>
      <w:lvlText w:val="*"/>
      <w:numFmt w:val="bullet"/>
      <w:start w:val="1"/>
    </w:lvl>
  </w:abstractNum>
  <w:abstractNum w:abstractNumId="44">
    <w:nsid w:val="49D0FEAC"/>
    <w:multiLevelType w:val="hybridMultilevel"/>
    <w:lvl w:ilvl="0">
      <w:lvlJc w:val="left"/>
      <w:lvlText w:val="(%1)"/>
      <w:numFmt w:val="decimal"/>
      <w:start w:val="1"/>
    </w:lvl>
  </w:abstractNum>
  <w:abstractNum w:abstractNumId="45">
    <w:nsid w:val="4BEE5A5B"/>
    <w:multiLevelType w:val="hybridMultilevel"/>
    <w:lvl w:ilvl="0">
      <w:lvlJc w:val="left"/>
      <w:lvlText w:val="(%1)"/>
      <w:numFmt w:val="decimal"/>
      <w:start w:val="3"/>
    </w:lvl>
  </w:abstractNum>
  <w:abstractNum w:abstractNumId="46">
    <w:nsid w:val="5551B9F3"/>
    <w:multiLevelType w:val="hybridMultilevel"/>
    <w:lvl w:ilvl="0">
      <w:lvlJc w:val="left"/>
      <w:lvlText w:val="•"/>
      <w:numFmt w:val="bullet"/>
      <w:start w:val="1"/>
    </w:lvl>
  </w:abstractNum>
  <w:abstractNum w:abstractNumId="47">
    <w:nsid w:val="24F6AB8E"/>
    <w:multiLevelType w:val="hybridMultilevel"/>
    <w:lvl w:ilvl="0">
      <w:lvlJc w:val="left"/>
      <w:lvlText w:val="•"/>
      <w:numFmt w:val="bullet"/>
      <w:start w:val="1"/>
    </w:lvl>
  </w:abstractNum>
  <w:abstractNum w:abstractNumId="48">
    <w:nsid w:val="634C574C"/>
    <w:multiLevelType w:val="hybridMultilevel"/>
    <w:lvl w:ilvl="0">
      <w:lvlJc w:val="left"/>
      <w:lvlText w:val="•"/>
      <w:numFmt w:val="bullet"/>
      <w:start w:val="1"/>
    </w:lvl>
  </w:abstractNum>
  <w:abstractNum w:abstractNumId="49">
    <w:nsid w:val="24E99DD7"/>
    <w:multiLevelType w:val="hybridMultilevel"/>
    <w:lvl w:ilvl="0">
      <w:lvlJc w:val="left"/>
      <w:lvlText w:val="•"/>
      <w:numFmt w:val="bullet"/>
      <w:start w:val="1"/>
    </w:lvl>
  </w:abstractNum>
  <w:abstractNum w:abstractNumId="50">
    <w:nsid w:val="2A31B62D"/>
    <w:multiLevelType w:val="hybridMultilevel"/>
    <w:lvl w:ilvl="0">
      <w:lvlJc w:val="left"/>
      <w:lvlText w:val="•"/>
      <w:numFmt w:val="bullet"/>
      <w:start w:val="1"/>
    </w:lvl>
  </w:abstractNum>
  <w:abstractNum w:abstractNumId="51">
    <w:nsid w:val="1849C29B"/>
    <w:multiLevelType w:val="hybridMultilevel"/>
    <w:lvl w:ilvl="0">
      <w:lvlJc w:val="left"/>
      <w:lvlText w:val="•"/>
      <w:numFmt w:val="bullet"/>
      <w:start w:val="1"/>
    </w:lvl>
  </w:abstractNum>
  <w:abstractNum w:abstractNumId="52">
    <w:nsid w:val="7DFF9D09"/>
    <w:multiLevelType w:val="hybridMultilevel"/>
    <w:lvl w:ilvl="0">
      <w:lvlJc w:val="left"/>
      <w:lvlText w:val="(%1)"/>
      <w:numFmt w:val="lowerLetter"/>
      <w:start w:val="2"/>
    </w:lvl>
  </w:abstractNum>
  <w:abstractNum w:abstractNumId="53">
    <w:nsid w:val="754342"/>
    <w:multiLevelType w:val="hybridMultilevel"/>
    <w:lvl w:ilvl="0">
      <w:lvlJc w:val="left"/>
      <w:lvlText w:val="•"/>
      <w:numFmt w:val="bullet"/>
      <w:start w:val="1"/>
    </w:lvl>
  </w:abstractNum>
  <w:abstractNum w:abstractNumId="54">
    <w:nsid w:val="69E7F3E5"/>
    <w:multiLevelType w:val="hybridMultilevel"/>
    <w:lvl w:ilvl="0">
      <w:lvlJc w:val="left"/>
      <w:lvlText w:val="•"/>
      <w:numFmt w:val="bullet"/>
      <w:start w:val="1"/>
    </w:lvl>
  </w:abstractNum>
  <w:abstractNum w:abstractNumId="55">
    <w:nsid w:val="2A6DE806"/>
    <w:multiLevelType w:val="hybridMultilevel"/>
    <w:lvl w:ilvl="0">
      <w:lvlJc w:val="left"/>
      <w:lvlText w:val="•"/>
      <w:numFmt w:val="bullet"/>
      <w:start w:val="1"/>
    </w:lvl>
  </w:abstractNum>
  <w:abstractNum w:abstractNumId="56">
    <w:nsid w:val="1816F8C4"/>
    <w:multiLevelType w:val="hybridMultilevel"/>
    <w:lvl w:ilvl="0">
      <w:lvlJc w:val="left"/>
      <w:lvlText w:val="•"/>
      <w:numFmt w:val="bullet"/>
      <w:start w:val="1"/>
    </w:lvl>
  </w:abstractNum>
  <w:abstractNum w:abstractNumId="57">
    <w:nsid w:val="37DF2233"/>
    <w:multiLevelType w:val="hybridMultilevel"/>
    <w:lvl w:ilvl="0">
      <w:lvlJc w:val="left"/>
      <w:lvlText w:val="•"/>
      <w:numFmt w:val="bullet"/>
      <w:start w:val="1"/>
    </w:lvl>
  </w:abstractNum>
  <w:abstractNum w:abstractNumId="58">
    <w:nsid w:val="7AB49DAF"/>
    <w:multiLevelType w:val="hybridMultilevel"/>
    <w:lvl w:ilvl="0">
      <w:lvlJc w:val="left"/>
      <w:lvlText w:val="•"/>
      <w:numFmt w:val="bullet"/>
      <w:start w:val="1"/>
    </w:lvl>
  </w:abstractNum>
  <w:abstractNum w:abstractNumId="59">
    <w:nsid w:val="759F82CD"/>
    <w:multiLevelType w:val="hybridMultilevel"/>
    <w:lvl w:ilvl="0">
      <w:lvlJc w:val="left"/>
      <w:lvlText w:val="+"/>
      <w:numFmt w:val="bullet"/>
      <w:start w:val="1"/>
    </w:lvl>
  </w:abstractNum>
  <w:abstractNum w:abstractNumId="60">
    <w:nsid w:val="61E74EA3"/>
    <w:multiLevelType w:val="hybridMultilevel"/>
    <w:lvl w:ilvl="0">
      <w:lvlJc w:val="left"/>
      <w:lvlText w:val="%1."/>
      <w:numFmt w:val="decimal"/>
      <w:start w:val="1"/>
    </w:lvl>
  </w:abstractNum>
  <w:abstractNum w:abstractNumId="61">
    <w:nsid w:val="597B4D84"/>
    <w:multiLevelType w:val="hybridMultilevel"/>
    <w:lvl w:ilvl="0">
      <w:lvlJc w:val="left"/>
      <w:lvlText w:val="%1."/>
      <w:numFmt w:val="decimal"/>
      <w:start w:val="2"/>
    </w:lvl>
  </w:abstractNum>
  <w:abstractNum w:abstractNumId="62">
    <w:nsid w:val="F819E7F"/>
    <w:multiLevelType w:val="hybridMultilevel"/>
    <w:lvl w:ilvl="0">
      <w:lvlJc w:val="left"/>
      <w:lvlText w:val="%1)"/>
      <w:numFmt w:val="lowerLetter"/>
      <w:start w:val="1"/>
    </w:lvl>
  </w:abstractNum>
  <w:abstractNum w:abstractNumId="63">
    <w:nsid w:val="57C7D42D"/>
    <w:multiLevelType w:val="hybridMultilevel"/>
    <w:lvl w:ilvl="0">
      <w:lvlJc w:val="left"/>
      <w:lvlText w:val="%1)"/>
      <w:numFmt w:val="lowerLetter"/>
      <w:start w:val="2"/>
    </w:lvl>
  </w:abstractNum>
  <w:abstractNum w:abstractNumId="64">
    <w:nsid w:val="312167AD"/>
    <w:multiLevelType w:val="hybridMultilevel"/>
    <w:lvl w:ilvl="0">
      <w:lvlJc w:val="left"/>
      <w:lvlText w:val="%1)"/>
      <w:numFmt w:val="lowerLetter"/>
      <w:start w:val="3"/>
    </w:lvl>
  </w:abstractNum>
  <w:abstractNum w:abstractNumId="65">
    <w:nsid w:val="631B64D4"/>
    <w:multiLevelType w:val="hybridMultilevel"/>
    <w:lvl w:ilvl="0">
      <w:lvlJc w:val="left"/>
      <w:lvlText w:val="%1."/>
      <w:numFmt w:val="decimal"/>
      <w:start w:val="1"/>
    </w:lvl>
  </w:abstractNum>
  <w:abstractNum w:abstractNumId="66">
    <w:nsid w:val="78B5E776"/>
    <w:multiLevelType w:val="hybridMultilevel"/>
    <w:lvl w:ilvl="0">
      <w:lvlJc w:val="left"/>
      <w:lvlText w:val="%1."/>
      <w:numFmt w:val="decimal"/>
      <w:start w:val="2"/>
    </w:lvl>
  </w:abstractNum>
  <w:abstractNum w:abstractNumId="67">
    <w:nsid w:val="75486E47"/>
    <w:multiLevelType w:val="hybridMultilevel"/>
    <w:lvl w:ilvl="0">
      <w:lvlJc w:val="left"/>
      <w:lvlText w:val="%1)"/>
      <w:numFmt w:val="lowerLetter"/>
      <w:start w:val="3"/>
    </w:lvl>
    <w:lvl w:ilvl="1">
      <w:lvlJc w:val="left"/>
      <w:lvlText w:val="%2."/>
      <w:numFmt w:val="decimal"/>
      <w:start w:val="2"/>
    </w:lvl>
  </w:abstractNum>
  <w:abstractNum w:abstractNumId="68">
    <w:nsid w:val="6E534CDE"/>
    <w:multiLevelType w:val="hybridMultilevel"/>
    <w:lvl w:ilvl="0">
      <w:lvlJc w:val="left"/>
      <w:lvlText w:val="•"/>
      <w:numFmt w:val="bullet"/>
      <w:start w:val="1"/>
    </w:lvl>
  </w:abstractNum>
  <w:abstractNum w:abstractNumId="69">
    <w:nsid w:val="1A0DDE32"/>
    <w:multiLevelType w:val="hybridMultilevel"/>
    <w:lvl w:ilvl="0">
      <w:lvlJc w:val="left"/>
      <w:lvlText w:val="•"/>
      <w:numFmt w:val="bullet"/>
      <w:start w:val="1"/>
    </w:lvl>
  </w:abstractNum>
  <w:abstractNum w:abstractNumId="70">
    <w:nsid w:val="65968C1C"/>
    <w:multiLevelType w:val="hybridMultilevel"/>
    <w:lvl w:ilvl="0">
      <w:lvlJc w:val="left"/>
      <w:lvlText w:val="%1."/>
      <w:numFmt w:val="decimal"/>
      <w:start w:val="2"/>
    </w:lvl>
  </w:abstractNum>
  <w:abstractNum w:abstractNumId="71">
    <w:nsid w:val="46263DEC"/>
    <w:multiLevelType w:val="hybridMultilevel"/>
    <w:lvl w:ilvl="0">
      <w:lvlJc w:val="left"/>
      <w:lvlText w:val="%1)"/>
      <w:numFmt w:val="lowerLetter"/>
      <w:start w:val="3"/>
    </w:lvl>
    <w:lvl w:ilvl="1">
      <w:lvlJc w:val="left"/>
      <w:lvlText w:val="•"/>
      <w:numFmt w:val="bullet"/>
      <w:start w:val="1"/>
    </w:lvl>
  </w:abstractNum>
  <w:abstractNum w:abstractNumId="72">
    <w:nsid w:val="260D8C4A"/>
    <w:multiLevelType w:val="hybridMultilevel"/>
    <w:lvl w:ilvl="0">
      <w:lvlJc w:val="left"/>
      <w:lvlText w:val="(%1)"/>
      <w:numFmt w:val="lowerLetter"/>
      <w:start w:val="4"/>
    </w:lvl>
  </w:abstractNum>
  <w:abstractNum w:abstractNumId="73">
    <w:nsid w:val="73D4D3C4"/>
    <w:multiLevelType w:val="hybridMultilevel"/>
    <w:lvl w:ilvl="0">
      <w:lvlJc w:val="left"/>
      <w:lvlText w:val="(%1)"/>
      <w:numFmt w:val="lowerLetter"/>
      <w:start w:val="5"/>
    </w:lvl>
  </w:abstractNum>
  <w:abstractNum w:abstractNumId="74">
    <w:nsid w:val="746F2E30"/>
    <w:multiLevelType w:val="hybridMultilevel"/>
    <w:lvl w:ilvl="0">
      <w:lvlJc w:val="left"/>
      <w:lvlText w:val="•"/>
      <w:numFmt w:val="bullet"/>
      <w:start w:val="1"/>
    </w:lvl>
  </w:abstractNum>
  <w:abstractNum w:abstractNumId="75">
    <w:nsid w:val="6FDE8AF6"/>
    <w:multiLevelType w:val="hybridMultilevel"/>
    <w:lvl w:ilvl="0">
      <w:lvlJc w:val="left"/>
      <w:lvlText w:val="%1."/>
      <w:numFmt w:val="decimal"/>
      <w:start w:val="2"/>
    </w:lvl>
  </w:abstractNum>
  <w:abstractNum w:abstractNumId="76">
    <w:nsid w:val="3FC32E20"/>
    <w:multiLevelType w:val="hybridMultilevel"/>
    <w:lvl w:ilvl="0">
      <w:lvlJc w:val="left"/>
      <w:lvlText w:val="(%1)"/>
      <w:numFmt w:val="lowerLetter"/>
      <w:start w:val="6"/>
    </w:lvl>
  </w:abstractNum>
  <w:abstractNum w:abstractNumId="77">
    <w:nsid w:val="49C0E823"/>
    <w:multiLevelType w:val="hybridMultilevel"/>
    <w:lvl w:ilvl="0">
      <w:lvlJc w:val="left"/>
      <w:lvlText w:val="(%1)"/>
      <w:numFmt w:val="lowerLetter"/>
      <w:start w:val="7"/>
    </w:lvl>
  </w:abstractNum>
  <w:abstractNum w:abstractNumId="78">
    <w:nsid w:val="14D53685"/>
    <w:multiLevelType w:val="hybridMultilevel"/>
    <w:lvl w:ilvl="0">
      <w:lvlJc w:val="left"/>
      <w:lvlText w:val="(%1)"/>
      <w:numFmt w:val="lowerLetter"/>
      <w:start w:val="8"/>
    </w:lvl>
  </w:abstractNum>
  <w:abstractNum w:abstractNumId="79">
    <w:nsid w:val="230F856C"/>
    <w:multiLevelType w:val="hybridMultilevel"/>
    <w:lvl w:ilvl="0">
      <w:lvlJc w:val="left"/>
      <w:lvlText w:val="%1."/>
      <w:numFmt w:val="decimal"/>
      <w:start w:val="2"/>
    </w:lvl>
  </w:abstractNum>
  <w:abstractNum w:abstractNumId="80">
    <w:nsid w:val="6EAA85FB"/>
    <w:multiLevelType w:val="hybridMultilevel"/>
    <w:lvl w:ilvl="0">
      <w:lvlJc w:val="left"/>
      <w:lvlText w:val="(%1)"/>
      <w:numFmt w:val="lowerLetter"/>
      <w:start w:val="8"/>
    </w:lvl>
  </w:abstractNum>
  <w:abstractNum w:abstractNumId="81">
    <w:nsid w:val="3F06ECB2"/>
    <w:multiLevelType w:val="hybridMultilevel"/>
    <w:lvl w:ilvl="0">
      <w:lvlJc w:val="left"/>
      <w:lvlText w:val="(%1)"/>
      <w:numFmt w:val="lowerRoman"/>
      <w:start w:val="1"/>
    </w:lvl>
  </w:abstractNum>
  <w:abstractNum w:abstractNumId="82">
    <w:nsid w:val="3B594807"/>
    <w:multiLevelType w:val="hybridMultilevel"/>
    <w:lvl w:ilvl="0">
      <w:lvlJc w:val="left"/>
      <w:lvlText w:val="(%1)"/>
      <w:numFmt w:val="lowerLetter"/>
      <w:start w:val="10"/>
    </w:lvl>
  </w:abstractNum>
  <w:abstractNum w:abstractNumId="83">
    <w:nsid w:val="6CAA2304"/>
    <w:multiLevelType w:val="hybridMultilevel"/>
    <w:lvl w:ilvl="0">
      <w:lvlJc w:val="left"/>
      <w:lvlText w:val="(%1)"/>
      <w:numFmt w:val="lowerLetter"/>
      <w:start w:val="11"/>
    </w:lvl>
  </w:abstractNum>
  <w:abstractNum w:abstractNumId="84">
    <w:nsid w:val="3F7C2FF4"/>
    <w:multiLevelType w:val="hybridMultilevel"/>
    <w:lvl w:ilvl="0">
      <w:lvlJc w:val="left"/>
      <w:lvlText w:val="(%1)"/>
      <w:numFmt w:val="lowerLetter"/>
      <w:start w:val="12"/>
    </w:lvl>
  </w:abstractNum>
  <w:abstractNum w:abstractNumId="85">
    <w:nsid w:val="25413BEC"/>
    <w:multiLevelType w:val="hybridMultilevel"/>
    <w:lvl w:ilvl="0">
      <w:lvlJc w:val="left"/>
      <w:lvlText w:val="%1."/>
      <w:numFmt w:val="decimal"/>
      <w:start w:val="2"/>
    </w:lvl>
  </w:abstractNum>
  <w:abstractNum w:abstractNumId="86">
    <w:nsid w:val="17180B0B"/>
    <w:multiLevelType w:val="hybridMultilevel"/>
    <w:lvl w:ilvl="0">
      <w:lvlJc w:val="left"/>
      <w:lvlText w:val="(%1)"/>
      <w:numFmt w:val="lowerLetter"/>
      <w:start w:val="12"/>
    </w:lvl>
  </w:abstractNum>
  <w:abstractNum w:abstractNumId="87">
    <w:nsid w:val="579328B9"/>
    <w:multiLevelType w:val="hybridMultilevel"/>
    <w:lvl w:ilvl="0">
      <w:lvlJc w:val="left"/>
      <w:lvlText w:val="•"/>
      <w:numFmt w:val="bullet"/>
      <w:start w:val="1"/>
    </w:lvl>
  </w:abstractNum>
  <w:abstractNum w:abstractNumId="88">
    <w:nsid w:val="5D205E20"/>
    <w:multiLevelType w:val="hybridMultilevel"/>
    <w:lvl w:ilvl="0">
      <w:lvlJc w:val="left"/>
      <w:lvlText w:val="%1."/>
      <w:numFmt w:val="decimal"/>
      <w:start w:val="2"/>
    </w:lvl>
  </w:abstractNum>
  <w:abstractNum w:abstractNumId="89">
    <w:nsid w:val="11CCA8BA"/>
    <w:multiLevelType w:val="hybridMultilevel"/>
    <w:lvl w:ilvl="0">
      <w:lvlJc w:val="left"/>
      <w:lvlText w:val="•"/>
      <w:numFmt w:val="bullet"/>
      <w:start w:val="1"/>
    </w:lvl>
  </w:abstractNum>
  <w:abstractNum w:abstractNumId="90">
    <w:nsid w:val="4D32AB86"/>
    <w:multiLevelType w:val="hybridMultilevel"/>
    <w:lvl w:ilvl="0">
      <w:lvlJc w:val="left"/>
      <w:lvlText w:val="%1."/>
      <w:numFmt w:val="decimal"/>
      <w:start w:val="2"/>
    </w:lvl>
  </w:abstractNum>
  <w:abstractNum w:abstractNumId="91">
    <w:nsid w:val="3F07ACC3"/>
    <w:multiLevelType w:val="hybridMultilevel"/>
    <w:lvl w:ilvl="0">
      <w:lvlJc w:val="left"/>
      <w:lvlText w:val="•"/>
      <w:numFmt w:val="bullet"/>
      <w:start w:val="1"/>
    </w:lvl>
  </w:abstractNum>
  <w:abstractNum w:abstractNumId="92">
    <w:nsid w:val="6B47F63E"/>
    <w:multiLevelType w:val="hybridMultilevel"/>
    <w:lvl w:ilvl="0">
      <w:lvlJc w:val="left"/>
      <w:lvlText w:val="(%1)"/>
      <w:numFmt w:val="lowerLetter"/>
      <w:start w:val="14"/>
    </w:lvl>
  </w:abstractNum>
  <w:abstractNum w:abstractNumId="93">
    <w:nsid w:val="5CB44A05"/>
    <w:multiLevelType w:val="hybridMultilevel"/>
    <w:lvl w:ilvl="0">
      <w:lvlJc w:val="left"/>
      <w:lvlText w:val="•"/>
      <w:numFmt w:val="bullet"/>
      <w:start w:val="1"/>
    </w:lvl>
  </w:abstractNum>
  <w:abstractNum w:abstractNumId="94">
    <w:nsid w:val="16CF80F1"/>
    <w:multiLevelType w:val="hybridMultilevel"/>
    <w:lvl w:ilvl="0">
      <w:lvlJc w:val="left"/>
      <w:lvlText w:val="(%1)"/>
      <w:numFmt w:val="lowerLetter"/>
      <w:start w:val="15"/>
    </w:lvl>
  </w:abstractNum>
  <w:abstractNum w:abstractNumId="95">
    <w:nsid w:val="1C695DEC"/>
    <w:multiLevelType w:val="hybridMultilevel"/>
    <w:lvl w:ilvl="0">
      <w:lvlJc w:val="left"/>
      <w:lvlText w:val="%1."/>
      <w:numFmt w:val="decimal"/>
      <w:start w:val="2"/>
    </w:lvl>
  </w:abstractNum>
  <w:abstractNum w:abstractNumId="96">
    <w:nsid w:val="3FCFAED9"/>
    <w:multiLevelType w:val="hybridMultilevel"/>
    <w:lvl w:ilvl="0">
      <w:lvlJc w:val="left"/>
      <w:lvlText w:val="(%1)"/>
      <w:numFmt w:val="lowerLetter"/>
      <w:start w:val="16"/>
    </w:lvl>
  </w:abstractNum>
  <w:abstractNum w:abstractNumId="97">
    <w:nsid w:val="F856867"/>
    <w:multiLevelType w:val="hybridMultilevel"/>
    <w:lvl w:ilvl="0">
      <w:lvlJc w:val="left"/>
      <w:lvlText w:val="(%1)"/>
      <w:numFmt w:val="lowerLetter"/>
      <w:start w:val="17"/>
    </w:lvl>
  </w:abstractNum>
  <w:abstractNum w:abstractNumId="98">
    <w:nsid w:val="11B1CC33"/>
    <w:multiLevelType w:val="hybridMultilevel"/>
    <w:lvl w:ilvl="0">
      <w:lvlJc w:val="left"/>
      <w:lvlText w:val="•"/>
      <w:numFmt w:val="bullet"/>
      <w:start w:val="1"/>
    </w:lvl>
  </w:abstractNum>
  <w:abstractNum w:abstractNumId="99">
    <w:nsid w:val="2E22FBB7"/>
    <w:multiLevelType w:val="hybridMultilevel"/>
    <w:lvl w:ilvl="0">
      <w:lvlJc w:val="left"/>
      <w:lvlText w:val="%1."/>
      <w:numFmt w:val="decimal"/>
      <w:start w:val="2"/>
    </w:lvl>
  </w:abstractNum>
  <w:abstractNum w:abstractNumId="100">
    <w:nsid w:val="29934699"/>
    <w:multiLevelType w:val="hybridMultilevel"/>
    <w:lvl w:ilvl="0">
      <w:lvlJc w:val="left"/>
      <w:lvlText w:val="(%1)"/>
      <w:numFmt w:val="lowerLetter"/>
      <w:start w:val="17"/>
    </w:lvl>
  </w:abstractNum>
  <w:abstractNum w:abstractNumId="101">
    <w:nsid w:val="77485850"/>
    <w:multiLevelType w:val="hybridMultilevel"/>
    <w:lvl w:ilvl="0">
      <w:lvlJc w:val="left"/>
      <w:lvlText w:val="(%1)"/>
      <w:numFmt w:val="lowerLetter"/>
      <w:start w:val="18"/>
    </w:lvl>
  </w:abstractNum>
  <w:abstractNum w:abstractNumId="102">
    <w:nsid w:val="744939A3"/>
    <w:multiLevelType w:val="hybridMultilevel"/>
    <w:lvl w:ilvl="0">
      <w:lvlJc w:val="left"/>
      <w:lvlText w:val="%1."/>
      <w:numFmt w:val="decimal"/>
      <w:start w:val="2"/>
    </w:lvl>
  </w:abstractNum>
  <w:abstractNum w:abstractNumId="103">
    <w:nsid w:val="4FA0D2E3"/>
    <w:multiLevelType w:val="hybridMultilevel"/>
    <w:lvl w:ilvl="0">
      <w:lvlJc w:val="left"/>
      <w:lvlText w:val="(%1)"/>
      <w:numFmt w:val="lowerLetter"/>
      <w:start w:val="18"/>
    </w:lvl>
  </w:abstractNum>
  <w:abstractNum w:abstractNumId="104">
    <w:nsid w:val="6B1D2C14"/>
    <w:multiLevelType w:val="hybridMultilevel"/>
    <w:lvl w:ilvl="0">
      <w:lvlJc w:val="left"/>
      <w:lvlText w:val="(%1)"/>
      <w:numFmt w:val="lowerLetter"/>
      <w:start w:val="19"/>
    </w:lvl>
  </w:abstractNum>
  <w:abstractNum w:abstractNumId="105">
    <w:nsid w:val="68B867D3"/>
    <w:multiLevelType w:val="hybridMultilevel"/>
    <w:lvl w:ilvl="0">
      <w:lvlJc w:val="left"/>
      <w:lvlText w:val="(%1)"/>
      <w:numFmt w:val="lowerRoman"/>
      <w:start w:val="1"/>
    </w:lvl>
  </w:abstractNum>
  <w:abstractNum w:abstractNumId="106">
    <w:nsid w:val="3F7F5DD9"/>
    <w:multiLevelType w:val="hybridMultilevel"/>
    <w:lvl w:ilvl="0">
      <w:lvlJc w:val="left"/>
      <w:lvlText w:val="%1."/>
      <w:numFmt w:val="decimal"/>
      <w:start w:val="2"/>
    </w:lvl>
  </w:abstractNum>
  <w:abstractNum w:abstractNumId="107">
    <w:nsid w:val="2AE05A34"/>
    <w:multiLevelType w:val="hybridMultilevel"/>
    <w:lvl w:ilvl="0">
      <w:lvlJc w:val="left"/>
      <w:lvlText w:val="(%1)"/>
      <w:numFmt w:val="lowerLetter"/>
      <w:start w:val="19"/>
    </w:lvl>
  </w:abstractNum>
  <w:abstractNum w:abstractNumId="108">
    <w:nsid w:val="32794FF7"/>
    <w:multiLevelType w:val="hybridMultilevel"/>
    <w:lvl w:ilvl="0">
      <w:lvlJc w:val="left"/>
      <w:lvlText w:val="(%1)"/>
      <w:numFmt w:val="lowerLetter"/>
      <w:start w:val="20"/>
    </w:lvl>
  </w:abstractNum>
  <w:abstractNum w:abstractNumId="109">
    <w:nsid w:val="5454945E"/>
    <w:multiLevelType w:val="hybridMultilevel"/>
    <w:lvl w:ilvl="0">
      <w:lvlJc w:val="left"/>
      <w:lvlText w:val="(%1)"/>
      <w:numFmt w:val="lowerLetter"/>
      <w:start w:val="20"/>
    </w:lvl>
    <w:lvl w:ilvl="1">
      <w:lvlJc w:val="left"/>
      <w:lvlText w:val="•"/>
      <w:numFmt w:val="bullet"/>
      <w:start w:val="1"/>
    </w:lvl>
  </w:abstractNum>
  <w:abstractNum w:abstractNumId="110">
    <w:nsid w:val="4DEFDFA0"/>
    <w:multiLevelType w:val="hybridMultilevel"/>
    <w:lvl w:ilvl="0">
      <w:lvlJc w:val="left"/>
      <w:lvlText w:val="%1."/>
      <w:numFmt w:val="decimal"/>
      <w:start w:val="2"/>
    </w:lvl>
  </w:abstractNum>
  <w:abstractNum w:abstractNumId="111">
    <w:nsid w:val="2123D5F2"/>
    <w:multiLevelType w:val="hybridMultilevel"/>
    <w:lvl w:ilvl="0">
      <w:lvlJc w:val="left"/>
      <w:lvlText w:val="(%1)"/>
      <w:numFmt w:val="lowerLetter"/>
      <w:start w:val="21"/>
    </w:lvl>
  </w:abstractNum>
  <w:abstractNum w:abstractNumId="112">
    <w:nsid w:val="135B8110"/>
    <w:multiLevelType w:val="hybridMultilevel"/>
    <w:lvl w:ilvl="0">
      <w:lvlJc w:val="left"/>
      <w:lvlText w:val="(%1)"/>
      <w:numFmt w:val="lowerRoman"/>
      <w:start w:val="5"/>
    </w:lvl>
  </w:abstractNum>
  <w:abstractNum w:abstractNumId="113">
    <w:nsid w:val="94927A8"/>
    <w:multiLevelType w:val="hybridMultilevel"/>
    <w:lvl w:ilvl="0">
      <w:lvlJc w:val="left"/>
      <w:lvlText w:val="%1."/>
      <w:numFmt w:val="decimal"/>
      <w:start w:val="2"/>
    </w:lvl>
  </w:abstractNum>
  <w:abstractNum w:abstractNumId="114">
    <w:nsid w:val="DCDF8F6"/>
    <w:multiLevelType w:val="hybridMultilevel"/>
    <w:lvl w:ilvl="0">
      <w:lvlJc w:val="left"/>
      <w:lvlText w:val="(%1)"/>
      <w:numFmt w:val="lowerRoman"/>
      <w:start w:val="5"/>
    </w:lvl>
  </w:abstractNum>
  <w:abstractNum w:abstractNumId="115">
    <w:nsid w:val="52D7B105"/>
    <w:multiLevelType w:val="hybridMultilevel"/>
    <w:lvl w:ilvl="0">
      <w:lvlJc w:val="left"/>
      <w:lvlText w:val="%1."/>
      <w:numFmt w:val="decimal"/>
      <w:start w:val="3"/>
    </w:lvl>
  </w:abstractNum>
  <w:abstractNum w:abstractNumId="116">
    <w:nsid w:val="2E8A6394"/>
    <w:multiLevelType w:val="hybridMultilevel"/>
    <w:lvl w:ilvl="0">
      <w:lvlJc w:val="left"/>
      <w:lvlText w:val="(%1)"/>
      <w:numFmt w:val="lowerLetter"/>
      <w:start w:val="1"/>
    </w:lvl>
  </w:abstractNum>
  <w:abstractNum w:abstractNumId="117">
    <w:nsid w:val="24E60401"/>
    <w:multiLevelType w:val="hybridMultilevel"/>
    <w:lvl w:ilvl="0">
      <w:lvlJc w:val="left"/>
      <w:lvlText w:val="(%1)"/>
      <w:numFmt w:val="lowerLetter"/>
      <w:start w:val="2"/>
    </w:lvl>
  </w:abstractNum>
  <w:abstractNum w:abstractNumId="118">
    <w:nsid w:val="2A6AD9BE"/>
    <w:multiLevelType w:val="hybridMultilevel"/>
    <w:lvl w:ilvl="0">
      <w:lvlJc w:val="left"/>
      <w:lvlText w:val="%1."/>
      <w:numFmt w:val="decimal"/>
      <w:start w:val="3"/>
    </w:lvl>
  </w:abstractNum>
  <w:abstractNum w:abstractNumId="119">
    <w:nsid w:val="BAAC1B4"/>
    <w:multiLevelType w:val="hybridMultilevel"/>
    <w:lvl w:ilvl="0">
      <w:lvlJc w:val="left"/>
      <w:lvlText w:val="(%1)"/>
      <w:numFmt w:val="lowerLetter"/>
      <w:start w:val="2"/>
    </w:lvl>
  </w:abstractNum>
  <w:abstractNum w:abstractNumId="120">
    <w:nsid w:val="36B2ACBC"/>
    <w:multiLevelType w:val="hybridMultilevel"/>
    <w:lvl w:ilvl="0">
      <w:lvlJc w:val="left"/>
      <w:lvlText w:val="%1."/>
      <w:numFmt w:val="decimal"/>
      <w:start w:val="4"/>
    </w:lvl>
  </w:abstractNum>
  <w:abstractNum w:abstractNumId="121">
    <w:nsid w:val="779D8544"/>
    <w:multiLevelType w:val="hybridMultilevel"/>
    <w:lvl w:ilvl="0">
      <w:lvlJc w:val="left"/>
      <w:lvlText w:val="(%1)"/>
      <w:numFmt w:val="lowerLetter"/>
      <w:start w:val="4"/>
    </w:lvl>
  </w:abstractNum>
  <w:abstractNum w:abstractNumId="122">
    <w:nsid w:val="4AB26E78"/>
    <w:multiLevelType w:val="hybridMultilevel"/>
    <w:lvl w:ilvl="0">
      <w:lvlJc w:val="left"/>
      <w:lvlText w:val="(%1)"/>
      <w:numFmt w:val="lowerLetter"/>
      <w:start w:val="7"/>
    </w:lvl>
  </w:abstractNum>
  <w:abstractNum w:abstractNumId="123">
    <w:nsid w:val="21FAA2FA"/>
    <w:multiLevelType w:val="hybridMultilevel"/>
    <w:lvl w:ilvl="0">
      <w:lvlJc w:val="left"/>
      <w:lvlText w:val="%1."/>
      <w:numFmt w:val="decimal"/>
      <w:start w:val="5"/>
    </w:lvl>
  </w:abstractNum>
  <w:abstractNum w:abstractNumId="124">
    <w:nsid w:val="5451CF49"/>
    <w:multiLevelType w:val="hybridMultilevel"/>
    <w:lvl w:ilvl="0">
      <w:lvlJc w:val="left"/>
      <w:lvlText w:val="%1."/>
      <w:numFmt w:val="decimal"/>
      <w:start w:val="5"/>
    </w:lvl>
  </w:abstractNum>
  <w:abstractNum w:abstractNumId="125">
    <w:nsid w:val="6181EF69"/>
    <w:multiLevelType w:val="hybridMultilevel"/>
    <w:lvl w:ilvl="0">
      <w:lvlJc w:val="left"/>
      <w:lvlText w:val="%1."/>
      <w:numFmt w:val="decimal"/>
      <w:start w:val="6"/>
    </w:lvl>
  </w:abstractNum>
  <w:abstractNum w:abstractNumId="126">
    <w:nsid w:val="3E6400E6"/>
    <w:multiLevelType w:val="hybridMultilevel"/>
    <w:lvl w:ilvl="0">
      <w:lvlJc w:val="left"/>
      <w:lvlText w:val="(%1)"/>
      <w:numFmt w:val="lowerRoman"/>
      <w:start w:val="1"/>
    </w:lvl>
  </w:abstractNum>
  <w:abstractNum w:abstractNumId="127">
    <w:nsid w:val="14217E23"/>
    <w:multiLevelType w:val="hybridMultilevel"/>
    <w:lvl w:ilvl="0">
      <w:lvlJc w:val="left"/>
      <w:lvlText w:val="(%1)"/>
      <w:numFmt w:val="lowerRoman"/>
      <w:start w:val="2"/>
    </w:lvl>
  </w:abstractNum>
  <w:abstractNum w:abstractNumId="128">
    <w:nsid w:val="710757D0"/>
    <w:multiLevelType w:val="hybridMultilevel"/>
    <w:lvl w:ilvl="0">
      <w:lvlJc w:val="left"/>
      <w:lvlText w:val="%1."/>
      <w:numFmt w:val="decimal"/>
      <w:start w:val="7"/>
    </w:lvl>
  </w:abstractNum>
  <w:abstractNum w:abstractNumId="129">
    <w:nsid w:val="5015CD1A"/>
    <w:multiLevelType w:val="hybridMultilevel"/>
    <w:lvl w:ilvl="0">
      <w:lvlJc w:val="left"/>
      <w:lvlText w:val="%1."/>
      <w:numFmt w:val="decimal"/>
      <w:start w:val="8"/>
    </w:lvl>
  </w:abstractNum>
  <w:abstractNum w:abstractNumId="130">
    <w:nsid w:val="424479DA"/>
    <w:multiLevelType w:val="hybridMultilevel"/>
    <w:lvl w:ilvl="0">
      <w:lvlJc w:val="left"/>
      <w:lvlText w:val="(%1)"/>
      <w:numFmt w:val="lowerLetter"/>
      <w:start w:val="1"/>
    </w:lvl>
  </w:abstractNum>
  <w:abstractNum w:abstractNumId="131">
    <w:nsid w:val="1A9A9E69"/>
    <w:multiLevelType w:val="hybridMultilevel"/>
    <w:lvl w:ilvl="0">
      <w:lvlJc w:val="left"/>
      <w:lvlText w:val="%1."/>
      <w:numFmt w:val="decimal"/>
      <w:start w:val="8"/>
    </w:lvl>
  </w:abstractNum>
  <w:abstractNum w:abstractNumId="132">
    <w:nsid w:val="475E256A"/>
    <w:multiLevelType w:val="hybridMultilevel"/>
    <w:lvl w:ilvl="0">
      <w:lvlJc w:val="left"/>
      <w:lvlText w:val="(%1)"/>
      <w:numFmt w:val="lowerLetter"/>
      <w:start w:val="1"/>
    </w:lvl>
  </w:abstractNum>
  <w:abstractNum w:abstractNumId="133">
    <w:nsid w:val="368DB37E"/>
    <w:multiLevelType w:val="hybridMultilevel"/>
    <w:lvl w:ilvl="0">
      <w:lvlJc w:val="left"/>
      <w:lvlText w:val="(%1)"/>
      <w:numFmt w:val="lowerLetter"/>
      <w:start w:val="2"/>
    </w:lvl>
  </w:abstractNum>
  <w:abstractNum w:abstractNumId="134">
    <w:nsid w:val="6A3B714C"/>
    <w:multiLevelType w:val="hybridMultilevel"/>
    <w:lvl w:ilvl="0">
      <w:lvlJc w:val="left"/>
      <w:lvlText w:val="(%1)"/>
      <w:numFmt w:val="lowerLetter"/>
      <w:start w:val="3"/>
    </w:lvl>
  </w:abstractNum>
  <w:abstractNum w:abstractNumId="135">
    <w:nsid w:val="327B517E"/>
    <w:multiLevelType w:val="hybridMultilevel"/>
    <w:lvl w:ilvl="0">
      <w:lvlJc w:val="left"/>
      <w:lvlText w:val="%1."/>
      <w:numFmt w:val="decimal"/>
      <w:start w:val="10"/>
    </w:lvl>
  </w:abstractNum>
  <w:abstractNum w:abstractNumId="136">
    <w:nsid w:val="1F461B51"/>
    <w:multiLevelType w:val="hybridMultilevel"/>
    <w:lvl w:ilvl="0">
      <w:lvlJc w:val="left"/>
      <w:lvlText w:val="%1."/>
      <w:numFmt w:val="decimal"/>
      <w:start w:val="11"/>
    </w:lvl>
  </w:abstractNum>
  <w:abstractNum w:abstractNumId="137">
    <w:nsid w:val="29BACF25"/>
    <w:multiLevelType w:val="hybridMultilevel"/>
    <w:lvl w:ilvl="0">
      <w:lvlJc w:val="left"/>
      <w:lvlText w:val="(%1)"/>
      <w:numFmt w:val="lowerLetter"/>
      <w:start w:val="1"/>
    </w:lvl>
  </w:abstractNum>
  <w:abstractNum w:abstractNumId="138">
    <w:nsid w:val="5D5BABB3"/>
    <w:multiLevelType w:val="hybridMultilevel"/>
    <w:lvl w:ilvl="0">
      <w:lvlJc w:val="left"/>
      <w:lvlText w:val="(%1)"/>
      <w:numFmt w:val="lowerLetter"/>
      <w:start w:val="2"/>
    </w:lvl>
  </w:abstractNum>
  <w:abstractNum w:abstractNumId="139">
    <w:nsid w:val="51BF6B48"/>
    <w:multiLevelType w:val="hybridMultilevel"/>
    <w:lvl w:ilvl="0">
      <w:lvlJc w:val="left"/>
      <w:lvlText w:val="%1"/>
      <w:numFmt w:val="decimal"/>
      <w:start w:val="1"/>
    </w:lvl>
    <w:lvl w:ilvl="1">
      <w:lvlJc w:val="left"/>
      <w:lvlText w:val="(%2)"/>
      <w:numFmt w:val="lowerRoman"/>
      <w:start w:val="1"/>
    </w:lvl>
  </w:abstractNum>
  <w:abstractNum w:abstractNumId="140">
    <w:nsid w:val="7E0F6384"/>
    <w:multiLevelType w:val="hybridMultilevel"/>
    <w:lvl w:ilvl="0">
      <w:lvlJc w:val="left"/>
      <w:lvlText w:val="%1."/>
      <w:numFmt w:val="decimal"/>
      <w:start w:val="13"/>
    </w:lvl>
    <w:lvl w:ilvl="1">
      <w:lvlJc w:val="left"/>
      <w:lvlText w:val="%2"/>
      <w:numFmt w:val="lowerRoman"/>
      <w:start w:val="1"/>
    </w:lvl>
  </w:abstractNum>
  <w:abstractNum w:abstractNumId="141">
    <w:nsid w:val="2B4B8B53"/>
    <w:multiLevelType w:val="hybridMultilevel"/>
    <w:lvl w:ilvl="0">
      <w:lvlJc w:val="left"/>
      <w:lvlText w:val="%1."/>
      <w:numFmt w:val="decimal"/>
      <w:start w:val="14"/>
    </w:lvl>
  </w:abstractNum>
  <w:abstractNum w:abstractNumId="142">
    <w:nsid w:val="72E3413A"/>
    <w:multiLevelType w:val="hybridMultilevel"/>
    <w:lvl w:ilvl="0">
      <w:lvlJc w:val="left"/>
      <w:lvlText w:val="(%1)"/>
      <w:numFmt w:val="lowerLetter"/>
      <w:start w:val="1"/>
    </w:lvl>
  </w:abstractNum>
  <w:abstractNum w:abstractNumId="143">
    <w:nsid w:val="116AE494"/>
    <w:multiLevelType w:val="hybridMultilevel"/>
    <w:lvl w:ilvl="0">
      <w:lvlJc w:val="left"/>
      <w:lvlText w:val="%1."/>
      <w:numFmt w:val="decimal"/>
      <w:start w:val="15"/>
    </w:lvl>
  </w:abstractNum>
  <w:abstractNum w:abstractNumId="144">
    <w:nsid w:val="3494B2FB"/>
    <w:multiLevelType w:val="hybridMultilevel"/>
    <w:lvl w:ilvl="0">
      <w:lvlJc w:val="left"/>
      <w:lvlText w:val="%1."/>
      <w:numFmt w:val="decimal"/>
      <w:start w:val="16"/>
    </w:lvl>
  </w:abstractNum>
  <w:abstractNum w:abstractNumId="145">
    <w:nsid w:val="B13A31"/>
    <w:multiLevelType w:val="hybridMultilevel"/>
    <w:lvl w:ilvl="0">
      <w:lvlJc w:val="left"/>
      <w:lvlText w:val="(%1)"/>
      <w:numFmt w:val="lowerLetter"/>
      <w:start w:val="1"/>
    </w:lvl>
  </w:abstractNum>
  <w:abstractNum w:abstractNumId="146">
    <w:nsid w:val="64429599"/>
    <w:multiLevelType w:val="hybridMultilevel"/>
    <w:lvl w:ilvl="0">
      <w:lvlJc w:val="left"/>
      <w:lvlText w:val="(%1)"/>
      <w:numFmt w:val="lowerLetter"/>
      <w:start w:val="2"/>
    </w:lvl>
  </w:abstractNum>
  <w:abstractNum w:abstractNumId="147">
    <w:nsid w:val="631F1690"/>
    <w:multiLevelType w:val="hybridMultilevel"/>
    <w:lvl w:ilvl="0">
      <w:lvlJc w:val="left"/>
      <w:lvlText w:val="%1."/>
      <w:numFmt w:val="decimal"/>
      <w:start w:val="16"/>
    </w:lvl>
  </w:abstractNum>
  <w:abstractNum w:abstractNumId="148">
    <w:nsid w:val="25973E32"/>
    <w:multiLevelType w:val="hybridMultilevel"/>
    <w:lvl w:ilvl="0">
      <w:lvlJc w:val="left"/>
      <w:lvlText w:val="(%1)"/>
      <w:numFmt w:val="lowerLetter"/>
      <w:start w:val="3"/>
    </w:lvl>
  </w:abstractNum>
  <w:abstractNum w:abstractNumId="149">
    <w:nsid w:val="EAD6F57"/>
    <w:multiLevelType w:val="hybridMultilevel"/>
    <w:lvl w:ilvl="0">
      <w:lvlJc w:val="left"/>
      <w:lvlText w:val="(%1)"/>
      <w:numFmt w:val="lowerLetter"/>
      <w:start w:val="4"/>
    </w:lvl>
  </w:abstractNum>
  <w:abstractNum w:abstractNumId="150">
    <w:nsid w:val="6EC9D844"/>
    <w:multiLevelType w:val="hybridMultilevel"/>
    <w:lvl w:ilvl="0">
      <w:lvlJc w:val="left"/>
      <w:lvlText w:val="%1."/>
      <w:numFmt w:val="decimal"/>
      <w:start w:val="17"/>
    </w:lvl>
  </w:abstractNum>
  <w:abstractNum w:abstractNumId="151">
    <w:nsid w:val="5C49EAEE"/>
    <w:multiLevelType w:val="hybridMultilevel"/>
    <w:lvl w:ilvl="0">
      <w:lvlJc w:val="left"/>
      <w:lvlText w:val="(%1)"/>
      <w:numFmt w:val="lowerLetter"/>
      <w:start w:val="1"/>
    </w:lvl>
  </w:abstractNum>
  <w:abstractNum w:abstractNumId="152">
    <w:nsid w:val="64AF49B"/>
    <w:multiLevelType w:val="hybridMultilevel"/>
    <w:lvl w:ilvl="0">
      <w:lvlJc w:val="left"/>
      <w:lvlText w:val="%1."/>
      <w:numFmt w:val="decimal"/>
      <w:start w:val="17"/>
    </w:lvl>
  </w:abstractNum>
  <w:abstractNum w:abstractNumId="153">
    <w:nsid w:val="397C46BC"/>
    <w:multiLevelType w:val="hybridMultilevel"/>
    <w:lvl w:ilvl="0">
      <w:lvlJc w:val="left"/>
      <w:lvlText w:val="(%1)"/>
      <w:numFmt w:val="lowerLetter"/>
      <w:start w:val="1"/>
    </w:lvl>
  </w:abstractNum>
  <w:abstractNum w:abstractNumId="154">
    <w:nsid w:val="7E448DE9"/>
    <w:multiLevelType w:val="hybridMultilevel"/>
    <w:lvl w:ilvl="0">
      <w:lvlJc w:val="left"/>
      <w:lvlText w:val="(%1)"/>
      <w:numFmt w:val="lowerLetter"/>
      <w:start w:val="2"/>
    </w:lvl>
  </w:abstractNum>
  <w:abstractNum w:abstractNumId="155">
    <w:nsid w:val="5A9CC3E5"/>
    <w:multiLevelType w:val="hybridMultilevel"/>
    <w:lvl w:ilvl="0">
      <w:lvlJc w:val="left"/>
      <w:lvlText w:val="(%1)"/>
      <w:numFmt w:val="lowerLetter"/>
      <w:start w:val="3"/>
    </w:lvl>
  </w:abstractNum>
  <w:abstractNum w:abstractNumId="156">
    <w:nsid w:val="1AFE3625"/>
    <w:multiLevelType w:val="hybridMultilevel"/>
    <w:lvl w:ilvl="0">
      <w:lvlJc w:val="left"/>
      <w:lvlText w:val="%1."/>
      <w:numFmt w:val="decimal"/>
      <w:start w:val="17"/>
    </w:lvl>
  </w:abstractNum>
  <w:abstractNum w:abstractNumId="157">
    <w:nsid w:val="3CA88ECF"/>
    <w:multiLevelType w:val="hybridMultilevel"/>
    <w:lvl w:ilvl="0">
      <w:lvlJc w:val="left"/>
      <w:lvlText w:val="(%1)"/>
      <w:numFmt w:val="lowerLetter"/>
      <w:start w:val="3"/>
    </w:lvl>
  </w:abstractNum>
  <w:abstractNum w:abstractNumId="158">
    <w:nsid w:val="6EBE4208"/>
    <w:multiLevelType w:val="hybridMultilevel"/>
    <w:lvl w:ilvl="0">
      <w:lvlJc w:val="left"/>
      <w:lvlText w:val="(%1)"/>
      <w:numFmt w:val="lowerLetter"/>
      <w:start w:val="4"/>
    </w:lvl>
  </w:abstractNum>
  <w:abstractNum w:abstractNumId="159">
    <w:nsid w:val="C058DF5"/>
    <w:multiLevelType w:val="hybridMultilevel"/>
    <w:lvl w:ilvl="0">
      <w:lvlJc w:val="left"/>
      <w:lvlText w:val="(%1)"/>
      <w:numFmt w:val="lowerLetter"/>
      <w:start w:val="5"/>
    </w:lvl>
  </w:abstractNum>
  <w:abstractNum w:abstractNumId="160">
    <w:nsid w:val="CBE5BE9"/>
    <w:multiLevelType w:val="hybridMultilevel"/>
    <w:lvl w:ilvl="0">
      <w:lvlJc w:val="left"/>
      <w:lvlText w:val="(%1)"/>
      <w:numFmt w:val="lowerLetter"/>
      <w:start w:val="6"/>
    </w:lvl>
  </w:abstractNum>
  <w:abstractNum w:abstractNumId="161">
    <w:nsid w:val="3102BBE2"/>
    <w:multiLevelType w:val="hybridMultilevel"/>
    <w:lvl w:ilvl="0">
      <w:lvlJc w:val="left"/>
      <w:lvlText w:val="(%1)"/>
      <w:numFmt w:val="lowerLetter"/>
      <w:start w:val="7"/>
    </w:lvl>
  </w:abstractNum>
  <w:abstractNum w:abstractNumId="162">
    <w:nsid w:val="26A02C5E"/>
    <w:multiLevelType w:val="hybridMultilevel"/>
    <w:lvl w:ilvl="0">
      <w:lvlJc w:val="left"/>
      <w:lvlText w:val="•"/>
      <w:numFmt w:val="bullet"/>
      <w:start w:val="1"/>
    </w:lvl>
  </w:abstractNum>
  <w:abstractNum w:abstractNumId="163">
    <w:nsid w:val="541C8153"/>
    <w:multiLevelType w:val="hybridMultilevel"/>
    <w:lvl w:ilvl="0">
      <w:lvlJc w:val="left"/>
      <w:lvlText w:val="%1."/>
      <w:numFmt w:val="decimal"/>
      <w:start w:val="17"/>
    </w:lvl>
  </w:abstractNum>
  <w:abstractNum w:abstractNumId="164">
    <w:nsid w:val="67906F60"/>
    <w:multiLevelType w:val="hybridMultilevel"/>
    <w:lvl w:ilvl="0">
      <w:lvlJc w:val="left"/>
      <w:lvlText w:val="(%1)"/>
      <w:numFmt w:val="lowerLetter"/>
      <w:start w:val="7"/>
    </w:lvl>
  </w:abstractNum>
  <w:abstractNum w:abstractNumId="165">
    <w:nsid w:val="10DB9DAA"/>
    <w:multiLevelType w:val="hybridMultilevel"/>
    <w:lvl w:ilvl="0">
      <w:lvlJc w:val="left"/>
      <w:lvlText w:val="%1)"/>
      <w:numFmt w:val="lowerRoman"/>
      <w:start w:val="1"/>
    </w:lvl>
  </w:abstractNum>
  <w:abstractNum w:abstractNumId="166">
    <w:nsid w:val="697D2D2"/>
    <w:multiLevelType w:val="hybridMultilevel"/>
    <w:lvl w:ilvl="0">
      <w:lvlJc w:val="left"/>
      <w:lvlText w:val="%1)"/>
      <w:numFmt w:val="lowerRoman"/>
      <w:start w:val="2"/>
    </w:lvl>
  </w:abstractNum>
  <w:abstractNum w:abstractNumId="167">
    <w:nsid w:val="6D68AB2"/>
    <w:multiLevelType w:val="hybridMultilevel"/>
    <w:lvl w:ilvl="0">
      <w:lvlJc w:val="left"/>
      <w:lvlText w:val="%1)"/>
      <w:numFmt w:val="lowerRoman"/>
      <w:start w:val="3"/>
    </w:lvl>
  </w:abstractNum>
  <w:abstractNum w:abstractNumId="168">
    <w:nsid w:val="3A966CD0"/>
    <w:multiLevelType w:val="hybridMultilevel"/>
    <w:lvl w:ilvl="0">
      <w:lvlJc w:val="left"/>
      <w:lvlText w:val="%1."/>
      <w:numFmt w:val="decimal"/>
      <w:start w:val="17"/>
    </w:lvl>
  </w:abstractNum>
  <w:abstractNum w:abstractNumId="169">
    <w:nsid w:val="63F37E85"/>
    <w:multiLevelType w:val="hybridMultilevel"/>
    <w:lvl w:ilvl="0">
      <w:lvlJc w:val="left"/>
      <w:lvlText w:val="(%1)"/>
      <w:numFmt w:val="lowerLetter"/>
      <w:start w:val="7"/>
    </w:lvl>
  </w:abstractNum>
  <w:abstractNum w:abstractNumId="170">
    <w:nsid w:val="5895F5FA"/>
    <w:multiLevelType w:val="hybridMultilevel"/>
    <w:lvl w:ilvl="0">
      <w:lvlJc w:val="left"/>
      <w:lvlText w:val="%1)"/>
      <w:numFmt w:val="lowerRoman"/>
      <w:start w:val="4"/>
    </w:lvl>
  </w:abstractNum>
  <w:abstractNum w:abstractNumId="171">
    <w:nsid w:val="38A5D054"/>
    <w:multiLevelType w:val="hybridMultilevel"/>
    <w:lvl w:ilvl="0">
      <w:lvlJc w:val="left"/>
      <w:lvlText w:val="%1)"/>
      <w:numFmt w:val="lowerRoman"/>
      <w:start w:val="5"/>
    </w:lvl>
  </w:abstractNum>
  <w:abstractNum w:abstractNumId="172">
    <w:nsid w:val="F3F09D8"/>
    <w:multiLevelType w:val="hybridMultilevel"/>
    <w:lvl w:ilvl="0">
      <w:lvlJc w:val="left"/>
      <w:lvlText w:val="%1)"/>
      <w:numFmt w:val="lowerRoman"/>
      <w:start w:val="6"/>
    </w:lvl>
  </w:abstractNum>
  <w:abstractNum w:abstractNumId="173">
    <w:nsid w:val="4B793735"/>
    <w:multiLevelType w:val="hybridMultilevel"/>
    <w:lvl w:ilvl="0">
      <w:lvlJc w:val="left"/>
      <w:lvlText w:val="%1."/>
      <w:numFmt w:val="decimal"/>
      <w:start w:val="17"/>
    </w:lvl>
  </w:abstractNum>
  <w:abstractNum w:abstractNumId="174">
    <w:nsid w:val="4A10B4E8"/>
    <w:multiLevelType w:val="hybridMultilevel"/>
    <w:lvl w:ilvl="0">
      <w:lvlJc w:val="left"/>
      <w:lvlText w:val="(%1)"/>
      <w:numFmt w:val="lowerLetter"/>
      <w:start w:val="7"/>
    </w:lvl>
  </w:abstractNum>
  <w:abstractNum w:abstractNumId="175">
    <w:nsid w:val="43D3BCD4"/>
    <w:multiLevelType w:val="hybridMultilevel"/>
    <w:lvl w:ilvl="0">
      <w:lvlJc w:val="left"/>
      <w:lvlText w:val="(%1)"/>
      <w:numFmt w:val="lowerLetter"/>
      <w:start w:val="8"/>
    </w:lvl>
  </w:abstractNum>
  <w:abstractNum w:abstractNumId="176">
    <w:nsid w:val="4C2A7166"/>
    <w:multiLevelType w:val="hybridMultilevel"/>
    <w:lvl w:ilvl="0">
      <w:lvlJc w:val="left"/>
      <w:lvlText w:val="%1."/>
      <w:numFmt w:val="decimal"/>
      <w:start w:val="1"/>
    </w:lvl>
    <w:lvl w:ilvl="1">
      <w:lvlJc w:val="left"/>
      <w:lvlText w:val="%2."/>
      <w:numFmt w:val="lowerLetter"/>
      <w:start w:val="1"/>
    </w:lvl>
  </w:abstractNum>
  <w:abstractNum w:abstractNumId="177">
    <w:nsid w:val="2E534A82"/>
    <w:multiLevelType w:val="hybridMultilevel"/>
    <w:lvl w:ilvl="0">
      <w:lvlJc w:val="left"/>
      <w:lvlText w:val="%1."/>
      <w:numFmt w:val="decimal"/>
      <w:start w:val="18"/>
    </w:lvl>
  </w:abstractNum>
  <w:abstractNum w:abstractNumId="178">
    <w:nsid w:val="26F2D364"/>
    <w:multiLevelType w:val="hybridMultilevel"/>
    <w:lvl w:ilvl="0">
      <w:lvlJc w:val="left"/>
      <w:lvlText w:val="%1."/>
      <w:numFmt w:val="decimal"/>
      <w:start w:val="18"/>
    </w:lvl>
  </w:abstractNum>
  <w:abstractNum w:abstractNumId="179">
    <w:nsid w:val="71C1AF98"/>
    <w:multiLevelType w:val="hybridMultilevel"/>
    <w:lvl w:ilvl="0">
      <w:lvlJc w:val="left"/>
      <w:lvlText w:val="•"/>
      <w:numFmt w:val="bullet"/>
      <w:start w:val="1"/>
    </w:lvl>
  </w:abstractNum>
  <w:abstractNum w:abstractNumId="180">
    <w:nsid w:val="3D00B9D9"/>
    <w:multiLevelType w:val="hybridMultilevel"/>
    <w:lvl w:ilvl="0">
      <w:lvlJc w:val="left"/>
      <w:lvlText w:val="%1."/>
      <w:numFmt w:val="decimal"/>
      <w:start w:val="18"/>
    </w:lvl>
  </w:abstractNum>
  <w:abstractNum w:abstractNumId="181">
    <w:nsid w:val="15BCABA8"/>
    <w:multiLevelType w:val="hybridMultilevel"/>
    <w:lvl w:ilvl="0">
      <w:lvlJc w:val="left"/>
      <w:lvlText w:val="%1."/>
      <w:numFmt w:val="decimal"/>
      <w:start w:val="19"/>
    </w:lvl>
  </w:abstractNum>
  <w:abstractNum w:abstractNumId="182">
    <w:nsid w:val="4E0B9A87"/>
    <w:multiLevelType w:val="hybridMultilevel"/>
    <w:lvl w:ilvl="0">
      <w:lvlJc w:val="left"/>
      <w:lvlText w:val="%1."/>
      <w:numFmt w:val="decimal"/>
      <w:start w:val="19"/>
    </w:lvl>
  </w:abstractNum>
  <w:abstractNum w:abstractNumId="183">
    <w:nsid w:val="434BAE75"/>
    <w:multiLevelType w:val="hybridMultilevel"/>
    <w:lvl w:ilvl="0">
      <w:lvlJc w:val="left"/>
      <w:lvlText w:val="%1."/>
      <w:numFmt w:val="decimal"/>
      <w:start w:val="19"/>
    </w:lvl>
  </w:abstractNum>
  <w:abstractNum w:abstractNumId="184">
    <w:nsid w:val="4F38F265"/>
    <w:multiLevelType w:val="hybridMultilevel"/>
    <w:lvl w:ilvl="0">
      <w:lvlJc w:val="left"/>
      <w:lvlText w:val="%1."/>
      <w:numFmt w:val="decimal"/>
      <w:start w:val="19"/>
    </w:lvl>
  </w:abstractNum>
  <w:abstractNum w:abstractNumId="185">
    <w:nsid w:val="4C502870"/>
    <w:multiLevelType w:val="hybridMultilevel"/>
    <w:lvl w:ilvl="0">
      <w:lvlJc w:val="left"/>
      <w:lvlText w:val="%1."/>
      <w:numFmt w:val="decimal"/>
      <w:start w:val="20"/>
    </w:lvl>
  </w:abstractNum>
  <w:abstractNum w:abstractNumId="186">
    <w:nsid w:val="1DE8725A"/>
    <w:multiLevelType w:val="hybridMultilevel"/>
    <w:lvl w:ilvl="0">
      <w:lvlJc w:val="left"/>
      <w:lvlText w:val="%1."/>
      <w:numFmt w:val="decimal"/>
      <w:start w:val="21"/>
    </w:lvl>
  </w:abstractNum>
  <w:abstractNum w:abstractNumId="187">
    <w:nsid w:val="6A37288A"/>
    <w:multiLevelType w:val="hybridMultilevel"/>
    <w:lvl w:ilvl="0">
      <w:lvlJc w:val="left"/>
      <w:lvlText w:val="%1."/>
      <w:numFmt w:val="decimal"/>
      <w:start w:val="23"/>
    </w:lvl>
  </w:abstractNum>
  <w:abstractNum w:abstractNumId="188">
    <w:nsid w:val="8F8B73F"/>
    <w:multiLevelType w:val="hybridMultilevel"/>
    <w:lvl w:ilvl="0">
      <w:lvlJc w:val="left"/>
      <w:lvlText w:val="•"/>
      <w:numFmt w:val="bullet"/>
      <w:start w:val="1"/>
    </w:lvl>
  </w:abstractNum>
  <w:abstractNum w:abstractNumId="189">
    <w:nsid w:val="CA6B462"/>
    <w:multiLevelType w:val="hybridMultilevel"/>
    <w:lvl w:ilvl="0">
      <w:lvlJc w:val="left"/>
      <w:lvlText w:val="%1."/>
      <w:numFmt w:val="decimal"/>
      <w:start w:val="23"/>
    </w:lvl>
  </w:abstractNum>
  <w:abstractNum w:abstractNumId="190">
    <w:nsid w:val="763CB680"/>
    <w:multiLevelType w:val="hybridMultilevel"/>
    <w:lvl w:ilvl="0">
      <w:lvlJc w:val="left"/>
      <w:lvlText w:val="%1."/>
      <w:numFmt w:val="decimal"/>
      <w:start w:val="23"/>
    </w:lvl>
  </w:abstractNum>
  <w:abstractNum w:abstractNumId="191">
    <w:nsid w:val="15B71329"/>
    <w:multiLevelType w:val="hybridMultilevel"/>
    <w:lvl w:ilvl="0">
      <w:lvlJc w:val="left"/>
      <w:lvlText w:val="%1."/>
      <w:numFmt w:val="decimal"/>
      <w:start w:val="24"/>
    </w:lvl>
  </w:abstractNum>
  <w:abstractNum w:abstractNumId="192">
    <w:nsid w:val="3DA97044"/>
    <w:multiLevelType w:val="hybridMultilevel"/>
    <w:lvl w:ilvl="0">
      <w:lvlJc w:val="left"/>
      <w:lvlText w:val="%1."/>
      <w:numFmt w:val="decimal"/>
      <w:start w:val="25"/>
    </w:lvl>
  </w:abstractNum>
  <w:abstractNum w:abstractNumId="193">
    <w:nsid w:val="1CDCE2DE"/>
    <w:multiLevelType w:val="hybridMultilevel"/>
    <w:lvl w:ilvl="0">
      <w:lvlJc w:val="left"/>
      <w:lvlText w:val="%1."/>
      <w:numFmt w:val="decimal"/>
      <w:start w:val="1"/>
    </w:lvl>
  </w:abstractNum>
  <w:abstractNum w:abstractNumId="194">
    <w:nsid w:val="69D3947C"/>
    <w:multiLevelType w:val="hybridMultilevel"/>
    <w:lvl w:ilvl="0">
      <w:lvlJc w:val="left"/>
      <w:lvlText w:val="%1)"/>
      <w:numFmt w:val="lowerLetter"/>
      <w:start w:val="1"/>
    </w:lvl>
  </w:abstractNum>
  <w:abstractNum w:abstractNumId="195">
    <w:nsid w:val="2539DFA5"/>
    <w:multiLevelType w:val="hybridMultilevel"/>
    <w:lvl w:ilvl="0">
      <w:lvlJc w:val="left"/>
      <w:lvlText w:val="%1)"/>
      <w:numFmt w:val="lowerLetter"/>
      <w:start w:val="2"/>
    </w:lvl>
  </w:abstractNum>
  <w:abstractNum w:abstractNumId="196">
    <w:nsid w:val="2DB88089"/>
    <w:multiLevelType w:val="hybridMultilevel"/>
    <w:lvl w:ilvl="0">
      <w:lvlJc w:val="left"/>
      <w:lvlText w:val="%1."/>
      <w:numFmt w:val="decimal"/>
      <w:start w:val="1"/>
    </w:lvl>
  </w:abstractNum>
  <w:abstractNum w:abstractNumId="197">
    <w:nsid w:val="706B674E"/>
    <w:multiLevelType w:val="hybridMultilevel"/>
    <w:lvl w:ilvl="0">
      <w:lvlJc w:val="left"/>
      <w:lvlText w:val="%1."/>
      <w:numFmt w:val="decimal"/>
      <w:start w:val="1"/>
    </w:lvl>
  </w:abstractNum>
  <w:abstractNum w:abstractNumId="198">
    <w:nsid w:val="2C106A57"/>
    <w:multiLevelType w:val="hybridMultilevel"/>
    <w:lvl w:ilvl="0">
      <w:lvlJc w:val="left"/>
      <w:lvlText w:val="%1)"/>
      <w:numFmt w:val="lowerLetter"/>
      <w:start w:val="2"/>
    </w:lvl>
    <w:lvl w:ilvl="1">
      <w:lvlJc w:val="left"/>
      <w:lvlText w:val="%2."/>
      <w:numFmt w:val="decimal"/>
      <w:start w:val="2"/>
    </w:lvl>
  </w:abstractNum>
  <w:abstractNum w:abstractNumId="199">
    <w:nsid w:val="684EED59"/>
    <w:multiLevelType w:val="hybridMultilevel"/>
    <w:lvl w:ilvl="0">
      <w:lvlJc w:val="left"/>
      <w:lvlText w:val="•"/>
      <w:numFmt w:val="bullet"/>
      <w:start w:val="1"/>
    </w:lvl>
  </w:abstractNum>
  <w:abstractNum w:abstractNumId="200">
    <w:nsid w:val="545EE5D3"/>
    <w:multiLevelType w:val="hybridMultilevel"/>
    <w:lvl w:ilvl="0">
      <w:lvlJc w:val="left"/>
      <w:lvlText w:val="•"/>
      <w:numFmt w:val="bullet"/>
      <w:start w:val="1"/>
    </w:lvl>
  </w:abstractNum>
  <w:abstractNum w:abstractNumId="201">
    <w:nsid w:val="4A66051"/>
    <w:multiLevelType w:val="hybridMultilevel"/>
    <w:lvl w:ilvl="0">
      <w:lvlJc w:val="left"/>
      <w:lvlText w:val="%1."/>
      <w:numFmt w:val="decimal"/>
      <w:start w:val="1"/>
    </w:lvl>
  </w:abstractNum>
  <w:abstractNum w:abstractNumId="202">
    <w:nsid w:val="20F4BDAD"/>
    <w:multiLevelType w:val="hybridMultilevel"/>
    <w:lvl w:ilvl="0">
      <w:lvlJc w:val="left"/>
      <w:lvlText w:val="%1)"/>
      <w:numFmt w:val="lowerLetter"/>
      <w:start w:val="2"/>
    </w:lvl>
    <w:lvl w:ilvl="1">
      <w:lvlJc w:val="left"/>
      <w:lvlText w:val="•"/>
      <w:numFmt w:val="bullet"/>
      <w:start w:val="1"/>
    </w:lvl>
  </w:abstractNum>
  <w:abstractNum w:abstractNumId="203">
    <w:nsid w:val="639DEFAC"/>
    <w:multiLevelType w:val="hybridMultilevel"/>
    <w:lvl w:ilvl="0">
      <w:lvlJc w:val="left"/>
      <w:lvlText w:val="%1."/>
      <w:numFmt w:val="decimal"/>
      <w:start w:val="1"/>
    </w:lvl>
  </w:abstractNum>
  <w:abstractNum w:abstractNumId="204">
    <w:nsid w:val="501F9786"/>
    <w:multiLevelType w:val="hybridMultilevel"/>
    <w:lvl w:ilvl="0">
      <w:lvlJc w:val="left"/>
      <w:lvlText w:val="%1)"/>
      <w:numFmt w:val="lowerLetter"/>
      <w:start w:val="3"/>
    </w:lvl>
  </w:abstractNum>
  <w:abstractNum w:abstractNumId="205">
    <w:nsid w:val="6B057295"/>
    <w:multiLevelType w:val="hybridMultilevel"/>
    <w:lvl w:ilvl="0">
      <w:lvlJc w:val="left"/>
      <w:lvlText w:val="%1."/>
      <w:numFmt w:val="decimal"/>
      <w:start w:val="2"/>
    </w:lvl>
  </w:abstractNum>
  <w:abstractNum w:abstractNumId="206">
    <w:nsid w:val="2771AC80"/>
    <w:multiLevelType w:val="hybridMultilevel"/>
    <w:lvl w:ilvl="0">
      <w:lvlJc w:val="left"/>
      <w:lvlText w:val="%1."/>
      <w:numFmt w:val="decimal"/>
      <w:start w:val="3"/>
    </w:lvl>
  </w:abstractNum>
  <w:abstractNum w:abstractNumId="207">
    <w:nsid w:val="1C4A08EC"/>
    <w:multiLevelType w:val="hybridMultilevel"/>
    <w:lvl w:ilvl="0">
      <w:lvlJc w:val="left"/>
      <w:lvlText w:val="%1."/>
      <w:numFmt w:val="decimal"/>
      <w:start w:val="4"/>
    </w:lvl>
  </w:abstractNum>
  <w:abstractNum w:abstractNumId="208">
    <w:nsid w:val="1958BD17"/>
    <w:multiLevelType w:val="hybridMultilevel"/>
    <w:lvl w:ilvl="0">
      <w:lvlJc w:val="left"/>
      <w:lvlText w:val="•"/>
      <w:numFmt w:val="bullet"/>
      <w:start w:val="1"/>
    </w:lvl>
  </w:abstractNum>
  <w:abstractNum w:abstractNumId="209">
    <w:nsid w:val="4E647FE4"/>
    <w:multiLevelType w:val="hybridMultilevel"/>
    <w:lvl w:ilvl="0">
      <w:lvlJc w:val="left"/>
      <w:lvlText w:val="%1."/>
      <w:numFmt w:val="decimal"/>
      <w:start w:val="4"/>
    </w:lvl>
  </w:abstractNum>
  <w:abstractNum w:abstractNumId="210">
    <w:nsid w:val="E0BB885"/>
    <w:multiLevelType w:val="hybridMultilevel"/>
    <w:lvl w:ilvl="0">
      <w:lvlJc w:val="left"/>
      <w:lvlText w:val="%1."/>
      <w:numFmt w:val="decimal"/>
      <w:start w:val="4"/>
    </w:lvl>
  </w:abstractNum>
  <w:abstractNum w:abstractNumId="211">
    <w:nsid w:val="565976F1"/>
    <w:multiLevelType w:val="hybridMultilevel"/>
    <w:lvl w:ilvl="0">
      <w:lvlJc w:val="left"/>
      <w:lvlText w:val="%1."/>
      <w:numFmt w:val="decimal"/>
      <w:start w:val="5"/>
    </w:lvl>
  </w:abstractNum>
  <w:abstractNum w:abstractNumId="212">
    <w:nsid w:val="64212B8C"/>
    <w:multiLevelType w:val="hybridMultilevel"/>
    <w:lvl w:ilvl="0">
      <w:lvlJc w:val="left"/>
      <w:lvlText w:val="(%1)"/>
      <w:numFmt w:val="lowerLetter"/>
      <w:start w:val="1"/>
    </w:lvl>
  </w:abstractNum>
  <w:abstractNum w:abstractNumId="213">
    <w:nsid w:val="5C17530C"/>
    <w:multiLevelType w:val="hybridMultilevel"/>
    <w:lvl w:ilvl="0">
      <w:lvlJc w:val="left"/>
      <w:lvlText w:val="(%1)"/>
      <w:numFmt w:val="lowerLetter"/>
      <w:start w:val="2"/>
    </w:lvl>
  </w:abstractNum>
  <w:abstractNum w:abstractNumId="214">
    <w:nsid w:val="19A52566"/>
    <w:multiLevelType w:val="hybridMultilevel"/>
    <w:lvl w:ilvl="0">
      <w:lvlJc w:val="left"/>
      <w:lvlText w:val="%1)"/>
      <w:numFmt w:val="lowerRoman"/>
    </w:lvl>
    <w:lvl w:ilvl="1">
      <w:lvlJc w:val="left"/>
      <w:lvlText w:val="•"/>
      <w:numFmt w:val="bullet"/>
      <w:start w:val="1"/>
    </w:lvl>
  </w:abstractNum>
  <w:abstractNum w:abstractNumId="215">
    <w:nsid w:val="335A1DF1"/>
    <w:multiLevelType w:val="hybridMultilevel"/>
    <w:lvl w:ilvl="0">
      <w:lvlJc w:val="left"/>
      <w:lvlText w:val="%1."/>
      <w:numFmt w:val="decimal"/>
      <w:start w:val="5"/>
    </w:lvl>
  </w:abstractNum>
  <w:abstractNum w:abstractNumId="216">
    <w:nsid w:val="28677B7C"/>
    <w:multiLevelType w:val="hybridMultilevel"/>
    <w:lvl w:ilvl="0">
      <w:lvlJc w:val="left"/>
      <w:lvlText w:val="(%1)"/>
      <w:numFmt w:val="lowerLetter"/>
      <w:start w:val="2"/>
    </w:lvl>
  </w:abstractNum>
  <w:abstractNum w:abstractNumId="217">
    <w:nsid w:val="378D97C0"/>
    <w:multiLevelType w:val="hybridMultilevel"/>
    <w:lvl w:ilvl="0">
      <w:lvlJc w:val="left"/>
      <w:lvlText w:val="%1)"/>
      <w:numFmt w:val="lowerRoman"/>
      <w:start w:val="2"/>
    </w:lvl>
  </w:abstractNum>
  <w:abstractNum w:abstractNumId="218">
    <w:nsid w:val="1D91467C"/>
    <w:multiLevelType w:val="hybridMultilevel"/>
    <w:lvl w:ilvl="0">
      <w:lvlJc w:val="left"/>
      <w:lvlText w:val="%1)"/>
      <w:numFmt w:val="lowerRoman"/>
      <w:start w:val="3"/>
    </w:lvl>
  </w:abstractNum>
  <w:abstractNum w:abstractNumId="219">
    <w:nsid w:val="316032BB"/>
    <w:multiLevelType w:val="hybridMultilevel"/>
    <w:lvl w:ilvl="0">
      <w:lvlJc w:val="left"/>
      <w:lvlText w:val="%1)"/>
      <w:numFmt w:val="lowerRoman"/>
      <w:start w:val="4"/>
    </w:lvl>
  </w:abstractNum>
  <w:abstractNum w:abstractNumId="220">
    <w:nsid w:val="44344C22"/>
    <w:multiLevelType w:val="hybridMultilevel"/>
    <w:lvl w:ilvl="0">
      <w:lvlJc w:val="left"/>
      <w:lvlText w:val="%1."/>
      <w:numFmt w:val="decimal"/>
      <w:start w:val="5"/>
    </w:lvl>
  </w:abstractNum>
  <w:abstractNum w:abstractNumId="221">
    <w:nsid w:val="13CDFCFC"/>
    <w:multiLevelType w:val="hybridMultilevel"/>
    <w:lvl w:ilvl="0">
      <w:lvlJc w:val="left"/>
      <w:lvlText w:val="(%1)"/>
      <w:numFmt w:val="lowerLetter"/>
      <w:start w:val="2"/>
    </w:lvl>
  </w:abstractNum>
  <w:abstractNum w:abstractNumId="222">
    <w:nsid w:val="471745E4"/>
    <w:multiLevelType w:val="hybridMultilevel"/>
    <w:lvl w:ilvl="0">
      <w:lvlJc w:val="left"/>
      <w:lvlText w:val="%1)"/>
      <w:numFmt w:val="lowerRoman"/>
      <w:start w:val="5"/>
    </w:lvl>
  </w:abstractNum>
  <w:abstractNum w:abstractNumId="223">
    <w:nsid w:val="1DDBC66"/>
    <w:multiLevelType w:val="hybridMultilevel"/>
    <w:lvl w:ilvl="0">
      <w:lvlJc w:val="left"/>
      <w:lvlText w:val="%1)"/>
      <w:numFmt w:val="lowerRoman"/>
      <w:start w:val="6"/>
    </w:lvl>
    <w:lvl w:ilvl="1">
      <w:lvlJc w:val="left"/>
      <w:lvlText w:val="%2."/>
      <w:numFmt w:val="decimal"/>
      <w:start w:val="1"/>
    </w:lvl>
  </w:abstractNum>
  <w:abstractNum w:abstractNumId="224">
    <w:nsid w:val="30AADFDA"/>
    <w:multiLevelType w:val="hybridMultilevel"/>
    <w:lvl w:ilvl="0">
      <w:lvlJc w:val="left"/>
      <w:lvlText w:val="%1."/>
      <w:numFmt w:val="decimal"/>
      <w:start w:val="5"/>
    </w:lvl>
  </w:abstractNum>
  <w:abstractNum w:abstractNumId="225">
    <w:nsid w:val="30EADA61"/>
    <w:multiLevelType w:val="hybridMultilevel"/>
    <w:lvl w:ilvl="0">
      <w:lvlJc w:val="left"/>
      <w:lvlText w:val="(%1)"/>
      <w:numFmt w:val="lowerLetter"/>
      <w:start w:val="2"/>
    </w:lvl>
    <w:lvl w:ilvl="1">
      <w:lvlJc w:val="left"/>
      <w:lvlText w:val="%2."/>
      <w:numFmt w:val="decimal"/>
      <w:start w:val="3"/>
    </w:lvl>
  </w:abstractNum>
  <w:abstractNum w:abstractNumId="226">
    <w:nsid w:val="27179C0B"/>
    <w:multiLevelType w:val="hybridMultilevel"/>
    <w:lvl w:ilvl="0">
      <w:lvlJc w:val="left"/>
      <w:lvlText w:val="%1."/>
      <w:numFmt w:val="decimal"/>
      <w:start w:val="7"/>
    </w:lvl>
  </w:abstractNum>
  <w:abstractNum w:abstractNumId="227">
    <w:nsid w:val="5E636063"/>
    <w:multiLevelType w:val="hybridMultilevel"/>
    <w:lvl w:ilvl="0">
      <w:lvlJc w:val="left"/>
      <w:lvlText w:val="%1."/>
      <w:numFmt w:val="decimal"/>
      <w:start w:val="8"/>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 w:numId="155">
    <w:abstractNumId w:val="154"/>
  </w:num>
  <w:num w:numId="156">
    <w:abstractNumId w:val="155"/>
  </w:num>
  <w:num w:numId="157">
    <w:abstractNumId w:val="156"/>
  </w:num>
  <w:num w:numId="158">
    <w:abstractNumId w:val="157"/>
  </w:num>
  <w:num w:numId="159">
    <w:abstractNumId w:val="158"/>
  </w:num>
  <w:num w:numId="160">
    <w:abstractNumId w:val="159"/>
  </w:num>
  <w:num w:numId="161">
    <w:abstractNumId w:val="160"/>
  </w:num>
  <w:num w:numId="162">
    <w:abstractNumId w:val="161"/>
  </w:num>
  <w:num w:numId="163">
    <w:abstractNumId w:val="162"/>
  </w:num>
  <w:num w:numId="164">
    <w:abstractNumId w:val="163"/>
  </w:num>
  <w:num w:numId="165">
    <w:abstractNumId w:val="164"/>
  </w:num>
  <w:num w:numId="166">
    <w:abstractNumId w:val="165"/>
  </w:num>
  <w:num w:numId="167">
    <w:abstractNumId w:val="166"/>
  </w:num>
  <w:num w:numId="168">
    <w:abstractNumId w:val="167"/>
  </w:num>
  <w:num w:numId="169">
    <w:abstractNumId w:val="168"/>
  </w:num>
  <w:num w:numId="170">
    <w:abstractNumId w:val="169"/>
  </w:num>
  <w:num w:numId="171">
    <w:abstractNumId w:val="170"/>
  </w:num>
  <w:num w:numId="172">
    <w:abstractNumId w:val="171"/>
  </w:num>
  <w:num w:numId="173">
    <w:abstractNumId w:val="172"/>
  </w:num>
  <w:num w:numId="174">
    <w:abstractNumId w:val="173"/>
  </w:num>
  <w:num w:numId="175">
    <w:abstractNumId w:val="174"/>
  </w:num>
  <w:num w:numId="176">
    <w:abstractNumId w:val="175"/>
  </w:num>
  <w:num w:numId="177">
    <w:abstractNumId w:val="176"/>
  </w:num>
  <w:num w:numId="178">
    <w:abstractNumId w:val="177"/>
  </w:num>
  <w:num w:numId="179">
    <w:abstractNumId w:val="178"/>
  </w:num>
  <w:num w:numId="180">
    <w:abstractNumId w:val="179"/>
  </w:num>
  <w:num w:numId="181">
    <w:abstractNumId w:val="180"/>
  </w:num>
  <w:num w:numId="182">
    <w:abstractNumId w:val="181"/>
  </w:num>
  <w:num w:numId="183">
    <w:abstractNumId w:val="182"/>
  </w:num>
  <w:num w:numId="184">
    <w:abstractNumId w:val="183"/>
  </w:num>
  <w:num w:numId="185">
    <w:abstractNumId w:val="184"/>
  </w:num>
  <w:num w:numId="186">
    <w:abstractNumId w:val="185"/>
  </w:num>
  <w:num w:numId="187">
    <w:abstractNumId w:val="186"/>
  </w:num>
  <w:num w:numId="188">
    <w:abstractNumId w:val="187"/>
  </w:num>
  <w:num w:numId="189">
    <w:abstractNumId w:val="188"/>
  </w:num>
  <w:num w:numId="190">
    <w:abstractNumId w:val="189"/>
  </w:num>
  <w:num w:numId="191">
    <w:abstractNumId w:val="190"/>
  </w:num>
  <w:num w:numId="192">
    <w:abstractNumId w:val="191"/>
  </w:num>
  <w:num w:numId="193">
    <w:abstractNumId w:val="192"/>
  </w:num>
  <w:num w:numId="194">
    <w:abstractNumId w:val="193"/>
  </w:num>
  <w:num w:numId="195">
    <w:abstractNumId w:val="194"/>
  </w:num>
  <w:num w:numId="196">
    <w:abstractNumId w:val="195"/>
  </w:num>
  <w:num w:numId="197">
    <w:abstractNumId w:val="196"/>
  </w:num>
  <w:num w:numId="198">
    <w:abstractNumId w:val="197"/>
  </w:num>
  <w:num w:numId="199">
    <w:abstractNumId w:val="198"/>
  </w:num>
  <w:num w:numId="200">
    <w:abstractNumId w:val="199"/>
  </w:num>
  <w:num w:numId="201">
    <w:abstractNumId w:val="200"/>
  </w:num>
  <w:num w:numId="202">
    <w:abstractNumId w:val="201"/>
  </w:num>
  <w:num w:numId="203">
    <w:abstractNumId w:val="202"/>
  </w:num>
  <w:num w:numId="204">
    <w:abstractNumId w:val="203"/>
  </w:num>
  <w:num w:numId="205">
    <w:abstractNumId w:val="204"/>
  </w:num>
  <w:num w:numId="206">
    <w:abstractNumId w:val="205"/>
  </w:num>
  <w:num w:numId="207">
    <w:abstractNumId w:val="206"/>
  </w:num>
  <w:num w:numId="208">
    <w:abstractNumId w:val="207"/>
  </w:num>
  <w:num w:numId="209">
    <w:abstractNumId w:val="208"/>
  </w:num>
  <w:num w:numId="210">
    <w:abstractNumId w:val="209"/>
  </w:num>
  <w:num w:numId="211">
    <w:abstractNumId w:val="210"/>
  </w:num>
  <w:num w:numId="212">
    <w:abstractNumId w:val="211"/>
  </w:num>
  <w:num w:numId="213">
    <w:abstractNumId w:val="212"/>
  </w:num>
  <w:num w:numId="214">
    <w:abstractNumId w:val="213"/>
  </w:num>
  <w:num w:numId="215">
    <w:abstractNumId w:val="214"/>
  </w:num>
  <w:num w:numId="216">
    <w:abstractNumId w:val="215"/>
  </w:num>
  <w:num w:numId="217">
    <w:abstractNumId w:val="216"/>
  </w:num>
  <w:num w:numId="218">
    <w:abstractNumId w:val="217"/>
  </w:num>
  <w:num w:numId="219">
    <w:abstractNumId w:val="218"/>
  </w:num>
  <w:num w:numId="220">
    <w:abstractNumId w:val="219"/>
  </w:num>
  <w:num w:numId="221">
    <w:abstractNumId w:val="220"/>
  </w:num>
  <w:num w:numId="222">
    <w:abstractNumId w:val="221"/>
  </w:num>
  <w:num w:numId="223">
    <w:abstractNumId w:val="222"/>
  </w:num>
  <w:num w:numId="224">
    <w:abstractNumId w:val="223"/>
  </w:num>
  <w:num w:numId="225">
    <w:abstractNumId w:val="224"/>
  </w:num>
  <w:num w:numId="226">
    <w:abstractNumId w:val="225"/>
  </w:num>
  <w:num w:numId="227">
    <w:abstractNumId w:val="226"/>
  </w:num>
  <w:num w:numId="228">
    <w:abstractNumId w:val="22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jpe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jpeg"/><Relationship Id="rId58" Type="http://schemas.openxmlformats.org/officeDocument/2006/relationships/image" Target="media/image51.jpeg"/><Relationship Id="rId59" Type="http://schemas.openxmlformats.org/officeDocument/2006/relationships/image" Target="media/image52.jpe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jpeg"/><Relationship Id="rId64" Type="http://schemas.openxmlformats.org/officeDocument/2006/relationships/image" Target="media/image57.jpe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jpe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41" Type="http://schemas.openxmlformats.org/officeDocument/2006/relationships/image" Target="media/image123.png"/><Relationship Id="rId144" Type="http://schemas.openxmlformats.org/officeDocument/2006/relationships/image" Target="media/image124.png"/><Relationship Id="rId145" Type="http://schemas.openxmlformats.org/officeDocument/2006/relationships/image" Target="media/image125.png"/><Relationship Id="rId146" Type="http://schemas.openxmlformats.org/officeDocument/2006/relationships/image" Target="media/image126.png"/><Relationship Id="rId147" Type="http://schemas.openxmlformats.org/officeDocument/2006/relationships/image" Target="media/image127.png"/><Relationship Id="rId148" Type="http://schemas.openxmlformats.org/officeDocument/2006/relationships/image" Target="media/image128.png"/><Relationship Id="rId149" Type="http://schemas.openxmlformats.org/officeDocument/2006/relationships/image" Target="media/image129.png"/><Relationship Id="rId150" Type="http://schemas.openxmlformats.org/officeDocument/2006/relationships/image" Target="media/image130.png"/><Relationship Id="rId151" Type="http://schemas.openxmlformats.org/officeDocument/2006/relationships/image" Target="media/image131.png"/><Relationship Id="rId152" Type="http://schemas.openxmlformats.org/officeDocument/2006/relationships/image" Target="media/image132.png"/><Relationship Id="rId153" Type="http://schemas.openxmlformats.org/officeDocument/2006/relationships/image" Target="media/image133.png"/><Relationship Id="rId154" Type="http://schemas.openxmlformats.org/officeDocument/2006/relationships/image" Target="media/image134.png"/><Relationship Id="rId155" Type="http://schemas.openxmlformats.org/officeDocument/2006/relationships/image" Target="media/image135.png"/><Relationship Id="rId156" Type="http://schemas.openxmlformats.org/officeDocument/2006/relationships/image" Target="media/image136.png"/><Relationship Id="rId157" Type="http://schemas.openxmlformats.org/officeDocument/2006/relationships/image" Target="media/image137.png"/><Relationship Id="rId158" Type="http://schemas.openxmlformats.org/officeDocument/2006/relationships/image" Target="media/image138.png"/><Relationship Id="rId159" Type="http://schemas.openxmlformats.org/officeDocument/2006/relationships/image" Target="media/image139.png"/><Relationship Id="rId160" Type="http://schemas.openxmlformats.org/officeDocument/2006/relationships/image" Target="media/image140.png"/><Relationship Id="rId161" Type="http://schemas.openxmlformats.org/officeDocument/2006/relationships/image" Target="media/image141.png"/><Relationship Id="rId162" Type="http://schemas.openxmlformats.org/officeDocument/2006/relationships/image" Target="media/image142.png"/><Relationship Id="rId163" Type="http://schemas.openxmlformats.org/officeDocument/2006/relationships/image" Target="media/image143.png"/><Relationship Id="rId164" Type="http://schemas.openxmlformats.org/officeDocument/2006/relationships/image" Target="media/image144.png"/><Relationship Id="rId165" Type="http://schemas.openxmlformats.org/officeDocument/2006/relationships/image" Target="media/image145.png"/><Relationship Id="rId166" Type="http://schemas.openxmlformats.org/officeDocument/2006/relationships/image" Target="media/image146.png"/><Relationship Id="rId167" Type="http://schemas.openxmlformats.org/officeDocument/2006/relationships/image" Target="media/image147.png"/><Relationship Id="rId168" Type="http://schemas.openxmlformats.org/officeDocument/2006/relationships/image" Target="media/image148.png"/><Relationship Id="rId169" Type="http://schemas.openxmlformats.org/officeDocument/2006/relationships/image" Target="media/image149.png"/><Relationship Id="rId170" Type="http://schemas.openxmlformats.org/officeDocument/2006/relationships/image" Target="media/image150.png"/><Relationship Id="rId171" Type="http://schemas.openxmlformats.org/officeDocument/2006/relationships/image" Target="media/image151.png"/><Relationship Id="rId172" Type="http://schemas.openxmlformats.org/officeDocument/2006/relationships/image" Target="media/image152.png"/><Relationship Id="rId173" Type="http://schemas.openxmlformats.org/officeDocument/2006/relationships/image" Target="media/image153.png"/><Relationship Id="rId174" Type="http://schemas.openxmlformats.org/officeDocument/2006/relationships/image" Target="media/image154.png"/><Relationship Id="rId175" Type="http://schemas.openxmlformats.org/officeDocument/2006/relationships/image" Target="media/image155.png"/><Relationship Id="rId176" Type="http://schemas.openxmlformats.org/officeDocument/2006/relationships/image" Target="media/image156.png"/><Relationship Id="rId177" Type="http://schemas.openxmlformats.org/officeDocument/2006/relationships/image" Target="media/image157.png"/><Relationship Id="rId178" Type="http://schemas.openxmlformats.org/officeDocument/2006/relationships/image" Target="media/image158.png"/><Relationship Id="rId179" Type="http://schemas.openxmlformats.org/officeDocument/2006/relationships/image" Target="media/image159.png"/><Relationship Id="rId180" Type="http://schemas.openxmlformats.org/officeDocument/2006/relationships/image" Target="media/image160.png"/><Relationship Id="rId181" Type="http://schemas.openxmlformats.org/officeDocument/2006/relationships/image" Target="media/image161.png"/><Relationship Id="rId182" Type="http://schemas.openxmlformats.org/officeDocument/2006/relationships/image" Target="media/image162.png"/><Relationship Id="rId183" Type="http://schemas.openxmlformats.org/officeDocument/2006/relationships/image" Target="media/image163.png"/><Relationship Id="rId184" Type="http://schemas.openxmlformats.org/officeDocument/2006/relationships/image" Target="media/image164.png"/><Relationship Id="rId185" Type="http://schemas.openxmlformats.org/officeDocument/2006/relationships/image" Target="media/image165.png"/><Relationship Id="rId186" Type="http://schemas.openxmlformats.org/officeDocument/2006/relationships/image" Target="media/image166.png"/><Relationship Id="rId187" Type="http://schemas.openxmlformats.org/officeDocument/2006/relationships/image" Target="media/image167.png"/><Relationship Id="rId188" Type="http://schemas.openxmlformats.org/officeDocument/2006/relationships/image" Target="media/image168.png"/><Relationship Id="rId189" Type="http://schemas.openxmlformats.org/officeDocument/2006/relationships/image" Target="media/image169.png"/><Relationship Id="rId190" Type="http://schemas.openxmlformats.org/officeDocument/2006/relationships/image" Target="media/image170.png"/><Relationship Id="rId191" Type="http://schemas.openxmlformats.org/officeDocument/2006/relationships/image" Target="media/image171.png"/><Relationship Id="rId192" Type="http://schemas.openxmlformats.org/officeDocument/2006/relationships/image" Target="media/image172.png"/><Relationship Id="rId193" Type="http://schemas.openxmlformats.org/officeDocument/2006/relationships/image" Target="media/image173.png"/><Relationship Id="rId194" Type="http://schemas.openxmlformats.org/officeDocument/2006/relationships/image" Target="media/image174.png"/><Relationship Id="rId195" Type="http://schemas.openxmlformats.org/officeDocument/2006/relationships/image" Target="media/image175.png"/><Relationship Id="rId196" Type="http://schemas.openxmlformats.org/officeDocument/2006/relationships/image" Target="media/image176.png"/><Relationship Id="rId197" Type="http://schemas.openxmlformats.org/officeDocument/2006/relationships/image" Target="media/image177.png"/><Relationship Id="rId198" Type="http://schemas.openxmlformats.org/officeDocument/2006/relationships/image" Target="media/image178.png"/><Relationship Id="rId199" Type="http://schemas.openxmlformats.org/officeDocument/2006/relationships/image" Target="media/image179.png"/><Relationship Id="rId200" Type="http://schemas.openxmlformats.org/officeDocument/2006/relationships/image" Target="media/image180.png"/><Relationship Id="rId201" Type="http://schemas.openxmlformats.org/officeDocument/2006/relationships/image" Target="media/image181.png"/><Relationship Id="rId202" Type="http://schemas.openxmlformats.org/officeDocument/2006/relationships/image" Target="media/image182.png"/><Relationship Id="rId203" Type="http://schemas.openxmlformats.org/officeDocument/2006/relationships/image" Target="media/image183.png"/><Relationship Id="rId204" Type="http://schemas.openxmlformats.org/officeDocument/2006/relationships/image" Target="media/image184.png"/><Relationship Id="rId205" Type="http://schemas.openxmlformats.org/officeDocument/2006/relationships/image" Target="media/image185.png"/><Relationship Id="rId206" Type="http://schemas.openxmlformats.org/officeDocument/2006/relationships/image" Target="media/image186.png"/><Relationship Id="rId207" Type="http://schemas.openxmlformats.org/officeDocument/2006/relationships/image" Target="media/image187.png"/><Relationship Id="rId208" Type="http://schemas.openxmlformats.org/officeDocument/2006/relationships/image" Target="media/image188.png"/><Relationship Id="rId209" Type="http://schemas.openxmlformats.org/officeDocument/2006/relationships/image" Target="media/image189.png"/><Relationship Id="rId210" Type="http://schemas.openxmlformats.org/officeDocument/2006/relationships/image" Target="media/image190.png"/><Relationship Id="rId211" Type="http://schemas.openxmlformats.org/officeDocument/2006/relationships/image" Target="media/image191.png"/><Relationship Id="rId212" Type="http://schemas.openxmlformats.org/officeDocument/2006/relationships/image" Target="media/image192.png"/><Relationship Id="rId213" Type="http://schemas.openxmlformats.org/officeDocument/2006/relationships/image" Target="media/image193.png"/><Relationship Id="rId130" Type="http://schemas.openxmlformats.org/officeDocument/2006/relationships/hyperlink" Target="http://www.sec.gov/Archives/edgar/data/1762303/000119312519249606/d757806dex11.htm" TargetMode="External"/><Relationship Id="rId131" Type="http://schemas.openxmlformats.org/officeDocument/2006/relationships/hyperlink" Target="http://www.sec.gov/Archives/edgar/data/1762303/000119312519249606/d757806dex21.htm" TargetMode="External"/><Relationship Id="rId132" Type="http://schemas.openxmlformats.org/officeDocument/2006/relationships/hyperlink" Target="http://www.sec.gov/Archives/edgar/data/1762303/000119312519249606/d757806dex41.htm" TargetMode="External"/><Relationship Id="rId133" Type="http://schemas.openxmlformats.org/officeDocument/2006/relationships/hyperlink" Target="http://www.sec.gov/Archives/edgar/data/1762303/000119312519249606/d757806dex42.htm" TargetMode="External"/><Relationship Id="rId134" Type="http://schemas.openxmlformats.org/officeDocument/2006/relationships/hyperlink" Target="http://www.sec.gov/Archives/edgar/data/1762303/000119312519249606/d757806dex43.htm" TargetMode="External"/><Relationship Id="rId135" Type="http://schemas.openxmlformats.org/officeDocument/2006/relationships/hyperlink" Target="http://www.sec.gov/Archives/edgar/data/1762303/000119312519249606/d757806dex44.htm" TargetMode="External"/><Relationship Id="rId136" Type="http://schemas.openxmlformats.org/officeDocument/2006/relationships/hyperlink" Target="http://www.sec.gov/Archives/edgar/data/1762303/000119312519249606/d757806dex45.htm" TargetMode="External"/><Relationship Id="rId137" Type="http://schemas.openxmlformats.org/officeDocument/2006/relationships/hyperlink" Target="http://www.sec.gov/Archives/edgar/data/1762303/000119312519249606/d757806dex46.htm" TargetMode="External"/><Relationship Id="rId138" Type="http://schemas.openxmlformats.org/officeDocument/2006/relationships/hyperlink" Target="http://www.sec.gov/Archives/edgar/data/1762303/000119312519249606/d757806dex47.htm" TargetMode="External"/><Relationship Id="rId139" Type="http://schemas.openxmlformats.org/officeDocument/2006/relationships/hyperlink" Target="http://www.sec.gov/Archives/edgar/data/1762303/000119312519249606/d757806dex48.htm" TargetMode="External"/><Relationship Id="rId140" Type="http://schemas.openxmlformats.org/officeDocument/2006/relationships/hyperlink" Target="http://www.sec.gov/Archives/edgar/data/1762303/000119312519249606/d757806dex49.htm" TargetMode="External"/><Relationship Id="rId142" Type="http://schemas.openxmlformats.org/officeDocument/2006/relationships/hyperlink" Target="http://www.sec.gov/Archives/edgar/data/1762303/000119312519249606/d757806dex81.htm" TargetMode="External"/><Relationship Id="rId143" Type="http://schemas.openxmlformats.org/officeDocument/2006/relationships/hyperlink" Target="http://www.sec.gov/Archives/edgar/data/1762303/000119312519249606/d757806dex15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2020-01-08T23:50:32Z</dcterms:created>
  <dcterms:modified xsi:type="dcterms:W3CDTF">2020-01-08T23:50:32Z</dcterms:modified>
</cp:coreProperties>
</file>