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2900" w:type="dxa"/>
            <w:vAlign w:val="bottom"/>
          </w:tcPr>
          <w:p>
            <w:pPr>
              <w:jc w:val="center"/>
              <w:ind w:right="11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8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001-39059</w:t>
            </w:r>
          </w:p>
        </w:tc>
        <w:tc>
          <w:tcPr>
            <w:tcW w:w="4060" w:type="dxa"/>
            <w:vAlign w:val="bottom"/>
          </w:tcPr>
          <w:p>
            <w:pPr>
              <w:jc w:val="right"/>
              <w:ind w:right="1121"/>
              <w:spacing w:after="0"/>
              <w:rPr>
                <w:sz w:val="20"/>
                <w:szCs w:val="20"/>
                <w:color w:val="auto"/>
              </w:rPr>
            </w:pPr>
            <w:r>
              <w:rPr>
                <w:rFonts w:ascii="Times New Roman" w:cs="Times New Roman" w:eastAsia="Times New Roman" w:hAnsi="Times New Roman"/>
                <w:sz w:val="18"/>
                <w:szCs w:val="18"/>
                <w:b w:val="1"/>
                <w:bCs w:val="1"/>
                <w:color w:val="auto"/>
              </w:rPr>
              <w:t>85-1021707</w:t>
            </w:r>
          </w:p>
        </w:tc>
      </w:tr>
      <w:tr>
        <w:trPr>
          <w:trHeight w:val="148"/>
        </w:trPr>
        <w:tc>
          <w:tcPr>
            <w:tcW w:w="2900" w:type="dxa"/>
            <w:vAlign w:val="bottom"/>
          </w:tcPr>
          <w:p>
            <w:pPr>
              <w:jc w:val="center"/>
              <w:ind w:right="118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880" w:type="dxa"/>
            <w:vAlign w:val="bottom"/>
          </w:tcPr>
          <w:p>
            <w:pPr>
              <w:ind w:left="12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4060" w:type="dxa"/>
            <w:vAlign w:val="bottom"/>
          </w:tcPr>
          <w:p>
            <w:pPr>
              <w:jc w:val="center"/>
              <w:ind w:left="7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00" w:type="dxa"/>
            <w:vAlign w:val="bottom"/>
          </w:tcPr>
          <w:p>
            <w:pPr>
              <w:jc w:val="center"/>
              <w:ind w:right="1161"/>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88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4060" w:type="dxa"/>
            <w:vAlign w:val="bottom"/>
          </w:tcPr>
          <w:p>
            <w:pPr>
              <w:jc w:val="center"/>
              <w:ind w:left="7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17"/>
        </w:trPr>
        <w:tc>
          <w:tcPr>
            <w:tcW w:w="5780" w:type="dxa"/>
            <w:vAlign w:val="bottom"/>
            <w:gridSpan w:val="2"/>
          </w:tcPr>
          <w:p>
            <w:pPr>
              <w:jc w:val="center"/>
              <w:ind w:right="402"/>
              <w:spacing w:after="0"/>
              <w:rPr>
                <w:sz w:val="20"/>
                <w:szCs w:val="20"/>
                <w:color w:val="auto"/>
              </w:rPr>
            </w:pPr>
            <w:r>
              <w:rPr>
                <w:rFonts w:ascii="Times New Roman" w:cs="Times New Roman" w:eastAsia="Times New Roman" w:hAnsi="Times New Roman"/>
                <w:sz w:val="18"/>
                <w:szCs w:val="18"/>
                <w:b w:val="1"/>
                <w:bCs w:val="1"/>
                <w:color w:val="auto"/>
                <w:w w:val="99"/>
              </w:rPr>
              <w:t>28159 Avenue Stanford, Suite 220, Valencia, CA 91355</w:t>
            </w:r>
          </w:p>
        </w:tc>
        <w:tc>
          <w:tcPr>
            <w:tcW w:w="4060" w:type="dxa"/>
            <w:vAlign w:val="bottom"/>
          </w:tcPr>
          <w:p>
            <w:pPr>
              <w:jc w:val="right"/>
              <w:ind w:right="1061"/>
              <w:spacing w:after="0"/>
              <w:rPr>
                <w:sz w:val="20"/>
                <w:szCs w:val="20"/>
                <w:color w:val="auto"/>
              </w:rPr>
            </w:pPr>
            <w:r>
              <w:rPr>
                <w:rFonts w:ascii="Times New Roman" w:cs="Times New Roman" w:eastAsia="Times New Roman" w:hAnsi="Times New Roman"/>
                <w:sz w:val="18"/>
                <w:szCs w:val="18"/>
                <w:b w:val="1"/>
                <w:bCs w:val="1"/>
                <w:color w:val="auto"/>
              </w:rPr>
              <w:t>661.367.9170</w:t>
            </w:r>
          </w:p>
        </w:tc>
      </w:tr>
      <w:tr>
        <w:trPr>
          <w:trHeight w:val="190"/>
        </w:trPr>
        <w:tc>
          <w:tcPr>
            <w:tcW w:w="5780" w:type="dxa"/>
            <w:vAlign w:val="bottom"/>
            <w:gridSpan w:val="2"/>
          </w:tcPr>
          <w:p>
            <w:pPr>
              <w:jc w:val="center"/>
              <w:ind w:right="40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4060" w:type="dxa"/>
            <w:vAlign w:val="bottom"/>
          </w:tcPr>
          <w:p>
            <w:pPr>
              <w:jc w:val="center"/>
              <w:ind w:left="72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19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RCEL</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February 24, 2021, AVITA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an underwriting agreement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with Piper Sandler &amp; Co. and Cowen and Company, LLC, as representatives for underwriters named therein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Underwriters</w:t>
      </w:r>
      <w:r>
        <w:rPr>
          <w:rFonts w:ascii="Times New Roman" w:cs="Times New Roman" w:eastAsia="Times New Roman" w:hAnsi="Times New Roman"/>
          <w:sz w:val="17"/>
          <w:szCs w:val="17"/>
          <w:color w:val="auto"/>
        </w:rPr>
        <w:t>”) pursuant to which the Company agreed to sell, and the Underwriters agreed to purchase for resale to the public (the “</w:t>
      </w:r>
      <w:r>
        <w:rPr>
          <w:rFonts w:ascii="Times New Roman" w:cs="Times New Roman" w:eastAsia="Times New Roman" w:hAnsi="Times New Roman"/>
          <w:sz w:val="17"/>
          <w:szCs w:val="17"/>
          <w:u w:val="single" w:color="auto"/>
          <w:color w:val="auto"/>
        </w:rPr>
        <w:t>Offering</w:t>
      </w:r>
      <w:r>
        <w:rPr>
          <w:rFonts w:ascii="Times New Roman" w:cs="Times New Roman" w:eastAsia="Times New Roman" w:hAnsi="Times New Roman"/>
          <w:sz w:val="17"/>
          <w:szCs w:val="17"/>
          <w:color w:val="auto"/>
        </w:rPr>
        <w:t>”), subject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terms and conditions expressed therein, 2,795,000 authorized but unissued shares of common stock of the Company, par value $0.0001 per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Firm Shares</w:t>
      </w:r>
      <w:r>
        <w:rPr>
          <w:rFonts w:ascii="Times New Roman" w:cs="Times New Roman" w:eastAsia="Times New Roman" w:hAnsi="Times New Roman"/>
          <w:sz w:val="18"/>
          <w:szCs w:val="18"/>
          <w:color w:val="auto"/>
        </w:rPr>
        <w:t>”), at a price to the public of $21.50 per share. The Company also granted the Underwriters a 30-day option to purchase an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419,250 shares (the “</w:t>
      </w:r>
      <w:r>
        <w:rPr>
          <w:rFonts w:ascii="Times New Roman" w:cs="Times New Roman" w:eastAsia="Times New Roman" w:hAnsi="Times New Roman"/>
          <w:sz w:val="18"/>
          <w:szCs w:val="18"/>
          <w:u w:val="single" w:color="auto"/>
          <w:color w:val="auto"/>
        </w:rPr>
        <w:t>Option Shares</w:t>
      </w:r>
      <w:r>
        <w:rPr>
          <w:rFonts w:ascii="Times New Roman" w:cs="Times New Roman" w:eastAsia="Times New Roman" w:hAnsi="Times New Roman"/>
          <w:sz w:val="18"/>
          <w:szCs w:val="18"/>
          <w:color w:val="auto"/>
        </w:rPr>
        <w:t>” and together with the Firm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from the Company. The Offering, including the sale of all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Shares, closed on March 1, 2021.</w:t>
      </w:r>
    </w:p>
    <w:p>
      <w:pPr>
        <w:spacing w:after="0" w:line="20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Company will indemnify the Underwriters against certain liabilities, including liabilities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reimburse the Underwriters for payments that the Underwriters may be required to make because of such liabilities. Piper Sandler &amp; Co. and Cowen and Company, LLC are the book-running managers for the Offering.</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Shares have been offered and sold pursuant to a prospectus supplement dated February 25, 2021 and an accompanying base prospectus dated October 16, 2020, pursuant to the Company’s existing shelf registration statement on Form S-3 (File No. 333-238680) that was declared effective by the Securities and Exchange Commission (the “SEC”) on October 16, 2020. The opinion of the Company’s counsel regarding the validity of the Shares to be issued by the Company is filed herewith as </w:t>
      </w:r>
      <w:r>
        <w:rPr>
          <w:rFonts w:ascii="Times New Roman" w:cs="Times New Roman" w:eastAsia="Times New Roman" w:hAnsi="Times New Roman"/>
          <w:sz w:val="18"/>
          <w:szCs w:val="18"/>
          <w:u w:val="single" w:color="auto"/>
          <w:color w:val="auto"/>
        </w:rPr>
        <w:t>Exhibit 5.1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firstLine="440"/>
        <w:spacing w:after="0" w:line="312" w:lineRule="auto"/>
        <w:rPr>
          <w:sz w:val="20"/>
          <w:szCs w:val="20"/>
          <w:color w:val="auto"/>
        </w:rPr>
      </w:pPr>
      <w:r>
        <w:rPr>
          <w:rFonts w:ascii="Times New Roman" w:cs="Times New Roman" w:eastAsia="Times New Roman" w:hAnsi="Times New Roman"/>
          <w:sz w:val="17"/>
          <w:szCs w:val="17"/>
          <w:color w:val="auto"/>
        </w:rPr>
        <w:t xml:space="preserve">The foregoing description of the Underwriting Agreement is not complete and is qualified in its entirety by reference to the full text of the form of the Underwriting Agreement, a copy of which is filed as </w:t>
      </w:r>
      <w:r>
        <w:rPr>
          <w:rFonts w:ascii="Times New Roman" w:cs="Times New Roman" w:eastAsia="Times New Roman" w:hAnsi="Times New Roman"/>
          <w:sz w:val="17"/>
          <w:szCs w:val="17"/>
          <w:u w:val="single" w:color="auto"/>
          <w:color w:val="auto"/>
        </w:rPr>
        <w:t>Exhibit 1.1</w:t>
      </w:r>
      <w:r>
        <w:rPr>
          <w:rFonts w:ascii="Times New Roman" w:cs="Times New Roman" w:eastAsia="Times New Roman" w:hAnsi="Times New Roman"/>
          <w:sz w:val="17"/>
          <w:szCs w:val="17"/>
          <w:color w:val="auto"/>
        </w:rPr>
        <w:t xml:space="preserve"> to this Current Report on Form 8-K, and which is incorporated by reference herein.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On February 24, 2021, the Company issued a press release announcing the pricing of the Offering (the “</w:t>
      </w: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 xml:space="preserve">”). A copy of the Press Release is attached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and is incorporated by reference herein.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nor shall there be any sale of these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in any state in which such offer, solicitation or sale would be unlawful prior to registration or qualification under the securities laws of any state.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offering will be made only through a prospectus supplement and accompanying prospectus.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78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46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No.</w:t>
            </w:r>
          </w:p>
        </w:tc>
        <w:tc>
          <w:tcPr>
            <w:tcW w:w="47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1.1</w:t>
            </w:r>
          </w:p>
        </w:tc>
        <w:tc>
          <w:tcPr>
            <w:tcW w:w="4780" w:type="dxa"/>
            <w:vAlign w:val="bottom"/>
            <w:gridSpan w:val="3"/>
          </w:tcPr>
          <w:p>
            <w:pPr>
              <w:ind w:left="42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Underwriting Agreement dated February 24, 2021</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5.1</w:t>
            </w:r>
          </w:p>
        </w:tc>
        <w:tc>
          <w:tcPr>
            <w:tcW w:w="4780" w:type="dxa"/>
            <w:vAlign w:val="bottom"/>
            <w:gridSpan w:val="3"/>
          </w:tcPr>
          <w:p>
            <w:pPr>
              <w:ind w:left="420"/>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Opinion of K&amp;L Gates LLP</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95"/>
              </w:rPr>
              <w:t>23.1</w:t>
            </w:r>
          </w:p>
        </w:tc>
        <w:tc>
          <w:tcPr>
            <w:tcW w:w="4780" w:type="dxa"/>
            <w:vAlign w:val="bottom"/>
            <w:gridSpan w:val="3"/>
          </w:tcPr>
          <w:p>
            <w:pPr>
              <w:ind w:left="420"/>
              <w:spacing w:after="0"/>
              <w:rPr>
                <w:rFonts w:ascii="Times New Roman" w:cs="Times New Roman" w:eastAsia="Times New Roman" w:hAnsi="Times New Roman"/>
                <w:sz w:val="18"/>
                <w:szCs w:val="18"/>
                <w:u w:val="single" w:color="auto"/>
                <w:color w:val="0000EE"/>
                <w:w w:val="99"/>
              </w:rPr>
            </w:pPr>
            <w:hyperlink w:anchor="page50">
              <w:r>
                <w:rPr>
                  <w:rFonts w:ascii="Times New Roman" w:cs="Times New Roman" w:eastAsia="Times New Roman" w:hAnsi="Times New Roman"/>
                  <w:sz w:val="18"/>
                  <w:szCs w:val="18"/>
                  <w:u w:val="single" w:color="auto"/>
                  <w:color w:val="0000EE"/>
                  <w:w w:val="99"/>
                </w:rPr>
                <w:t>Consent of K&amp;L Gates LLP (included as part of Exhibit 5.1)</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95"/>
              </w:rPr>
              <w:t>99.1</w:t>
            </w:r>
          </w:p>
        </w:tc>
        <w:tc>
          <w:tcPr>
            <w:tcW w:w="4780" w:type="dxa"/>
            <w:vAlign w:val="bottom"/>
            <w:gridSpan w:val="3"/>
          </w:tcPr>
          <w:p>
            <w:pPr>
              <w:ind w:left="420"/>
              <w:spacing w:after="0"/>
              <w:rPr>
                <w:rFonts w:ascii="Times New Roman" w:cs="Times New Roman" w:eastAsia="Times New Roman" w:hAnsi="Times New Roman"/>
                <w:sz w:val="18"/>
                <w:szCs w:val="18"/>
                <w:u w:val="single" w:color="auto"/>
                <w:color w:val="0000EE"/>
              </w:rPr>
            </w:pPr>
            <w:hyperlink w:anchor="page52">
              <w:r>
                <w:rPr>
                  <w:rFonts w:ascii="Times New Roman" w:cs="Times New Roman" w:eastAsia="Times New Roman" w:hAnsi="Times New Roman"/>
                  <w:sz w:val="18"/>
                  <w:szCs w:val="18"/>
                  <w:u w:val="single" w:color="auto"/>
                  <w:color w:val="0000EE"/>
                </w:rPr>
                <w:t>Press Release dated February 24, 2021</w:t>
              </w:r>
            </w:hyperlink>
          </w:p>
        </w:tc>
        <w:tc>
          <w:tcPr>
            <w:tcW w:w="0" w:type="dxa"/>
            <w:vAlign w:val="bottom"/>
          </w:tcPr>
          <w:p>
            <w:pPr>
              <w:spacing w:after="0"/>
              <w:rPr>
                <w:sz w:val="1"/>
                <w:szCs w:val="1"/>
                <w:color w:val="auto"/>
              </w:rPr>
            </w:pPr>
          </w:p>
        </w:tc>
      </w:tr>
    </w:tbl>
    <w:p>
      <w:pPr>
        <w:sectPr>
          <w:pgSz w:w="11900" w:h="16838" w:orient="portrait"/>
          <w:cols w:equalWidth="0" w:num="1">
            <w:col w:w="10980"/>
          </w:cols>
          <w:pgMar w:left="440" w:top="266" w:right="47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2021</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2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18415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Donna Shiroma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w:t>
      </w:r>
    </w:p>
    <w:p>
      <w:pPr>
        <w:sectPr>
          <w:pgSz w:w="11900" w:h="16838" w:orient="portrait"/>
          <w:cols w:equalWidth="0" w:num="1">
            <w:col w:w="10700"/>
          </w:cols>
          <w:pgMar w:left="440" w:top="266"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2,795,000 Shares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24,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COWEN AND COMPANY, LLC</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Representatives of the several</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Underwriters named in Schedule 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Piper Sandler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 Nicollet Mall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Cowen and Company,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599 Lexington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AVITA Medical,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proposes to sell to the several Underwriters named in Schedule I hereto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an aggregate of 2,795,000 shares (the “</w:t>
      </w:r>
      <w:r>
        <w:rPr>
          <w:rFonts w:ascii="Times New Roman" w:cs="Times New Roman" w:eastAsia="Times New Roman" w:hAnsi="Times New Roman"/>
          <w:sz w:val="18"/>
          <w:szCs w:val="18"/>
          <w:b w:val="1"/>
          <w:bCs w:val="1"/>
          <w:i w:val="1"/>
          <w:iCs w:val="1"/>
          <w:color w:val="auto"/>
        </w:rPr>
        <w:t>Firm Shares</w:t>
      </w:r>
      <w:r>
        <w:rPr>
          <w:rFonts w:ascii="Times New Roman" w:cs="Times New Roman" w:eastAsia="Times New Roman" w:hAnsi="Times New Roman"/>
          <w:sz w:val="18"/>
          <w:szCs w:val="18"/>
          <w:color w:val="auto"/>
        </w:rPr>
        <w:t>”) of Common Stock, $0.0001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The Company has also granted to the several Underwriters an option to purchase up to 419,250 additional shares of Common Stock,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and for the purposes set forth in Section 3 hereof (the “</w:t>
      </w:r>
      <w:r>
        <w:rPr>
          <w:rFonts w:ascii="Times New Roman" w:cs="Times New Roman" w:eastAsia="Times New Roman" w:hAnsi="Times New Roman"/>
          <w:sz w:val="18"/>
          <w:szCs w:val="18"/>
          <w:b w:val="1"/>
          <w:bCs w:val="1"/>
          <w:i w:val="1"/>
          <w:iCs w:val="1"/>
          <w:color w:val="auto"/>
        </w:rPr>
        <w:t>Option Shares</w:t>
      </w:r>
      <w:r>
        <w:rPr>
          <w:rFonts w:ascii="Times New Roman" w:cs="Times New Roman" w:eastAsia="Times New Roman" w:hAnsi="Times New Roman"/>
          <w:sz w:val="18"/>
          <w:szCs w:val="18"/>
          <w:color w:val="auto"/>
        </w:rPr>
        <w:t>”). The Firm Shares and any Option Shares purchased pursuant to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are herein collectively called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hereby confirms its agreement with respect to the sale of the Securities to the several Underwriters, for whom Piper Sandler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Cowen and Company, LLC are acting as representatives (the “</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i w:val="1"/>
          <w:iCs w:val="1"/>
          <w:color w:val="auto"/>
        </w:rPr>
        <w:t>Registration Statement and Prospectus</w:t>
      </w:r>
      <w:r>
        <w:rPr>
          <w:rFonts w:ascii="Times New Roman" w:cs="Times New Roman" w:eastAsia="Times New Roman" w:hAnsi="Times New Roman"/>
          <w:sz w:val="18"/>
          <w:szCs w:val="18"/>
          <w:color w:val="auto"/>
        </w:rPr>
        <w:t>. The Company has prepared and filed with the Securities and Exchange Commission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a registration statement on Form S-3 (File No. 333-249419)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and the rules and regulations (the “</w:t>
      </w:r>
      <w:r>
        <w:rPr>
          <w:rFonts w:ascii="Times New Roman" w:cs="Times New Roman" w:eastAsia="Times New Roman" w:hAnsi="Times New Roman"/>
          <w:sz w:val="18"/>
          <w:szCs w:val="18"/>
          <w:b w:val="1"/>
          <w:bCs w:val="1"/>
          <w:i w:val="1"/>
          <w:iCs w:val="1"/>
          <w:color w:val="auto"/>
        </w:rPr>
        <w:t>Rules and Regulations</w:t>
      </w:r>
      <w:r>
        <w:rPr>
          <w:rFonts w:ascii="Times New Roman" w:cs="Times New Roman" w:eastAsia="Times New Roman" w:hAnsi="Times New Roman"/>
          <w:sz w:val="18"/>
          <w:szCs w:val="18"/>
          <w:color w:val="auto"/>
        </w:rPr>
        <w:t>”) of the Commission thereunder, and such amendments to such registration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may have been required to the date of this Agreement. Such registration statement has been declared effective by the Commission. Each part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including the amendments, exhibits and any schedules thereto, the documents incorporated by reference therein pursuant to Item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of Form S-3 under the Securities</w:t>
      </w:r>
    </w:p>
    <w:p>
      <w:pPr>
        <w:sectPr>
          <w:pgSz w:w="11900" w:h="16838" w:orient="portrait"/>
          <w:cols w:equalWidth="0" w:num="1">
            <w:col w:w="11020"/>
          </w:cols>
          <w:pgMar w:left="440" w:top="117" w:right="439" w:bottom="1440" w:gutter="0" w:footer="0" w:header="0"/>
        </w:sectPr>
      </w:pPr>
    </w:p>
    <w:bookmarkStart w:id="4" w:name="page5"/>
    <w:bookmarkEnd w:id="4"/>
    <w:p>
      <w:pPr>
        <w:ind w:right="8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Act and the documents and information otherwise deemed to be a part thereof or included therein by Rule 430B under the Securities Act (the “</w:t>
      </w:r>
      <w:r>
        <w:rPr>
          <w:rFonts w:ascii="Times New Roman" w:cs="Times New Roman" w:eastAsia="Times New Roman" w:hAnsi="Times New Roman"/>
          <w:sz w:val="18"/>
          <w:szCs w:val="18"/>
          <w:b w:val="1"/>
          <w:bCs w:val="1"/>
          <w:i w:val="1"/>
          <w:iCs w:val="1"/>
          <w:color w:val="auto"/>
        </w:rPr>
        <w:t>Rule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430B Information</w:t>
      </w:r>
      <w:r>
        <w:rPr>
          <w:rFonts w:ascii="Times New Roman" w:cs="Times New Roman" w:eastAsia="Times New Roman" w:hAnsi="Times New Roman"/>
          <w:sz w:val="18"/>
          <w:szCs w:val="18"/>
          <w:color w:val="auto"/>
        </w:rPr>
        <w:t>”) or otherwise pursuant to the Rules and Regulations, as of the time the Registration Statement became effective, is herein called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registration statement filed by the Company pursuant to Rule 462(b) under the Securities Act is called the “Rule 462(b)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and, from and after the date and time of filing of the Rule 462(b) Registration Statement, the term “Registration Statement” shall include the Rule 462(b) Registration Statement.</w:t>
      </w:r>
    </w:p>
    <w:p>
      <w:pPr>
        <w:spacing w:after="0" w:line="183"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The prospectus in the form in which it has most recently been filed with the Commission on or prior to the date of this Agreement is herein called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Each preliminary prospectus supplement to the Base Prospectus (including the Base Prospectus as so supplemented), that describes the Securities and the offering thereof, that omitted the Rule 430B Information and that was used prior to the filing of the final prospectus supplement referred to in the following sentence is herein called a “</w:t>
      </w:r>
      <w:r>
        <w:rPr>
          <w:rFonts w:ascii="Times New Roman" w:cs="Times New Roman" w:eastAsia="Times New Roman" w:hAnsi="Times New Roman"/>
          <w:sz w:val="18"/>
          <w:szCs w:val="18"/>
          <w:b w:val="1"/>
          <w:bCs w:val="1"/>
          <w:i w:val="1"/>
          <w:iCs w:val="1"/>
          <w:color w:val="auto"/>
        </w:rPr>
        <w:t>Preliminary Prospectus</w:t>
      </w:r>
      <w:r>
        <w:rPr>
          <w:rFonts w:ascii="Times New Roman" w:cs="Times New Roman" w:eastAsia="Times New Roman" w:hAnsi="Times New Roman"/>
          <w:sz w:val="18"/>
          <w:szCs w:val="18"/>
          <w:color w:val="auto"/>
        </w:rPr>
        <w:t>.” Promptly after execution and delivery of this Agreement, the Company will prepare and file with the Commission a final prospectus supplement to the Base Prospectus relating to the Securities and the offering thereof in accordance with the provisions Rule 430B and Rule 424(b) of the Rules and Regulations. Such final supplemental form of prospectus (including the Base Prospectus as so supplemented), in the form filed with the Commission pursuant to Rule 424(b) is herein called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Any reference herein to the Base Prospectus, any Preliminary Prospectus or the Prospectus shall be deemed to refer to include the documents incorporated by reference therein pursuant to Item 12 of Form S-3 under the Securities Act as of the date of such prospectus.</w:t>
      </w:r>
    </w:p>
    <w:p>
      <w:pPr>
        <w:spacing w:after="0" w:line="18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For purposes of this Agreement, all references to the Registration Statement, the Rule 462(b) Registration Statement, the Base Prospectus, any Preliminary Prospectus, the Prospectus or any amendment or supplement to any of the foregoing shall be deemed to include the copy filed with the Commission pursuant to its Electronic Data Gathering, Analysis and Retrieval System or any successor system thereto (“</w:t>
      </w:r>
      <w:r>
        <w:rPr>
          <w:rFonts w:ascii="Times New Roman" w:cs="Times New Roman" w:eastAsia="Times New Roman" w:hAnsi="Times New Roman"/>
          <w:sz w:val="18"/>
          <w:szCs w:val="18"/>
          <w:b w:val="1"/>
          <w:bCs w:val="1"/>
          <w:i w:val="1"/>
          <w:iCs w:val="1"/>
          <w:color w:val="auto"/>
        </w:rPr>
        <w:t>EDGAR</w:t>
      </w:r>
      <w:r>
        <w:rPr>
          <w:rFonts w:ascii="Times New Roman" w:cs="Times New Roman" w:eastAsia="Times New Roman" w:hAnsi="Times New Roman"/>
          <w:sz w:val="18"/>
          <w:szCs w:val="18"/>
          <w:color w:val="auto"/>
        </w:rPr>
        <w:t>”). All references in this Agreement to financial statements and schedules and other information which is “described,” “contained,” “included” or “stated” in the Registration Statement, the Base Prospectus, any Preliminary Prospectus or the Prospectus (or other references of like import) shall be deemed to mean and include all such financial statements and schedules and other information which is incorporated by reference in or otherwise deemed by the Rules and Regulations to be a part of or included in the Registration Statement, the Base Prospectus, any Preliminary Prospectus or the Prospectus, as the case may be; and all references in this Agreement to amendments or supplements to the Registration Statement, the Base Prospectus, any Preliminary Prospectus or the Prospectus shall be deemed to mean and include the subsequent filing of any document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which is deemed to be incorporated therein by reference therein or otherwise deemed by the Rules and Regulations to be a part thereof.</w:t>
      </w:r>
    </w:p>
    <w:p>
      <w:pPr>
        <w:spacing w:after="0" w:line="188" w:lineRule="exact"/>
        <w:rPr>
          <w:sz w:val="20"/>
          <w:szCs w:val="20"/>
          <w:color w:val="auto"/>
        </w:rPr>
      </w:pPr>
    </w:p>
    <w:p>
      <w:pPr>
        <w:ind w:left="620" w:hanging="184"/>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Representations and Warranties of the Company.</w:t>
      </w:r>
    </w:p>
    <w:p>
      <w:pPr>
        <w:spacing w:after="0" w:line="11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the several Underwriters</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follows: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5" w:name="page6"/>
    <w:bookmarkEnd w:id="5"/>
    <w:p>
      <w:pPr>
        <w:ind w:right="40" w:firstLine="948"/>
        <w:spacing w:after="0" w:line="253" w:lineRule="auto"/>
        <w:tabs>
          <w:tab w:leader="none" w:pos="116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Registration Statement and Prospectuses</w:t>
      </w:r>
      <w:r>
        <w:rPr>
          <w:rFonts w:ascii="Times New Roman" w:cs="Times New Roman" w:eastAsia="Times New Roman" w:hAnsi="Times New Roman"/>
          <w:sz w:val="18"/>
          <w:szCs w:val="18"/>
          <w:color w:val="auto"/>
        </w:rPr>
        <w:t>. No order preventing or suspending the use of any Preliminary Prospectus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(or any supplement thereto) has been issued by the Commission and no proceeding for that purpose has been initiated or is pending or, to the knowledge of the Company, threatened by the Commission. As of the time each part of the Registration Statement (or any post-effective amendment thereto) became or becomes effective (including each deemed effective date with respect to the Underwriters pursuant to Rule 430B or otherwise under the Securities Act), such part conformed or will conform in all material respects to the requirements of the Act and the Rules and Regulations. Upon the filing or first use within the meaning of the Rules and Regulations, each Preliminary Prospectus and the Prospectus (or any supplement to either) conformed or will conform in all material respects to the requirements of the Act and the Rules and Regulations. The Registration Statement and any post-effective amendment thereto has become effective under the Securities Act. The Company has complied to the Commission’s satisfaction with all requests of the Commission for additional or supplemental information. No stop order suspending the effectiveness of the Registration Statement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any post-effective amendment or any part thereof is in effect and no proceedings for such purpose have been instituted or are pending or, to the knowledge of the Company, are threatened by the Commission.</w:t>
      </w:r>
    </w:p>
    <w:p>
      <w:pPr>
        <w:spacing w:after="0" w:line="83" w:lineRule="exact"/>
        <w:rPr>
          <w:rFonts w:ascii="Times New Roman" w:cs="Times New Roman" w:eastAsia="Times New Roman" w:hAnsi="Times New Roman"/>
          <w:sz w:val="18"/>
          <w:szCs w:val="18"/>
          <w:color w:val="auto"/>
        </w:rPr>
      </w:pPr>
    </w:p>
    <w:p>
      <w:pPr>
        <w:ind w:firstLine="948"/>
        <w:spacing w:after="0" w:line="252" w:lineRule="auto"/>
        <w:tabs>
          <w:tab w:leader="none" w:pos="121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Accurate Disclosure</w:t>
      </w:r>
      <w:r>
        <w:rPr>
          <w:rFonts w:ascii="Times New Roman" w:cs="Times New Roman" w:eastAsia="Times New Roman" w:hAnsi="Times New Roman"/>
          <w:sz w:val="18"/>
          <w:szCs w:val="18"/>
          <w:color w:val="auto"/>
        </w:rPr>
        <w:t>. Each Preliminary Prospectus, at the time of filing thereof or the time of first use within the meaning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and Regulations, did not contain an untrue statement of a material fact or omit to state a material fact required to be stated therein or necessary to make the statements therein, in the light of the circumstances under which they were made, not misleading. Neither the Registration Statement nor any amendment thereto, at the effective time of each part thereof, at the First Closing Date (as defined below) or at the Second Closing Date (as defined below), contained, contains or will contain an untrue statement of a material fact or omitted, omits or will omit to state a material fact required to be stated therein or necessary to make the statements therein not misleading. As of the Time of Sale (as defined below), neither (A) the Time of Sale Disclosure Package (as defined below) nor (B) any issuer free writing prospectus (as defined below), when considered together with the Time of Sale Disclosure Package, included an untrue statement of a material fact or omitted to state a material fact necessary in order to make the statements therein, in light of the circumstances under which they were made, not misleading. Neither the Prospectus nor any supplement thereto, as of its issue date, at the time of any filing with the Commission pursuant to Rule 424(b) of the Rules and Regulations, at the First Closing Date or at the Second Closing, included, includes or will include an untrue statement of a material fact or omitted, omits or will omit to state a material fact necessary in order to make the statements therein, in light of the circumstances under which they were made, not misleading. The representations and warranties in this Section 2(a)(ii) shall not apply to statements in or omissions from any Preliminary Prospectus, the Registration Statement (or any amendment thereto), the Time of Sale Disclosure Package or the Prospectus (or any supplement thereto) made in reliance upon, and in conformity with, written information furnished to the Company by you, or by any Underwriter through you, specifically for use in the preparation of such document, it being understood and agreed that the only such information furnished by any Underwriter consists of the information described as such in Section 6(e).</w:t>
      </w:r>
    </w:p>
    <w:p>
      <w:pPr>
        <w:spacing w:after="0" w:line="12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0"/>
          </w:cols>
          <w:pgMar w:left="880" w:top="268" w:right="459" w:bottom="1440" w:gutter="0" w:footer="0" w:header="0"/>
        </w:sectPr>
      </w:pPr>
    </w:p>
    <w:bookmarkStart w:id="6" w:name="page7"/>
    <w:bookmarkEnd w:id="6"/>
    <w:p>
      <w:pPr>
        <w:ind w:right="40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reference to an “</w:t>
      </w:r>
      <w:r>
        <w:rPr>
          <w:rFonts w:ascii="Times New Roman" w:cs="Times New Roman" w:eastAsia="Times New Roman" w:hAnsi="Times New Roman"/>
          <w:sz w:val="18"/>
          <w:szCs w:val="18"/>
          <w:b w:val="1"/>
          <w:bCs w:val="1"/>
          <w:i w:val="1"/>
          <w:iCs w:val="1"/>
          <w:color w:val="auto"/>
        </w:rPr>
        <w:t>issuer free writing prospectus</w:t>
      </w:r>
      <w:r>
        <w:rPr>
          <w:rFonts w:ascii="Times New Roman" w:cs="Times New Roman" w:eastAsia="Times New Roman" w:hAnsi="Times New Roman"/>
          <w:sz w:val="18"/>
          <w:szCs w:val="18"/>
          <w:color w:val="auto"/>
        </w:rPr>
        <w:t>” herein means an issuer free writing prospectus as defined in Rule 433 of the Rules and Regulations.</w:t>
      </w:r>
    </w:p>
    <w:p>
      <w:pPr>
        <w:spacing w:after="0" w:line="4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Time of Sale Disclosure Package</w:t>
      </w:r>
      <w:r>
        <w:rPr>
          <w:rFonts w:ascii="Times New Roman" w:cs="Times New Roman" w:eastAsia="Times New Roman" w:hAnsi="Times New Roman"/>
          <w:sz w:val="18"/>
          <w:szCs w:val="18"/>
          <w:color w:val="auto"/>
        </w:rPr>
        <w:t>” means the Preliminary Prospectus dated February 24, 2021, any free writing prospectus set forth on Schedule II and the information on Schedule III, all considered together.</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reference to a “</w:t>
      </w:r>
      <w:r>
        <w:rPr>
          <w:rFonts w:ascii="Times New Roman" w:cs="Times New Roman" w:eastAsia="Times New Roman" w:hAnsi="Times New Roman"/>
          <w:sz w:val="18"/>
          <w:szCs w:val="18"/>
          <w:b w:val="1"/>
          <w:bCs w:val="1"/>
          <w:i w:val="1"/>
          <w:iCs w:val="1"/>
          <w:color w:val="auto"/>
        </w:rPr>
        <w:t>free writing prospectus</w:t>
      </w:r>
      <w:r>
        <w:rPr>
          <w:rFonts w:ascii="Times New Roman" w:cs="Times New Roman" w:eastAsia="Times New Roman" w:hAnsi="Times New Roman"/>
          <w:sz w:val="18"/>
          <w:szCs w:val="18"/>
          <w:color w:val="auto"/>
        </w:rPr>
        <w:t>” herein means a free writing prospectus as defined in Rule 405 of the Rules and Regulations.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Time of Sale</w:t>
      </w:r>
      <w:r>
        <w:rPr>
          <w:rFonts w:ascii="Times New Roman" w:cs="Times New Roman" w:eastAsia="Times New Roman" w:hAnsi="Times New Roman"/>
          <w:sz w:val="18"/>
          <w:szCs w:val="18"/>
          <w:color w:val="auto"/>
        </w:rPr>
        <w:t>” means 7:30 p.m. (Eastern time) on the date of this Agreement.</w:t>
      </w:r>
    </w:p>
    <w:p>
      <w:pPr>
        <w:spacing w:after="0" w:line="119" w:lineRule="exact"/>
        <w:rPr>
          <w:sz w:val="20"/>
          <w:szCs w:val="20"/>
          <w:color w:val="auto"/>
        </w:rPr>
      </w:pPr>
    </w:p>
    <w:p>
      <w:pPr>
        <w:ind w:right="100" w:firstLine="948"/>
        <w:spacing w:after="0" w:line="258" w:lineRule="auto"/>
        <w:tabs>
          <w:tab w:leader="none" w:pos="126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Issuer Free Writing Prospectuses</w:t>
      </w:r>
      <w:r>
        <w:rPr>
          <w:rFonts w:ascii="Times New Roman" w:cs="Times New Roman" w:eastAsia="Times New Roman" w:hAnsi="Times New Roman"/>
          <w:sz w:val="18"/>
          <w:szCs w:val="18"/>
          <w:color w:val="auto"/>
        </w:rPr>
        <w:t>. (A) Each Issuer Free Writing Prospectus does not include any information that conflicts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information contained in the Registration Statement, any Preliminary Prospectus or the Prospectus. The foregoing sentence does not apply to statements in or omissions from any Issuer Free Writing Prospectus based upon and in conformity with written information furnished to the Company by you or by any Underwriter through you specifically for use therein; it being understood and agreed that the only such information furnished by any Underwriter consists of the information described as such in Section 6(e).</w:t>
      </w:r>
    </w:p>
    <w:p>
      <w:pPr>
        <w:spacing w:after="0" w:line="77" w:lineRule="exact"/>
        <w:rPr>
          <w:sz w:val="20"/>
          <w:szCs w:val="20"/>
          <w:color w:val="auto"/>
        </w:rPr>
      </w:pPr>
    </w:p>
    <w:p>
      <w:pPr>
        <w:ind w:right="40" w:firstLine="948"/>
        <w:spacing w:after="0" w:line="255" w:lineRule="auto"/>
        <w:tabs>
          <w:tab w:leader="none" w:pos="123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At the earliest time after the filing of the Registration Statement that the Company or another offering participant made a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 (within the meaning of Rule 164(h)(2) under the Securities Act) of the Securities and (2) at the date hereof, the Company was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not and will not be (as applicable) an “ineligible issuer,” as defined in Rule 405 under the Securities Act, including the Company or any subsidiary in the preceding three years not having been convicted of a felony or misdemeanor or having been made the subject of a judicial or administrative decree or order as described in Rule 405 of the Rules and Regulations (without taking account of any determination by the Commission pursuant to Rule 405 of the Rules and Regulations that it is not necessary that the Company be considered an ineligible issuer), nor an “excluded issuer” as defined in Rule 164 under the Securities Act.</w:t>
      </w:r>
    </w:p>
    <w:p>
      <w:pPr>
        <w:spacing w:after="0" w:line="80" w:lineRule="exact"/>
        <w:rPr>
          <w:rFonts w:ascii="Times New Roman" w:cs="Times New Roman" w:eastAsia="Times New Roman" w:hAnsi="Times New Roman"/>
          <w:sz w:val="18"/>
          <w:szCs w:val="18"/>
          <w:color w:val="auto"/>
        </w:rPr>
      </w:pPr>
    </w:p>
    <w:p>
      <w:pPr>
        <w:ind w:right="540" w:firstLine="948"/>
        <w:spacing w:after="0" w:line="282" w:lineRule="auto"/>
        <w:tabs>
          <w:tab w:leader="none" w:pos="123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Issuer Free Writing Prospectus satisfied, as of its issue date and at all subsequent times to the Time of Sale, all other conditions to use thereof as set forth in Rules 164 and 433 under the Securities Act.</w:t>
      </w:r>
    </w:p>
    <w:p>
      <w:pPr>
        <w:spacing w:after="0" w:line="51" w:lineRule="exact"/>
        <w:rPr>
          <w:rFonts w:ascii="Times New Roman" w:cs="Times New Roman" w:eastAsia="Times New Roman" w:hAnsi="Times New Roman"/>
          <w:sz w:val="18"/>
          <w:szCs w:val="18"/>
          <w:color w:val="auto"/>
        </w:rPr>
      </w:pPr>
    </w:p>
    <w:p>
      <w:pPr>
        <w:ind w:right="20" w:firstLine="419"/>
        <w:spacing w:after="0" w:line="261" w:lineRule="auto"/>
        <w:tabs>
          <w:tab w:leader="none" w:pos="7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Emerging Growth Company</w:t>
      </w:r>
      <w:r>
        <w:rPr>
          <w:rFonts w:ascii="Times New Roman" w:cs="Times New Roman" w:eastAsia="Times New Roman" w:hAnsi="Times New Roman"/>
          <w:sz w:val="18"/>
          <w:szCs w:val="18"/>
          <w:color w:val="auto"/>
        </w:rPr>
        <w:t>. From the time of initial filing or initial confidential submission of the Registration Statement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 (or, if earlier, the first date on which the Company engaged directly or through any person authorized to act on its behalf in any Testing-the-Waters Communication (as defined below)) through the date hereof, the Company has been and is an “emerging growth company,” as defined in Section 2(a) of the Act (an “</w:t>
      </w:r>
      <w:r>
        <w:rPr>
          <w:rFonts w:ascii="Times New Roman" w:cs="Times New Roman" w:eastAsia="Times New Roman" w:hAnsi="Times New Roman"/>
          <w:sz w:val="18"/>
          <w:szCs w:val="18"/>
          <w:b w:val="1"/>
          <w:bCs w:val="1"/>
          <w:i w:val="1"/>
          <w:iCs w:val="1"/>
          <w:color w:val="auto"/>
        </w:rPr>
        <w:t>Emerging Growth Company</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20"/>
          </w:cols>
          <w:pgMar w:left="880" w:top="266" w:right="499" w:bottom="1440" w:gutter="0" w:footer="0" w:header="0"/>
        </w:sectPr>
      </w:pPr>
    </w:p>
    <w:bookmarkStart w:id="7" w:name="page8"/>
    <w:bookmarkEnd w:id="7"/>
    <w:p>
      <w:pPr>
        <w:ind w:firstLine="948"/>
        <w:spacing w:after="0" w:line="253" w:lineRule="auto"/>
        <w:tabs>
          <w:tab w:leader="none" w:pos="120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Testing-the-Waters Materials</w:t>
      </w:r>
      <w:r>
        <w:rPr>
          <w:rFonts w:ascii="Times New Roman" w:cs="Times New Roman" w:eastAsia="Times New Roman" w:hAnsi="Times New Roman"/>
          <w:sz w:val="18"/>
          <w:szCs w:val="18"/>
          <w:color w:val="auto"/>
        </w:rPr>
        <w:t>. The Company (i) has not alone engaged in any Testing-the-Waters Communications, 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Testing-the-Waters Communications with the prior consent of the Representatives with entities that are qualified institutional buyers within the meaning of Rule 144A under the Act or institutions that are accredited investors within the meaning of Rule 501 under the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 (as defined below) other than those listed on Schedule V hereto. “</w:t>
      </w:r>
      <w:r>
        <w:rPr>
          <w:rFonts w:ascii="Times New Roman" w:cs="Times New Roman" w:eastAsia="Times New Roman" w:hAnsi="Times New Roman"/>
          <w:sz w:val="18"/>
          <w:szCs w:val="18"/>
          <w:b w:val="1"/>
          <w:bCs w:val="1"/>
          <w:i w:val="1"/>
          <w:iCs w:val="1"/>
          <w:color w:val="auto"/>
        </w:rPr>
        <w:t>Testing-the-Waters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Communication</w:t>
      </w:r>
      <w:r>
        <w:rPr>
          <w:rFonts w:ascii="Times New Roman" w:cs="Times New Roman" w:eastAsia="Times New Roman" w:hAnsi="Times New Roman"/>
          <w:sz w:val="18"/>
          <w:szCs w:val="18"/>
          <w:color w:val="auto"/>
        </w:rPr>
        <w:t>” means any oral or written communication with potential investors undertaken in reliance on either Section 5(d) of, or Rule 163B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Act. “</w:t>
      </w:r>
      <w:r>
        <w:rPr>
          <w:rFonts w:ascii="Times New Roman" w:cs="Times New Roman" w:eastAsia="Times New Roman" w:hAnsi="Times New Roman"/>
          <w:sz w:val="18"/>
          <w:szCs w:val="18"/>
          <w:b w:val="1"/>
          <w:bCs w:val="1"/>
          <w:i w:val="1"/>
          <w:iCs w:val="1"/>
          <w:color w:val="auto"/>
        </w:rPr>
        <w:t>Written Testing-the-Waters Communication</w:t>
      </w:r>
      <w:r>
        <w:rPr>
          <w:rFonts w:ascii="Times New Roman" w:cs="Times New Roman" w:eastAsia="Times New Roman" w:hAnsi="Times New Roman"/>
          <w:sz w:val="18"/>
          <w:szCs w:val="18"/>
          <w:color w:val="auto"/>
        </w:rPr>
        <w:t>” means any Testing-the-Waters Communication that is a written communication within the meaning of Rule 405 under the Act. Any individual Written Testing-the-Waters Communication does not conflict with the information contained in the Registration Statement or the Time of Sale Disclosure Package, complied in all material respects with the Act, and when taken together with the Time of Sale Disclosure Package as of the Applicable Time, did not contain any untrue statement of a material fact or omit to state a material fact necessary in order to make the statements therein, in the light of the circumstances under which they were made, not misleading.</w:t>
      </w:r>
    </w:p>
    <w:p>
      <w:pPr>
        <w:spacing w:after="0" w:line="79" w:lineRule="exact"/>
        <w:rPr>
          <w:rFonts w:ascii="Times New Roman" w:cs="Times New Roman" w:eastAsia="Times New Roman" w:hAnsi="Times New Roman"/>
          <w:sz w:val="18"/>
          <w:szCs w:val="18"/>
          <w:color w:val="auto"/>
        </w:rPr>
      </w:pPr>
    </w:p>
    <w:p>
      <w:pPr>
        <w:ind w:right="120" w:firstLine="948"/>
        <w:spacing w:after="0" w:line="256" w:lineRule="auto"/>
        <w:tabs>
          <w:tab w:leader="none" w:pos="12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Other Offering Materials</w:t>
      </w:r>
      <w:r>
        <w:rPr>
          <w:rFonts w:ascii="Times New Roman" w:cs="Times New Roman" w:eastAsia="Times New Roman" w:hAnsi="Times New Roman"/>
          <w:sz w:val="18"/>
          <w:szCs w:val="18"/>
          <w:color w:val="auto"/>
        </w:rPr>
        <w:t>. The Company has not distributed and will not distribute any prospectus or other offering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connection with the offering and sale of the Securities other than any Preliminary Prospectus, the Time of Sale Disclosure Package or the Prospectus or other materials permitted by the Act to be distributed by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except as set forth on Schedule III, the Company has not made and will not make any offer relating to the Securities that would constitute a free writing prospectus, except in accordance with the provisions of Section 4(a)(xv) of this Agreement and, except as set forth on Schedule V, the Company has not made and will not make any communication relating to the Securities that would constitute a Testing-the-Waters Communication, except in accordance with the provisions of Section 2(a)(iv) of this Agreement.</w:t>
      </w:r>
    </w:p>
    <w:p>
      <w:pPr>
        <w:spacing w:after="0" w:line="74" w:lineRule="exact"/>
        <w:rPr>
          <w:rFonts w:ascii="Times New Roman" w:cs="Times New Roman" w:eastAsia="Times New Roman" w:hAnsi="Times New Roman"/>
          <w:sz w:val="18"/>
          <w:szCs w:val="18"/>
          <w:color w:val="auto"/>
        </w:rPr>
      </w:pPr>
    </w:p>
    <w:p>
      <w:pPr>
        <w:ind w:right="40" w:firstLine="948"/>
        <w:spacing w:after="0" w:line="254" w:lineRule="auto"/>
        <w:tabs>
          <w:tab w:leader="none" w:pos="130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Financial Statements</w:t>
      </w:r>
      <w:r>
        <w:rPr>
          <w:rFonts w:ascii="Times New Roman" w:cs="Times New Roman" w:eastAsia="Times New Roman" w:hAnsi="Times New Roman"/>
          <w:sz w:val="18"/>
          <w:szCs w:val="18"/>
          <w:color w:val="auto"/>
        </w:rPr>
        <w:t>. The financial statements of the Company, together with the related notes, set forth or incorporated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in the Registration Statement, the Time of Sale Disclosure Package and the Prospectus comply in all material respects with the requirements of the Securities Act and the Exchange Act and fairly present the financial condition of the Company and its consolidated subsidiaries as of the dates indicated and the results of operations and changes in cash flows for the periods therein specified in conformity with generally accepted accounting principles in the United States consistently applied throughout the periods involved; the supporting schedules included in the Registration Statement present fairly the information required to be stated therein; all non-GAAP financial information included in the Registration Statement, the Time of Sale Disclosure Package and the Prospectus complies with the requirements of Regulation G and Item 10 of Regulation S-K under the Act; and, except as disclosed in the Time of Sale Disclosure Package and the Prospectus, there are no material off-balance sheet arrangements</w:t>
      </w:r>
    </w:p>
    <w:p>
      <w:pPr>
        <w:spacing w:after="0" w:line="1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68" w:right="459" w:bottom="1440" w:gutter="0" w:footer="0" w:header="0"/>
        </w:sectPr>
      </w:pPr>
    </w:p>
    <w:bookmarkStart w:id="8" w:name="page9"/>
    <w:bookmarkEnd w:id="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defined in Regulation S-K under the Act, Item 303(a)(4)(ii)) or any other relationships with unconsolidated entities or other persons, that may have a material current or, to the Company’s knowledge, material future effect on the Company’s financial condition, results of operations, liquidity, capital expenditures, capital resources or significant components of revenue or expenses. No other financial statements or schedules are required to be included in the Registration Statement, the Time of Sale Disclosure Package or the Prospectus. To the Company’s knowledge, Grant Thornton LLP, which has expressed its opinion with respect to the financial statements and schedules filed as a part of the Registration Statement and included in the Registration Statement, the Time of Sale Disclosure Package and the Prospectus, is (x) an independent public accounting firm within the meaning of the Act and the Rules and Regulations, (y) a registered public accounting firm (as defined in Section 2(a)(12) of the Sarbanes-Oxley Act of 2002 (the “</w:t>
      </w:r>
      <w:r>
        <w:rPr>
          <w:rFonts w:ascii="Times New Roman" w:cs="Times New Roman" w:eastAsia="Times New Roman" w:hAnsi="Times New Roman"/>
          <w:sz w:val="18"/>
          <w:szCs w:val="18"/>
          <w:b w:val="1"/>
          <w:bCs w:val="1"/>
          <w:i w:val="1"/>
          <w:iCs w:val="1"/>
          <w:color w:val="auto"/>
        </w:rPr>
        <w:t>Sarbanes-Oxley Act</w:t>
      </w:r>
      <w:r>
        <w:rPr>
          <w:rFonts w:ascii="Times New Roman" w:cs="Times New Roman" w:eastAsia="Times New Roman" w:hAnsi="Times New Roman"/>
          <w:sz w:val="18"/>
          <w:szCs w:val="18"/>
          <w:color w:val="auto"/>
        </w:rPr>
        <w:t>”)) and (z) not in violation of the auditor independence requirements of the Sarbanes-Oxley Act.</w:t>
      </w:r>
    </w:p>
    <w:p>
      <w:pPr>
        <w:spacing w:after="0" w:line="78" w:lineRule="exact"/>
        <w:rPr>
          <w:sz w:val="20"/>
          <w:szCs w:val="20"/>
          <w:color w:val="auto"/>
        </w:rPr>
      </w:pPr>
    </w:p>
    <w:p>
      <w:pPr>
        <w:ind w:right="20" w:firstLine="948"/>
        <w:spacing w:after="0" w:line="253" w:lineRule="auto"/>
        <w:tabs>
          <w:tab w:leader="none" w:pos="13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Absence of Certain Events</w:t>
      </w:r>
      <w:r>
        <w:rPr>
          <w:rFonts w:ascii="Times New Roman" w:cs="Times New Roman" w:eastAsia="Times New Roman" w:hAnsi="Times New Roman"/>
          <w:sz w:val="18"/>
          <w:szCs w:val="18"/>
          <w:color w:val="auto"/>
        </w:rPr>
        <w:t>. Except as contemplated in the Time of Sale Disclosure Package and in the Prospectus, subsequent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respective dates as of which information is given in the Time of Sale Disclosure Package, neither the Company nor any of its subsidiaries has incurred any material liabilities or obligations, direct or contingent, or entered into any material transactions, or declared or paid any dividends or made any distribution of any kind with respect to its capital stock; and there has not been any change in the capital stock (other than a change in the number of outstanding shares of Common Stock due to the issuance of shares upon the exercise of outstanding options or warrants or conversion of convertible securities), or any material change in the short-term or long-term debt (other than as a result of the conversion of convertible securities), or any issuance of options, warrants, convertible securities or other rights to purchase the capital stock, of the Company or any of its subsidiaries, or any Material Adverse Effect. “</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shall mean any material adverse change or effect, or any development involving a prospective material adverse change or effect, in or affecting (i) the business, earnings, assets, liabilities, prospects, properties, condition (financial or otherwise), operations, general affairs, management, financial position, stockholders’ equity or results of operations of the Company and its subsidiaries, taken as a whole or (ii) the ability of the Company to perform its obligations under this Agreement, including the issuance and sale of the Securities, or to consummate the transactions contemplated in the Time of Sale Disclosure Package and the Prospectus.</w:t>
      </w:r>
    </w:p>
    <w:p>
      <w:pPr>
        <w:spacing w:after="0" w:line="79" w:lineRule="exact"/>
        <w:rPr>
          <w:rFonts w:ascii="Times New Roman" w:cs="Times New Roman" w:eastAsia="Times New Roman" w:hAnsi="Times New Roman"/>
          <w:sz w:val="18"/>
          <w:szCs w:val="18"/>
          <w:color w:val="auto"/>
        </w:rPr>
      </w:pPr>
    </w:p>
    <w:p>
      <w:pPr>
        <w:jc w:val="both"/>
        <w:ind w:right="100" w:firstLine="948"/>
        <w:spacing w:after="0" w:line="257" w:lineRule="auto"/>
        <w:tabs>
          <w:tab w:leader="none" w:pos="12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Organization and Good Standing</w:t>
      </w:r>
      <w:r>
        <w:rPr>
          <w:rFonts w:ascii="Times New Roman" w:cs="Times New Roman" w:eastAsia="Times New Roman" w:hAnsi="Times New Roman"/>
          <w:sz w:val="18"/>
          <w:szCs w:val="18"/>
          <w:color w:val="auto"/>
        </w:rPr>
        <w:t>. Each of the Company and its subsidiaries has been duly organized and is validly existing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in good standing under the laws of its jurisdiction of organization. Each of the Company and its subsidiaries has full corporate power and authority to own its properties and conduct its business as currently being carried on and as described in the Registration Statement, the Time of Sale Disclosure Package and the Prospectus, and is duly qualified to do business as a foreign corporation in good standing in each jurisdiction in which it owns or leases real property or in which the conduct of its business makes such qualification necessary and in which the failure to so qualify would, individually or in the aggregate, result in a Material Adverse Effect.</w:t>
      </w:r>
    </w:p>
    <w:p>
      <w:pPr>
        <w:spacing w:after="0" w:line="11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70" w:right="459" w:bottom="1440" w:gutter="0" w:footer="0" w:header="0"/>
        </w:sectPr>
      </w:pPr>
    </w:p>
    <w:bookmarkStart w:id="9" w:name="page10"/>
    <w:bookmarkEnd w:id="9"/>
    <w:p>
      <w:pPr>
        <w:ind w:firstLine="948"/>
        <w:spacing w:after="0" w:line="254" w:lineRule="auto"/>
        <w:tabs>
          <w:tab w:leader="none" w:pos="120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Absence of Proceedings</w:t>
      </w:r>
      <w:r>
        <w:rPr>
          <w:rFonts w:ascii="Times New Roman" w:cs="Times New Roman" w:eastAsia="Times New Roman" w:hAnsi="Times New Roman"/>
          <w:sz w:val="18"/>
          <w:szCs w:val="18"/>
          <w:color w:val="auto"/>
        </w:rPr>
        <w:t>. Except as set forth in the Time of Sale Disclosure Package and in the Prospectus, there is not pending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knowledge of the Company, threatened or contemplated, any action, suit or proceeding (a) to which the Company or any of its subsidiaries is a party or (b) which has as the subject thereof any officer or director of the Company or any subsidiary, any employee benefit plan sponsored by the Company or any subsidiary or any property or assets owned or leased by the Company or any subsidiary before or by any court or Governmental Authority (as defined below), or any arbitrator, which, individually or in the aggregate, might result in any Material Adverse Effect or which are otherwise material in the context of the sale of the Securities. There are no current or, to the knowledge of the Company, pending, legal, governmental or regulatory actions, suits or proceedings (x) to which the Company or any of its subsidiaries is subject or (y) which has as the subject thereof any officer or director of the Company or any subsidiary, any employee plan sponsored by the Company or any subsidiary or any property or assets owned or leased by the Company or any subsidiary, that are required to be described in the Registration Statement, Time of Sale Disclosure Package and Prospectus by the Act or by the Rules and Regulations and that have not been so described.</w:t>
      </w:r>
    </w:p>
    <w:p>
      <w:pPr>
        <w:spacing w:after="0" w:line="77" w:lineRule="exact"/>
        <w:rPr>
          <w:rFonts w:ascii="Times New Roman" w:cs="Times New Roman" w:eastAsia="Times New Roman" w:hAnsi="Times New Roman"/>
          <w:sz w:val="18"/>
          <w:szCs w:val="18"/>
          <w:color w:val="auto"/>
        </w:rPr>
      </w:pPr>
    </w:p>
    <w:p>
      <w:pPr>
        <w:ind w:right="260" w:firstLine="948"/>
        <w:spacing w:after="0" w:line="267" w:lineRule="auto"/>
        <w:tabs>
          <w:tab w:leader="none" w:pos="12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Disclosure of Legal Matters</w:t>
      </w:r>
      <w:r>
        <w:rPr>
          <w:rFonts w:ascii="Times New Roman" w:cs="Times New Roman" w:eastAsia="Times New Roman" w:hAnsi="Times New Roman"/>
          <w:sz w:val="18"/>
          <w:szCs w:val="18"/>
          <w:color w:val="auto"/>
        </w:rPr>
        <w:t>. There are no statutes, regulations, contracts or documents that are required to be described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in the Time of Sale Disclosure Package and in the Prospectus or required to be filed as exhibits to the Registration Statement by the Securities Act or by the Rules and Regulations that have not been so described or filed.</w:t>
      </w:r>
    </w:p>
    <w:p>
      <w:pPr>
        <w:spacing w:after="0" w:line="65" w:lineRule="exact"/>
        <w:rPr>
          <w:rFonts w:ascii="Times New Roman" w:cs="Times New Roman" w:eastAsia="Times New Roman" w:hAnsi="Times New Roman"/>
          <w:sz w:val="18"/>
          <w:szCs w:val="18"/>
          <w:color w:val="auto"/>
        </w:rPr>
      </w:pPr>
    </w:p>
    <w:p>
      <w:pPr>
        <w:ind w:right="40" w:firstLine="948"/>
        <w:spacing w:after="0" w:line="268" w:lineRule="auto"/>
        <w:tabs>
          <w:tab w:leader="none" w:pos="130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Authorization; No Conflicts; Authority</w:t>
      </w:r>
      <w:r>
        <w:rPr>
          <w:rFonts w:ascii="Times New Roman" w:cs="Times New Roman" w:eastAsia="Times New Roman" w:hAnsi="Times New Roman"/>
          <w:sz w:val="17"/>
          <w:szCs w:val="17"/>
          <w:color w:val="auto"/>
        </w:rPr>
        <w:t>. This Agreement has been duly authorized, executed and delivered by the Company,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constitutes a valid, legal and binding obligation of the Company, enforceable in accordance with its terms, except as rights to indemnity hereunder may be limited by federal or state securities laws and except as such enforceability may be limited by bankruptcy, insolvency, reorganization or similar laws affecting the rights of creditors generally and subject to general principles of equity. The execution, delivery and performance of this Agreement and the consummation of the transactions herein contemplated will not (A)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(B) result in any violation of the provisions of the Company’s charter or by-laws or (C) result in the violation of any law or statute or any judgment, order, rule, regulation or decree of any court or arbitrator or federal, state, local or foreign governmental agency or regulatory authority having jurisdiction over the Company or any of its subsidiaries or any of their properties or assets (each, a “</w:t>
      </w:r>
      <w:r>
        <w:rPr>
          <w:rFonts w:ascii="Times New Roman" w:cs="Times New Roman" w:eastAsia="Times New Roman" w:hAnsi="Times New Roman"/>
          <w:sz w:val="17"/>
          <w:szCs w:val="17"/>
          <w:b w:val="1"/>
          <w:bCs w:val="1"/>
          <w:i w:val="1"/>
          <w:iCs w:val="1"/>
          <w:color w:val="auto"/>
        </w:rPr>
        <w:t>Governmental Authority</w:t>
      </w:r>
      <w:r>
        <w:rPr>
          <w:rFonts w:ascii="Times New Roman" w:cs="Times New Roman" w:eastAsia="Times New Roman" w:hAnsi="Times New Roman"/>
          <w:sz w:val="17"/>
          <w:szCs w:val="17"/>
          <w:color w:val="auto"/>
        </w:rPr>
        <w:t>”), except in the case of clause (A) as would not result in a Material Adverse Effect. No consent, approval, authorization or order of, or registration or filing with any Governmental Authority is required for the execution, delivery and performance of this Agreement or for the consummation of the transactions contemplated hereby, including the issuance or sale of the Securities by the Company, except such as may be required under the Act , the rules of the Financial Industry Regulatory Authority (“</w:t>
      </w:r>
      <w:r>
        <w:rPr>
          <w:rFonts w:ascii="Times New Roman" w:cs="Times New Roman" w:eastAsia="Times New Roman" w:hAnsi="Times New Roman"/>
          <w:sz w:val="17"/>
          <w:szCs w:val="17"/>
          <w:b w:val="1"/>
          <w:bCs w:val="1"/>
          <w:i w:val="1"/>
          <w:iCs w:val="1"/>
          <w:color w:val="auto"/>
        </w:rPr>
        <w:t>FINRA</w:t>
      </w:r>
      <w:r>
        <w:rPr>
          <w:rFonts w:ascii="Times New Roman" w:cs="Times New Roman" w:eastAsia="Times New Roman" w:hAnsi="Times New Roman"/>
          <w:sz w:val="17"/>
          <w:szCs w:val="17"/>
          <w:color w:val="auto"/>
        </w:rPr>
        <w:t>”) or state securities or blue sky laws; and the Company has full power and authority to enter into this Agreement and to consummate the transactions contemplated hereby, including the authorization, issuance and sale of the Securities as contemplated by this Agreement.</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68" w:right="459" w:bottom="1440" w:gutter="0" w:footer="0" w:header="0"/>
        </w:sectPr>
      </w:pPr>
    </w:p>
    <w:bookmarkStart w:id="10" w:name="page11"/>
    <w:bookmarkEnd w:id="10"/>
    <w:p>
      <w:pPr>
        <w:ind w:firstLine="948"/>
        <w:spacing w:after="0" w:line="252" w:lineRule="auto"/>
        <w:tabs>
          <w:tab w:leader="none" w:pos="13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Capitalization; the Securities; Registration Rights</w:t>
      </w:r>
      <w:r>
        <w:rPr>
          <w:rFonts w:ascii="Times New Roman" w:cs="Times New Roman" w:eastAsia="Times New Roman" w:hAnsi="Times New Roman"/>
          <w:sz w:val="18"/>
          <w:szCs w:val="18"/>
          <w:color w:val="auto"/>
        </w:rPr>
        <w:t>. All of the issued and outstanding shares of capital stock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outstanding shares of Common Stock, is duly authorized and validly issued, fully paid and nonassessable, have been issued in compliance with all federal and state and foreign securities laws, were not issued in violation of or subject to any preemptive rights or other rights to subscribe for or purchase securities that have not been waived in writing (a copy of which has been delivered to counsel to the Representatives), and the holders thereof are not subject to personal liability by reason of being such holders; the Securities which may be sold hereunder by the Company have been duly authorized and, when issued, delivered and paid for in accordance with the terms of this Agreement, will have been validly issued and will be fully paid and nonassessable, and the holders thereof will not be subject to personal liability by reason of being such holders; and the capital stock of the Company, including the Common Stock, conforms to the description thereof in the Registration Statement, in the Time of Sale Disclosure Package and in the Prospectus. Except as otherwise stated in the Registration Statement, in the Time of Sale Disclosure Package and in the Prospectus, (A) there are no preemptive rights or other rights to subscribe for or to purchase, or any restriction upon the voting or transfer of, any shares of Common Stock pursuant to the Company’s charter, by-laws or any agreement or other instrument to which the Company or any of its subsidiaries is a party or by which the Company or any of its subsidiaries is bound; (B) neither the filing of the Registration Statement nor the offering or sale of the Securities as contemplated by this Agreement gives rise to any rights for or relating to the registration of any shares of Common Stock or other securities of the Company (collectively, “</w:t>
      </w:r>
      <w:r>
        <w:rPr>
          <w:rFonts w:ascii="Times New Roman" w:cs="Times New Roman" w:eastAsia="Times New Roman" w:hAnsi="Times New Roman"/>
          <w:sz w:val="18"/>
          <w:szCs w:val="18"/>
          <w:b w:val="1"/>
          <w:bCs w:val="1"/>
          <w:i w:val="1"/>
          <w:iCs w:val="1"/>
          <w:color w:val="auto"/>
        </w:rPr>
        <w:t>Registration Rights</w:t>
      </w:r>
      <w:r>
        <w:rPr>
          <w:rFonts w:ascii="Times New Roman" w:cs="Times New Roman" w:eastAsia="Times New Roman" w:hAnsi="Times New Roman"/>
          <w:sz w:val="18"/>
          <w:szCs w:val="18"/>
          <w:color w:val="auto"/>
        </w:rPr>
        <w:t>”) and (C) any person to whom the Company has granted Registration Rights has agreed not to exercise such rights until after expiration of the Lock-Up Period (as defined below). All of the issued and outstanding shares of capital stock of each of the Company’s subsidiaries have been duly and validly authorized and issued and are fully paid and nonassessable, and, except as otherwise described in the Registration Statement, in the Time of Sale Disclosure Package and in the Prospectus, the Company owns of record and beneficially, free and clear of any security interests, claims, liens, proxies, equities or other encumbrances, all of the issued and outstanding shares of such stock. The Company has an authorized and outstanding capitalization as set forth in the Registration Statement, in the Time of Sale Disclosure Package and in the Prospectus under the caption “Capitalization.” The Common Stock (including the Securities) conforms in all material respects to the description thereof contained in the Time of Sale Disclosure Package and the Prospectus.</w:t>
      </w:r>
    </w:p>
    <w:p>
      <w:pPr>
        <w:spacing w:after="0" w:line="78" w:lineRule="exact"/>
        <w:rPr>
          <w:rFonts w:ascii="Times New Roman" w:cs="Times New Roman" w:eastAsia="Times New Roman" w:hAnsi="Times New Roman"/>
          <w:sz w:val="18"/>
          <w:szCs w:val="18"/>
          <w:color w:val="auto"/>
        </w:rPr>
      </w:pPr>
    </w:p>
    <w:p>
      <w:pPr>
        <w:jc w:val="both"/>
        <w:ind w:firstLine="948"/>
        <w:spacing w:after="0" w:line="261" w:lineRule="auto"/>
        <w:tabs>
          <w:tab w:leader="none" w:pos="13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Stock Options</w:t>
      </w:r>
      <w:r>
        <w:rPr>
          <w:rFonts w:ascii="Times New Roman" w:cs="Times New Roman" w:eastAsia="Times New Roman" w:hAnsi="Times New Roman"/>
          <w:sz w:val="18"/>
          <w:szCs w:val="18"/>
          <w:color w:val="auto"/>
        </w:rPr>
        <w:t>. Except as described in the Registration Statement, in the Time of Sale Disclosure Package and in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are no options, warrants, agreements, contracts or other rights in existence to purchase or acquire from the Company or any subsidiary of the Company any shares of the capital stock of the Company or any subsidiary of the Company. The description of the Company’s stock option, stock bonus and other stock plans or arrangements (the “</w:t>
      </w:r>
      <w:r>
        <w:rPr>
          <w:rFonts w:ascii="Times New Roman" w:cs="Times New Roman" w:eastAsia="Times New Roman" w:hAnsi="Times New Roman"/>
          <w:sz w:val="18"/>
          <w:szCs w:val="18"/>
          <w:b w:val="1"/>
          <w:bCs w:val="1"/>
          <w:i w:val="1"/>
          <w:iCs w:val="1"/>
          <w:color w:val="auto"/>
        </w:rPr>
        <w:t>Company Stock Plans</w:t>
      </w:r>
      <w:r>
        <w:rPr>
          <w:rFonts w:ascii="Times New Roman" w:cs="Times New Roman" w:eastAsia="Times New Roman" w:hAnsi="Times New Roman"/>
          <w:sz w:val="18"/>
          <w:szCs w:val="18"/>
          <w:color w:val="auto"/>
        </w:rPr>
        <w:t>”), and the options</w:t>
      </w:r>
    </w:p>
    <w:p>
      <w:pPr>
        <w:spacing w:after="0" w:line="1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68" w:right="459" w:bottom="1440" w:gutter="0" w:footer="0" w:header="0"/>
        </w:sectPr>
      </w:pPr>
    </w:p>
    <w:bookmarkStart w:id="11" w:name="page12"/>
    <w:bookmarkEnd w:id="11"/>
    <w:p>
      <w:pPr>
        <w:ind w:left="444"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w:t>
      </w: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or other rights granted thereunder, set forth in the Time of Sale Disclosure Package and the Prospectus accurately and fairly presents the information required to be shown with respect to such plans, arrangements, options and rights. Each grant of an Option (A) was duly authorized no later than the date on which the grant of such Option was by its terms to be effective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and (B) was made in accordance with the terms of the applicable Company Stock Plan, and all applicable laws and regulatory rules or requirements, including all applicable federal securities laws.</w:t>
      </w:r>
    </w:p>
    <w:p>
      <w:pPr>
        <w:spacing w:after="0" w:line="77" w:lineRule="exact"/>
        <w:rPr>
          <w:sz w:val="20"/>
          <w:szCs w:val="20"/>
          <w:color w:val="auto"/>
        </w:rPr>
      </w:pPr>
    </w:p>
    <w:p>
      <w:pPr>
        <w:ind w:left="444" w:right="40" w:firstLine="948"/>
        <w:spacing w:after="0" w:line="255" w:lineRule="auto"/>
        <w:tabs>
          <w:tab w:leader="none" w:pos="17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Compliance with Laws</w:t>
      </w:r>
      <w:r>
        <w:rPr>
          <w:rFonts w:ascii="Times New Roman" w:cs="Times New Roman" w:eastAsia="Times New Roman" w:hAnsi="Times New Roman"/>
          <w:sz w:val="18"/>
          <w:szCs w:val="18"/>
          <w:color w:val="auto"/>
        </w:rPr>
        <w:t>. The Company and each of its subsidiaries holds, and is operating in compliance in all material respects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all franchises, grants, authorizations, licenses, permits, easements, consents, certificates and orders of any Governmental Authority or self-regulatory body required for the conduct of its business and all such franchises, grants, authorizations, licenses, permits, easements, consents, certifications and orders are valid and in full force and effect; and neither the Company nor any of its subsidiaries has received notice of any revocation or modification of any such franchise, grant, authorization, license, permit, easement, consent, certification or order or has reason to believe that any such franchise, grant, authorization, license, permit, easement, consent, certification or order will not be renewed in the ordinary course; and the Company and each of its subsidiaries is in compliance in all material respects with all applicable federal, state, local and foreign laws, regulations, orders and decrees.</w:t>
      </w:r>
    </w:p>
    <w:p>
      <w:pPr>
        <w:spacing w:after="0" w:line="76" w:lineRule="exact"/>
        <w:rPr>
          <w:rFonts w:ascii="Times New Roman" w:cs="Times New Roman" w:eastAsia="Times New Roman" w:hAnsi="Times New Roman"/>
          <w:sz w:val="18"/>
          <w:szCs w:val="18"/>
          <w:color w:val="auto"/>
        </w:rPr>
      </w:pPr>
    </w:p>
    <w:p>
      <w:pPr>
        <w:ind w:left="444" w:firstLine="948"/>
        <w:spacing w:after="0" w:line="257" w:lineRule="auto"/>
        <w:tabs>
          <w:tab w:leader="none" w:pos="179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Ownership of Assets</w:t>
      </w:r>
      <w:r>
        <w:rPr>
          <w:rFonts w:ascii="Times New Roman" w:cs="Times New Roman" w:eastAsia="Times New Roman" w:hAnsi="Times New Roman"/>
          <w:sz w:val="18"/>
          <w:szCs w:val="18"/>
          <w:color w:val="auto"/>
        </w:rPr>
        <w:t>. The Company and its subsidiaries have good and marketable title to all property (whether real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personal) described in the Registration Statement, in the Time of Sale Disclosure Package and in the Prospectus as being owned by them, in each case free and clear of all liens, claims, security interests, other encumbrances or defects except such as are described in the Registration Statement, in the Time of Sale Disclosure Package and in the Prospectus. The property held under lease by the Company and its subsidiaries is held by them under valid, subsisting and enforceable leases with only such exceptions with respect to any particular lease as do not interfere in any material respect with the conduct of the business of the Company or its subsidiaries.</w:t>
      </w:r>
    </w:p>
    <w:p>
      <w:pPr>
        <w:spacing w:after="0" w:line="74" w:lineRule="exact"/>
        <w:rPr>
          <w:rFonts w:ascii="Times New Roman" w:cs="Times New Roman" w:eastAsia="Times New Roman" w:hAnsi="Times New Roman"/>
          <w:sz w:val="18"/>
          <w:szCs w:val="18"/>
          <w:color w:val="auto"/>
        </w:rPr>
      </w:pPr>
    </w:p>
    <w:p>
      <w:pPr>
        <w:ind w:left="4" w:right="180" w:hanging="4"/>
        <w:spacing w:after="0" w:line="271" w:lineRule="auto"/>
        <w:tabs>
          <w:tab w:leader="none" w:pos="44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Intellectual Property</w:t>
      </w:r>
      <w:r>
        <w:rPr>
          <w:rFonts w:ascii="Times New Roman" w:cs="Times New Roman" w:eastAsia="Times New Roman" w:hAnsi="Times New Roman"/>
          <w:sz w:val="17"/>
          <w:szCs w:val="17"/>
          <w:color w:val="auto"/>
        </w:rPr>
        <w:t>. The Company and each of its subsidiaries owns, possesses, or can acquire on reasonable terms, all Intellectual Property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necessary for the conduct of the Company’s and its subsidiaries’ business as now conducted or as proposed to be conducted, as described in the Registration Statement, the Time of Sale Disclosure Package and the Prospectus to be conducted. Furthermore, (A) to the knowledge of the Company, there is no infringement, misappropriation or violation by third parties of any such Intellectual Property, except as disclosed to the Representatives;</w:t>
      </w:r>
    </w:p>
    <w:p>
      <w:pPr>
        <w:spacing w:after="0" w:line="1" w:lineRule="exact"/>
        <w:rPr>
          <w:rFonts w:ascii="Times New Roman" w:cs="Times New Roman" w:eastAsia="Times New Roman" w:hAnsi="Times New Roman"/>
          <w:sz w:val="17"/>
          <w:szCs w:val="17"/>
          <w:color w:val="auto"/>
        </w:rPr>
      </w:pPr>
    </w:p>
    <w:p>
      <w:pPr>
        <w:jc w:val="both"/>
        <w:ind w:left="4" w:right="1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there is no pending or, to the knowledge of the Company, threatened, action, suit, proceeding or claim by others challenging the Company’s or any of its subsidiaries’ rights in or to any such Intellectual Property, and the Company is unaware of any facts which would form a reasonable basis for any such claim, except as disclosed to the Representatives; (C) the Intellectual Property</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66" w:right="479" w:bottom="1440" w:gutter="0" w:footer="0" w:header="0"/>
        </w:sectPr>
      </w:pPr>
    </w:p>
    <w:bookmarkStart w:id="12" w:name="page13"/>
    <w:bookmarkEnd w:id="12"/>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owned by the Company and its subsidiaries, and to the knowledge of the Company, the Intellectual Property licensed to the Company and its subsidiaries, has not been adjudged invalid or unenforceable, in whole or in part, and there is no pending or, to the knowledge of the Company, threatened action, suit, proceeding or claim by others challenging the validity or scope of any such Intellectual Property, and the Company is unaware of any facts which would form a reasonable basis for any such claim; (D) there is no pending or, to the knowledge of the Company, threatened action, suit, proceeding or claim by others that the Company or any of its subsidiaries infringes, misappropriates or otherwise violates any Intellectual Property or other proprietary rights of others, neither the Company or any of its subsidiaries has received any written notice of such claim and the Company is unaware of any other fact which would form a reasonable basis for any such claim; (E) to the Company’s knowledge, no employee of the Company or any of its subsidiaries is in or has ever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nor any of its subsidiaries or actions undertaken by the employee while employed with the Company or any of its subsidiaries; (F) there is no prior art or public or commercial activity of which the Company is aware that may render any patent included in the Intellectual Property invalid or that would preclude the issuance of any patent on any patent application included in the Intellectual Property, which has not been disclosed to the U.S. Patent and Trademark Office or the relevant foreign patent authority, as the case may be; (G) to the Company’s knowledge, the issued patents included in the Intellectual Property are valid and enforceable and the Company is unaware of any facts that would preclude the issuance of a valid and enforceable patent on any pending patent application included in the Intellectual Property; (H) the Company has taken reasonable steps necessary to secure the interests of the Company in the Intellectual Property purported to be owned by the Company from all employees, consultants, agents or contractors that developed (in whole or in part) such Intellectual Property; (I) the Company has taken reasonable steps in accordance with normal industry practice to maintain the confidentiality of trade secrets of the Company and to the Company’s knowledge, no such Intellectual Property has been disclosed other than to employees, representatives and agents of the Company, all of whom are bound by written and enforceable confidentiality agreements; (J) no government funding, facilities or resources of a university, college, other educational institution or research center was used in the development of any Intellectual Property that is owned or purported to be owned by the Company that would confer upon any governmental agency or body, university, college, other educational institution or research center any claim or right in or to any such Intellectual Property; and (K) to the Company’s knowledge, no material technology employed by the Company has been obtained or is being used by the Company in violation of the rights of any entity. “</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shall mean all patents, trademarks and service marks, trade names, trade dress, copyrights, copyrightable works, databases, licenses, inventions, invention registrations, invention disclosures, trade secrets, domain names, social media identifiers and accounts and other source indicators, technology, know-how (including other unpatented and/or unpatentable proprietary or confidential information, systems or procedures) and all other similar intellectual property or proprietary rights (including all registrations and applications for registration of, and all goodwill associated with, the foregoing) in the United States and foreign jurisdictions.</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13" w:name="page14"/>
    <w:bookmarkEnd w:id="13"/>
    <w:p>
      <w:pPr>
        <w:ind w:right="100" w:firstLine="948"/>
        <w:spacing w:after="0" w:line="254" w:lineRule="auto"/>
        <w:tabs>
          <w:tab w:leader="none" w:pos="14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Health Care Authorizations</w:t>
      </w:r>
      <w:r>
        <w:rPr>
          <w:rFonts w:ascii="Times New Roman" w:cs="Times New Roman" w:eastAsia="Times New Roman" w:hAnsi="Times New Roman"/>
          <w:sz w:val="18"/>
          <w:szCs w:val="18"/>
          <w:color w:val="auto"/>
        </w:rPr>
        <w:t>. The Company has submitted and possesses, or qualifies for applicable exemptions to, such valid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current registrations, listings, approvals, clearances, licenses, certificates, authorizations or permits and supplements or amendments thereto issued or required by the appropriate state, federal or foreign regulatory agencies or bodies necessary to conduct their business (“</w:t>
      </w:r>
      <w:r>
        <w:rPr>
          <w:rFonts w:ascii="Times New Roman" w:cs="Times New Roman" w:eastAsia="Times New Roman" w:hAnsi="Times New Roman"/>
          <w:sz w:val="18"/>
          <w:szCs w:val="18"/>
          <w:b w:val="1"/>
          <w:bCs w:val="1"/>
          <w:i w:val="1"/>
          <w:iCs w:val="1"/>
          <w:color w:val="auto"/>
        </w:rPr>
        <w:t>Permits</w:t>
      </w:r>
      <w:r>
        <w:rPr>
          <w:rFonts w:ascii="Times New Roman" w:cs="Times New Roman" w:eastAsia="Times New Roman" w:hAnsi="Times New Roman"/>
          <w:sz w:val="18"/>
          <w:szCs w:val="18"/>
          <w:color w:val="auto"/>
        </w:rPr>
        <w:t>”), including, without limitation, all such Permits required by the U.S. Food and Drug Administration (the “</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the U.S. Department of Health and Human Services (“</w:t>
      </w:r>
      <w:r>
        <w:rPr>
          <w:rFonts w:ascii="Times New Roman" w:cs="Times New Roman" w:eastAsia="Times New Roman" w:hAnsi="Times New Roman"/>
          <w:sz w:val="18"/>
          <w:szCs w:val="18"/>
          <w:b w:val="1"/>
          <w:bCs w:val="1"/>
          <w:i w:val="1"/>
          <w:iCs w:val="1"/>
          <w:color w:val="auto"/>
        </w:rPr>
        <w:t>HHS</w:t>
      </w:r>
      <w:r>
        <w:rPr>
          <w:rFonts w:ascii="Times New Roman" w:cs="Times New Roman" w:eastAsia="Times New Roman" w:hAnsi="Times New Roman"/>
          <w:sz w:val="18"/>
          <w:szCs w:val="18"/>
          <w:color w:val="auto"/>
        </w:rPr>
        <w:t>”), the U.S. Centers for Medicare &amp; Medicaid Services (“</w:t>
      </w:r>
      <w:r>
        <w:rPr>
          <w:rFonts w:ascii="Times New Roman" w:cs="Times New Roman" w:eastAsia="Times New Roman" w:hAnsi="Times New Roman"/>
          <w:sz w:val="18"/>
          <w:szCs w:val="18"/>
          <w:b w:val="1"/>
          <w:bCs w:val="1"/>
          <w:i w:val="1"/>
          <w:iCs w:val="1"/>
          <w:color w:val="auto"/>
        </w:rPr>
        <w:t>CMS</w:t>
      </w:r>
      <w:r>
        <w:rPr>
          <w:rFonts w:ascii="Times New Roman" w:cs="Times New Roman" w:eastAsia="Times New Roman" w:hAnsi="Times New Roman"/>
          <w:sz w:val="18"/>
          <w:szCs w:val="18"/>
          <w:color w:val="auto"/>
        </w:rPr>
        <w:t>”), the European Medicines Agency (“</w:t>
      </w:r>
      <w:r>
        <w:rPr>
          <w:rFonts w:ascii="Times New Roman" w:cs="Times New Roman" w:eastAsia="Times New Roman" w:hAnsi="Times New Roman"/>
          <w:sz w:val="18"/>
          <w:szCs w:val="18"/>
          <w:b w:val="1"/>
          <w:bCs w:val="1"/>
          <w:i w:val="1"/>
          <w:iCs w:val="1"/>
          <w:color w:val="auto"/>
        </w:rPr>
        <w:t>EMA</w:t>
      </w:r>
      <w:r>
        <w:rPr>
          <w:rFonts w:ascii="Times New Roman" w:cs="Times New Roman" w:eastAsia="Times New Roman" w:hAnsi="Times New Roman"/>
          <w:sz w:val="18"/>
          <w:szCs w:val="18"/>
          <w:color w:val="auto"/>
        </w:rPr>
        <w:t>”), the Australian Department of Health Therapeutic Goods Administration (“</w:t>
      </w:r>
      <w:r>
        <w:rPr>
          <w:rFonts w:ascii="Times New Roman" w:cs="Times New Roman" w:eastAsia="Times New Roman" w:hAnsi="Times New Roman"/>
          <w:sz w:val="18"/>
          <w:szCs w:val="18"/>
          <w:b w:val="1"/>
          <w:bCs w:val="1"/>
          <w:i w:val="1"/>
          <w:iCs w:val="1"/>
          <w:color w:val="auto"/>
        </w:rPr>
        <w:t>TGA</w:t>
      </w:r>
      <w:r>
        <w:rPr>
          <w:rFonts w:ascii="Times New Roman" w:cs="Times New Roman" w:eastAsia="Times New Roman" w:hAnsi="Times New Roman"/>
          <w:sz w:val="18"/>
          <w:szCs w:val="18"/>
          <w:color w:val="auto"/>
        </w:rPr>
        <w:t>”), Health Canada or any other comparable state, federal or foreign agencies or bodies to which it is subject, and the Company has not received any notice of proceedings relating to the revocation or modification of, or non-compliance with, any such Permit, except for such Permits, the lack of which would not, individually or in the aggregate, result in a Material Adverse Effect.</w:t>
      </w:r>
    </w:p>
    <w:p>
      <w:pPr>
        <w:spacing w:after="0" w:line="80" w:lineRule="exact"/>
        <w:rPr>
          <w:rFonts w:ascii="Times New Roman" w:cs="Times New Roman" w:eastAsia="Times New Roman" w:hAnsi="Times New Roman"/>
          <w:sz w:val="18"/>
          <w:szCs w:val="18"/>
          <w:color w:val="auto"/>
        </w:rPr>
      </w:pPr>
    </w:p>
    <w:p>
      <w:pPr>
        <w:ind w:firstLine="948"/>
        <w:spacing w:after="0" w:line="252" w:lineRule="auto"/>
        <w:tabs>
          <w:tab w:leader="none" w:pos="13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Clinical Trials</w:t>
      </w:r>
      <w:r>
        <w:rPr>
          <w:rFonts w:ascii="Times New Roman" w:cs="Times New Roman" w:eastAsia="Times New Roman" w:hAnsi="Times New Roman"/>
          <w:sz w:val="18"/>
          <w:szCs w:val="18"/>
          <w:color w:val="auto"/>
        </w:rPr>
        <w:t>. The studies, tests and preclinical and clinical trials conducted by or on behalf of, or sponsored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in which the Company has participated, that are described in the Registration Statement, the Time of Sale Disclosure Package or the Prospectus, or the results of which are referred to in the Registration Statement, the Time of Sale Disclosure Package or the Prospectus, were and, if still pending, are being conducted in all material respects in accordance with protocols, procedures and controls pursuant to, where applicable, accepted professional and scientific standards for products or product candidates comparable to those being developed by the Company and all applicable statutes, rules and regulations of the FDA, the EMA, the TGA, Health Canada and other comparable regulatory agencies outside of the U.S. to which they are subject, including, without limitation, 21 C.F.R. Parts 50, 54, 56, 58, 312, and 812; the descriptions of the results of such studies, tests and trials contained in the Registration Statement, the Time of Sale Disclosure Package or the Prospectus do not contain any misstatement of a material fact or omit a material fact necessary to make such statements not misleading; the Company has no knowledge of any studies, tests or trials not described in the Disclosure Package and the Prospectus the results of which reasonably call into question in any material respect the results of the studies, tests and trials described in the Registration Statement, the Time of Sale Disclosure Package or Prospectus; and the Company has not received any notices or other correspondence from the FDA, EMA, Health Canada or any other foreign, state or local governmental body exercising comparable authority or any Institutional Review Board or comparable authority requiring or threatening the termination, suspension or material modification of any studies, tests or preclinical or clinical trials conducted by or on behalf of, or sponsored by, the Company or in which the Company has participated, and, to the Company’s knowledge, there are no reasonable grounds for the same. Except as disclosed in the Registration Statement, the Time of Sale Disclosure Package and the Prospectus, there has not been any violation of law or regulation by the Company in its respective product development efforts, submissions or reports to any regulatory authority that could reasonably be expected to require investigation, corrective action or enforcement action.</w:t>
      </w:r>
    </w:p>
    <w:p>
      <w:pPr>
        <w:spacing w:after="0" w:line="12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68" w:right="459" w:bottom="1440" w:gutter="0" w:footer="0" w:header="0"/>
        </w:sectPr>
      </w:pPr>
    </w:p>
    <w:bookmarkStart w:id="14" w:name="page15"/>
    <w:bookmarkEnd w:id="14"/>
    <w:p>
      <w:pPr>
        <w:ind w:firstLine="948"/>
        <w:spacing w:after="0" w:line="251" w:lineRule="auto"/>
        <w:tabs>
          <w:tab w:leader="none" w:pos="12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Compliance with Health Care Laws</w:t>
      </w:r>
      <w:r>
        <w:rPr>
          <w:rFonts w:ascii="Times New Roman" w:cs="Times New Roman" w:eastAsia="Times New Roman" w:hAnsi="Times New Roman"/>
          <w:sz w:val="18"/>
          <w:szCs w:val="18"/>
          <w:color w:val="auto"/>
        </w:rPr>
        <w:t>. The Company and, to the Company’s knowledge, its directors, employees and agents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(while acting in such capacity) are and at all times have been in material compliance with, all health care laws applicable to the Company, or any of its products or activities, including, but not limited to, the federal Anti-Kickback Statute (42 U.S.C. Section 1320a-7b(b)), the Anti-Inducement Law (42 U.S.C. Section 1320a-7a(a)(5)), the civil False Claims Act (31 U.S.C. Section 3729 et seq.), the administrative False Claims Law (42 U.S.C. Section 1320a-7b(a)), the Stark law (42 U.S.C. Section 1395nn), the Health Insurance Portability and Accountability Act of 1996 (42 U.S.C. Section 1320d et seq.) as amended by the Health Information Technology for Economic and Clinical Health Act (42 U.S.C. Section 17921 et seq.), the exclusion laws (42 U.S.C. Section 1320a-7), the Federal Food, Drug, and Cosmetic Act (21 U.S.C. Section 301 et seq.), the Controlled Substances Act (21 U.S.C. Section 801 et seq.), the Public Health Service Act (42 U.S.C. Section 201 et seq.), the Clinical Laboratory Improvement Amendments of 1988 (42 U.S.C. Section 263a), Medicare (Title XVIII of the Social Security Act), Medicaid (Title XIX of the Social Security Act), and the Patient Protection and Affordable Care Act of 2010, as amended by the Health Care and Education Reconciliation Act of 2010, the regulations promulgated pursuant to such laws, and any other state, federal or foreign law, accreditation standards, regulation, memorandum, opinion letter, or other issuance which imposes requirements on manufacturing, development, testing, labeling, advertising, marketing, promotion, distribution, reporting, kickbacks, patient or program charges, recordkeeping, claims process, documentation requirements, medical necessity, referrals, the hiring of employees or acquisition of services or supplies from those who have been excluded from government health care programs, quality, safety, privacy, security, licensure, accreditation or any other aspect of providing health care, clinical laboratory or diagnostics products or services (collectively, “</w:t>
      </w:r>
      <w:r>
        <w:rPr>
          <w:rFonts w:ascii="Times New Roman" w:cs="Times New Roman" w:eastAsia="Times New Roman" w:hAnsi="Times New Roman"/>
          <w:sz w:val="18"/>
          <w:szCs w:val="18"/>
          <w:b w:val="1"/>
          <w:bCs w:val="1"/>
          <w:i w:val="1"/>
          <w:iCs w:val="1"/>
          <w:color w:val="auto"/>
        </w:rPr>
        <w:t>Health Care Laws</w:t>
      </w:r>
      <w:r>
        <w:rPr>
          <w:rFonts w:ascii="Times New Roman" w:cs="Times New Roman" w:eastAsia="Times New Roman" w:hAnsi="Times New Roman"/>
          <w:sz w:val="18"/>
          <w:szCs w:val="18"/>
          <w:color w:val="auto"/>
        </w:rPr>
        <w:t>”). The Company has not received any notification, correspondence or any other written or oral communication, including notification of any pending or threatened claim, suit, proceeding, hearing, enforcement, investigation, arbitration or other action from any governmental authority, including, without limitation, the FDA, the EMA, the TGA, Health Canada, the U.S. Federal Trade Commission, the U.S. Drug Enforcement Administration (“</w:t>
      </w:r>
      <w:r>
        <w:rPr>
          <w:rFonts w:ascii="Times New Roman" w:cs="Times New Roman" w:eastAsia="Times New Roman" w:hAnsi="Times New Roman"/>
          <w:sz w:val="18"/>
          <w:szCs w:val="18"/>
          <w:b w:val="1"/>
          <w:bCs w:val="1"/>
          <w:i w:val="1"/>
          <w:iCs w:val="1"/>
          <w:color w:val="auto"/>
        </w:rPr>
        <w:t>DEA</w:t>
      </w:r>
      <w:r>
        <w:rPr>
          <w:rFonts w:ascii="Times New Roman" w:cs="Times New Roman" w:eastAsia="Times New Roman" w:hAnsi="Times New Roman"/>
          <w:sz w:val="18"/>
          <w:szCs w:val="18"/>
          <w:color w:val="auto"/>
        </w:rPr>
        <w:t>”), CMS, HHS’s Office of Inspector General, the U.S. Department of Justice and state Attorneys General or similar agencies of potential or actual non-compliance by, or liability of, the Company under any Health Care Laws, except, with respect to any of the foregoing, such as would not, individually or in the aggregate, result in a Material Adverse Effect. To the Company’s knowledge, there are no facts or circumstances that would reasonably be expected to give rise to material liability of the Company under any Health Care Laws. The statements with respect to Health Care Laws and the Company’s compliance therewith included in the Preliminary Prospectus, in the Time of Sale Disclosure Package and in the Prospectus fairly summarize the matters therein described.</w:t>
      </w:r>
    </w:p>
    <w:p>
      <w:pPr>
        <w:spacing w:after="0" w:line="96" w:lineRule="exact"/>
        <w:rPr>
          <w:rFonts w:ascii="Times New Roman" w:cs="Times New Roman" w:eastAsia="Times New Roman" w:hAnsi="Times New Roman"/>
          <w:sz w:val="18"/>
          <w:szCs w:val="18"/>
          <w:color w:val="auto"/>
        </w:rPr>
      </w:pPr>
    </w:p>
    <w:p>
      <w:pPr>
        <w:ind w:right="260" w:firstLine="948"/>
        <w:spacing w:after="0" w:line="261" w:lineRule="auto"/>
        <w:tabs>
          <w:tab w:leader="none" w:pos="13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Post-Market Reporting Obligations</w:t>
      </w:r>
      <w:r>
        <w:rPr>
          <w:rFonts w:ascii="Times New Roman" w:cs="Times New Roman" w:eastAsia="Times New Roman" w:hAnsi="Times New Roman"/>
          <w:sz w:val="18"/>
          <w:szCs w:val="18"/>
          <w:color w:val="auto"/>
        </w:rPr>
        <w:t>. The Company is complying in all material respects with all applicable regulatory post-market reporting obligations, including, without limitation, the FDA’s adverse event reporting requirements at 21 CFR Parts 310, 314, 600, and 803 and, to the extent applicable, the respective counterparts thereof promulgated by governmental authorities in countries outside the United States.</w:t>
      </w:r>
    </w:p>
    <w:p>
      <w:pPr>
        <w:spacing w:after="0" w:line="1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68" w:right="459" w:bottom="1440" w:gutter="0" w:footer="0" w:header="0"/>
        </w:sectPr>
      </w:pPr>
    </w:p>
    <w:bookmarkStart w:id="15" w:name="page16"/>
    <w:bookmarkEnd w:id="15"/>
    <w:p>
      <w:pPr>
        <w:ind w:right="20" w:firstLine="948"/>
        <w:spacing w:after="0" w:line="257" w:lineRule="auto"/>
        <w:tabs>
          <w:tab w:leader="none" w:pos="13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Shutdowns or Prohibitions</w:t>
      </w:r>
      <w:r>
        <w:rPr>
          <w:rFonts w:ascii="Times New Roman" w:cs="Times New Roman" w:eastAsia="Times New Roman" w:hAnsi="Times New Roman"/>
          <w:sz w:val="18"/>
          <w:szCs w:val="18"/>
          <w:color w:val="auto"/>
        </w:rPr>
        <w:t>. The Company has not had any product, clinical laboratory or manufacturing site (whether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Company-owned or that of a third party manufacturer for the Company’s products) subject to a governmental authority (including FDA) shutdown or import or export prohibition, nor received any FDA Form 483 or other governmental authority notice of inspectional observations, “warning letters,” “untitled letters,” requests to make changes to the Company’s products, processes or operations, or similar correspondence or notice from the FDA or other governmental authority alleging or asserting material noncompliance with any applicable Health Care Laws. To the Company’s knowledge, neither the FDA nor any other governmental authority is considering such action.</w:t>
      </w:r>
    </w:p>
    <w:p>
      <w:pPr>
        <w:spacing w:after="0" w:line="74" w:lineRule="exact"/>
        <w:rPr>
          <w:rFonts w:ascii="Times New Roman" w:cs="Times New Roman" w:eastAsia="Times New Roman" w:hAnsi="Times New Roman"/>
          <w:sz w:val="18"/>
          <w:szCs w:val="18"/>
          <w:color w:val="auto"/>
        </w:rPr>
      </w:pPr>
    </w:p>
    <w:p>
      <w:pPr>
        <w:ind w:right="20" w:firstLine="948"/>
        <w:spacing w:after="0" w:line="257" w:lineRule="auto"/>
        <w:tabs>
          <w:tab w:leader="none" w:pos="14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Safety Notices</w:t>
      </w:r>
      <w:r>
        <w:rPr>
          <w:rFonts w:ascii="Times New Roman" w:cs="Times New Roman" w:eastAsia="Times New Roman" w:hAnsi="Times New Roman"/>
          <w:sz w:val="18"/>
          <w:szCs w:val="18"/>
          <w:color w:val="auto"/>
        </w:rPr>
        <w:t>. (i) Except as disclosed in the Registration Statement, the Time of Sale Disclosure Package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there have been no recalls, field notifications, field corrections, market withdrawals or replacements, warnings, “dear doctor” letters, investigator notices, safety alerts or other notice of action relating to an alleged lack of safety, efficacy, or regulatory compliance of the Company’s products (“</w:t>
      </w:r>
      <w:r>
        <w:rPr>
          <w:rFonts w:ascii="Times New Roman" w:cs="Times New Roman" w:eastAsia="Times New Roman" w:hAnsi="Times New Roman"/>
          <w:sz w:val="18"/>
          <w:szCs w:val="18"/>
          <w:b w:val="1"/>
          <w:bCs w:val="1"/>
          <w:i w:val="1"/>
          <w:iCs w:val="1"/>
          <w:color w:val="auto"/>
        </w:rPr>
        <w:t>Safety Notices</w:t>
      </w:r>
      <w:r>
        <w:rPr>
          <w:rFonts w:ascii="Times New Roman" w:cs="Times New Roman" w:eastAsia="Times New Roman" w:hAnsi="Times New Roman"/>
          <w:sz w:val="18"/>
          <w:szCs w:val="18"/>
          <w:color w:val="auto"/>
        </w:rPr>
        <w:t>”) and (ii) to the Company’s knowledge, there are no facts that would be reasonably likely to result in (x) a Safety Notice with respect to the Company’s products or services, (y) a change in labeling of any the Company’s respective products or services, or (z) a termination or suspension of marketing or testing of any the Company’s products or services.</w:t>
      </w:r>
    </w:p>
    <w:p>
      <w:pPr>
        <w:spacing w:after="0" w:line="74" w:lineRule="exact"/>
        <w:rPr>
          <w:rFonts w:ascii="Times New Roman" w:cs="Times New Roman" w:eastAsia="Times New Roman" w:hAnsi="Times New Roman"/>
          <w:sz w:val="18"/>
          <w:szCs w:val="18"/>
          <w:color w:val="auto"/>
        </w:rPr>
      </w:pPr>
    </w:p>
    <w:p>
      <w:pPr>
        <w:ind w:firstLine="948"/>
        <w:spacing w:after="0" w:line="254" w:lineRule="auto"/>
        <w:tabs>
          <w:tab w:leader="none" w:pos="14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Violations or Defaults</w:t>
      </w:r>
      <w:r>
        <w:rPr>
          <w:rFonts w:ascii="Times New Roman" w:cs="Times New Roman" w:eastAsia="Times New Roman" w:hAnsi="Times New Roman"/>
          <w:sz w:val="18"/>
          <w:szCs w:val="18"/>
          <w:color w:val="auto"/>
        </w:rPr>
        <w:t>. Except as disclosed in the Registration Statement, the Time of Sale Disclosure Package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neither the Company nor any of its subsidiaries (i) is in violation of its articles of association, charter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or (iii) is in violation of any statute or any order, rule or regulation of any court or governmental agency or body having jurisdiction over it or its property or assets or has failed to obtain any license, permit, certificate, franchise or other governmental authorization or permit necessary to the ownership of its property or to the conduct of its business, except in the case of clauses (ii) and (iii), to the extent any such conflict, breach, violation or default would not, individually or in the aggregate, result in a Material Adverse Effect.</w:t>
      </w:r>
    </w:p>
    <w:p>
      <w:pPr>
        <w:spacing w:after="0" w:line="80" w:lineRule="exact"/>
        <w:rPr>
          <w:rFonts w:ascii="Times New Roman" w:cs="Times New Roman" w:eastAsia="Times New Roman" w:hAnsi="Times New Roman"/>
          <w:sz w:val="18"/>
          <w:szCs w:val="18"/>
          <w:color w:val="auto"/>
        </w:rPr>
      </w:pPr>
    </w:p>
    <w:p>
      <w:pPr>
        <w:ind w:right="60" w:firstLine="948"/>
        <w:spacing w:after="0" w:line="257" w:lineRule="auto"/>
        <w:tabs>
          <w:tab w:leader="none" w:pos="138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Taxes</w:t>
      </w:r>
      <w:r>
        <w:rPr>
          <w:rFonts w:ascii="Times New Roman" w:cs="Times New Roman" w:eastAsia="Times New Roman" w:hAnsi="Times New Roman"/>
          <w:sz w:val="18"/>
          <w:szCs w:val="18"/>
          <w:color w:val="auto"/>
        </w:rPr>
        <w:t>. The Company and its subsidiaries have timely filed all federal, state, local and foreign income and franchise tax returns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filed and are not in default in the payment of any taxes which were payable pursuant to said returns or any assessments with respect thereto, other than any which the Company or any of its subsidiaries is contesting in good faith. There is no pending dispute with any taxing authority relating to any of such returns, and the Company has no knowledge of any proposed liability for any tax to be imposed upon the properties or assets of the Company for which there is not an adequate reserve reflected in the Company’s financial statements included in the Registration Statement, the Time of Sale Disclosure Package and the Prospectus.</w:t>
      </w:r>
    </w:p>
    <w:p>
      <w:pPr>
        <w:spacing w:after="0" w:line="11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80"/>
          </w:cols>
          <w:pgMar w:left="880" w:top="268" w:right="439" w:bottom="1440" w:gutter="0" w:footer="0" w:header="0"/>
        </w:sectPr>
      </w:pPr>
    </w:p>
    <w:bookmarkStart w:id="16" w:name="page17"/>
    <w:bookmarkEnd w:id="16"/>
    <w:p>
      <w:pPr>
        <w:ind w:firstLine="948"/>
        <w:spacing w:after="0" w:line="253" w:lineRule="auto"/>
        <w:tabs>
          <w:tab w:leader="none" w:pos="14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Exchange Listing and Exchange Act Registration</w:t>
      </w:r>
      <w:r>
        <w:rPr>
          <w:rFonts w:ascii="Times New Roman" w:cs="Times New Roman" w:eastAsia="Times New Roman" w:hAnsi="Times New Roman"/>
          <w:sz w:val="18"/>
          <w:szCs w:val="18"/>
          <w:color w:val="auto"/>
        </w:rPr>
        <w:t>. The Common Stock is registered pursuant to Section 12(b) of the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and is included or approved for listing on The Nasdaq Stock Market LLC and the Company has taken no action designed to, or likely to have the effect of, terminating the registration of the Common Stock under the Exchange Act or delisting the Common Stock from The Nasdaq Stock Market LLC nor has the Company received any notification that the Commission or The Nasdaq Stock Market LLC is contemplating terminating such registration or listing. The Company has complied in all material respects with the applicable requirements of The Nasdaq Stock Market LLC for maintenance of inclusion of the Common Stock thereon. In addition, the CHESS Depositary Interests of the Company have been approved for listing on the Australian Securities Exchange and the Company has taken no action designed to, or likely to have the effect of, terminating the registration of the CHESS Depositary Interests or delisting the CHESS Depositary Interests from the Australian Securities Exchange. The Company has filed a notification form to include the Securities on The Nasdaq Stock Market LLC. Except as previously disclosed to counsel for the Underwriters or as set forth in the Time of Sale Disclosure Package and the Prospectus, to the knowledge of the Company, no beneficial owners of the Company’s capital stock or subordinated debt who, together with their associated persons and affiliates, hold in the aggregate 10% or more of such capital stock or subordinated debt, have any direct or indirect association or affiliate with a FINRA member.</w:t>
      </w:r>
    </w:p>
    <w:p>
      <w:pPr>
        <w:spacing w:after="0" w:line="81" w:lineRule="exact"/>
        <w:rPr>
          <w:rFonts w:ascii="Times New Roman" w:cs="Times New Roman" w:eastAsia="Times New Roman" w:hAnsi="Times New Roman"/>
          <w:sz w:val="18"/>
          <w:szCs w:val="18"/>
          <w:color w:val="auto"/>
        </w:rPr>
      </w:pPr>
    </w:p>
    <w:p>
      <w:pPr>
        <w:ind w:right="520" w:firstLine="948"/>
        <w:spacing w:after="0" w:line="267" w:lineRule="auto"/>
        <w:tabs>
          <w:tab w:leader="none" w:pos="148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Ownership of Other Entities</w:t>
      </w:r>
      <w:r>
        <w:rPr>
          <w:rFonts w:ascii="Times New Roman" w:cs="Times New Roman" w:eastAsia="Times New Roman" w:hAnsi="Times New Roman"/>
          <w:sz w:val="18"/>
          <w:szCs w:val="18"/>
          <w:color w:val="auto"/>
        </w:rPr>
        <w:t>. Other than the subsidiaries of the Company listed in Exhibit 21 to the Company’s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on Form 10-K for the fiscal year ended June 30, 2020, the Company, directly or indirectly, owns no capital stock or other equity or ownership or proprietary interest in any corporation, partnership, association, trust or other entity.</w:t>
      </w:r>
    </w:p>
    <w:p>
      <w:pPr>
        <w:spacing w:after="0" w:line="65" w:lineRule="exact"/>
        <w:rPr>
          <w:rFonts w:ascii="Times New Roman" w:cs="Times New Roman" w:eastAsia="Times New Roman" w:hAnsi="Times New Roman"/>
          <w:sz w:val="18"/>
          <w:szCs w:val="18"/>
          <w:color w:val="auto"/>
        </w:rPr>
      </w:pPr>
    </w:p>
    <w:p>
      <w:pPr>
        <w:ind w:right="20" w:firstLine="948"/>
        <w:spacing w:after="0" w:line="253" w:lineRule="auto"/>
        <w:tabs>
          <w:tab w:leader="none" w:pos="15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Internal Controls</w:t>
      </w:r>
      <w:r>
        <w:rPr>
          <w:rFonts w:ascii="Times New Roman" w:cs="Times New Roman" w:eastAsia="Times New Roman" w:hAnsi="Times New Roman"/>
          <w:sz w:val="18"/>
          <w:szCs w:val="18"/>
          <w:color w:val="auto"/>
        </w:rPr>
        <w:t>. The Company and its subsidiaries maintain a system of “internal controls over financial reporting”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in Rule 13a-15(f) of the Exchange Act) sufficient to provide reasonable assurances that (i) transactions are executed in accordance with management’s general or specific authorization; (ii) transactions are recorded as necessary to permit preparation of financial statements in conformity with generally accepted accounting principles in the United States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interactive data in eXtensible Business Reporting Language included or incorporated by reference in the Registration Statement, the Prospectus and the Pricing Disclosure Package fairly presents the information called for in all material respects and is prepared in accordance with the Commission’s rules and guidelines applicable thereto. Except as disclosed in the Registration Statement, in the Time of Sale Disclosure Package and in the Prospectus, the Company’s internal control over financial reporting is effective and none of the Company, its board of directors and audit committee is aware of any “material weaknesses” (as defined by the Public Company Accounting Oversight Board) in its internal control over financial reporting, or any fraud, whether or not material, that involves management or other employees of the Company and its subsidiaries who have a significant role in the Company’s internal</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68" w:right="459" w:bottom="1440" w:gutter="0" w:footer="0" w:header="0"/>
        </w:sectPr>
      </w:pPr>
    </w:p>
    <w:bookmarkStart w:id="17" w:name="page18"/>
    <w:bookmarkEnd w:id="17"/>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controls; and since the end of the latest audited fiscal year, there has been no change in the Company’s internal control over financial reporting (whether or not remediated) that has materially affected, or is reasonably likely to materially affect, the Company’s internal control over financial reporting. The Company’s board of directors has, subject to the exceptions, cure periods and the phase in periods specified in the applicable stock exchange rules (“</w:t>
      </w:r>
      <w:r>
        <w:rPr>
          <w:rFonts w:ascii="Times New Roman" w:cs="Times New Roman" w:eastAsia="Times New Roman" w:hAnsi="Times New Roman"/>
          <w:sz w:val="18"/>
          <w:szCs w:val="18"/>
          <w:b w:val="1"/>
          <w:bCs w:val="1"/>
          <w:i w:val="1"/>
          <w:iCs w:val="1"/>
          <w:color w:val="auto"/>
        </w:rPr>
        <w:t>Exchange Rules</w:t>
      </w:r>
      <w:r>
        <w:rPr>
          <w:rFonts w:ascii="Times New Roman" w:cs="Times New Roman" w:eastAsia="Times New Roman" w:hAnsi="Times New Roman"/>
          <w:sz w:val="18"/>
          <w:szCs w:val="18"/>
          <w:color w:val="auto"/>
        </w:rPr>
        <w:t>”), validly appointed an audit committee to oversee internal accounting controls whose composition satisfies the applicable requirements of the Exchange Rules and the Company’s board of directors and/or the audit committee has adopted a charter that satisfies the requirements of the Exchange Rules.</w:t>
      </w:r>
    </w:p>
    <w:p>
      <w:pPr>
        <w:spacing w:after="0" w:line="77" w:lineRule="exact"/>
        <w:rPr>
          <w:sz w:val="20"/>
          <w:szCs w:val="20"/>
          <w:color w:val="auto"/>
        </w:rPr>
      </w:pPr>
    </w:p>
    <w:p>
      <w:pPr>
        <w:ind w:right="320" w:firstLine="948"/>
        <w:spacing w:after="0" w:line="267" w:lineRule="auto"/>
        <w:tabs>
          <w:tab w:leader="none" w:pos="14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Brokers or Finders</w:t>
      </w:r>
      <w:r>
        <w:rPr>
          <w:rFonts w:ascii="Times New Roman" w:cs="Times New Roman" w:eastAsia="Times New Roman" w:hAnsi="Times New Roman"/>
          <w:sz w:val="18"/>
          <w:szCs w:val="18"/>
          <w:color w:val="auto"/>
        </w:rPr>
        <w:t>. Other than as contemplated by this Agreement, the Company has not incurred any liability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finder’s or broker’s fee or agent’s commission in connection with the execution and delivery of this Agreement or the consummation of the transactions contemplated hereby.</w:t>
      </w:r>
    </w:p>
    <w:p>
      <w:pPr>
        <w:spacing w:after="0" w:line="65" w:lineRule="exact"/>
        <w:rPr>
          <w:rFonts w:ascii="Times New Roman" w:cs="Times New Roman" w:eastAsia="Times New Roman" w:hAnsi="Times New Roman"/>
          <w:sz w:val="18"/>
          <w:szCs w:val="18"/>
          <w:color w:val="auto"/>
        </w:rPr>
      </w:pPr>
    </w:p>
    <w:p>
      <w:pPr>
        <w:ind w:right="60" w:firstLine="948"/>
        <w:spacing w:after="0" w:line="254" w:lineRule="auto"/>
        <w:tabs>
          <w:tab w:leader="none" w:pos="138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Insurance</w:t>
      </w:r>
      <w:r>
        <w:rPr>
          <w:rFonts w:ascii="Times New Roman" w:cs="Times New Roman" w:eastAsia="Times New Roman" w:hAnsi="Times New Roman"/>
          <w:sz w:val="18"/>
          <w:szCs w:val="18"/>
          <w:color w:val="auto"/>
        </w:rPr>
        <w:t>. The Company and each of its subsidiaries carries, or is covered by, insurance from reputable insurers in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and covering such risks as is adequate for the conduct of its business and the value of its properties and the properties of its subsidiaries and as is customary for companies engaged in similar businesses in similar industries; all policies of insurance and any fidelity or surety bonds insuring the Company or any of its subsidiaries or its business, assets, employees, officers and directors are in full force and effect; the Company and its subsidiaries are in compliance with the terms of such policies and instruments in all material respects; there are no claims by the Company or any of its subsidiaries under any such policy or instrument as to which any insurance company is denying liability or defending under a reservation of rights clause; neither the Company nor any of its subsidiaries has been refused any insurance coverage sought or applied for; and neither the Company nor any of its subsidiaries has reason to believe that it will not be able to renew its existing insurance coverage as and when such coverage expires or to obtain similar coverage from similar insurers as may be necessary to continue its business at a cost that would not result in a Material Adverse Effect.</w:t>
      </w:r>
    </w:p>
    <w:p>
      <w:pPr>
        <w:spacing w:after="0" w:line="77" w:lineRule="exact"/>
        <w:rPr>
          <w:rFonts w:ascii="Times New Roman" w:cs="Times New Roman" w:eastAsia="Times New Roman" w:hAnsi="Times New Roman"/>
          <w:sz w:val="18"/>
          <w:szCs w:val="18"/>
          <w:color w:val="auto"/>
        </w:rPr>
      </w:pPr>
    </w:p>
    <w:p>
      <w:pPr>
        <w:ind w:right="380" w:firstLine="948"/>
        <w:spacing w:after="0" w:line="267" w:lineRule="auto"/>
        <w:tabs>
          <w:tab w:leader="none" w:pos="14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Investment Company Act</w:t>
      </w:r>
      <w:r>
        <w:rPr>
          <w:rFonts w:ascii="Times New Roman" w:cs="Times New Roman" w:eastAsia="Times New Roman" w:hAnsi="Times New Roman"/>
          <w:sz w:val="18"/>
          <w:szCs w:val="18"/>
          <w:color w:val="auto"/>
        </w:rPr>
        <w:t>. The Company is not, and after giving effect to the sale of the Securities in accordance with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the application of proceeds as described in the Prospectus under the caption “Use of Proceeds,” will not be, an “investment company” within the meaning of the Investment Company Act of 1940, as amended.</w:t>
      </w:r>
    </w:p>
    <w:p>
      <w:pPr>
        <w:spacing w:after="0" w:line="65" w:lineRule="exact"/>
        <w:rPr>
          <w:rFonts w:ascii="Times New Roman" w:cs="Times New Roman" w:eastAsia="Times New Roman" w:hAnsi="Times New Roman"/>
          <w:sz w:val="18"/>
          <w:szCs w:val="18"/>
          <w:color w:val="auto"/>
        </w:rPr>
      </w:pPr>
    </w:p>
    <w:p>
      <w:pPr>
        <w:ind w:left="1480" w:hanging="532"/>
        <w:spacing w:after="0"/>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Eligibility to use Form S-3</w:t>
      </w:r>
      <w:r>
        <w:rPr>
          <w:rFonts w:ascii="Times New Roman" w:cs="Times New Roman" w:eastAsia="Times New Roman" w:hAnsi="Times New Roman"/>
          <w:sz w:val="18"/>
          <w:szCs w:val="18"/>
          <w:color w:val="auto"/>
        </w:rPr>
        <w:t>. The conditions for use of Form S-3, set forth in the General Instructions thereto, have been</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satisfied.</w:t>
      </w:r>
    </w:p>
    <w:p>
      <w:pPr>
        <w:spacing w:after="0" w:line="96" w:lineRule="exact"/>
        <w:rPr>
          <w:rFonts w:ascii="Times New Roman" w:cs="Times New Roman" w:eastAsia="Times New Roman" w:hAnsi="Times New Roman"/>
          <w:sz w:val="18"/>
          <w:szCs w:val="18"/>
          <w:color w:val="auto"/>
        </w:rPr>
      </w:pPr>
    </w:p>
    <w:p>
      <w:pPr>
        <w:ind w:right="320" w:firstLine="948"/>
        <w:spacing w:after="0" w:line="261" w:lineRule="auto"/>
        <w:tabs>
          <w:tab w:leader="none" w:pos="15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Incorporated Documents</w:t>
      </w:r>
      <w:r>
        <w:rPr>
          <w:rFonts w:ascii="Times New Roman" w:cs="Times New Roman" w:eastAsia="Times New Roman" w:hAnsi="Times New Roman"/>
          <w:sz w:val="18"/>
          <w:szCs w:val="18"/>
          <w:color w:val="auto"/>
        </w:rPr>
        <w:t>. The documents incorporated by reference in the Time of Sale Disclosure Package and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when they became effective or were filed with the Commission, as the case may be, conformed in all material respects to the requirements of the Securities Act or the Exchange Act, as applicable, and were filed on a timely basis with the Commission and none of such documents contained an untrue statement of a material fact or omitted to state a material fact necessary to make</w:t>
      </w:r>
    </w:p>
    <w:p>
      <w:pPr>
        <w:spacing w:after="0" w:line="11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40"/>
          </w:cols>
          <w:pgMar w:left="880" w:top="270" w:right="479" w:bottom="1440" w:gutter="0" w:footer="0" w:header="0"/>
        </w:sectPr>
      </w:pPr>
    </w:p>
    <w:bookmarkStart w:id="18" w:name="page19"/>
    <w:bookmarkEnd w:id="18"/>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statements therein, in the light of the circumstances under which they were made, not misleading; any further documents so filed and incorporated by reference in the Time of Sale Disclosure Package or in the Prospectus, when such documents are filed with the Commission, will conform in all material respects to the requirements of the Exchange Act, and will not contain an untrue statement of a material fact or omit to state a material fact necessary to make the statements therein, in the light of the circumstances under which they were made, not misleading.</w:t>
      </w:r>
    </w:p>
    <w:p>
      <w:pPr>
        <w:spacing w:after="0" w:line="70" w:lineRule="exact"/>
        <w:rPr>
          <w:sz w:val="20"/>
          <w:szCs w:val="20"/>
          <w:color w:val="auto"/>
        </w:rPr>
      </w:pPr>
    </w:p>
    <w:p>
      <w:pPr>
        <w:ind w:right="160" w:firstLine="948"/>
        <w:spacing w:after="0" w:line="284" w:lineRule="auto"/>
        <w:tabs>
          <w:tab w:leader="none" w:pos="152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Sarbanes-Oxley Act</w:t>
      </w:r>
      <w:r>
        <w:rPr>
          <w:rFonts w:ascii="Times New Roman" w:cs="Times New Roman" w:eastAsia="Times New Roman" w:hAnsi="Times New Roman"/>
          <w:sz w:val="18"/>
          <w:szCs w:val="18"/>
          <w:color w:val="auto"/>
        </w:rPr>
        <w:t>. The Company is in compliance with all applicable provisions of the Sarbanes-Oxley Act and the rules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regulations of the Commission thereunder.</w:t>
      </w:r>
    </w:p>
    <w:p>
      <w:pPr>
        <w:spacing w:after="0" w:line="50" w:lineRule="exact"/>
        <w:rPr>
          <w:rFonts w:ascii="Times New Roman" w:cs="Times New Roman" w:eastAsia="Times New Roman" w:hAnsi="Times New Roman"/>
          <w:sz w:val="18"/>
          <w:szCs w:val="18"/>
          <w:color w:val="auto"/>
        </w:rPr>
      </w:pPr>
    </w:p>
    <w:p>
      <w:pPr>
        <w:ind w:right="20" w:firstLine="948"/>
        <w:spacing w:after="0" w:line="256" w:lineRule="auto"/>
        <w:tabs>
          <w:tab w:leader="none" w:pos="147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Disclosure Controls</w:t>
      </w:r>
      <w:r>
        <w:rPr>
          <w:rFonts w:ascii="Times New Roman" w:cs="Times New Roman" w:eastAsia="Times New Roman" w:hAnsi="Times New Roman"/>
          <w:sz w:val="18"/>
          <w:szCs w:val="18"/>
          <w:color w:val="auto"/>
        </w:rPr>
        <w:t>. The Company and its subsidiaries maintain an effective system of “disclosure controls and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74" w:lineRule="exact"/>
        <w:rPr>
          <w:rFonts w:ascii="Times New Roman" w:cs="Times New Roman" w:eastAsia="Times New Roman" w:hAnsi="Times New Roman"/>
          <w:sz w:val="18"/>
          <w:szCs w:val="18"/>
          <w:color w:val="auto"/>
        </w:rPr>
      </w:pPr>
    </w:p>
    <w:p>
      <w:pPr>
        <w:ind w:firstLine="948"/>
        <w:spacing w:after="0" w:line="253" w:lineRule="auto"/>
        <w:tabs>
          <w:tab w:leader="none" w:pos="152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Anti-Bribery and Anti-Money Laundering Laws</w:t>
      </w:r>
      <w:r>
        <w:rPr>
          <w:rFonts w:ascii="Times New Roman" w:cs="Times New Roman" w:eastAsia="Times New Roman" w:hAnsi="Times New Roman"/>
          <w:sz w:val="18"/>
          <w:szCs w:val="18"/>
          <w:color w:val="auto"/>
        </w:rPr>
        <w:t>. Each of the Company, its subsidiaries, its affiliates and any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officers, directors, supervisors, managers, agents, or employees, has not violated, its participation in the offering will not violate, and the Company and each of its subsidiaries has instituted and maintains policies and procedures designed to ensure continued compliance with, each of the following laws: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or anti-money laundering laws, including but not limited to, applicable federal, state, international, foreign or other laws, regulations or government guidance regarding anti-money laundering, including, without limitation, Title 18 US. Code section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w:t>
      </w:r>
    </w:p>
    <w:p>
      <w:pPr>
        <w:spacing w:after="0" w:line="79" w:lineRule="exact"/>
        <w:rPr>
          <w:rFonts w:ascii="Times New Roman" w:cs="Times New Roman" w:eastAsia="Times New Roman" w:hAnsi="Times New Roman"/>
          <w:sz w:val="18"/>
          <w:szCs w:val="18"/>
          <w:color w:val="auto"/>
        </w:rPr>
      </w:pPr>
    </w:p>
    <w:p>
      <w:pPr>
        <w:ind w:left="1580" w:hanging="632"/>
        <w:spacing w:after="0"/>
        <w:tabs>
          <w:tab w:leader="none" w:pos="1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OFAC</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40"/>
          </w:cols>
          <w:pgMar w:left="880" w:top="270" w:right="479" w:bottom="1440" w:gutter="0" w:footer="0" w:header="0"/>
        </w:sectPr>
      </w:pPr>
    </w:p>
    <w:bookmarkStart w:id="19" w:name="page20"/>
    <w:bookmarkEnd w:id="19"/>
    <w:p>
      <w:pPr>
        <w:ind w:left="540" w:right="120" w:firstLine="910"/>
        <w:spacing w:after="0" w:line="266" w:lineRule="auto"/>
        <w:tabs>
          <w:tab w:leader="none" w:pos="173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Neither the Company nor any of its subsidiaries, nor any or their directors, officers or employees, nor, to the Company’s knowledge, any agent, affiliate or representative of the Company or its subsidiaries, is an individual or entity that is, or is owned or controlled by an individual or entity that is:</w:t>
      </w:r>
    </w:p>
    <w:p>
      <w:pPr>
        <w:spacing w:after="0" w:line="67" w:lineRule="exact"/>
        <w:rPr>
          <w:rFonts w:ascii="Times New Roman" w:cs="Times New Roman" w:eastAsia="Times New Roman" w:hAnsi="Times New Roman"/>
          <w:sz w:val="18"/>
          <w:szCs w:val="18"/>
          <w:color w:val="auto"/>
        </w:rPr>
      </w:pPr>
    </w:p>
    <w:p>
      <w:pPr>
        <w:ind w:left="980" w:right="20" w:firstLine="871"/>
        <w:spacing w:after="0" w:line="266" w:lineRule="auto"/>
        <w:tabs>
          <w:tab w:leader="none" w:pos="2097"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Treasury’s Office of Foreign Assets Control, the United Nations Security Council, the European Union, Her Majesty’s Treasury, or other relevant sanctions authority (collectively, “</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nor</w:t>
      </w:r>
    </w:p>
    <w:p>
      <w:pPr>
        <w:spacing w:after="0" w:line="67" w:lineRule="exact"/>
        <w:rPr>
          <w:rFonts w:ascii="Times New Roman" w:cs="Times New Roman" w:eastAsia="Times New Roman" w:hAnsi="Times New Roman"/>
          <w:sz w:val="18"/>
          <w:szCs w:val="18"/>
          <w:color w:val="auto"/>
        </w:rPr>
      </w:pPr>
    </w:p>
    <w:p>
      <w:pPr>
        <w:ind w:left="980" w:right="100" w:firstLine="871"/>
        <w:spacing w:after="0" w:line="282" w:lineRule="auto"/>
        <w:tabs>
          <w:tab w:leader="none" w:pos="2097"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(including, without limitation, Crimea, Cuba, Iran, North Korea and Syria).</w:t>
      </w:r>
    </w:p>
    <w:p>
      <w:pPr>
        <w:spacing w:after="0" w:line="53" w:lineRule="exact"/>
        <w:rPr>
          <w:rFonts w:ascii="Times New Roman" w:cs="Times New Roman" w:eastAsia="Times New Roman" w:hAnsi="Times New Roman"/>
          <w:sz w:val="18"/>
          <w:szCs w:val="18"/>
          <w:color w:val="auto"/>
        </w:rPr>
      </w:pPr>
    </w:p>
    <w:p>
      <w:pPr>
        <w:ind w:left="540" w:right="460" w:firstLine="910"/>
        <w:spacing w:after="0" w:line="282" w:lineRule="auto"/>
        <w:tabs>
          <w:tab w:leader="none" w:pos="172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will, directly or indirectly, use the proceeds of the offering, or lend, contribute or otherwise make available such proceeds to any subsidiary, joint venture partner or other individual or entity:</w:t>
      </w:r>
    </w:p>
    <w:p>
      <w:pPr>
        <w:spacing w:after="0" w:line="53" w:lineRule="exact"/>
        <w:rPr>
          <w:rFonts w:ascii="Times New Roman" w:cs="Times New Roman" w:eastAsia="Times New Roman" w:hAnsi="Times New Roman"/>
          <w:sz w:val="18"/>
          <w:szCs w:val="18"/>
          <w:color w:val="auto"/>
        </w:rPr>
      </w:pPr>
    </w:p>
    <w:p>
      <w:pPr>
        <w:ind w:left="980" w:right="60" w:firstLine="871"/>
        <w:spacing w:after="0" w:line="282" w:lineRule="auto"/>
        <w:tabs>
          <w:tab w:leader="none" w:pos="2097"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individual or entity or in any country or territory that, at the time of such funding or facilitation, is the subject of Sanctions; or</w:t>
      </w:r>
    </w:p>
    <w:p>
      <w:pPr>
        <w:spacing w:after="0" w:line="53" w:lineRule="exact"/>
        <w:rPr>
          <w:rFonts w:ascii="Times New Roman" w:cs="Times New Roman" w:eastAsia="Times New Roman" w:hAnsi="Times New Roman"/>
          <w:sz w:val="18"/>
          <w:szCs w:val="18"/>
          <w:color w:val="auto"/>
        </w:rPr>
      </w:pPr>
    </w:p>
    <w:p>
      <w:pPr>
        <w:ind w:left="980" w:right="140" w:firstLine="871"/>
        <w:spacing w:after="0" w:line="282" w:lineRule="auto"/>
        <w:tabs>
          <w:tab w:leader="none" w:pos="2097"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of Sanctions by any individual or entity (including any individual or entity participating in the offering, whether as underwriter, advisor, investor or otherwise).</w:t>
      </w:r>
    </w:p>
    <w:p>
      <w:pPr>
        <w:spacing w:after="0" w:line="53" w:lineRule="exact"/>
        <w:rPr>
          <w:rFonts w:ascii="Times New Roman" w:cs="Times New Roman" w:eastAsia="Times New Roman" w:hAnsi="Times New Roman"/>
          <w:sz w:val="18"/>
          <w:szCs w:val="18"/>
          <w:color w:val="auto"/>
        </w:rPr>
      </w:pPr>
    </w:p>
    <w:p>
      <w:pPr>
        <w:ind w:left="540" w:right="440" w:firstLine="910"/>
        <w:spacing w:after="0" w:line="266" w:lineRule="auto"/>
        <w:tabs>
          <w:tab w:leader="none" w:pos="172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five years, neither the Company nor any of its subsidiaries has knowingly engaged in, and is not now knowingly engaged in, any dealings or transactions with any individual or entity, or in any country or territory, that at the time of the dealing or transaction is or was the subject of Sanctions.</w:t>
      </w:r>
    </w:p>
    <w:p>
      <w:pPr>
        <w:spacing w:after="0" w:line="65" w:lineRule="exact"/>
        <w:rPr>
          <w:rFonts w:ascii="Times New Roman" w:cs="Times New Roman" w:eastAsia="Times New Roman" w:hAnsi="Times New Roman"/>
          <w:sz w:val="18"/>
          <w:szCs w:val="18"/>
          <w:color w:val="auto"/>
        </w:rPr>
      </w:pPr>
    </w:p>
    <w:p>
      <w:pPr>
        <w:ind w:firstLine="948"/>
        <w:spacing w:after="0" w:line="254" w:lineRule="auto"/>
        <w:tabs>
          <w:tab w:leader="none" w:pos="162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Compliance with Environmental Laws</w:t>
      </w:r>
      <w:r>
        <w:rPr>
          <w:rFonts w:ascii="Times New Roman" w:cs="Times New Roman" w:eastAsia="Times New Roman" w:hAnsi="Times New Roman"/>
          <w:sz w:val="18"/>
          <w:szCs w:val="18"/>
          <w:color w:val="auto"/>
        </w:rPr>
        <w:t>. Except as disclosed in the Time of Disclosure Package and the Prospectus, neither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nor any of its subsidiaries is in violation of any statute, any rule, regulation, decision or order of any Governmental Authority or any court, domestic or foreign, relating to the use, disposal or release of hazardous or toxic substances or relating to the protection or restoration of the environment or human exposure to hazardous or toxic substances (collectively, “</w:t>
      </w:r>
      <w:r>
        <w:rPr>
          <w:rFonts w:ascii="Times New Roman" w:cs="Times New Roman" w:eastAsia="Times New Roman" w:hAnsi="Times New Roman"/>
          <w:sz w:val="18"/>
          <w:szCs w:val="18"/>
          <w:b w:val="1"/>
          <w:bCs w:val="1"/>
          <w:i w:val="1"/>
          <w:iCs w:val="1"/>
          <w:color w:val="auto"/>
        </w:rPr>
        <w:t>Environmental Laws</w:t>
      </w:r>
      <w:r>
        <w:rPr>
          <w:rFonts w:ascii="Times New Roman" w:cs="Times New Roman" w:eastAsia="Times New Roman" w:hAnsi="Times New Roman"/>
          <w:sz w:val="18"/>
          <w:szCs w:val="18"/>
          <w:color w:val="auto"/>
        </w:rPr>
        <w:t>”), owns or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result in a Material Adverse Effect; and the Company is not aware of any pending investigation which might lead to such a claim. Neither the Company nor any of its subsidiaries anticipates incurring any material capital expenditures relating to compliance with Environmental Laws.</w:t>
      </w:r>
    </w:p>
    <w:p>
      <w:pPr>
        <w:spacing w:after="0" w:line="12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20"/>
          </w:cols>
          <w:pgMar w:left="880" w:top="270" w:right="499" w:bottom="1440" w:gutter="0" w:footer="0" w:header="0"/>
        </w:sectPr>
      </w:pPr>
    </w:p>
    <w:bookmarkStart w:id="20" w:name="page21"/>
    <w:bookmarkEnd w:id="20"/>
    <w:p>
      <w:pPr>
        <w:ind w:firstLine="948"/>
        <w:spacing w:after="0" w:line="254" w:lineRule="auto"/>
        <w:tabs>
          <w:tab w:leader="none" w:pos="15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Compliance with Occupational Laws</w:t>
      </w:r>
      <w:r>
        <w:rPr>
          <w:rFonts w:ascii="Times New Roman" w:cs="Times New Roman" w:eastAsia="Times New Roman" w:hAnsi="Times New Roman"/>
          <w:sz w:val="18"/>
          <w:szCs w:val="18"/>
          <w:color w:val="auto"/>
        </w:rPr>
        <w:t>. The Company and each of its subsidiaries (A) is in compliance, in all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respects, with any and all applicable foreign, federal, state and local laws, rules, regulations, treaties, statutes and codes promulgated by any and all Governmental Authorities (including pursuant to the Occupational Health and Safety Act) relating to the protection of human health and safety in the workplace (“</w:t>
      </w:r>
      <w:r>
        <w:rPr>
          <w:rFonts w:ascii="Times New Roman" w:cs="Times New Roman" w:eastAsia="Times New Roman" w:hAnsi="Times New Roman"/>
          <w:sz w:val="18"/>
          <w:szCs w:val="18"/>
          <w:b w:val="1"/>
          <w:bCs w:val="1"/>
          <w:i w:val="1"/>
          <w:iCs w:val="1"/>
          <w:color w:val="auto"/>
        </w:rPr>
        <w:t>Occupational Laws</w:t>
      </w:r>
      <w:r>
        <w:rPr>
          <w:rFonts w:ascii="Times New Roman" w:cs="Times New Roman" w:eastAsia="Times New Roman" w:hAnsi="Times New Roman"/>
          <w:sz w:val="18"/>
          <w:szCs w:val="18"/>
          <w:color w:val="auto"/>
        </w:rPr>
        <w:t>”); (B) has received all material permits, licenses or other approvals required of it under applicable Occupational Laws to conduct its business as currently conducted; and (C) is in compliance, in all material respects, with all terms and conditions of such permit, license or approval. No action, proceeding, revocation proceeding, writ, injunction or claim is pending or, to the Company’s knowledge, threatened against the Company or any of its subsidiaries relating to Occupational Laws, and the Company does not have knowledge of any facts, circumstances or developments relating to its operations or cost accounting practices that could reasonably be expected to form the basis for or give rise to such actions, suits, investigations or proceedings.</w:t>
      </w:r>
    </w:p>
    <w:p>
      <w:pPr>
        <w:spacing w:after="0" w:line="80" w:lineRule="exact"/>
        <w:rPr>
          <w:sz w:val="20"/>
          <w:szCs w:val="20"/>
          <w:color w:val="auto"/>
        </w:rPr>
      </w:pPr>
    </w:p>
    <w:p>
      <w:pPr>
        <w:ind w:right="20" w:firstLine="952"/>
        <w:spacing w:after="0" w:line="252" w:lineRule="auto"/>
        <w:rPr>
          <w:sz w:val="20"/>
          <w:szCs w:val="20"/>
          <w:color w:val="auto"/>
        </w:rPr>
      </w:pPr>
      <w:r>
        <w:rPr>
          <w:rFonts w:ascii="Times New Roman" w:cs="Times New Roman" w:eastAsia="Times New Roman" w:hAnsi="Times New Roman"/>
          <w:sz w:val="18"/>
          <w:szCs w:val="18"/>
          <w:color w:val="auto"/>
        </w:rPr>
        <w:t xml:space="preserve">(xl) </w:t>
      </w:r>
      <w:r>
        <w:rPr>
          <w:rFonts w:ascii="Times New Roman" w:cs="Times New Roman" w:eastAsia="Times New Roman" w:hAnsi="Times New Roman"/>
          <w:sz w:val="18"/>
          <w:szCs w:val="18"/>
          <w:i w:val="1"/>
          <w:iCs w:val="1"/>
          <w:u w:val="single" w:color="auto"/>
          <w:color w:val="auto"/>
        </w:rPr>
        <w:t>ERISA and Employee Benefits Matters</w:t>
      </w:r>
      <w:r>
        <w:rPr>
          <w:rFonts w:ascii="Times New Roman" w:cs="Times New Roman" w:eastAsia="Times New Roman" w:hAnsi="Times New Roman"/>
          <w:sz w:val="18"/>
          <w:szCs w:val="18"/>
          <w:color w:val="auto"/>
        </w:rPr>
        <w:t>. (A) To the knowledge of the Company, no “prohibited transaction” as defined under Section 406 of ERISA or Section 4975 of the Code and not exempt under ERISA Section 408 and the regulations and published interpretations thereunder has occurred with respect to any Employee Benefit Plan. At no time has the Company or any ERISA Affiliate maintained, sponsored, participated in, contributed to or has or had any liability or obligation in respect of any Employee Benefit Plan subject to Part 3 of Subtitle B of Title I of ERISA, Title IV of ERISA, or Section 412 of the Code or any “multiemployer plan” as defined in Section 3(37) of ERISA or any multiple employer plan for which the Company or any ERISA Affiliate has incurred or could incur liability under Section 4063 or 4064 of ERISA. No Employee Benefit Plan provides or promises, or at any time provided or promised, retiree health, life insurance, or other retiree welfare benefits except as may be required by the Consolidated Omnibus Budget Reconciliation Act of 1985, as amended, or similar state law. Each Employee Benefit Plan is and has been operated in material compliance with its terms and all applicable laws, including but not limited to ERISA and the Code and, to the knowledge of the Company, no event has occurred (including a “reportable event” as such term is defined in Section 4043 of ERISA) and no condition exists that would subject the Company or any ERISA Affiliate to any material tax, fine, lien, penalty or liability imposed by ERISA, the Code or other applicable law. Each Employee Benefit Plan intended to be qualified under Code Section 401(a) is so qualified and has a favorable determination or opinion letter from the IRS upon which it can rely, and any such determination or opinion letter remains in effect and has not been revoked; to the knowledge of the Company, nothing has occurred since the date of any such determination or opinion letter that is reasonably likely to adversely affect such qualification; (B) with respect to each Foreign Benefit Plan, such Foreign Benefit Plan (1) if intended to qualify for special tax treatment, meets, in all material respects, the requirements for such treatment, and (2) if required to be funded, is funded to the extent required by applicable law, and with respect to all other</w:t>
      </w:r>
    </w:p>
    <w:p>
      <w:pPr>
        <w:spacing w:after="0" w:line="12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20"/>
          </w:cols>
          <w:pgMar w:left="880" w:top="268" w:right="499" w:bottom="1440" w:gutter="0" w:footer="0" w:header="0"/>
        </w:sectPr>
      </w:pPr>
    </w:p>
    <w:bookmarkStart w:id="21" w:name="page22"/>
    <w:bookmarkEnd w:id="2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Foreign Benefit Plans, adequate reserves therefor have been established on the accounting statements of the applicable Company or subsidiary;</w:t>
      </w:r>
    </w:p>
    <w:p>
      <w:pPr>
        <w:spacing w:after="0" w:line="27" w:lineRule="exact"/>
        <w:rPr>
          <w:sz w:val="20"/>
          <w:szCs w:val="20"/>
          <w:color w:val="auto"/>
        </w:rPr>
      </w:pPr>
    </w:p>
    <w:p>
      <w:pPr>
        <w:ind w:left="4" w:hanging="4"/>
        <w:spacing w:after="0" w:line="251" w:lineRule="auto"/>
        <w:tabs>
          <w:tab w:leader="none" w:pos="28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any obligations under any collective bargaining agreement with any union and no organization efforts are underway with respect to Company employees. As used in this Agreement,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w:t>
      </w:r>
      <w:r>
        <w:rPr>
          <w:rFonts w:ascii="Times New Roman" w:cs="Times New Roman" w:eastAsia="Times New Roman" w:hAnsi="Times New Roman"/>
          <w:sz w:val="18"/>
          <w:szCs w:val="18"/>
          <w:b w:val="1"/>
          <w:bCs w:val="1"/>
          <w:i w:val="1"/>
          <w:iCs w:val="1"/>
          <w:color w:val="auto"/>
        </w:rPr>
        <w:t>Employee Benefit Plan</w:t>
      </w:r>
      <w:r>
        <w:rPr>
          <w:rFonts w:ascii="Times New Roman" w:cs="Times New Roman" w:eastAsia="Times New Roman" w:hAnsi="Times New Roman"/>
          <w:sz w:val="18"/>
          <w:szCs w:val="18"/>
          <w:color w:val="auto"/>
        </w:rPr>
        <w:t>” means any “employee benefit plan” within the meaning of Section 3(3) of ERISA, including, without limitation, all stock purchase, stock option, stock-based severance, employment, change-in-control, medical, disability, fringe benefit, bonus, incentive, deferred compensation, employee loan and all other employee benefit plans, agreements, programs, policies or other arrangements, whether or not subject to ERISA, under which (1) any current or former employee, director or independent contractor of the Company or its subsidiaries has any present or future right to benefits and which are contributed to, sponsored by or maintained by the Company or any of its respective subsidiaries or (2) the Company or any of its subsidiaries has had or has any present or future obligation or liability; “</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means the Employee Retirement Income Security Act of 1974, as amended; “</w:t>
      </w:r>
      <w:r>
        <w:rPr>
          <w:rFonts w:ascii="Times New Roman" w:cs="Times New Roman" w:eastAsia="Times New Roman" w:hAnsi="Times New Roman"/>
          <w:sz w:val="18"/>
          <w:szCs w:val="18"/>
          <w:b w:val="1"/>
          <w:bCs w:val="1"/>
          <w:i w:val="1"/>
          <w:iCs w:val="1"/>
          <w:color w:val="auto"/>
        </w:rPr>
        <w:t>ERISA Affiliate</w:t>
      </w:r>
      <w:r>
        <w:rPr>
          <w:rFonts w:ascii="Times New Roman" w:cs="Times New Roman" w:eastAsia="Times New Roman" w:hAnsi="Times New Roman"/>
          <w:sz w:val="18"/>
          <w:szCs w:val="18"/>
          <w:color w:val="auto"/>
        </w:rPr>
        <w:t>” means any member of the company’s controlled group as defined in Code Section 414(b), (c), (m) or (o); and “</w:t>
      </w:r>
      <w:r>
        <w:rPr>
          <w:rFonts w:ascii="Times New Roman" w:cs="Times New Roman" w:eastAsia="Times New Roman" w:hAnsi="Times New Roman"/>
          <w:sz w:val="18"/>
          <w:szCs w:val="18"/>
          <w:b w:val="1"/>
          <w:bCs w:val="1"/>
          <w:i w:val="1"/>
          <w:iCs w:val="1"/>
          <w:color w:val="auto"/>
        </w:rPr>
        <w:t>Foreign Benefit Plan</w:t>
      </w:r>
      <w:r>
        <w:rPr>
          <w:rFonts w:ascii="Times New Roman" w:cs="Times New Roman" w:eastAsia="Times New Roman" w:hAnsi="Times New Roman"/>
          <w:sz w:val="18"/>
          <w:szCs w:val="18"/>
          <w:color w:val="auto"/>
        </w:rPr>
        <w:t>” means any Employee Benefit Plan established, maintained or contributed to outside of the United States or which covers any employee working or residing outside of the United States.</w:t>
      </w:r>
    </w:p>
    <w:p>
      <w:pPr>
        <w:spacing w:after="0" w:line="82" w:lineRule="exact"/>
        <w:rPr>
          <w:sz w:val="20"/>
          <w:szCs w:val="20"/>
          <w:color w:val="auto"/>
        </w:rPr>
      </w:pPr>
    </w:p>
    <w:p>
      <w:pPr>
        <w:ind w:left="4" w:right="320" w:firstLine="952"/>
        <w:spacing w:after="0" w:line="261" w:lineRule="auto"/>
        <w:rPr>
          <w:sz w:val="20"/>
          <w:szCs w:val="20"/>
          <w:color w:val="auto"/>
        </w:rPr>
      </w:pPr>
      <w:r>
        <w:rPr>
          <w:rFonts w:ascii="Times New Roman" w:cs="Times New Roman" w:eastAsia="Times New Roman" w:hAnsi="Times New Roman"/>
          <w:sz w:val="18"/>
          <w:szCs w:val="18"/>
          <w:color w:val="auto"/>
        </w:rPr>
        <w:t xml:space="preserve">(xli) </w:t>
      </w:r>
      <w:r>
        <w:rPr>
          <w:rFonts w:ascii="Times New Roman" w:cs="Times New Roman" w:eastAsia="Times New Roman" w:hAnsi="Times New Roman"/>
          <w:sz w:val="18"/>
          <w:szCs w:val="18"/>
          <w:i w:val="1"/>
          <w:iCs w:val="1"/>
          <w:u w:val="single" w:color="auto"/>
          <w:color w:val="auto"/>
        </w:rPr>
        <w:t>Business Arrangements</w:t>
      </w:r>
      <w:r>
        <w:rPr>
          <w:rFonts w:ascii="Times New Roman" w:cs="Times New Roman" w:eastAsia="Times New Roman" w:hAnsi="Times New Roman"/>
          <w:sz w:val="18"/>
          <w:szCs w:val="18"/>
          <w:color w:val="auto"/>
        </w:rPr>
        <w:t>. Except as disclosed in the Registration Statement, the Time of Sale Disclosure Package and the Prospectus, neither the Company nor any of its subsidiaries has granted rights to develop, manufacture, produce, assemble, distribute, license, market or sell its products to any other person and is not bound by any agreement that affects the exclusive right of the Company or such subsidiary to develop, manufacture, produce, assemble, distribute, license, market or sell its products.</w:t>
      </w:r>
    </w:p>
    <w:p>
      <w:pPr>
        <w:spacing w:after="0" w:line="72" w:lineRule="exact"/>
        <w:rPr>
          <w:sz w:val="20"/>
          <w:szCs w:val="20"/>
          <w:color w:val="auto"/>
        </w:rPr>
      </w:pPr>
    </w:p>
    <w:p>
      <w:pPr>
        <w:ind w:left="4" w:right="620" w:firstLine="952"/>
        <w:spacing w:after="0" w:line="267" w:lineRule="auto"/>
        <w:rPr>
          <w:sz w:val="20"/>
          <w:szCs w:val="20"/>
          <w:color w:val="auto"/>
        </w:rPr>
      </w:pPr>
      <w:r>
        <w:rPr>
          <w:rFonts w:ascii="Times New Roman" w:cs="Times New Roman" w:eastAsia="Times New Roman" w:hAnsi="Times New Roman"/>
          <w:sz w:val="18"/>
          <w:szCs w:val="18"/>
          <w:color w:val="auto"/>
        </w:rPr>
        <w:t xml:space="preserve">(xlii) </w:t>
      </w:r>
      <w:r>
        <w:rPr>
          <w:rFonts w:ascii="Times New Roman" w:cs="Times New Roman" w:eastAsia="Times New Roman" w:hAnsi="Times New Roman"/>
          <w:sz w:val="18"/>
          <w:szCs w:val="18"/>
          <w:i w:val="1"/>
          <w:iCs w:val="1"/>
          <w:u w:val="single" w:color="auto"/>
          <w:color w:val="auto"/>
        </w:rPr>
        <w:t>Labor Matters</w:t>
      </w:r>
      <w:r>
        <w:rPr>
          <w:rFonts w:ascii="Times New Roman" w:cs="Times New Roman" w:eastAsia="Times New Roman" w:hAnsi="Times New Roman"/>
          <w:sz w:val="18"/>
          <w:szCs w:val="18"/>
          <w:color w:val="auto"/>
        </w:rPr>
        <w:t>. No labor problem or dispute with the employees of the Company or any of its subsidiaries exists or is threatened or imminent, and the Company is not aware of any existing or imminent labor disturbance by the employees of any of its or its subsidiaries’ principal suppliers, contractors or customers, that could result in a Material Adverse Effect.</w:t>
      </w:r>
    </w:p>
    <w:p>
      <w:pPr>
        <w:spacing w:after="0" w:line="65" w:lineRule="exact"/>
        <w:rPr>
          <w:sz w:val="20"/>
          <w:szCs w:val="20"/>
          <w:color w:val="auto"/>
        </w:rPr>
      </w:pPr>
    </w:p>
    <w:p>
      <w:pPr>
        <w:ind w:left="4" w:firstLine="952"/>
        <w:spacing w:after="0" w:line="258" w:lineRule="auto"/>
        <w:rPr>
          <w:sz w:val="20"/>
          <w:szCs w:val="20"/>
          <w:color w:val="auto"/>
        </w:rPr>
      </w:pPr>
      <w:r>
        <w:rPr>
          <w:rFonts w:ascii="Times New Roman" w:cs="Times New Roman" w:eastAsia="Times New Roman" w:hAnsi="Times New Roman"/>
          <w:sz w:val="18"/>
          <w:szCs w:val="18"/>
          <w:color w:val="auto"/>
        </w:rPr>
        <w:t xml:space="preserve">(xliii) </w:t>
      </w:r>
      <w:r>
        <w:rPr>
          <w:rFonts w:ascii="Times New Roman" w:cs="Times New Roman" w:eastAsia="Times New Roman" w:hAnsi="Times New Roman"/>
          <w:sz w:val="18"/>
          <w:szCs w:val="18"/>
          <w:i w:val="1"/>
          <w:iCs w:val="1"/>
          <w:u w:val="single" w:color="auto"/>
          <w:color w:val="auto"/>
        </w:rPr>
        <w:t>Restrictions on Subsidiary Payments to the Company</w:t>
      </w:r>
      <w:r>
        <w:rPr>
          <w:rFonts w:ascii="Times New Roman" w:cs="Times New Roman" w:eastAsia="Times New Roman" w:hAnsi="Times New Roman"/>
          <w:sz w:val="18"/>
          <w:szCs w:val="18"/>
          <w:color w:val="auto"/>
        </w:rPr>
        <w:t>. No subsidiary of the Company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or contemplated by the Time of Sale Disclosure Package and the Prospectus.</w:t>
      </w:r>
    </w:p>
    <w:p>
      <w:pPr>
        <w:spacing w:after="0" w:line="75" w:lineRule="exact"/>
        <w:rPr>
          <w:sz w:val="20"/>
          <w:szCs w:val="20"/>
          <w:color w:val="auto"/>
        </w:rPr>
      </w:pPr>
    </w:p>
    <w:p>
      <w:pPr>
        <w:ind w:left="4" w:right="100" w:firstLine="952"/>
        <w:spacing w:after="0" w:line="267" w:lineRule="auto"/>
        <w:rPr>
          <w:sz w:val="20"/>
          <w:szCs w:val="20"/>
          <w:color w:val="auto"/>
        </w:rPr>
      </w:pPr>
      <w:r>
        <w:rPr>
          <w:rFonts w:ascii="Times New Roman" w:cs="Times New Roman" w:eastAsia="Times New Roman" w:hAnsi="Times New Roman"/>
          <w:sz w:val="18"/>
          <w:szCs w:val="18"/>
          <w:color w:val="auto"/>
        </w:rPr>
        <w:t xml:space="preserve">(xliv) </w:t>
      </w:r>
      <w:r>
        <w:rPr>
          <w:rFonts w:ascii="Times New Roman" w:cs="Times New Roman" w:eastAsia="Times New Roman" w:hAnsi="Times New Roman"/>
          <w:sz w:val="18"/>
          <w:szCs w:val="18"/>
          <w:i w:val="1"/>
          <w:iCs w:val="1"/>
          <w:u w:val="single" w:color="auto"/>
          <w:color w:val="auto"/>
        </w:rPr>
        <w:t>Statistical Information</w:t>
      </w:r>
      <w:r>
        <w:rPr>
          <w:rFonts w:ascii="Times New Roman" w:cs="Times New Roman" w:eastAsia="Times New Roman" w:hAnsi="Times New Roman"/>
          <w:sz w:val="18"/>
          <w:szCs w:val="18"/>
          <w:color w:val="auto"/>
        </w:rPr>
        <w:t>. Any third-party statistical and market-related data included in the Registration Statement, the Time of Sale Disclosure Package and the Prospectus are based on or derived from sources that the Company believes to be reliable and accurate in all material respects.</w:t>
      </w:r>
    </w:p>
    <w:p>
      <w:pPr>
        <w:spacing w:after="0" w:line="108"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24"/>
          </w:cols>
          <w:pgMar w:left="876" w:top="270" w:right="499" w:bottom="1440" w:gutter="0" w:footer="0" w:header="0"/>
        </w:sectPr>
      </w:pPr>
    </w:p>
    <w:bookmarkStart w:id="22" w:name="page23"/>
    <w:bookmarkEnd w:id="22"/>
    <w:p>
      <w:pPr>
        <w:ind w:right="60" w:firstLine="952"/>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(xlv) </w:t>
      </w:r>
      <w:r>
        <w:rPr>
          <w:rFonts w:ascii="Times New Roman" w:cs="Times New Roman" w:eastAsia="Times New Roman" w:hAnsi="Times New Roman"/>
          <w:sz w:val="18"/>
          <w:szCs w:val="18"/>
          <w:i w:val="1"/>
          <w:iCs w:val="1"/>
          <w:u w:val="single" w:color="auto"/>
          <w:color w:val="auto"/>
        </w:rPr>
        <w:t>Forward-looking Statements</w:t>
      </w:r>
      <w:r>
        <w:rPr>
          <w:rFonts w:ascii="Times New Roman" w:cs="Times New Roman" w:eastAsia="Times New Roman" w:hAnsi="Times New Roman"/>
          <w:sz w:val="18"/>
          <w:szCs w:val="18"/>
          <w:color w:val="auto"/>
        </w:rPr>
        <w:t>. No forward-looking statement (within the meaning of Section 27A of the Act and Section 21E of the Exchange Act) contained in the Registration Statement, the Time of Sale Disclosure Package or the Prospectus has been made or reaffirmed without a reasonable basis or has been disclosed other than in good faith.</w:t>
      </w:r>
    </w:p>
    <w:p>
      <w:pPr>
        <w:spacing w:after="0" w:line="65" w:lineRule="exact"/>
        <w:rPr>
          <w:sz w:val="20"/>
          <w:szCs w:val="20"/>
          <w:color w:val="auto"/>
        </w:rPr>
      </w:pPr>
    </w:p>
    <w:p>
      <w:pPr>
        <w:ind w:firstLine="952"/>
        <w:spacing w:after="0" w:line="252" w:lineRule="auto"/>
        <w:rPr>
          <w:sz w:val="20"/>
          <w:szCs w:val="20"/>
          <w:color w:val="auto"/>
        </w:rPr>
      </w:pPr>
      <w:r>
        <w:rPr>
          <w:rFonts w:ascii="Times New Roman" w:cs="Times New Roman" w:eastAsia="Times New Roman" w:hAnsi="Times New Roman"/>
          <w:sz w:val="18"/>
          <w:szCs w:val="18"/>
          <w:color w:val="auto"/>
        </w:rPr>
        <w:t xml:space="preserve">(xlvi) </w:t>
      </w:r>
      <w:r>
        <w:rPr>
          <w:rFonts w:ascii="Times New Roman" w:cs="Times New Roman" w:eastAsia="Times New Roman" w:hAnsi="Times New Roman"/>
          <w:sz w:val="18"/>
          <w:szCs w:val="18"/>
          <w:i w:val="1"/>
          <w:iCs w:val="1"/>
          <w:u w:val="single" w:color="auto"/>
          <w:color w:val="auto"/>
        </w:rPr>
        <w:t>Cybersecurity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i w:val="1"/>
          <w:i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(as defined below);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8"/>
          <w:szCs w:val="18"/>
          <w:b w:val="1"/>
          <w:bCs w:val="1"/>
          <w:i w:val="1"/>
          <w:iCs w:val="1"/>
          <w:color w:val="auto"/>
        </w:rPr>
        <w:t>HIPAA</w:t>
      </w:r>
      <w:r>
        <w:rPr>
          <w:rFonts w:ascii="Times New Roman" w:cs="Times New Roman" w:eastAsia="Times New Roman" w:hAnsi="Times New Roman"/>
          <w:sz w:val="18"/>
          <w:szCs w:val="18"/>
          <w:color w:val="auto"/>
        </w:rPr>
        <w:t>”); and (v) any other piece of information that allows the identification of such natural person, or his or her family, or permits the collection or analysis of any data related to an identified person’s health or sexual orientation, or any other personal, personally identifiable, sensitive, confidential or regulated data.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81" w:lineRule="exact"/>
        <w:rPr>
          <w:sz w:val="20"/>
          <w:szCs w:val="20"/>
          <w:color w:val="auto"/>
        </w:rPr>
      </w:pPr>
    </w:p>
    <w:p>
      <w:pPr>
        <w:ind w:right="20" w:firstLine="952"/>
        <w:spacing w:after="0" w:line="261" w:lineRule="auto"/>
        <w:rPr>
          <w:sz w:val="20"/>
          <w:szCs w:val="20"/>
          <w:color w:val="auto"/>
        </w:rPr>
      </w:pPr>
      <w:r>
        <w:rPr>
          <w:rFonts w:ascii="Times New Roman" w:cs="Times New Roman" w:eastAsia="Times New Roman" w:hAnsi="Times New Roman"/>
          <w:sz w:val="18"/>
          <w:szCs w:val="18"/>
          <w:color w:val="auto"/>
        </w:rPr>
        <w:t xml:space="preserve">(xlvii) </w:t>
      </w:r>
      <w:r>
        <w:rPr>
          <w:rFonts w:ascii="Times New Roman" w:cs="Times New Roman" w:eastAsia="Times New Roman" w:hAnsi="Times New Roman"/>
          <w:sz w:val="18"/>
          <w:szCs w:val="18"/>
          <w:i w:val="1"/>
          <w:iCs w:val="1"/>
          <w:u w:val="single" w:color="auto"/>
          <w:color w:val="auto"/>
        </w:rPr>
        <w:t>Compliance with Data Privacy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and its subsidiaries are, and at all prior times were, in material compliance with all applicable international, state and federal data privacy and security laws and regulations, including without limitation HIPAA, the California Consumer Privacy Act (“</w:t>
      </w:r>
      <w:r>
        <w:rPr>
          <w:rFonts w:ascii="Times New Roman" w:cs="Times New Roman" w:eastAsia="Times New Roman" w:hAnsi="Times New Roman"/>
          <w:sz w:val="18"/>
          <w:szCs w:val="18"/>
          <w:b w:val="1"/>
          <w:bCs w:val="1"/>
          <w:i w:val="1"/>
          <w:iCs w:val="1"/>
          <w:color w:val="auto"/>
        </w:rPr>
        <w:t>CCPA</w:t>
      </w:r>
      <w:r>
        <w:rPr>
          <w:rFonts w:ascii="Times New Roman" w:cs="Times New Roman" w:eastAsia="Times New Roman" w:hAnsi="Times New Roman"/>
          <w:sz w:val="18"/>
          <w:szCs w:val="18"/>
          <w:color w:val="auto"/>
        </w:rPr>
        <w:t>”), the European Union General Data Protection Regulation (“</w:t>
      </w:r>
      <w:r>
        <w:rPr>
          <w:rFonts w:ascii="Times New Roman" w:cs="Times New Roman" w:eastAsia="Times New Roman" w:hAnsi="Times New Roman"/>
          <w:sz w:val="18"/>
          <w:szCs w:val="18"/>
          <w:b w:val="1"/>
          <w:bCs w:val="1"/>
          <w:i w:val="1"/>
          <w:iCs w:val="1"/>
          <w:color w:val="auto"/>
        </w:rPr>
        <w:t>GDPR</w:t>
      </w:r>
      <w:r>
        <w:rPr>
          <w:rFonts w:ascii="Times New Roman" w:cs="Times New Roman" w:eastAsia="Times New Roman" w:hAnsi="Times New Roman"/>
          <w:sz w:val="18"/>
          <w:szCs w:val="18"/>
          <w:color w:val="auto"/>
        </w:rPr>
        <w:t>”) (EU 2016/679), and all applicable judgments, orders, rules and regulations of any court or arbitrator or governmental or</w:t>
      </w:r>
    </w:p>
    <w:p>
      <w:pPr>
        <w:spacing w:after="0" w:line="11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40"/>
          </w:cols>
          <w:pgMar w:left="880" w:top="268" w:right="479" w:bottom="1440" w:gutter="0" w:footer="0" w:header="0"/>
        </w:sectPr>
      </w:pPr>
    </w:p>
    <w:bookmarkStart w:id="23" w:name="page24"/>
    <w:bookmarkEnd w:id="23"/>
    <w:p>
      <w:pPr>
        <w:ind w:left="440"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regulatory authority, approved final versions of internal and external policies, and contractual obligations relating to the privacy and security of IT Systems and the collection, use, transfer, import, export, storage, disposal and disclosure of Personal Data and to the protection of such IT Systems and Personal Data from unauthorized use, access, misappropriation or modification (collectively, the “</w:t>
      </w:r>
      <w:r>
        <w:rPr>
          <w:rFonts w:ascii="Times New Roman" w:cs="Times New Roman" w:eastAsia="Times New Roman" w:hAnsi="Times New Roman"/>
          <w:sz w:val="18"/>
          <w:szCs w:val="18"/>
          <w:b w:val="1"/>
          <w:bCs w:val="1"/>
          <w:i w:val="1"/>
          <w:iCs w:val="1"/>
          <w:color w:val="auto"/>
        </w:rPr>
        <w:t>Privacy Laws</w:t>
      </w:r>
      <w:r>
        <w:rPr>
          <w:rFonts w:ascii="Times New Roman" w:cs="Times New Roman" w:eastAsia="Times New Roman" w:hAnsi="Times New Roman"/>
          <w:sz w:val="18"/>
          <w:szCs w:val="18"/>
          <w:color w:val="auto"/>
        </w:rPr>
        <w: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cs="Times New Roman" w:eastAsia="Times New Roman" w:hAnsi="Times New Roman"/>
          <w:sz w:val="18"/>
          <w:szCs w:val="18"/>
          <w:b w:val="1"/>
          <w:bCs w:val="1"/>
          <w:i w:val="1"/>
          <w:iCs w:val="1"/>
          <w:color w:val="auto"/>
        </w:rPr>
        <w:t>Policies</w:t>
      </w:r>
      <w:r>
        <w:rPr>
          <w:rFonts w:ascii="Times New Roman" w:cs="Times New Roman" w:eastAsia="Times New Roman" w:hAnsi="Times New Roman"/>
          <w:sz w:val="18"/>
          <w:szCs w:val="18"/>
          <w:color w:val="auto"/>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77" w:lineRule="exact"/>
        <w:rPr>
          <w:sz w:val="20"/>
          <w:szCs w:val="20"/>
          <w:color w:val="auto"/>
        </w:rPr>
      </w:pPr>
    </w:p>
    <w:p>
      <w:pPr>
        <w:ind w:right="320" w:firstLine="987"/>
        <w:spacing w:after="0" w:line="284" w:lineRule="auto"/>
        <w:tabs>
          <w:tab w:leader="none" w:pos="124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Effect of Certificates</w:t>
      </w:r>
      <w:r>
        <w:rPr>
          <w:rFonts w:ascii="Times New Roman" w:cs="Times New Roman" w:eastAsia="Times New Roman" w:hAnsi="Times New Roman"/>
          <w:sz w:val="18"/>
          <w:szCs w:val="18"/>
          <w:color w:val="auto"/>
        </w:rPr>
        <w:t>. Any certificate signed by any officer of the Company and delivered to you or to counsel for the Underwriters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deemed a representation and warranty by the Company to each Underwriter as to the matters covered thereby.</w:t>
      </w:r>
    </w:p>
    <w:p>
      <w:pPr>
        <w:spacing w:after="0" w:line="48"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Purchase, Sale and Delivery of Securities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right="80" w:firstLine="987"/>
        <w:spacing w:after="0" w:line="254" w:lineRule="auto"/>
        <w:tabs>
          <w:tab w:leader="none" w:pos="123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Firm Shares</w:t>
      </w:r>
      <w:r>
        <w:rPr>
          <w:rFonts w:ascii="Times New Roman" w:cs="Times New Roman" w:eastAsia="Times New Roman" w:hAnsi="Times New Roman"/>
          <w:sz w:val="18"/>
          <w:szCs w:val="18"/>
          <w:color w:val="auto"/>
        </w:rPr>
        <w:t>. On the basis of the representations, warranties and agreements herein contained, but subject to the terms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herein set forth, the Company agrees to issue and sell the Firm Shares to the several Underwriters, and each Underwriter agrees, severally and not jointly, to purchase from the Company the number of Firm Shares set forth opposite the name of such Underwriter in Schedule I hereto. The purchase price for each Firm Share shall be $20.04875 per share. The obligation of each Underwriter to the Company shall be to purchase that number of Firm Shares (to be adjusted by the Representatives to avoid fractional shares) which represents the same proportion of the number of Firm Shares to be sold by the Company pursuant to this Agreement as the number of Firm Shares set forth opposite the name of such Underwriter in Schedule I hereto represents to the total number of Firm Shares to be purchased by all Underwriters pursuant to this Agreement. In making this Agreement, each Underwriter is contracting severally and not jointly; except as provided in paragraph (c) of this Section 3 and in Section 8 hereof, the agreement of each Underwriter is to purchase only the respective number of Firm Shares specified in Schedule I.</w:t>
      </w:r>
    </w:p>
    <w:p>
      <w:pPr>
        <w:spacing w:after="0" w:line="19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Firm Shares will be delivered by the Company to you for the accounts of the several Underwriters against payment of the purchase price therefor by wire transfer of same day funds payable to the order of the Company at the offices of Piper Sandler &amp; Co., U.S. Bancorp Center, 800 Nicollet Mall, Minneapolis, Minnesota, or such other location as may be mutually acceptable, at 9:00 a.m. Central time on the second (or if the Securities are priced, as contemplated by Rule 15c6-1(c) under the Exchange Act, after 4:30 p.m. Eastern time, the third) full business day following the date hereof, or at such other time and date as you and the Company determine pursuant to Rule 15c6-1(a) under the Exchange Act, such time and date of delivery being herein referred to as the “</w:t>
      </w:r>
      <w:r>
        <w:rPr>
          <w:rFonts w:ascii="Times New Roman" w:cs="Times New Roman" w:eastAsia="Times New Roman" w:hAnsi="Times New Roman"/>
          <w:sz w:val="18"/>
          <w:szCs w:val="18"/>
          <w:b w:val="1"/>
          <w:bCs w:val="1"/>
          <w:i w:val="1"/>
          <w:iCs w:val="1"/>
          <w:color w:val="auto"/>
        </w:rPr>
        <w:t>First Closing Date</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24" w:name="page25"/>
    <w:bookmarkEnd w:id="24"/>
    <w:p>
      <w:pPr>
        <w:ind w:right="20" w:firstLine="987"/>
        <w:spacing w:after="0" w:line="253" w:lineRule="auto"/>
        <w:tabs>
          <w:tab w:leader="none" w:pos="124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Shares</w:t>
      </w:r>
      <w:r>
        <w:rPr>
          <w:rFonts w:ascii="Times New Roman" w:cs="Times New Roman" w:eastAsia="Times New Roman" w:hAnsi="Times New Roman"/>
          <w:sz w:val="18"/>
          <w:szCs w:val="18"/>
          <w:color w:val="auto"/>
        </w:rPr>
        <w:t>. On the basis of the representations, warranties and agreements herein contained, but subject to the terms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herein set forth, the Company hereby grants to the several Underwriters an option to purchase 419,250 Option Shares at the same purchase price as the Firm Shares. The option granted hereunder may be exercised in whole or in part at any time (but not more than once) within 30 days after the effective date of this Agreement upon notice (confirmed in writing) by the Representatives to the Company setting forth the aggregate number of Option Shares as to which the several Underwriters are exercising the option, and the date and time, as determined by you, when the Option Shares are to be delivered, such time and date being herein referred to as the “</w:t>
      </w:r>
      <w:r>
        <w:rPr>
          <w:rFonts w:ascii="Times New Roman" w:cs="Times New Roman" w:eastAsia="Times New Roman" w:hAnsi="Times New Roman"/>
          <w:sz w:val="18"/>
          <w:szCs w:val="18"/>
          <w:b w:val="1"/>
          <w:bCs w:val="1"/>
          <w:i w:val="1"/>
          <w:iCs w:val="1"/>
          <w:color w:val="auto"/>
        </w:rPr>
        <w:t>Second Closing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Second Closing Date</w:t>
      </w:r>
      <w:r>
        <w:rPr>
          <w:rFonts w:ascii="Times New Roman" w:cs="Times New Roman" w:eastAsia="Times New Roman" w:hAnsi="Times New Roman"/>
          <w:sz w:val="18"/>
          <w:szCs w:val="18"/>
          <w:color w:val="auto"/>
        </w:rPr>
        <w:t>,” respectively; provided, however, that the Second Closing Date shall not be earlier than the First Closing Date nor earlier than the second business day after the date on which the option shall have been exercised. The number of Option Shares to be purchased by each Underwriter shall be the same percentage of the total number of Option Shares to be purchased by the several Underwriters as the number of Firm Shares to be purchased by such Underwriter is of the total number of Firm Shares to be purchased by the several Underwriters, as adjusted by the Representatives in such manner as the Representatives deem advisable to avoid fractional shares. No Option Shares shall be sold and delivered unless the Firm Shares previously have been, or simultaneously are, sold and delivered.</w:t>
      </w:r>
    </w:p>
    <w:p>
      <w:pPr>
        <w:spacing w:after="0" w:line="194" w:lineRule="exact"/>
        <w:rPr>
          <w:sz w:val="20"/>
          <w:szCs w:val="20"/>
          <w:color w:val="auto"/>
        </w:rPr>
      </w:pPr>
    </w:p>
    <w:p>
      <w:pPr>
        <w:jc w:val="both"/>
        <w:ind w:right="40" w:firstLine="991"/>
        <w:spacing w:after="0" w:line="261" w:lineRule="auto"/>
        <w:rPr>
          <w:sz w:val="20"/>
          <w:szCs w:val="20"/>
          <w:color w:val="auto"/>
        </w:rPr>
      </w:pPr>
      <w:r>
        <w:rPr>
          <w:rFonts w:ascii="Times New Roman" w:cs="Times New Roman" w:eastAsia="Times New Roman" w:hAnsi="Times New Roman"/>
          <w:sz w:val="18"/>
          <w:szCs w:val="18"/>
          <w:color w:val="auto"/>
        </w:rPr>
        <w:t>The Option Shares will be delivered by the Company to you for the accounts of the several Underwriters against payment of the purchase price therefor by wire transfer of same day funds payable to the order of the Custodian or the Company, as appropriate, at the offices of Piper Sandler &amp; Co., U.S. Bancorp Center, 800 Nicollet Mall, Minneapolis, Minnesota, or such other location as may be mutually acceptable at 9:00 a.m., Central time, on the Second Closing Date.</w:t>
      </w:r>
    </w:p>
    <w:p>
      <w:pPr>
        <w:spacing w:after="0" w:line="70" w:lineRule="exact"/>
        <w:rPr>
          <w:sz w:val="20"/>
          <w:szCs w:val="20"/>
          <w:color w:val="auto"/>
        </w:rPr>
      </w:pPr>
    </w:p>
    <w:p>
      <w:pPr>
        <w:ind w:right="20" w:firstLine="987"/>
        <w:spacing w:after="0" w:line="275" w:lineRule="auto"/>
        <w:tabs>
          <w:tab w:leader="none" w:pos="12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Delivery</w:t>
      </w:r>
      <w:r>
        <w:rPr>
          <w:rFonts w:ascii="Times New Roman" w:cs="Times New Roman" w:eastAsia="Times New Roman" w:hAnsi="Times New Roman"/>
          <w:sz w:val="17"/>
          <w:szCs w:val="17"/>
          <w:color w:val="auto"/>
        </w:rPr>
        <w:t>. If the Representatives so elect, delivery of the Firm Shares or the Option Shares may be made by credit through full fast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transfer to the accounts at DTC designated by the Representatives. In the event that the Firm Shares (and Option Shares, if elected by the Representative) are not delivered to the Representative by 2:30 p.m., New York City time, on the First Closing Date (and the Second Closing Date, if elected by the Representative), the Company will return (or will instruct its Custodian to return) payment of the full purchase price to the Representative’s agent, Pershing LLC, via same day funds by 4:30 p.m., New York City time. The Company shall remain liable to Pershing LLC for the full amount of the purchase price and any costs associated with recovering the purchase price until the full amount has been received by Pershing LLC.</w:t>
      </w:r>
    </w:p>
    <w:p>
      <w:pPr>
        <w:spacing w:after="0" w:line="60" w:lineRule="exact"/>
        <w:rPr>
          <w:rFonts w:ascii="Times New Roman" w:cs="Times New Roman" w:eastAsia="Times New Roman" w:hAnsi="Times New Roman"/>
          <w:sz w:val="17"/>
          <w:szCs w:val="17"/>
          <w:color w:val="auto"/>
        </w:rPr>
      </w:pPr>
    </w:p>
    <w:p>
      <w:pPr>
        <w:ind w:firstLine="987"/>
        <w:spacing w:after="0" w:line="261" w:lineRule="auto"/>
        <w:tabs>
          <w:tab w:leader="none" w:pos="12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Purchase by Representatives on Behalf of Underwriters</w:t>
      </w:r>
      <w:r>
        <w:rPr>
          <w:rFonts w:ascii="Times New Roman" w:cs="Times New Roman" w:eastAsia="Times New Roman" w:hAnsi="Times New Roman"/>
          <w:sz w:val="18"/>
          <w:szCs w:val="18"/>
          <w:color w:val="auto"/>
        </w:rPr>
        <w:t>. It is understood that you, individually and not as Representatives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 Underwriters, may (but shall not be obligated to) make payment to the Company, on behalf of any Underwriter for the Securities to be purchased by such Underwriter. Any such payment by you shall not relieve any such Underwriter of any of its obligations hereunder. Nothing herein contained shall constitute any of the Underwriters an unincorporated association or partner with the Company.</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68" w:right="479" w:bottom="1440" w:gutter="0" w:footer="0" w:header="0"/>
        </w:sectPr>
      </w:pPr>
    </w:p>
    <w:bookmarkStart w:id="25" w:name="page26"/>
    <w:bookmarkEnd w:id="25"/>
    <w:p>
      <w:pPr>
        <w:ind w:left="184" w:hanging="184"/>
        <w:spacing w:after="0"/>
        <w:tabs>
          <w:tab w:leader="none" w:pos="18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Covenants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804" w:hanging="253"/>
        <w:spacing w:after="0"/>
        <w:tabs>
          <w:tab w:leader="none" w:pos="80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Covenants of the Company</w:t>
      </w:r>
      <w:r>
        <w:rPr>
          <w:rFonts w:ascii="Times New Roman" w:cs="Times New Roman" w:eastAsia="Times New Roman" w:hAnsi="Times New Roman"/>
          <w:sz w:val="18"/>
          <w:szCs w:val="18"/>
          <w:color w:val="auto"/>
        </w:rPr>
        <w:t>. The Company covenants and agrees with the several Underwriters as follows:</w:t>
      </w:r>
    </w:p>
    <w:p>
      <w:pPr>
        <w:spacing w:after="0" w:line="117" w:lineRule="exact"/>
        <w:rPr>
          <w:rFonts w:ascii="Times New Roman" w:cs="Times New Roman" w:eastAsia="Times New Roman" w:hAnsi="Times New Roman"/>
          <w:sz w:val="18"/>
          <w:szCs w:val="18"/>
          <w:color w:val="auto"/>
        </w:rPr>
      </w:pPr>
    </w:p>
    <w:p>
      <w:pPr>
        <w:ind w:left="4" w:right="20" w:firstLine="948"/>
        <w:spacing w:after="0" w:line="253" w:lineRule="auto"/>
        <w:tabs>
          <w:tab w:leader="none" w:pos="117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Required Filings</w:t>
      </w:r>
      <w:r>
        <w:rPr>
          <w:rFonts w:ascii="Times New Roman" w:cs="Times New Roman" w:eastAsia="Times New Roman" w:hAnsi="Times New Roman"/>
          <w:sz w:val="18"/>
          <w:szCs w:val="18"/>
          <w:color w:val="auto"/>
        </w:rPr>
        <w:t>. During the period beginning on the date hereof and ending on the later of the Second Closing Date or such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in the opinion of counsel for the Underwriters, the Prospectus is no longer required by law to be delivered (assuming the absence of Rule 172 under the Securities Act), in connection with sales by an Underwriter or dealer (the “</w:t>
      </w:r>
      <w:r>
        <w:rPr>
          <w:rFonts w:ascii="Times New Roman" w:cs="Times New Roman" w:eastAsia="Times New Roman" w:hAnsi="Times New Roman"/>
          <w:sz w:val="18"/>
          <w:szCs w:val="18"/>
          <w:b w:val="1"/>
          <w:bCs w:val="1"/>
          <w:i w:val="1"/>
          <w:iCs w:val="1"/>
          <w:color w:val="auto"/>
        </w:rPr>
        <w:t>Prospectus Delivery Period</w:t>
      </w:r>
      <w:r>
        <w:rPr>
          <w:rFonts w:ascii="Times New Roman" w:cs="Times New Roman" w:eastAsia="Times New Roman" w:hAnsi="Times New Roman"/>
          <w:sz w:val="18"/>
          <w:szCs w:val="18"/>
          <w:color w:val="auto"/>
        </w:rPr>
        <w:t>”), prior to amending or supplementing the Registration Statement (including any Rule 462(b) Registration Statement), the Time of Sale Disclosure Package or the Prospectus, the Company shall furnish to the Representatives for review a copy of each such proposed amendment or supplement, and the Company shall not file any such proposed amendment or supplement to which the Representatives or counsel to the Underwriters reasonably object. Subject to this Section 4(a)(i), immediately following execution of this Agreement, the Company will prepare the Prospectus containing the Rule 430B Information and other selling terms of the Securities, the plan of distribution thereof and such other information as may be required by the Securities Act or the Rules and Regulations or as the Representatives and the Company may deem appropriate, and if requested by the Representatives, an issuer free writing prospectus containing the selling terms of the Securities and such other information as the Company and the Representatives may deem appropriate, and will file or transmit for filing with the Commission, in accordance with Rule 424(b) or Rule 433, as the case may be, copies of the Prospectus and each issuer free writing prospectus.</w:t>
      </w:r>
    </w:p>
    <w:p>
      <w:pPr>
        <w:spacing w:after="0" w:line="81" w:lineRule="exact"/>
        <w:rPr>
          <w:rFonts w:ascii="Times New Roman" w:cs="Times New Roman" w:eastAsia="Times New Roman" w:hAnsi="Times New Roman"/>
          <w:sz w:val="18"/>
          <w:szCs w:val="18"/>
          <w:color w:val="auto"/>
        </w:rPr>
      </w:pPr>
    </w:p>
    <w:p>
      <w:pPr>
        <w:ind w:left="4" w:right="200" w:firstLine="948"/>
        <w:spacing w:after="0" w:line="277" w:lineRule="auto"/>
        <w:tabs>
          <w:tab w:leader="none" w:pos="1220" w:val="left"/>
        </w:tabs>
        <w:numPr>
          <w:ilvl w:val="2"/>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Notification of Certain Commission Actions</w:t>
      </w:r>
      <w:r>
        <w:rPr>
          <w:rFonts w:ascii="Times New Roman" w:cs="Times New Roman" w:eastAsia="Times New Roman" w:hAnsi="Times New Roman"/>
          <w:sz w:val="17"/>
          <w:szCs w:val="17"/>
          <w:color w:val="auto"/>
        </w:rPr>
        <w:t>. After the date of this Agreement, the Company shall promptly advise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Representatives in writing (A) of the receipt of any comments of, or requests for additional or supplemental information from, the Commission,</w:t>
      </w:r>
    </w:p>
    <w:p>
      <w:pPr>
        <w:spacing w:after="0" w:line="1" w:lineRule="exact"/>
        <w:rPr>
          <w:rFonts w:ascii="Times New Roman" w:cs="Times New Roman" w:eastAsia="Times New Roman" w:hAnsi="Times New Roman"/>
          <w:sz w:val="17"/>
          <w:szCs w:val="17"/>
          <w:color w:val="auto"/>
        </w:rPr>
      </w:pPr>
    </w:p>
    <w:p>
      <w:pPr>
        <w:ind w:left="4"/>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of the time and date of any filing of any post-effective amendment to the Registration Statement or any amendment or supplement to any Preliminary Prospectus, the Time of Sale Disclosure Package or the Prospectus, (C) of the time and date that any post-effective amendment to the Registration Statement becomes effective, (D) of the issuance by the Commission of any stop order suspending the effectiveness of the Registration Statement or any post-effective amendment thereto or of any order preventing or suspending its use or the use of any Preliminary Prospectus, the Time of Sale Disclosure Package, the Prospectus or any issuer free writing prospectus, or (E) of any proceedings to remove, suspend or terminate from listing or quotation the Common Stock from any securities exchange upon which it is listed for trading or included or designated for quotation, or of the threatening or initiation of any proceedings for any of such purposes. If the Commission shall enter any such stop order at any time, the Company will use its best efforts to obtain the lifting of such order at the earliest possible moment. Additionally, the Company agrees that it shall comply with the provisions of Rules 424(b), 430A and 430B, as applicable, under the Securities Act and will use its reasonable efforts to confirm that any filings made by the Company under Rule 424(b), Rule 433 or Rule 462 were received in a timely manner by the Commission (without reliance on Rule 424(b)(8) or Rule 164(b)).</w:t>
      </w:r>
    </w:p>
    <w:p>
      <w:pPr>
        <w:spacing w:after="0" w:line="125"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44"/>
          </w:cols>
          <w:pgMar w:left="876" w:top="266" w:right="479" w:bottom="1440" w:gutter="0" w:footer="0" w:header="0"/>
        </w:sectPr>
      </w:pPr>
    </w:p>
    <w:bookmarkStart w:id="26" w:name="page27"/>
    <w:bookmarkEnd w:id="26"/>
    <w:p>
      <w:pPr>
        <w:ind w:right="20" w:firstLine="948"/>
        <w:spacing w:after="0" w:line="252" w:lineRule="auto"/>
        <w:tabs>
          <w:tab w:leader="none" w:pos="126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Continued Compliance with Securities Laws</w:t>
      </w:r>
      <w:r>
        <w:rPr>
          <w:rFonts w:ascii="Times New Roman" w:cs="Times New Roman" w:eastAsia="Times New Roman" w:hAnsi="Times New Roman"/>
          <w:sz w:val="18"/>
          <w:szCs w:val="18"/>
          <w:color w:val="auto"/>
        </w:rPr>
        <w:t>. (A) During the Prospectus Delivery Period, the Company will comply as far as it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able with all requirements imposed upon it by the Securities Act, as now and hereafter amended, and by the Rules and Regulations, as from time to time in force, and by the Exchange Act so far as necessary to permit the continuance of sales of or dealings in the Securities as contemplated by the provisions hereof, the Time of Sale Disclosure Package and the Prospectus. If during such period any event occurs as a result of which the Prospectus (or if the Prospectus is not yet available to prospective purchasers, the Time of Sale Disclosure Package) would include an untrue statement of a material fact or omit to state a material fact necessary to make the statements therein, in the light of the circumstances then existing, not misleading, or if during such period it is necessary or appropriate in the opinion of the Company or its counsel or the Representatives or counsel to the Underwriters to amend the Registration Statement or supplement the Prospectus (or, if the Prospectus is not yet available to prospective purchasers, the Time of Sale Disclosure Package) to comply with the Securities Act or to file under the Exchange Act any document which would be deemed to be incorporated by reference in the Prospectus in order to comply with the Securities Act or the Exchange Act, the Company promptly will (x) notify you of such untrue statement or omission, (y) amend the Registration Statement or supplement the Prospectus (or, if the Prospectus is not yet available to prospective purchasers, the Time of Sale Disclosure Package) or file such document (at the expense of the Company) so as to correct such statement or omission or effect such compliance, and (z) notify you when any amendment to the Registration Statement is filed or becomes effective or when any supplement to the Prospectus (or, if the Prospectus is not yet available to prospective purchasers, the Time of Sale Disclosure Package) is filed.</w:t>
      </w:r>
    </w:p>
    <w:p>
      <w:pPr>
        <w:spacing w:after="0" w:line="90" w:lineRule="exact"/>
        <w:rPr>
          <w:sz w:val="20"/>
          <w:szCs w:val="20"/>
          <w:color w:val="auto"/>
        </w:rPr>
      </w:pPr>
    </w:p>
    <w:p>
      <w:pPr>
        <w:ind w:firstLine="948"/>
        <w:spacing w:after="0" w:line="254" w:lineRule="auto"/>
        <w:tabs>
          <w:tab w:leader="none" w:pos="123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following issuance of an issuer free writing prospectus there occurred or occurs an event or development as a result of which such issuer free writing prospectus conflicted or would conflict with the information contained in the Registration Statement, the Preliminary Prospectus or the Prospectus or included or would include an untrue statement of a material fact or omitted or would omit to state a material fact necessary in order to make the statements therein, in the light of the circumstances prevailing at that subsequent time, not misleading, the Company (x) has promptly notified or promptly will notify the Representatives of such conflict, untrue statement or omission, (y) has promptly amended or will promptly amend or supplement, at its own expense, such issuer free writing prospectus to eliminate or correct such conflict, untrue statement or omission, and (2) has notified or promptly will notify you when such amendment or supplement was or is filed with the Commission where so required to be filed.</w:t>
      </w:r>
    </w:p>
    <w:p>
      <w:pPr>
        <w:spacing w:after="0" w:line="83" w:lineRule="exact"/>
        <w:rPr>
          <w:rFonts w:ascii="Times New Roman" w:cs="Times New Roman" w:eastAsia="Times New Roman" w:hAnsi="Times New Roman"/>
          <w:sz w:val="18"/>
          <w:szCs w:val="18"/>
          <w:color w:val="auto"/>
        </w:rPr>
      </w:pPr>
    </w:p>
    <w:p>
      <w:pPr>
        <w:ind w:right="100" w:firstLine="948"/>
        <w:spacing w:after="0" w:line="256" w:lineRule="auto"/>
        <w:tabs>
          <w:tab w:leader="none" w:pos="123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immediately prior to the third anniversary of the initial effective date of the Registration Statement, any of the Securities remain unsold by the Underwriters, the Company will prior to that third anniversary file, if it has not already done so, a new shelf registration statement relating to the Securities, in a form satisfactory to the Representatives, will use its best efforts to cause such registration statement to be declared effective within 180 days after that third anniversary, and will take all other action necessary or appropriate to permit the public offering and sale of the Securities to continue as contemplated in the expired registration statement relating to the Securities. References herein to the Registration Statement shall include such new shelf registration statement.</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60"/>
          </w:cols>
          <w:pgMar w:left="880" w:top="268" w:right="459" w:bottom="1440" w:gutter="0" w:footer="0" w:header="0"/>
        </w:sectPr>
      </w:pPr>
    </w:p>
    <w:bookmarkStart w:id="27" w:name="page28"/>
    <w:bookmarkEnd w:id="27"/>
    <w:p>
      <w:pPr>
        <w:ind w:left="4" w:right="20" w:firstLine="948"/>
        <w:spacing w:after="0" w:line="261" w:lineRule="auto"/>
        <w:tabs>
          <w:tab w:leader="none" w:pos="12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Blue Sky Qualifications</w:t>
      </w:r>
      <w:r>
        <w:rPr>
          <w:rFonts w:ascii="Times New Roman" w:cs="Times New Roman" w:eastAsia="Times New Roman" w:hAnsi="Times New Roman"/>
          <w:sz w:val="18"/>
          <w:szCs w:val="18"/>
          <w:color w:val="auto"/>
        </w:rPr>
        <w:t>. The Company shall take or cause to be taken all necessary action to qualify the Securities for sale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laws of such jurisdictions as you reasonably designate and to continue such qualifications in effect so long as required for the distribution of the Securities, except that the Company shall not be required in connection therewith to qualify as a foreign corporation (where not otherwise required) or to execute a general consent to service of process in any jurisdiction (where not otherwise required).</w:t>
      </w:r>
    </w:p>
    <w:p>
      <w:pPr>
        <w:spacing w:after="0" w:line="71" w:lineRule="exact"/>
        <w:rPr>
          <w:rFonts w:ascii="Times New Roman" w:cs="Times New Roman" w:eastAsia="Times New Roman" w:hAnsi="Times New Roman"/>
          <w:sz w:val="18"/>
          <w:szCs w:val="18"/>
          <w:color w:val="auto"/>
        </w:rPr>
      </w:pPr>
    </w:p>
    <w:p>
      <w:pPr>
        <w:ind w:left="4" w:firstLine="948"/>
        <w:spacing w:after="0" w:line="258" w:lineRule="auto"/>
        <w:tabs>
          <w:tab w:leader="none" w:pos="121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Provision of Documents</w:t>
      </w:r>
      <w:r>
        <w:rPr>
          <w:rFonts w:ascii="Times New Roman" w:cs="Times New Roman" w:eastAsia="Times New Roman" w:hAnsi="Times New Roman"/>
          <w:sz w:val="18"/>
          <w:szCs w:val="18"/>
          <w:color w:val="auto"/>
        </w:rPr>
        <w:t>. The Company will furnish, at its own expense, to the Underwriters and counsel for the Underwriters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copies of the Registration Statement (which will include three complete manually signed copies of the Registration Statement and all consents and exhibits filed therewith), and to the Underwriters and any dealer each Preliminary Prospectus, the Time of Sale Disclosure Package, the Prospectus, any issuer free writing prospectus, and all amendments and supplements to such documents, in each case as soon as available and in such quantities as you may from time to time reasonably request.</w:t>
      </w:r>
    </w:p>
    <w:p>
      <w:pPr>
        <w:spacing w:after="0" w:line="75" w:lineRule="exact"/>
        <w:rPr>
          <w:rFonts w:ascii="Times New Roman" w:cs="Times New Roman" w:eastAsia="Times New Roman" w:hAnsi="Times New Roman"/>
          <w:sz w:val="18"/>
          <w:szCs w:val="18"/>
          <w:color w:val="auto"/>
        </w:rPr>
      </w:pPr>
    </w:p>
    <w:p>
      <w:pPr>
        <w:ind w:left="4" w:right="60" w:firstLine="948"/>
        <w:spacing w:after="0" w:line="267" w:lineRule="auto"/>
        <w:tabs>
          <w:tab w:leader="none" w:pos="12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Rule 158</w:t>
      </w:r>
      <w:r>
        <w:rPr>
          <w:rFonts w:ascii="Times New Roman" w:cs="Times New Roman" w:eastAsia="Times New Roman" w:hAnsi="Times New Roman"/>
          <w:sz w:val="18"/>
          <w:szCs w:val="18"/>
          <w:color w:val="auto"/>
        </w:rPr>
        <w:t>. The Company will make generally available to its security holders as soon as practicable, but in no event later than 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after the end of the Company’s current fiscal quarter, an earnings statement (which need not be audited) covering a 12-month period that shall satisfy the provisions of Section 11(a) of the Securities Act and Rule 158 of the Rules and Regulations.</w:t>
      </w:r>
    </w:p>
    <w:p>
      <w:pPr>
        <w:spacing w:after="0" w:line="65" w:lineRule="exact"/>
        <w:rPr>
          <w:rFonts w:ascii="Times New Roman" w:cs="Times New Roman" w:eastAsia="Times New Roman" w:hAnsi="Times New Roman"/>
          <w:sz w:val="18"/>
          <w:szCs w:val="18"/>
          <w:color w:val="auto"/>
        </w:rPr>
      </w:pPr>
    </w:p>
    <w:p>
      <w:pPr>
        <w:ind w:left="4" w:right="20" w:firstLine="948"/>
        <w:spacing w:after="0" w:line="267" w:lineRule="auto"/>
        <w:tabs>
          <w:tab w:leader="none" w:pos="131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Payment and Reimbursement of Expenses</w:t>
      </w:r>
      <w:r>
        <w:rPr>
          <w:rFonts w:ascii="Times New Roman" w:cs="Times New Roman" w:eastAsia="Times New Roman" w:hAnsi="Times New Roman"/>
          <w:sz w:val="17"/>
          <w:szCs w:val="17"/>
          <w:color w:val="auto"/>
        </w:rPr>
        <w:t>. The Company, whether or not the transactions contemplated hereunder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consummated or this Agreement is terminated, will pay or cause to be paid (A) all expenses (including transfer taxes allocated to the respective transferees) incurred in connection with the delivery to the Underwriters of the Securities, (B) all expenses and fees (including, without limitation, fees and expenses of the Company’s accountants and counsel but, except as otherwise provided below, not including fees of the Underwriters’ counsel) in connection with the preparation, printing, filing, delivery, and shipping of the Registration Statement (including the financial statements therein and all amendments, schedules, and exhibits thereto), the Securities, each Preliminary Prospectus, the Time of Sale Disclosure Package, the Prospectus, any issuer free writing prospectus and any amendment thereof or supplement thereto, and the printing, delivery, and shipping of this Agreement and other underwriting documents, including Blue Sky Memoranda (covering the states and other applicable jurisdictions), (C) all filing fees and fees and disbursements of the Underwriters’ counsel incurred in connection with the qualification of the Securities for offering and sale by the Underwriters or by dealers under the securities or blue sky laws of the states and other jurisdictions which you shall designate, (D) the fees and expenses of the Custodian and any transfer agent or registrar, (E) the filing fees and fees and disbursements of Underwriters’ counsel incident to any required review and approval by FINRA of the terms of the sale of the Securities, (F) listing fees, if any,</w:t>
      </w:r>
    </w:p>
    <w:p>
      <w:pPr>
        <w:spacing w:after="0" w:line="2"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expenses of the Company relating to investor presentations or any “roadshow” undertaken in</w:t>
      </w:r>
    </w:p>
    <w:p>
      <w:pPr>
        <w:spacing w:after="0" w:line="139"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44"/>
          </w:cols>
          <w:pgMar w:left="876" w:top="268" w:right="479" w:bottom="1440" w:gutter="0" w:footer="0" w:header="0"/>
        </w:sectPr>
      </w:pPr>
    </w:p>
    <w:bookmarkStart w:id="28" w:name="page29"/>
    <w:bookmarkEnd w:id="28"/>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connection with marketing of the Securities, and (H) all other costs and expenses of the Company incident to the performance of its obligations hereunder that are not otherwise specifically provided for herein. In addition to the foregoing, the Company has agreed to reimburse the underwriters for an amount equal to $125,000 for certain legal expenses related to the offering. If this Agreement is terminated by the Representatives pursuant to Section 9 hereof or if the sale of the Securities provided for herein is not consummated by reason of any failure, refusal or inability on the part of the Company to perform any agreement on its or their part to be performed, or because any other condition of the Underwriters’ obligations hereunder required to be fulfilled by the Company is not fulfilled, the Company will reimburse the several Underwriters for all out-of-pocket accountable disbursements (including but not limited to fees and disbursements of counsel, printing expenses, travel expenses, postage, facsimile and telephone charges) incurred by the Underwriters in connection with their investigation, preparing to market and marketing the Securities or in contemplation of performing their obligations hereunder.</w:t>
      </w:r>
    </w:p>
    <w:p>
      <w:pPr>
        <w:spacing w:after="0" w:line="78" w:lineRule="exact"/>
        <w:rPr>
          <w:sz w:val="20"/>
          <w:szCs w:val="20"/>
          <w:color w:val="auto"/>
        </w:rPr>
      </w:pPr>
    </w:p>
    <w:p>
      <w:pPr>
        <w:ind w:left="4" w:right="320" w:firstLine="948"/>
        <w:spacing w:after="0" w:line="284" w:lineRule="auto"/>
        <w:tabs>
          <w:tab w:leader="none" w:pos="13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Use of Proceeds</w:t>
      </w:r>
      <w:r>
        <w:rPr>
          <w:rFonts w:ascii="Times New Roman" w:cs="Times New Roman" w:eastAsia="Times New Roman" w:hAnsi="Times New Roman"/>
          <w:sz w:val="18"/>
          <w:szCs w:val="18"/>
          <w:color w:val="auto"/>
        </w:rPr>
        <w:t>. The Company will apply the net proceeds from the sale of the Securities to be sold by it hereunder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set forth in the Time of Sale Disclosure Package and in the Prospectus.</w:t>
      </w:r>
    </w:p>
    <w:p>
      <w:pPr>
        <w:spacing w:after="0" w:line="50" w:lineRule="exact"/>
        <w:rPr>
          <w:rFonts w:ascii="Times New Roman" w:cs="Times New Roman" w:eastAsia="Times New Roman" w:hAnsi="Times New Roman"/>
          <w:sz w:val="18"/>
          <w:szCs w:val="18"/>
          <w:color w:val="auto"/>
        </w:rPr>
      </w:pPr>
    </w:p>
    <w:p>
      <w:pPr>
        <w:ind w:left="4" w:right="40" w:firstLine="948"/>
        <w:spacing w:after="0" w:line="253" w:lineRule="auto"/>
        <w:tabs>
          <w:tab w:leader="none" w:pos="12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Company Lock Up</w:t>
      </w:r>
      <w:r>
        <w:rPr>
          <w:rFonts w:ascii="Times New Roman" w:cs="Times New Roman" w:eastAsia="Times New Roman" w:hAnsi="Times New Roman"/>
          <w:sz w:val="18"/>
          <w:szCs w:val="18"/>
          <w:color w:val="auto"/>
        </w:rPr>
        <w:t>. The Company will not, without the prior written consent of the Representatives, from the date of execution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Agreement and continuing to and including the date 90 days after the date of the Prospectus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(A) offer, sell, contract to sell, pledge, grant any option to purchase, make any short sale or otherwise transfer or dispose of, directly or indirectly, or file with the Commission a registration statement under the Act relating to, any securities of the Company that are substantially similar to the Securities, including but not limited to any options or warrants to purchase shares of Common Stock or any securities that are convertible into or exchangeable for, or that represent the right to receive, Common Stock or any such substantially similar securities, or publicly disclose the intention to make any offer, sale, pledge, disposition or filing or (B) enter into any swap or other agreement that transfers, in whole or in part, any of the economic consequences of ownership of the Common Stock or any such other securities, whether any such transaction described in clause</w:t>
      </w:r>
    </w:p>
    <w:p>
      <w:pPr>
        <w:spacing w:after="0" w:line="2" w:lineRule="exact"/>
        <w:rPr>
          <w:rFonts w:ascii="Times New Roman" w:cs="Times New Roman" w:eastAsia="Times New Roman" w:hAnsi="Times New Roman"/>
          <w:sz w:val="18"/>
          <w:szCs w:val="18"/>
          <w:color w:val="auto"/>
        </w:rPr>
      </w:pPr>
    </w:p>
    <w:p>
      <w:pPr>
        <w:ind w:left="4" w:right="200" w:hanging="4"/>
        <w:spacing w:after="0" w:line="255" w:lineRule="auto"/>
        <w:tabs>
          <w:tab w:leader="none" w:pos="29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above is to be settled by delivery of Common Stock or such other securities, in cash or otherwise (other than the Securities to be sold hereunder or issued pursuant to employee stock option plans existing on, or upon the conversion or exchange of convertible or exchangeable securities outstanding as of, the date of this Agreement).</w:t>
      </w:r>
    </w:p>
    <w:p>
      <w:pPr>
        <w:spacing w:after="0" w:line="75" w:lineRule="exact"/>
        <w:rPr>
          <w:rFonts w:ascii="Times New Roman" w:cs="Times New Roman" w:eastAsia="Times New Roman" w:hAnsi="Times New Roman"/>
          <w:sz w:val="18"/>
          <w:szCs w:val="18"/>
          <w:color w:val="auto"/>
        </w:rPr>
      </w:pPr>
    </w:p>
    <w:p>
      <w:pPr>
        <w:ind w:left="4" w:right="40" w:firstLine="948"/>
        <w:spacing w:after="0" w:line="261" w:lineRule="auto"/>
        <w:tabs>
          <w:tab w:leader="none" w:pos="121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Stockholder Lock-Ups</w:t>
      </w:r>
      <w:r>
        <w:rPr>
          <w:rFonts w:ascii="Times New Roman" w:cs="Times New Roman" w:eastAsia="Times New Roman" w:hAnsi="Times New Roman"/>
          <w:sz w:val="18"/>
          <w:szCs w:val="18"/>
          <w:color w:val="auto"/>
        </w:rPr>
        <w:t>. The Company has caused to be delivered to you prior to the date of this Agreement a letter,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Exhibit A hereto (the “</w:t>
      </w:r>
      <w:r>
        <w:rPr>
          <w:rFonts w:ascii="Times New Roman" w:cs="Times New Roman" w:eastAsia="Times New Roman" w:hAnsi="Times New Roman"/>
          <w:sz w:val="18"/>
          <w:szCs w:val="18"/>
          <w:b w:val="1"/>
          <w:bCs w:val="1"/>
          <w:i w:val="1"/>
          <w:iCs w:val="1"/>
          <w:color w:val="auto"/>
        </w:rPr>
        <w:t>Lock-Up Agreement</w:t>
      </w:r>
      <w:r>
        <w:rPr>
          <w:rFonts w:ascii="Times New Roman" w:cs="Times New Roman" w:eastAsia="Times New Roman" w:hAnsi="Times New Roman"/>
          <w:sz w:val="18"/>
          <w:szCs w:val="18"/>
          <w:color w:val="auto"/>
        </w:rPr>
        <w:t>”), from each individual or entity listed on Schedule IV. The Company will enforce the terms of each Lock-Up Agreement and issue stop-transfer instructions to the transfer agent for the Common Stock with respect to any transaction or contemplated transaction that would constitute a breach of or default under the applicable Lock-Up Agreement.</w:t>
      </w:r>
    </w:p>
    <w:p>
      <w:pPr>
        <w:spacing w:after="0" w:line="114"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44"/>
          </w:cols>
          <w:pgMar w:left="876" w:top="270" w:right="479" w:bottom="1440" w:gutter="0" w:footer="0" w:header="0"/>
        </w:sectPr>
      </w:pPr>
    </w:p>
    <w:bookmarkStart w:id="29" w:name="page30"/>
    <w:bookmarkEnd w:id="29"/>
    <w:p>
      <w:pPr>
        <w:ind w:right="100" w:firstLine="948"/>
        <w:spacing w:after="0" w:line="267" w:lineRule="auto"/>
        <w:tabs>
          <w:tab w:leader="none" w:pos="125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Market Stabilization or Manipulation</w:t>
      </w:r>
      <w:r>
        <w:rPr>
          <w:rFonts w:ascii="Times New Roman" w:cs="Times New Roman" w:eastAsia="Times New Roman" w:hAnsi="Times New Roman"/>
          <w:sz w:val="18"/>
          <w:szCs w:val="18"/>
          <w:color w:val="auto"/>
        </w:rPr>
        <w:t>. The Company has not taken and will not take, directly or indirectly, any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to or which might reasonably be expected to cause or result in, or which has constituted, the stabilization or manipulation of the price of any security of the Company to facilitate the sale or resale of the Securities</w:t>
      </w:r>
    </w:p>
    <w:p>
      <w:pPr>
        <w:spacing w:after="0" w:line="65" w:lineRule="exact"/>
        <w:rPr>
          <w:rFonts w:ascii="Times New Roman" w:cs="Times New Roman" w:eastAsia="Times New Roman" w:hAnsi="Times New Roman"/>
          <w:sz w:val="18"/>
          <w:szCs w:val="18"/>
          <w:color w:val="auto"/>
        </w:rPr>
      </w:pPr>
    </w:p>
    <w:p>
      <w:pPr>
        <w:ind w:right="580" w:firstLine="948"/>
        <w:spacing w:after="0" w:line="284" w:lineRule="auto"/>
        <w:tabs>
          <w:tab w:leader="none" w:pos="13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SEC Reports</w:t>
      </w:r>
      <w:r>
        <w:rPr>
          <w:rFonts w:ascii="Times New Roman" w:cs="Times New Roman" w:eastAsia="Times New Roman" w:hAnsi="Times New Roman"/>
          <w:sz w:val="18"/>
          <w:szCs w:val="18"/>
          <w:color w:val="auto"/>
        </w:rPr>
        <w:t>. During the Prospectus Delivery Period, the Company will file on a timely basis with the Commission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periodic and special reports as required by the Rules and Regulations.</w:t>
      </w:r>
    </w:p>
    <w:p>
      <w:pPr>
        <w:spacing w:after="0" w:line="50" w:lineRule="exact"/>
        <w:rPr>
          <w:rFonts w:ascii="Times New Roman" w:cs="Times New Roman" w:eastAsia="Times New Roman" w:hAnsi="Times New Roman"/>
          <w:sz w:val="18"/>
          <w:szCs w:val="18"/>
          <w:color w:val="auto"/>
        </w:rPr>
      </w:pPr>
    </w:p>
    <w:p>
      <w:pPr>
        <w:ind w:firstLine="948"/>
        <w:spacing w:after="0" w:line="255" w:lineRule="auto"/>
        <w:tabs>
          <w:tab w:leader="none" w:pos="135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Internal Controls</w:t>
      </w:r>
      <w:r>
        <w:rPr>
          <w:rFonts w:ascii="Times New Roman" w:cs="Times New Roman" w:eastAsia="Times New Roman" w:hAnsi="Times New Roman"/>
          <w:sz w:val="18"/>
          <w:szCs w:val="18"/>
          <w:color w:val="auto"/>
        </w:rPr>
        <w:t>. During the Prospectus Delivery Period, the Company and its subsidiaries will maintain such controls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its principal financial officer, or persons performing similar functions, as appropriate to allow timely decisions regarding required disclosure, to ensure that material information relating to Company, including its subsidiaries, is made known to them by others within those entities.</w:t>
      </w:r>
    </w:p>
    <w:p>
      <w:pPr>
        <w:spacing w:after="0" w:line="76" w:lineRule="exact"/>
        <w:rPr>
          <w:rFonts w:ascii="Times New Roman" w:cs="Times New Roman" w:eastAsia="Times New Roman" w:hAnsi="Times New Roman"/>
          <w:sz w:val="18"/>
          <w:szCs w:val="18"/>
          <w:color w:val="auto"/>
        </w:rPr>
      </w:pPr>
    </w:p>
    <w:p>
      <w:pPr>
        <w:ind w:left="1340" w:hanging="392"/>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Sarbanes-Oxley</w:t>
      </w:r>
      <w:r>
        <w:rPr>
          <w:rFonts w:ascii="Times New Roman" w:cs="Times New Roman" w:eastAsia="Times New Roman" w:hAnsi="Times New Roman"/>
          <w:sz w:val="18"/>
          <w:szCs w:val="18"/>
          <w:color w:val="auto"/>
        </w:rPr>
        <w:t>. The Company and its subsidiaries will comply with all applicable provisions of the Sarbanes-Oxley Act.</w:t>
      </w:r>
    </w:p>
    <w:p>
      <w:pPr>
        <w:spacing w:after="0" w:line="117" w:lineRule="exact"/>
        <w:rPr>
          <w:rFonts w:ascii="Times New Roman" w:cs="Times New Roman" w:eastAsia="Times New Roman" w:hAnsi="Times New Roman"/>
          <w:sz w:val="18"/>
          <w:szCs w:val="18"/>
          <w:color w:val="auto"/>
        </w:rPr>
      </w:pPr>
    </w:p>
    <w:p>
      <w:pPr>
        <w:ind w:right="100" w:firstLine="948"/>
        <w:spacing w:after="0" w:line="252" w:lineRule="auto"/>
        <w:tabs>
          <w:tab w:leader="none" w:pos="129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Free Writing Prospectuses</w:t>
      </w:r>
      <w:r>
        <w:rPr>
          <w:rFonts w:ascii="Times New Roman" w:cs="Times New Roman" w:eastAsia="Times New Roman" w:hAnsi="Times New Roman"/>
          <w:sz w:val="18"/>
          <w:szCs w:val="18"/>
          <w:color w:val="auto"/>
        </w:rPr>
        <w:t>. The Company represents and agrees that, unless it obtains the prior written consent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and each Underwriter severally represents and agrees that, unless it obtains the prior written consent of the Company and the Representatives, it has not made and will not make any offer relating to the Securities that would constitute an issuer free writing prospectus or that would otherwise constitute a free writing prospectus required to be filed with the Commission; provided that the prior written consent of the parties hereto shall be deemed to have been given in respect of the free writing prospectuses included in Schedule II. Any such free writing prospectus consented to by the Company and the Representatives is hereinafter referred to as a “</w:t>
      </w:r>
      <w:r>
        <w:rPr>
          <w:rFonts w:ascii="Times New Roman" w:cs="Times New Roman" w:eastAsia="Times New Roman" w:hAnsi="Times New Roman"/>
          <w:sz w:val="18"/>
          <w:szCs w:val="18"/>
          <w:b w:val="1"/>
          <w:bCs w:val="1"/>
          <w:i w:val="1"/>
          <w:iCs w:val="1"/>
          <w:color w:val="auto"/>
        </w:rPr>
        <w:t>Permitted Free Writing Prospectus</w:t>
      </w:r>
      <w:r>
        <w:rPr>
          <w:rFonts w:ascii="Times New Roman" w:cs="Times New Roman" w:eastAsia="Times New Roman" w:hAnsi="Times New Roman"/>
          <w:sz w:val="18"/>
          <w:szCs w:val="18"/>
          <w:color w:val="auto"/>
        </w:rPr>
        <w:t>.” The Company represents that it has treated or agrees that it will treat each Permitted Free Writing Prospectus as an issuer free writing prospectus, and has complied and will comply with the requirements of Rules 164 and 433 of the Rules and Regulations applicable to any Permitted Free Writing Prospectus. The Company agrees not to take any action that would result in the Company being required to file with the Commission under Rule 433(d) a free writing prospectus prepared by or on behalf of the Company that otherwise would not be required to be filed by the Company thereunder, but for the action of the Company. Each Underwriter severally represents and agrees that, (A) unless it obtains the prior written consent of the Company and the Representatives, it has not distributed, and will not distribute any Written Testing-the-Waters Communication other than those listed on Schedule V, and (B) any Testing-the-Waters Communication undertaken by it was with entities that are qualified institutional buyers with the meaning of Rule 144A under the Act or institutions that are accredited investors within the meaning of Rule 501 under the Act.</w:t>
      </w:r>
    </w:p>
    <w:p>
      <w:pPr>
        <w:spacing w:after="0" w:line="13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60"/>
          </w:cols>
          <w:pgMar w:left="880" w:top="268" w:right="459" w:bottom="1440" w:gutter="0" w:footer="0" w:header="0"/>
        </w:sectPr>
      </w:pPr>
    </w:p>
    <w:bookmarkStart w:id="30" w:name="page31"/>
    <w:bookmarkEnd w:id="30"/>
    <w:p>
      <w:pPr>
        <w:ind w:left="400" w:right="40" w:firstLine="948"/>
        <w:spacing w:after="0" w:line="262" w:lineRule="auto"/>
        <w:tabs>
          <w:tab w:leader="none" w:pos="174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Emerging Growth Company</w:t>
      </w:r>
      <w:r>
        <w:rPr>
          <w:rFonts w:ascii="Times New Roman" w:cs="Times New Roman" w:eastAsia="Times New Roman" w:hAnsi="Times New Roman"/>
          <w:sz w:val="18"/>
          <w:szCs w:val="18"/>
          <w:color w:val="auto"/>
        </w:rPr>
        <w:t>. The Company will promptly notify the Representatives if the Company ceases to be an Emerging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Company at any time prior to the later of (A) completion of the distribution of Securities within the meaning of the Act and</w:t>
      </w:r>
    </w:p>
    <w:p>
      <w:pPr>
        <w:ind w:left="680" w:hanging="284"/>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90-day restricted period referenced in Section 4(a)(ix) hereof.</w:t>
      </w:r>
    </w:p>
    <w:p>
      <w:pPr>
        <w:spacing w:after="0" w:line="95" w:lineRule="exact"/>
        <w:rPr>
          <w:sz w:val="20"/>
          <w:szCs w:val="20"/>
          <w:color w:val="auto"/>
        </w:rPr>
      </w:pPr>
    </w:p>
    <w:p>
      <w:pPr>
        <w:ind w:left="-40" w:firstLine="436"/>
        <w:spacing w:after="0" w:line="262" w:lineRule="auto"/>
        <w:tabs>
          <w:tab w:leader="none" w:pos="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Conditions of Underwriters’ Obligations</w:t>
      </w:r>
      <w:r>
        <w:rPr>
          <w:rFonts w:ascii="Times New Roman" w:cs="Times New Roman" w:eastAsia="Times New Roman" w:hAnsi="Times New Roman"/>
          <w:sz w:val="18"/>
          <w:szCs w:val="18"/>
          <w:color w:val="auto"/>
        </w:rPr>
        <w:t>. The obligations of the several Underwriters hereunder are subject to the accuracy, as of the 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hereof and at each of the First Closing Date and the Second Closing Date (each, a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(as if made at such Closing Date), of and compliance with all representations, warranties and agreements of the Company contained herein, to the performance by the Company of its obligations hereunder and to the following additional conditions:</w:t>
      </w:r>
    </w:p>
    <w:p>
      <w:pPr>
        <w:spacing w:after="0" w:line="70" w:lineRule="exact"/>
        <w:rPr>
          <w:rFonts w:ascii="Times New Roman" w:cs="Times New Roman" w:eastAsia="Times New Roman" w:hAnsi="Times New Roman"/>
          <w:sz w:val="18"/>
          <w:szCs w:val="18"/>
          <w:color w:val="auto"/>
        </w:rPr>
      </w:pPr>
    </w:p>
    <w:p>
      <w:pPr>
        <w:ind w:left="-40" w:firstLine="987"/>
        <w:spacing w:after="0" w:line="254" w:lineRule="auto"/>
        <w:tabs>
          <w:tab w:leader="none" w:pos="119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Required Filings; Absence of Certain Commission Actions</w:t>
      </w:r>
      <w:r>
        <w:rPr>
          <w:rFonts w:ascii="Times New Roman" w:cs="Times New Roman" w:eastAsia="Times New Roman" w:hAnsi="Times New Roman"/>
          <w:sz w:val="18"/>
          <w:szCs w:val="18"/>
          <w:color w:val="auto"/>
        </w:rPr>
        <w:t>. If filing of the Prospectus, or any amendment or supplement thereto,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issuer free writing prospectus, is required under the Securities Act or the Rules and Regulations, the Company shall have filed the Prospectus (or such amendment or supplement) or such issuer free writing prospectus with the Commission in the manner and within the time period so required (without reliance on Rule 424(b)(8) or Rule 164(b)); the Registration Statement shall remain effective; no stop order suspending the effectiveness of the Registration Statement or any part thereof, any Rule 462(b) Registration Statement, or any amendment thereof, nor suspending or preventing the use of the Time of Sale Disclosure Package, the Prospectus or any issuer free writing prospectus shall have been issued; no proceedings for the issuance of such an order shall have been initiated or threatened; any request of the Commission for additional information (to be included in the Registration Statement, the Time of Sale Disclosure Package, the Prospectus, any issuer free writing prospectus or otherwise) shall have been complied with to your satisfaction.</w:t>
      </w:r>
    </w:p>
    <w:p>
      <w:pPr>
        <w:spacing w:after="0" w:line="80" w:lineRule="exact"/>
        <w:rPr>
          <w:rFonts w:ascii="Times New Roman" w:cs="Times New Roman" w:eastAsia="Times New Roman" w:hAnsi="Times New Roman"/>
          <w:sz w:val="18"/>
          <w:szCs w:val="18"/>
          <w:color w:val="auto"/>
        </w:rPr>
      </w:pPr>
    </w:p>
    <w:p>
      <w:pPr>
        <w:ind w:left="-40" w:right="100" w:firstLine="987"/>
        <w:spacing w:after="0" w:line="257" w:lineRule="auto"/>
        <w:tabs>
          <w:tab w:leader="none" w:pos="120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Continued Compliance with Securities Laws</w:t>
      </w:r>
      <w:r>
        <w:rPr>
          <w:rFonts w:ascii="Times New Roman" w:cs="Times New Roman" w:eastAsia="Times New Roman" w:hAnsi="Times New Roman"/>
          <w:sz w:val="18"/>
          <w:szCs w:val="18"/>
          <w:color w:val="auto"/>
        </w:rPr>
        <w:t>. No Underwriter shall have advised the Company that (i) the Registration Statement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amendment thereof or supplement thereto contains an untrue statement of a material fact which, in your opinion, is material or omits to state a material fact which, in your opinion, is required to be stated therein or necessary to make the statements therein not misleading, or (ii) the Time of Sale Disclosure Package or the Prospectus, or any amendment thereof or supplement thereto, or any issuer free writing prospectus contains an untrue statement of fact which, in your opinion, is material, or omits to state a fact which, in your opinion, is material and is required to be stated therein, or necessary to make the statements therein, in light of the circumstances under which they are made, not misleading.</w:t>
      </w:r>
    </w:p>
    <w:p>
      <w:pPr>
        <w:spacing w:after="0" w:line="74" w:lineRule="exact"/>
        <w:rPr>
          <w:rFonts w:ascii="Times New Roman" w:cs="Times New Roman" w:eastAsia="Times New Roman" w:hAnsi="Times New Roman"/>
          <w:sz w:val="18"/>
          <w:szCs w:val="18"/>
          <w:color w:val="auto"/>
        </w:rPr>
      </w:pPr>
    </w:p>
    <w:p>
      <w:pPr>
        <w:ind w:left="-40" w:right="60" w:firstLine="987"/>
        <w:spacing w:after="0" w:line="258" w:lineRule="auto"/>
        <w:tabs>
          <w:tab w:leader="none" w:pos="119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Absence of Certain Events</w:t>
      </w:r>
      <w:r>
        <w:rPr>
          <w:rFonts w:ascii="Times New Roman" w:cs="Times New Roman" w:eastAsia="Times New Roman" w:hAnsi="Times New Roman"/>
          <w:sz w:val="18"/>
          <w:szCs w:val="18"/>
          <w:color w:val="auto"/>
        </w:rPr>
        <w:t>. Except as contemplated in the Time of Sale Disclosure Package and in the Prospectus, subsequent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dates as of which information is given in the Time of Sale Disclosure Package, neither the Company nor any of its subsidiaries shall have incurred any material liabilities or obligations, direct or contingent, or entered into any material transactions, or declared or paid any dividends or made any distribution of any kind with respect to its capital stock; and there shall not have been any change in the capital stock (other than a change in the number of outstanding shares of Common Stock due to the issuance of shares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20"/>
          </w:cols>
          <w:pgMar w:left="480" w:top="268" w:right="499" w:bottom="1440" w:gutter="0" w:footer="0" w:header="0"/>
        </w:sectPr>
      </w:pPr>
    </w:p>
    <w:bookmarkStart w:id="31" w:name="page32"/>
    <w:bookmarkEnd w:id="31"/>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the exercise of outstanding options or warrants or conversion of convertible securities), or any material change in the short-term or long-term debt of the Company (other than as a result of the conversion of convertible securities), or any issuance of options, warrants, convertible securities or other rights to purchase the capital stock of the Company or any of its subsidiaries, or any Material Adverse Effect or any development involving a prospective Material Adverse Effect (whether or not arising in the ordinary course of business), or any loss by strike, fire, flood, earthquake, accident or other calamity, whether or not covered by insurance, incurred by the Company or any subsidiary, the effect of which, in any such case described above, in your judgment, makes it impractical or inadvisable to offer or deliver the Securities on the terms and in the manner contemplated in the Time of Sale Disclosure Package and in the Prospectus.</w:t>
      </w:r>
    </w:p>
    <w:p>
      <w:pPr>
        <w:spacing w:after="0" w:line="79" w:lineRule="exact"/>
        <w:rPr>
          <w:sz w:val="20"/>
          <w:szCs w:val="20"/>
          <w:color w:val="auto"/>
        </w:rPr>
      </w:pPr>
    </w:p>
    <w:p>
      <w:pPr>
        <w:ind w:right="40" w:firstLine="987"/>
        <w:spacing w:after="0" w:line="261" w:lineRule="auto"/>
        <w:tabs>
          <w:tab w:leader="none" w:pos="12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Downgrade</w:t>
      </w:r>
      <w:r>
        <w:rPr>
          <w:rFonts w:ascii="Times New Roman" w:cs="Times New Roman" w:eastAsia="Times New Roman" w:hAnsi="Times New Roman"/>
          <w:sz w:val="18"/>
          <w:szCs w:val="18"/>
          <w:color w:val="auto"/>
        </w:rPr>
        <w:t>. On or after the Time of Sale (i) no downgrading shall have occurred in the rating accorded any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by any “nationally recognized statistical organization,” as that term is defined by the Commission for purposes of Rule 436(g)(2) under the Securities Act, and (ii) no such organization shall have publicly announced that it has under surveillance or review, with possible negative implications, its rating of any of the Company’s securities or;</w:t>
      </w:r>
    </w:p>
    <w:p>
      <w:pPr>
        <w:spacing w:after="0" w:line="71" w:lineRule="exact"/>
        <w:rPr>
          <w:rFonts w:ascii="Times New Roman" w:cs="Times New Roman" w:eastAsia="Times New Roman" w:hAnsi="Times New Roman"/>
          <w:sz w:val="18"/>
          <w:szCs w:val="18"/>
          <w:color w:val="auto"/>
        </w:rPr>
      </w:pPr>
    </w:p>
    <w:p>
      <w:pPr>
        <w:ind w:right="80" w:firstLine="987"/>
        <w:spacing w:after="0" w:line="267" w:lineRule="auto"/>
        <w:tabs>
          <w:tab w:leader="none" w:pos="12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Opinion of Company Counsel</w:t>
      </w:r>
      <w:r>
        <w:rPr>
          <w:rFonts w:ascii="Times New Roman" w:cs="Times New Roman" w:eastAsia="Times New Roman" w:hAnsi="Times New Roman"/>
          <w:sz w:val="18"/>
          <w:szCs w:val="18"/>
          <w:color w:val="auto"/>
        </w:rPr>
        <w:t>. On each Closing Date, there shall have been furnished to you, as Representatives of the several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the opinion and negative assurance letter of K&amp;L Gates LLP, counsel for the Company, dated such Closing Date and addressed to you in such form reasonably satisfactory to the Representatives.</w:t>
      </w:r>
    </w:p>
    <w:p>
      <w:pPr>
        <w:spacing w:after="0" w:line="65" w:lineRule="exact"/>
        <w:rPr>
          <w:rFonts w:ascii="Times New Roman" w:cs="Times New Roman" w:eastAsia="Times New Roman" w:hAnsi="Times New Roman"/>
          <w:sz w:val="18"/>
          <w:szCs w:val="18"/>
          <w:color w:val="auto"/>
        </w:rPr>
      </w:pPr>
    </w:p>
    <w:p>
      <w:pPr>
        <w:ind w:right="80" w:firstLine="987"/>
        <w:spacing w:after="0" w:line="267" w:lineRule="auto"/>
        <w:tabs>
          <w:tab w:leader="none" w:pos="121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Opinion of Intellectual Property Counsel</w:t>
      </w:r>
      <w:r>
        <w:rPr>
          <w:rFonts w:ascii="Times New Roman" w:cs="Times New Roman" w:eastAsia="Times New Roman" w:hAnsi="Times New Roman"/>
          <w:sz w:val="18"/>
          <w:szCs w:val="18"/>
          <w:color w:val="auto"/>
        </w:rPr>
        <w:t>. On each Closing Date, there shall have been furnished to you, as Representatives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 Underwriters, the opinion of Cooley LLP, intellectual property counsel for the Company, dated such Closing Date and addressed to you in such form reasonably satisfactory to the Representatives.</w:t>
      </w:r>
    </w:p>
    <w:p>
      <w:pPr>
        <w:spacing w:after="0" w:line="65" w:lineRule="exact"/>
        <w:rPr>
          <w:rFonts w:ascii="Times New Roman" w:cs="Times New Roman" w:eastAsia="Times New Roman" w:hAnsi="Times New Roman"/>
          <w:sz w:val="18"/>
          <w:szCs w:val="18"/>
          <w:color w:val="auto"/>
        </w:rPr>
      </w:pPr>
    </w:p>
    <w:p>
      <w:pPr>
        <w:ind w:right="280" w:firstLine="987"/>
        <w:spacing w:after="0" w:line="258" w:lineRule="auto"/>
        <w:tabs>
          <w:tab w:leader="none" w:pos="12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Opinion of Underwriters’ Counsel</w:t>
      </w:r>
      <w:r>
        <w:rPr>
          <w:rFonts w:ascii="Times New Roman" w:cs="Times New Roman" w:eastAsia="Times New Roman" w:hAnsi="Times New Roman"/>
          <w:sz w:val="18"/>
          <w:szCs w:val="18"/>
          <w:color w:val="auto"/>
        </w:rPr>
        <w:t>. On each Closing Date, there shall have been furnished to you, as Representatives of the several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the opinion and negative assurance letter from Davis Polk &amp; Wardwell LLP, counsel for the several Underwriters, dated such Closing Date and addressed to you, with respect to the formation of the Company, the validity of the Securities, the Registration Statement, the Time of Sale Disclosure Package, the Prospectus and other related matters as you reasonably may request, and such counsel shall have received such papers and information as they request to enable them to pass upon such matters.</w:t>
      </w:r>
    </w:p>
    <w:p>
      <w:pPr>
        <w:spacing w:after="0" w:line="75" w:lineRule="exact"/>
        <w:rPr>
          <w:rFonts w:ascii="Times New Roman" w:cs="Times New Roman" w:eastAsia="Times New Roman" w:hAnsi="Times New Roman"/>
          <w:sz w:val="18"/>
          <w:szCs w:val="18"/>
          <w:color w:val="auto"/>
        </w:rPr>
      </w:pPr>
    </w:p>
    <w:p>
      <w:pPr>
        <w:jc w:val="both"/>
        <w:ind w:right="40" w:firstLine="987"/>
        <w:spacing w:after="0" w:line="267" w:lineRule="auto"/>
        <w:tabs>
          <w:tab w:leader="none" w:pos="12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Comfort Letter</w:t>
      </w:r>
      <w:r>
        <w:rPr>
          <w:rFonts w:ascii="Times New Roman" w:cs="Times New Roman" w:eastAsia="Times New Roman" w:hAnsi="Times New Roman"/>
          <w:sz w:val="18"/>
          <w:szCs w:val="18"/>
          <w:color w:val="auto"/>
        </w:rPr>
        <w:t>. On the date hereof, on the effective date of any post-effective amendment to the Registration Statement filed after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hereof and on each Closing Date you, as Representatives of the several Underwriters, shall have received an accountant’s “comfort” letter of Grant Thornton LLP, dated such date and addressed to you, in form and substance satisfactory to you.</w:t>
      </w:r>
    </w:p>
    <w:p>
      <w:pPr>
        <w:spacing w:after="0" w:line="65" w:lineRule="exact"/>
        <w:rPr>
          <w:rFonts w:ascii="Times New Roman" w:cs="Times New Roman" w:eastAsia="Times New Roman" w:hAnsi="Times New Roman"/>
          <w:sz w:val="18"/>
          <w:szCs w:val="18"/>
          <w:color w:val="auto"/>
        </w:rPr>
      </w:pPr>
    </w:p>
    <w:p>
      <w:pPr>
        <w:ind w:right="40" w:firstLine="987"/>
        <w:spacing w:after="0" w:line="267" w:lineRule="auto"/>
        <w:tabs>
          <w:tab w:leader="none" w:pos="120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Officers’ Certificate</w:t>
      </w:r>
      <w:r>
        <w:rPr>
          <w:rFonts w:ascii="Times New Roman" w:cs="Times New Roman" w:eastAsia="Times New Roman" w:hAnsi="Times New Roman"/>
          <w:sz w:val="18"/>
          <w:szCs w:val="18"/>
          <w:color w:val="auto"/>
        </w:rPr>
        <w:t>. On each Closing Date, there shall have been furnished to you, as Representatives of the Underwriters,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dated such Closing Date and addressed to you, signed by the chief executive officer and by the chief financial officer of the Company, to the effect that:</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40"/>
          </w:cols>
          <w:pgMar w:left="440" w:top="270" w:right="519" w:bottom="1440" w:gutter="0" w:footer="0" w:header="0"/>
        </w:sectPr>
      </w:pPr>
    </w:p>
    <w:bookmarkStart w:id="32" w:name="page33"/>
    <w:bookmarkEnd w:id="32"/>
    <w:p>
      <w:pPr>
        <w:ind w:left="440" w:right="100" w:firstLine="948"/>
        <w:spacing w:after="0" w:line="266" w:lineRule="auto"/>
        <w:tabs>
          <w:tab w:leader="none" w:pos="160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representations and warranties of the Company in this Agreement are true and correct as if made at and as of such Closing Date, and the Company has complied with all the agreements and satisfied all the conditions on its part to be performed or satisfied at or prior to such Closing Date;</w:t>
      </w:r>
    </w:p>
    <w:p>
      <w:pPr>
        <w:spacing w:after="0" w:line="67" w:lineRule="exact"/>
        <w:rPr>
          <w:rFonts w:ascii="Times New Roman" w:cs="Times New Roman" w:eastAsia="Times New Roman" w:hAnsi="Times New Roman"/>
          <w:sz w:val="18"/>
          <w:szCs w:val="18"/>
          <w:color w:val="auto"/>
        </w:rPr>
      </w:pPr>
    </w:p>
    <w:p>
      <w:pPr>
        <w:ind w:left="440" w:right="40" w:firstLine="948"/>
        <w:spacing w:after="0" w:line="261" w:lineRule="auto"/>
        <w:tabs>
          <w:tab w:leader="none" w:pos="165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or other order suspending the effectiveness of the Registration Statement or any part thereof or any amendment thereof or the qualification of the Securities for offering or sale, nor suspending or preventing the use of the Time of Sale Disclosure Package, the Prospectus or any issuer free writing prospectus, has been issued, and no proceeding for that purpose has been instituted or, to the best of their knowledge, is contemplated by the Commission or any state or regulatory body; and</w:t>
      </w:r>
    </w:p>
    <w:p>
      <w:pPr>
        <w:spacing w:after="0" w:line="71"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Affirms the accuracy of the matters set forth in subsection (c) of this Section 5.</w:t>
      </w:r>
    </w:p>
    <w:p>
      <w:pPr>
        <w:spacing w:after="0" w:line="115" w:lineRule="exact"/>
        <w:rPr>
          <w:rFonts w:ascii="Times New Roman" w:cs="Times New Roman" w:eastAsia="Times New Roman" w:hAnsi="Times New Roman"/>
          <w:sz w:val="18"/>
          <w:szCs w:val="18"/>
          <w:color w:val="auto"/>
        </w:rPr>
      </w:pPr>
    </w:p>
    <w:p>
      <w:pPr>
        <w:ind w:right="240" w:firstLine="987"/>
        <w:spacing w:after="0" w:line="284" w:lineRule="auto"/>
        <w:tabs>
          <w:tab w:leader="none" w:pos="120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Lock-Up Agreement</w:t>
      </w:r>
      <w:r>
        <w:rPr>
          <w:rFonts w:ascii="Times New Roman" w:cs="Times New Roman" w:eastAsia="Times New Roman" w:hAnsi="Times New Roman"/>
          <w:sz w:val="18"/>
          <w:szCs w:val="18"/>
          <w:color w:val="auto"/>
        </w:rPr>
        <w:t>. The Underwriters shall have received all of the Lock-Up Agreements referenced in Section 4 and the Lock-Up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shall remain in full force and effect.</w:t>
      </w:r>
    </w:p>
    <w:p>
      <w:pPr>
        <w:spacing w:after="0" w:line="50"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FINRA No Objections</w:t>
      </w:r>
      <w:r>
        <w:rPr>
          <w:rFonts w:ascii="Times New Roman" w:cs="Times New Roman" w:eastAsia="Times New Roman" w:hAnsi="Times New Roman"/>
          <w:sz w:val="18"/>
          <w:szCs w:val="18"/>
          <w:color w:val="auto"/>
        </w:rPr>
        <w:t>. FINRA shall have raised no objection to the fairness and reasonableness of the underwriting terms and</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arrangements.</w:t>
      </w:r>
    </w:p>
    <w:p>
      <w:pPr>
        <w:spacing w:after="0" w:line="96" w:lineRule="exact"/>
        <w:rPr>
          <w:rFonts w:ascii="Times New Roman" w:cs="Times New Roman" w:eastAsia="Times New Roman" w:hAnsi="Times New Roman"/>
          <w:sz w:val="18"/>
          <w:szCs w:val="18"/>
          <w:color w:val="auto"/>
        </w:rPr>
      </w:pPr>
    </w:p>
    <w:p>
      <w:pPr>
        <w:ind w:right="100" w:firstLine="987"/>
        <w:spacing w:after="0" w:line="284" w:lineRule="auto"/>
        <w:tabs>
          <w:tab w:leader="none" w:pos="120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Other Documents</w:t>
      </w:r>
      <w:r>
        <w:rPr>
          <w:rFonts w:ascii="Times New Roman" w:cs="Times New Roman" w:eastAsia="Times New Roman" w:hAnsi="Times New Roman"/>
          <w:sz w:val="18"/>
          <w:szCs w:val="18"/>
          <w:color w:val="auto"/>
        </w:rPr>
        <w:t>. The Company shall have furnished to you and counsel for the Underwriters such additional documents, certificates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evidence as you or they may have reasonably requested.</w:t>
      </w:r>
    </w:p>
    <w:p>
      <w:pPr>
        <w:spacing w:after="0" w:line="50" w:lineRule="exact"/>
        <w:rPr>
          <w:rFonts w:ascii="Times New Roman" w:cs="Times New Roman" w:eastAsia="Times New Roman" w:hAnsi="Times New Roman"/>
          <w:sz w:val="18"/>
          <w:szCs w:val="18"/>
          <w:color w:val="auto"/>
        </w:rPr>
      </w:pPr>
    </w:p>
    <w:p>
      <w:pPr>
        <w:ind w:right="180" w:firstLine="987"/>
        <w:spacing w:after="0" w:line="284" w:lineRule="auto"/>
        <w:tabs>
          <w:tab w:leader="none" w:pos="129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Exchange Listing</w:t>
      </w:r>
      <w:r>
        <w:rPr>
          <w:rFonts w:ascii="Times New Roman" w:cs="Times New Roman" w:eastAsia="Times New Roman" w:hAnsi="Times New Roman"/>
          <w:sz w:val="18"/>
          <w:szCs w:val="18"/>
          <w:color w:val="auto"/>
        </w:rPr>
        <w:t>. The Securities to be delivered on such Closing Date have been approved for listing on The Nasdaq Stock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LLC, subject to official notice of issuance.</w:t>
      </w:r>
    </w:p>
    <w:p>
      <w:pPr>
        <w:spacing w:after="0" w:line="52"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All such opinions, certificates, letters and other documents will be in compliance with the provisions hereof only if they are satisfactory in form and substance to you and counsel for the Underwriters. The Company will furnish you with such conformed copies of such opinions, certificates, letters and other documents as you shall reasonably request.</w:t>
      </w:r>
    </w:p>
    <w:p>
      <w:pPr>
        <w:spacing w:after="0" w:line="64" w:lineRule="exact"/>
        <w:rPr>
          <w:sz w:val="20"/>
          <w:szCs w:val="20"/>
          <w:color w:val="auto"/>
        </w:rPr>
      </w:pPr>
    </w:p>
    <w:p>
      <w:pPr>
        <w:ind w:left="620" w:hanging="184"/>
        <w:spacing w:after="0"/>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Indemnification and Contribution</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jc w:val="both"/>
        <w:ind w:right="160" w:firstLine="987"/>
        <w:spacing w:after="0" w:line="261" w:lineRule="auto"/>
        <w:tabs>
          <w:tab w:leader="none" w:pos="123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Indemnification by the Company</w:t>
      </w:r>
      <w:r>
        <w:rPr>
          <w:rFonts w:ascii="Times New Roman" w:cs="Times New Roman" w:eastAsia="Times New Roman" w:hAnsi="Times New Roman"/>
          <w:sz w:val="18"/>
          <w:szCs w:val="18"/>
          <w:color w:val="auto"/>
        </w:rPr>
        <w:t>. The Company agrees to indemnify and hold harmless each Underwriter, its affiliates, directors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and each person, if any, who controls such Underwriter within the meaning of Section 15 of the Act or Section 20 of the Exchange Act, from and against any losses, claims, damages or liabilities, joint or several, to which such Underwriter may become subject, under the Act or otherwise (including in settlement of any litigation if such settlement is effected with the written consent of the</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40"/>
          </w:cols>
          <w:pgMar w:left="440" w:top="270" w:right="519" w:bottom="1440" w:gutter="0" w:footer="0" w:header="0"/>
        </w:sectPr>
      </w:pPr>
    </w:p>
    <w:bookmarkStart w:id="33" w:name="page34"/>
    <w:bookmarkEnd w:id="3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Company), insofar as such losses, claims, damages or liabilities (or actions in respect thereof) arise out of or are based upon: (i) an untrue statement or alleged untrue statement of a material fact contained in the Registration Statement, including the 430A Information and any other information deemed to be a part of the Registration Statement at the time of effectiveness and at any subsequent time pursuant to the Rules and Regulations, if applicable, any Preliminary Prospectus, the Time of Sale Disclosure Package, the Prospectus, or any amendment or supplement thereto, any issuer free writing prospectus, any issuer information that the Company has filed or is required to file pursuant to Rule 433(d) of the Rules and Regulations, any roadshow materials, or any Testing-the-Waters Communication, (ii) the omission or alleged omission to state therein a material fact required to be stated therein or necessary to make the statements therein not misleading, or (iii) any investigation or proceeding by any governmental authority, commenced or threatened (whether or not any Underwriter is a target of or party to such investigation or proceeding), and will reimburse each Underwriter for any legal or other expenses reasonably incurred by it in connection with investigating or defending against such loss, claim, damage, liability or action as such expenses are incurred;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will not be liable in any such case to the extent that any such loss, claim, damage, liability or action arises out of or is based upon an untrue statement or alleged untrue statement or omission or alleged omission made in reliance upon and in conformity with written information furnished to the Company by you, or by any Underwriter through you, specifically for use in the preparation thereof; it being understood and agreed that the only information furnished by an Underwriter consists of the information described as such in Section 6(e).</w:t>
      </w:r>
    </w:p>
    <w:p>
      <w:pPr>
        <w:spacing w:after="0" w:line="87" w:lineRule="exact"/>
        <w:rPr>
          <w:sz w:val="20"/>
          <w:szCs w:val="20"/>
          <w:color w:val="auto"/>
        </w:rPr>
      </w:pPr>
    </w:p>
    <w:p>
      <w:pPr>
        <w:ind w:right="20" w:firstLine="987"/>
        <w:spacing w:after="0" w:line="253" w:lineRule="auto"/>
        <w:tabs>
          <w:tab w:leader="none" w:pos="12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Indemnification by the Underwriters</w:t>
      </w:r>
      <w:r>
        <w:rPr>
          <w:rFonts w:ascii="Times New Roman" w:cs="Times New Roman" w:eastAsia="Times New Roman" w:hAnsi="Times New Roman"/>
          <w:sz w:val="18"/>
          <w:szCs w:val="18"/>
          <w:color w:val="auto"/>
        </w:rPr>
        <w:t>. Each Underwriter will, severally and not jointly, indemnify and hold harmless the Company,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directors and officers and each person, if any, who controls the Company within the meaning of Section 15 of the Act and Section 20 of the Exchange Act, from and against any losses, claims, damages or liabilities to which the Company may become subject, under the Act or otherwise (including in settlement of any litigation, if such settlement is effected with the written consent of such Underwriter), insofar as such losses, claims, damages or liabilities (or actions in respect thereof) arise out of or are based upon an untrue statement or alleged untrue statement of a material fact contained in the Registration Statement, any Preliminary Prospectus, the Time of Sale Disclosure Package, the Prospectus, or any amendment or supplement thereto, or any issuer free writing prospectus, or any issuer information that the Company has filed or is required to file pursuant to Rule 433(d) of the Rules and Regulations,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you, or by such Underwriter through you, specifically for use in the preparation thereof (it being understood and agreed that the only information furnished by an Underwriter consists of the information described as such in Section 6(d)), and will reimburse the Company for any legal or other expenses reasonably incurred by the Company in connection with investigating or defending against any such loss, claim, damage, liability or action as such expenses are incurred.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34" w:name="page35"/>
    <w:bookmarkEnd w:id="34"/>
    <w:p>
      <w:pPr>
        <w:ind w:left="-20" w:firstLine="987"/>
        <w:spacing w:after="0" w:line="252" w:lineRule="auto"/>
        <w:tabs>
          <w:tab w:leader="none" w:pos="121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 and Procedures</w:t>
      </w:r>
      <w:r>
        <w:rPr>
          <w:rFonts w:ascii="Times New Roman" w:cs="Times New Roman" w:eastAsia="Times New Roman" w:hAnsi="Times New Roman"/>
          <w:sz w:val="18"/>
          <w:szCs w:val="18"/>
          <w:color w:val="auto"/>
        </w:rPr>
        <w:t>. Promptly after receipt by an indemnified party under subsection (a) or (b) above of notice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the indemnifying party from any liability that it may have to any indemnified party except to the extent such indemnifying party has been materially prejudiced by such failure (through the forfeiture of substantive rights or defenses). In case any such action shall be brought against any indemnified party, and it shall notify the indemnifying party of the commencement thereof, the indemnifying party shall be entitled to participate in, and, to the extent that it shall wish, jointly with any other indemnifying party similarly notified, to assume the defense thereof, with counsel satisfactory to such indemnified party, and after notice from the indemnifying party to such indemnified party of the indemnifying party’s election so to assume the defense thereof, the indemnifying party shall not be liable to such indemnified party under such subsection for any legal or other expenses subsequently incurred by such indemnified party in connection with the defense thereof other than reasonable costs of investigation;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in the sole judgment of the Representatives, it is advisable for the Underwriters to be represented as a group by separate counsel, the Representatives shall have the right to employ a single counsel (in addition to local counsel) to represent the Representatives and all Underwriters who may be subject to liability arising from any claim in respect of which indemnity may be sought by the Underwriters under subsection (a) or (b) of this Section 6, in which event the reasonable fees and expenses of such separate counsel shall be borne by the indemnifying party or parties and reimbursed to the Underwriters as incurred. An indemnifying party shall not be obligated under any settlement agreement relating to any action under this Section 6 to which it has not agreed in writing. In addition, no indemnifying party shall, without the prior written consent of the indemnified party (which consent shall not be unreasonably withheld or delayed, effect any settlement of any pending or threatened proceeding unless such settlement includes an unconditional release of such indemnified party for all liability on claims that are the subject matter of such proceeding and does not include a statement as to, or an admission of, fault, culpability or a failure to act by or on behalf of an indemnified party. Notwithstanding the foregoing, if at any time an indemnified party shall have requested an indemnifying party to reimburse the indemnified party for fees and expenses of counsel pursuant to this Section 6(d), such indemnifying party agrees that it shall be liable for any settlement effected without its written consent if (i) such settlement is entered into more than 45 days after receipt by such indemnifying party of the aforesaid request and (ii) such indemnifying party shall not have reimbursed such indemnified party in accordance with such request prior to the date of such settlement.</w:t>
      </w:r>
    </w:p>
    <w:p>
      <w:pPr>
        <w:spacing w:after="0" w:line="77" w:lineRule="exact"/>
        <w:rPr>
          <w:rFonts w:ascii="Times New Roman" w:cs="Times New Roman" w:eastAsia="Times New Roman" w:hAnsi="Times New Roman"/>
          <w:sz w:val="18"/>
          <w:szCs w:val="18"/>
          <w:color w:val="auto"/>
        </w:rPr>
      </w:pPr>
    </w:p>
    <w:p>
      <w:pPr>
        <w:ind w:left="-20" w:right="20" w:firstLine="987"/>
        <w:spacing w:after="0" w:line="254" w:lineRule="auto"/>
        <w:tabs>
          <w:tab w:leader="none" w:pos="122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Contribution; Limitations on Liability; Non-Exclusive Remedy</w:t>
      </w:r>
      <w:r>
        <w:rPr>
          <w:rFonts w:ascii="Times New Roman" w:cs="Times New Roman" w:eastAsia="Times New Roman" w:hAnsi="Times New Roman"/>
          <w:sz w:val="18"/>
          <w:szCs w:val="18"/>
          <w:color w:val="auto"/>
        </w:rPr>
        <w:t>. If the indemnification provided for in this Section 6 is unavailable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insufficient to hold harmless an indemnified party under 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Underwriters on the other from the offering of the Securities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0"/>
          </w:cols>
          <w:pgMar w:left="460" w:top="268" w:right="479" w:bottom="1440" w:gutter="0" w:footer="0" w:header="0"/>
        </w:sectPr>
      </w:pPr>
    </w:p>
    <w:bookmarkStart w:id="35" w:name="page36"/>
    <w:bookmarkEnd w:id="3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relevant intent, knowledge, access to information and opportunity to correct or prevent such untrue statement or omission. The Company and the Underwriters agree that it would not be just and equitable if contributions pursuant to this subsection (d) were to be determined by pro rata allocation (even if the Underwriters were treated as one entity for such purpose) or by any other method of allocation which does not take account of the equitable considerations referred to in the first sentence of this subsection (d). The amount paid by an indemnified party as a result of the losses, claims, damages or liabilities referred to in the first sentence of this subsection (d) shall be deemed to include any legal or other expenses reasonably incurred by such indemnified party in connection with investigating or defending against any action or claim which is the subject of this subsection (d). Notwithstanding the provisions of this subsection (d), no Underwriter shall be required to contribute any amount in excess of the amount by which the total underwriting discounts and commissions received by such Underwriter with respect to the Securities purchased by it hereunder exceeds the amount of any damages that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 The remedies provided for in this Section 6 are not exclusive and shall not limit any rights or remedies that might otherwise be available to any indemnified party at law or in equity.</w:t>
      </w:r>
    </w:p>
    <w:p>
      <w:pPr>
        <w:spacing w:after="0" w:line="85" w:lineRule="exact"/>
        <w:rPr>
          <w:sz w:val="20"/>
          <w:szCs w:val="20"/>
          <w:color w:val="auto"/>
        </w:rPr>
      </w:pPr>
    </w:p>
    <w:p>
      <w:pPr>
        <w:ind w:right="280" w:firstLine="987"/>
        <w:spacing w:after="0" w:line="258" w:lineRule="auto"/>
        <w:tabs>
          <w:tab w:leader="none" w:pos="123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Information Provided by the Underwriters</w:t>
      </w:r>
      <w:r>
        <w:rPr>
          <w:rFonts w:ascii="Times New Roman" w:cs="Times New Roman" w:eastAsia="Times New Roman" w:hAnsi="Times New Roman"/>
          <w:sz w:val="18"/>
          <w:szCs w:val="18"/>
          <w:color w:val="auto"/>
        </w:rPr>
        <w:t>. The Underwriters severally confirm and the Company acknowledges that the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the public offering of the Securities by the Underwriters set forth in the fifth, fourteenth and fifteenth paragraphs under the caption “Underwriting” in the Time of Sale Disclosure Package and in the Prospectus are correct and constitute the only information concerning such Underwriters furnished in writing to the Company by or on behalf of the Underwriters specifically for inclusion in the Registration Statement, any Preliminary Prospectus, the Time of Sale Disclosure Package, the Prospectus or any issuer free writing prospectus.</w:t>
      </w:r>
    </w:p>
    <w:p>
      <w:pPr>
        <w:spacing w:after="0" w:line="73" w:lineRule="exact"/>
        <w:rPr>
          <w:rFonts w:ascii="Times New Roman" w:cs="Times New Roman" w:eastAsia="Times New Roman" w:hAnsi="Times New Roman"/>
          <w:sz w:val="18"/>
          <w:szCs w:val="18"/>
          <w:color w:val="auto"/>
        </w:rPr>
      </w:pPr>
    </w:p>
    <w:p>
      <w:pPr>
        <w:ind w:right="80" w:firstLine="436"/>
        <w:spacing w:after="0" w:line="259" w:lineRule="auto"/>
        <w:tabs>
          <w:tab w:leader="none" w:pos="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Representations and Agreements to Survive Delivery</w:t>
      </w:r>
      <w:r>
        <w:rPr>
          <w:rFonts w:ascii="Times New Roman" w:cs="Times New Roman" w:eastAsia="Times New Roman" w:hAnsi="Times New Roman"/>
          <w:sz w:val="18"/>
          <w:szCs w:val="18"/>
          <w:color w:val="auto"/>
        </w:rPr>
        <w:t>. All representations, warranties, and agreements of the Company herein or in certificates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delivered pursuant hereto, including but not limited to the agreements of the several Underwriters and the Company contained in Section 6 hereof, shall remain operative and in full force and effect regardless of any investigation made by or on behalf of any Underwriter or any controlling person thereof, or the Company or any of its officers, directors, or controlling persons, and shall survive delivery of, and payment for, the Securities to and by the Underwriters hereunder and any termination of this Agreement.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36" w:name="page37"/>
    <w:bookmarkEnd w:id="36"/>
    <w:p>
      <w:pPr>
        <w:ind w:left="624" w:hanging="184"/>
        <w:spacing w:after="0"/>
        <w:tabs>
          <w:tab w:leader="none" w:pos="62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Substitution of Underwriters</w:t>
      </w:r>
      <w:r>
        <w:rPr>
          <w:rFonts w:ascii="Times New Roman" w:cs="Times New Roman" w:eastAsia="Times New Roman" w:hAnsi="Times New Roman"/>
          <w:sz w:val="18"/>
          <w:szCs w:val="18"/>
          <w:b w:val="1"/>
          <w:bCs w:val="1"/>
          <w:color w:val="auto"/>
        </w:rPr>
        <w:t>.</w:t>
      </w:r>
    </w:p>
    <w:p>
      <w:pPr>
        <w:spacing w:after="0" w:line="119" w:lineRule="exact"/>
        <w:rPr>
          <w:rFonts w:ascii="Times New Roman" w:cs="Times New Roman" w:eastAsia="Times New Roman" w:hAnsi="Times New Roman"/>
          <w:sz w:val="18"/>
          <w:szCs w:val="18"/>
          <w:color w:val="auto"/>
        </w:rPr>
      </w:pPr>
    </w:p>
    <w:p>
      <w:pPr>
        <w:ind w:left="4" w:right="100" w:firstLine="987"/>
        <w:spacing w:after="0" w:line="257" w:lineRule="auto"/>
        <w:tabs>
          <w:tab w:leader="none" w:pos="124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Obligation to Purchase Under Certain Circumstances</w:t>
      </w:r>
      <w:r>
        <w:rPr>
          <w:rFonts w:ascii="Times New Roman" w:cs="Times New Roman" w:eastAsia="Times New Roman" w:hAnsi="Times New Roman"/>
          <w:sz w:val="18"/>
          <w:szCs w:val="18"/>
          <w:color w:val="auto"/>
        </w:rPr>
        <w:t>. If any Underwriter or Underwriters shall fail to take up and pay for the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Firm Shares agreed by such Underwriter or Underwriters to be purchased hereunder, upon tender of such Firm Shares in accordance with the terms hereof, and the amount of Firm Shares not purchased does not aggregate more than 10% of the total amount of Firm Shares set forth in Schedule I hereto, the remaining Underwriters shall be obligated to take up and pay for (in proportion to their respective underwriting obligations hereunder as set forth in Schedule I hereto except as may otherwise be determined by you) the Firm Shares that the withdrawing or defaulting Underwriters agreed but failed to purchase.</w:t>
      </w:r>
    </w:p>
    <w:p>
      <w:pPr>
        <w:spacing w:after="0" w:line="74" w:lineRule="exact"/>
        <w:rPr>
          <w:rFonts w:ascii="Times New Roman" w:cs="Times New Roman" w:eastAsia="Times New Roman" w:hAnsi="Times New Roman"/>
          <w:sz w:val="18"/>
          <w:szCs w:val="18"/>
          <w:color w:val="auto"/>
        </w:rPr>
      </w:pPr>
    </w:p>
    <w:p>
      <w:pPr>
        <w:ind w:left="4" w:firstLine="987"/>
        <w:spacing w:after="0" w:line="255" w:lineRule="auto"/>
        <w:tabs>
          <w:tab w:leader="none" w:pos="125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Termination Under Certain Circumstances</w:t>
      </w:r>
      <w:r>
        <w:rPr>
          <w:rFonts w:ascii="Times New Roman" w:cs="Times New Roman" w:eastAsia="Times New Roman" w:hAnsi="Times New Roman"/>
          <w:sz w:val="18"/>
          <w:szCs w:val="18"/>
          <w:color w:val="auto"/>
        </w:rPr>
        <w:t>. If any Underwriter or Underwriters shall fail to take up and pay for the amount of Firm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agreed by such Underwriter or Underwriters to be purchased hereunder, upon tender of such Firm Shares in accordance with the terms hereof, and the amount of Firm Shares not purchased aggregates more than 10% of the total amount of Firm Shares set forth in Schedule I hereto, and arrangements satisfactory to you for the purchase of such Firm Shares by other persons are not made within 36 hours thereafter, this Agreement shall terminate. In the event of any such termination the Company shall not be under any liability to any Underwriter (except to the extent provided in Section 4(a)(vii) and Section 6 hereof) nor shall any Underwriter (other than an Underwriter who shall have failed, otherwise than for some reason permitted under this Agreement, to purchase the amount of Firm Shares agreed by such Underwriter to be purchased hereunder) be under any liability to the Company (except to the extent provided in Section 6 hereof).</w:t>
      </w:r>
    </w:p>
    <w:p>
      <w:pPr>
        <w:spacing w:after="0" w:line="76" w:lineRule="exact"/>
        <w:rPr>
          <w:rFonts w:ascii="Times New Roman" w:cs="Times New Roman" w:eastAsia="Times New Roman" w:hAnsi="Times New Roman"/>
          <w:sz w:val="18"/>
          <w:szCs w:val="18"/>
          <w:color w:val="auto"/>
        </w:rPr>
      </w:pPr>
    </w:p>
    <w:p>
      <w:pPr>
        <w:ind w:left="4" w:right="80" w:firstLine="987"/>
        <w:spacing w:after="0" w:line="258" w:lineRule="auto"/>
        <w:tabs>
          <w:tab w:leader="none" w:pos="124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Postponement of Closing</w:t>
      </w:r>
      <w:r>
        <w:rPr>
          <w:rFonts w:ascii="Times New Roman" w:cs="Times New Roman" w:eastAsia="Times New Roman" w:hAnsi="Times New Roman"/>
          <w:sz w:val="18"/>
          <w:szCs w:val="18"/>
          <w:color w:val="auto"/>
        </w:rPr>
        <w:t>. If Firm Shares to which a default relates are to be purchased by the non-defaulting Underwriters or by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party or parties, the Representatives or the Company shall have the right to postpone the First Closing Date for not more than seven business days in order that the necessary changes in the Registration Statement, in the Time of Sale Disclosure Package, in the Prospectus or in any other documents, as well as any other arrangements, may be effected. As used herein, the term “Underwriter” includes any person substituted for an Underwriter under this Section 8.</w:t>
      </w:r>
    </w:p>
    <w:p>
      <w:pPr>
        <w:spacing w:after="0" w:line="183" w:lineRule="exact"/>
        <w:rPr>
          <w:rFonts w:ascii="Times New Roman" w:cs="Times New Roman" w:eastAsia="Times New Roman" w:hAnsi="Times New Roman"/>
          <w:sz w:val="18"/>
          <w:szCs w:val="18"/>
          <w:color w:val="auto"/>
        </w:rPr>
      </w:pPr>
    </w:p>
    <w:p>
      <w:pPr>
        <w:ind w:left="4" w:right="420" w:firstLine="987"/>
        <w:spacing w:after="0" w:line="284" w:lineRule="auto"/>
        <w:tabs>
          <w:tab w:leader="none" w:pos="125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Relief from Liability</w:t>
      </w:r>
      <w:r>
        <w:rPr>
          <w:rFonts w:ascii="Times New Roman" w:cs="Times New Roman" w:eastAsia="Times New Roman" w:hAnsi="Times New Roman"/>
          <w:sz w:val="18"/>
          <w:szCs w:val="18"/>
          <w:color w:val="auto"/>
        </w:rPr>
        <w:t>. No action taken pursuant to this Section shall relieve any defaulting Underwriter from liability, if any,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such default.</w:t>
      </w:r>
    </w:p>
    <w:p>
      <w:pPr>
        <w:spacing w:after="0" w:line="48"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Termination of this Agreement.</w:t>
      </w:r>
    </w:p>
    <w:p>
      <w:pPr>
        <w:spacing w:after="0" w:line="119" w:lineRule="exact"/>
        <w:rPr>
          <w:rFonts w:ascii="Times New Roman" w:cs="Times New Roman" w:eastAsia="Times New Roman" w:hAnsi="Times New Roman"/>
          <w:sz w:val="18"/>
          <w:szCs w:val="18"/>
          <w:color w:val="auto"/>
        </w:rPr>
      </w:pPr>
    </w:p>
    <w:p>
      <w:pPr>
        <w:ind w:left="4" w:right="140" w:firstLine="987"/>
        <w:spacing w:after="0" w:line="271" w:lineRule="auto"/>
        <w:tabs>
          <w:tab w:leader="none" w:pos="1240" w:val="left"/>
        </w:tabs>
        <w:numPr>
          <w:ilvl w:val="2"/>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Right to Terminate</w:t>
      </w:r>
      <w:r>
        <w:rPr>
          <w:rFonts w:ascii="Times New Roman" w:cs="Times New Roman" w:eastAsia="Times New Roman" w:hAnsi="Times New Roman"/>
          <w:sz w:val="17"/>
          <w:szCs w:val="17"/>
          <w:color w:val="auto"/>
        </w:rPr>
        <w:t>. You, as Representatives of the several Underwriters, shall have the right to terminate this Agreement by giving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notice to the Company as hereinafter specified at any time at or prior to the First Closing Date, and the option referred to in Section 3(b), if exercised, may be cancelled at any time prior to the Second Closing Date, if (i) the Company shall have failed, refused or been unable, at or prior to such Closing Date, to perform any agreement on its part to be performed hereunder, (ii) any condition of the Underwriters’ obligations hereunder is not fulfilled,</w:t>
      </w:r>
    </w:p>
    <w:p>
      <w:pPr>
        <w:spacing w:after="0" w:line="1" w:lineRule="exact"/>
        <w:rPr>
          <w:rFonts w:ascii="Times New Roman" w:cs="Times New Roman" w:eastAsia="Times New Roman" w:hAnsi="Times New Roman"/>
          <w:sz w:val="17"/>
          <w:szCs w:val="17"/>
          <w:color w:val="auto"/>
        </w:rPr>
      </w:pPr>
    </w:p>
    <w:p>
      <w:pPr>
        <w:ind w:left="4" w:right="160" w:hanging="4"/>
        <w:spacing w:after="0" w:line="253" w:lineRule="auto"/>
        <w:tabs>
          <w:tab w:leader="none" w:pos="31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the Company’s Common Stock shall have been suspended by the Commission or The NASDAQ Stock Market LLC or trading in securities generally on The NASDAQ Stock Market LLC or New York Stock Exchange shall have been suspended, (iv) minimum or maximum prices for trading shall have been fixed, or maximum ranges for prices for securities shall have been required, on The NASDAQ Stock Market LLC or New York Stock Exchange, by such Exchange or by order of the Commission or any other Governmental Authority having jurisdiction, (v) a banking moratorium shall have been declared by federal or New York state</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4"/>
          </w:cols>
          <w:pgMar w:left="436" w:top="266" w:right="479" w:bottom="1440" w:gutter="0" w:footer="0" w:header="0"/>
        </w:sectPr>
      </w:pPr>
    </w:p>
    <w:bookmarkStart w:id="37" w:name="page38"/>
    <w:bookmarkEnd w:id="37"/>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authorities or a material disruption in commercial banking or securities settlement or clearance services in the United States, or (vi) there shall have occurred any attack on, outbreak or escalation of hostilities or act of terrorism involving the United States, any declaration by the United States of a national emergency or war, any material negative change in financial markets, any substantial change or development involving a prospective substantial change in United States or international political, financial or economic conditions, or any other calamity or crisis that, in your judgment, is material and adverse and makes it impractical or inadvisable to proceed with the completion of the sale of and payment for the Securities. Any such termination shall be without liability of any party to any other party except that the provisions of Section 4(a)(vii) and Section 6 hereof shall at all times be effective and shall survive such termination.</w:t>
      </w:r>
    </w:p>
    <w:p>
      <w:pPr>
        <w:spacing w:after="0" w:line="79" w:lineRule="exact"/>
        <w:rPr>
          <w:sz w:val="20"/>
          <w:szCs w:val="20"/>
          <w:color w:val="auto"/>
        </w:rPr>
      </w:pPr>
    </w:p>
    <w:p>
      <w:pPr>
        <w:ind w:left="4" w:right="100" w:firstLine="987"/>
        <w:spacing w:after="0" w:line="284" w:lineRule="auto"/>
        <w:tabs>
          <w:tab w:leader="none" w:pos="125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Notice of Termination</w:t>
      </w:r>
      <w:r>
        <w:rPr>
          <w:rFonts w:ascii="Times New Roman" w:cs="Times New Roman" w:eastAsia="Times New Roman" w:hAnsi="Times New Roman"/>
          <w:sz w:val="18"/>
          <w:szCs w:val="18"/>
          <w:color w:val="auto"/>
        </w:rPr>
        <w:t>. If you elect to terminate this Agreement as provided in this Section, the Company shall be notified promptly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by telephone, confirmed by letter.</w:t>
      </w:r>
    </w:p>
    <w:p>
      <w:pPr>
        <w:spacing w:after="0" w:line="4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Default by the Company</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 w:right="400" w:firstLine="987"/>
        <w:spacing w:after="0" w:line="267" w:lineRule="auto"/>
        <w:tabs>
          <w:tab w:leader="none" w:pos="124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Default by the Company</w:t>
      </w:r>
      <w:r>
        <w:rPr>
          <w:rFonts w:ascii="Times New Roman" w:cs="Times New Roman" w:eastAsia="Times New Roman" w:hAnsi="Times New Roman"/>
          <w:sz w:val="18"/>
          <w:szCs w:val="18"/>
          <w:color w:val="auto"/>
        </w:rPr>
        <w:t>. If the Company shall fail at the First Closing Date to sell and deliver the number of Securities which it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obligated to sell hereunder, then this Agreement shall terminate without any liability on the part of any Underwriter or, except as provided in Section 4(a)(vii) and Section 6 hereof, any non-defaulting party.</w:t>
      </w:r>
    </w:p>
    <w:p>
      <w:pPr>
        <w:spacing w:after="0" w:line="6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Relief from Liability</w:t>
      </w:r>
      <w:r>
        <w:rPr>
          <w:rFonts w:ascii="Times New Roman" w:cs="Times New Roman" w:eastAsia="Times New Roman" w:hAnsi="Times New Roman"/>
          <w:sz w:val="18"/>
          <w:szCs w:val="18"/>
          <w:color w:val="auto"/>
        </w:rPr>
        <w:t>. No action taken pursuant to this Section shall relieve the Company from liability, if any, in respect of such</w:t>
      </w:r>
    </w:p>
    <w:p>
      <w:pPr>
        <w:spacing w:after="0" w:line="2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w:t>
      </w:r>
    </w:p>
    <w:p>
      <w:pPr>
        <w:spacing w:after="0" w:line="94" w:lineRule="exact"/>
        <w:rPr>
          <w:rFonts w:ascii="Times New Roman" w:cs="Times New Roman" w:eastAsia="Times New Roman" w:hAnsi="Times New Roman"/>
          <w:sz w:val="18"/>
          <w:szCs w:val="18"/>
          <w:color w:val="auto"/>
        </w:rPr>
      </w:pPr>
    </w:p>
    <w:p>
      <w:pPr>
        <w:ind w:left="4" w:right="100" w:hanging="4"/>
        <w:spacing w:after="0" w:line="256" w:lineRule="auto"/>
        <w:tabs>
          <w:tab w:leader="none" w:pos="26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 Except as otherwise provided herein, all communications hereunder shall be in writing and, if to the Underwriters, shall be mailed via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overnight delivery service or hand delivered via courier to the Representatives c/o Piper Sandler &amp; Co., U.S. Bancorp Center, 800 Nicollet Mall, Minneapolis, Minnesota 55402, Attention: Equity Capital Markets, with a copy to Piper Sandler General Counsel at 800 Nicollet Mall, Minneapolis, MN 55402 and LegalCapMarkets@psc.com; Cowen and Company, LLC, 599 Lexington Avenue, New York, NY 10022, Attention: Head of Equity Capital Markets, Fax: 646-562- 1249, with a copy to the General Counsel, Fax: 646-562-1124; and if to the Company, shall be mailed or delivered to it at AVITA Medical, Inc., 28159 Avenue Stanford, Suite 220, Valencia, California 91355, Attention: General Counsel). Any party to this Agreement may change such address for notices by sending to the parties to this Agreement written notice of a new address for such purpose.</w:t>
      </w:r>
    </w:p>
    <w:p>
      <w:pPr>
        <w:spacing w:after="0" w:line="74" w:lineRule="exact"/>
        <w:rPr>
          <w:rFonts w:ascii="Times New Roman" w:cs="Times New Roman" w:eastAsia="Times New Roman" w:hAnsi="Times New Roman"/>
          <w:sz w:val="18"/>
          <w:szCs w:val="18"/>
          <w:color w:val="auto"/>
        </w:rPr>
      </w:pPr>
    </w:p>
    <w:p>
      <w:pPr>
        <w:ind w:left="4" w:right="80" w:firstLine="436"/>
        <w:spacing w:after="0" w:line="259" w:lineRule="auto"/>
        <w:tabs>
          <w:tab w:leader="none" w:pos="71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 successors and assigns and the controlling persons, officers and directors referred to in Section 6. Nothing in this Agreement is intended or shall be construed to give to any other person, firm or corporation any legal or equitable remedy or claim under or in respect of this Agreement or any provision herein contained. The term “successors and assigns” as herein used shall not include any purchaser, as such purchaser, of any of the Securities from any of the several Underwriters.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4"/>
          </w:cols>
          <w:pgMar w:left="436" w:top="270" w:right="439" w:bottom="1440" w:gutter="0" w:footer="0" w:header="0"/>
        </w:sectPr>
      </w:pPr>
    </w:p>
    <w:bookmarkStart w:id="38" w:name="page39"/>
    <w:bookmarkEnd w:id="38"/>
    <w:p>
      <w:pPr>
        <w:ind w:right="20" w:firstLine="436"/>
        <w:spacing w:after="0" w:line="253" w:lineRule="auto"/>
        <w:tabs>
          <w:tab w:leader="none" w:pos="71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Absence of Fiduciary Relationship</w:t>
      </w:r>
      <w:r>
        <w:rPr>
          <w:rFonts w:ascii="Times New Roman" w:cs="Times New Roman" w:eastAsia="Times New Roman" w:hAnsi="Times New Roman"/>
          <w:sz w:val="18"/>
          <w:szCs w:val="18"/>
          <w:color w:val="auto"/>
        </w:rPr>
        <w:t>. The Company acknowledges and agrees that: (a) the Representatives have been retained solely to act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underwriter in connection with the sale of the Securities and that no fiduciary, advisory or agency relationship between the Company and the Representatives has been created in respect of any of the transactions contemplated by this Agreement, irrespective of whether the Representatives have advised or are advising the Company on other matters; (b) the price and other terms of the Securities set forth in this Agreement were established by the Company following discussions and arms-length negotiations with the Representatives; (c) it has been advised that the Representatives and their affiliates are engaged in a broad range of transactions which may involve interests that differ from those of the Company and that the Representatives have no obligation to disclose such interest and transactions to the Company by virtue of any fiduciary, advisory or agency relationship; (d) it has been advised that the Representatives are acting, in respect of the transactions contemplated by this Agreement, solely for the benefit of the Representatives and the other Underwriters, and not on behalf of the Company; (e) it waives to the fullest extent permitted by law, any claims it may have against the Representatives for breach of fiduciary duty or alleged breach of fiduciary duty in respect of any of the transactions contemplated by this Agreement and agrees that the Representatives shall have no liability (whether direct or indirect) to the Company in respect of such a fiduciary duty claim on behalf of or in right of the Company, including stockholders, employees or creditors of the Company.</w:t>
      </w:r>
    </w:p>
    <w:p>
      <w:pPr>
        <w:spacing w:after="0" w:line="8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Recognition of the U.S. Special Resolution Regimes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right="80" w:firstLine="987"/>
        <w:spacing w:after="0" w:line="261" w:lineRule="auto"/>
        <w:tabs>
          <w:tab w:leader="none" w:pos="124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w:t>
      </w:r>
    </w:p>
    <w:p>
      <w:pPr>
        <w:spacing w:after="0" w:line="225" w:lineRule="exact"/>
        <w:rPr>
          <w:sz w:val="20"/>
          <w:szCs w:val="20"/>
          <w:color w:val="auto"/>
        </w:rPr>
      </w:pPr>
    </w:p>
    <w:p>
      <w:pPr>
        <w:ind w:right="24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66" w:right="439" w:bottom="1440" w:gutter="0" w:footer="0" w:header="0"/>
        </w:sectPr>
      </w:pPr>
    </w:p>
    <w:bookmarkStart w:id="39" w:name="page40"/>
    <w:bookmarkEnd w:id="39"/>
    <w:p>
      <w:pPr>
        <w:ind w:left="4" w:right="6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w:t>
      </w:r>
    </w:p>
    <w:p>
      <w:pPr>
        <w:spacing w:after="0" w:line="15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w:t>
      </w:r>
    </w:p>
    <w:p>
      <w:pPr>
        <w:spacing w:after="0" w:line="31" w:lineRule="exact"/>
        <w:rPr>
          <w:sz w:val="20"/>
          <w:szCs w:val="20"/>
          <w:color w:val="auto"/>
        </w:rPr>
      </w:pPr>
    </w:p>
    <w:p>
      <w:pPr>
        <w:ind w:left="264" w:hanging="264"/>
        <w:spacing w:after="0"/>
        <w:tabs>
          <w:tab w:leader="none" w:pos="26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II of the Dodd-Frank Wall Street Reform and Consumer Protection Act and the regulations promulgated thereunder.</w:t>
      </w:r>
    </w:p>
    <w:p>
      <w:pPr>
        <w:spacing w:after="0" w:line="94" w:lineRule="exact"/>
        <w:rPr>
          <w:rFonts w:ascii="Times New Roman" w:cs="Times New Roman" w:eastAsia="Times New Roman" w:hAnsi="Times New Roman"/>
          <w:sz w:val="18"/>
          <w:szCs w:val="18"/>
          <w:color w:val="auto"/>
        </w:rPr>
      </w:pPr>
    </w:p>
    <w:p>
      <w:pPr>
        <w:ind w:left="4" w:right="80" w:firstLine="436"/>
        <w:spacing w:after="0" w:line="257" w:lineRule="auto"/>
        <w:tabs>
          <w:tab w:leader="none" w:pos="71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Governing Law; Waiver of Jury Trial</w:t>
      </w:r>
      <w:r>
        <w:rPr>
          <w:rFonts w:ascii="Times New Roman" w:cs="Times New Roman" w:eastAsia="Times New Roman" w:hAnsi="Times New Roman"/>
          <w:sz w:val="18"/>
          <w:szCs w:val="18"/>
          <w:color w:val="auto"/>
        </w:rPr>
        <w:t>. This Agreement and any transaction contemplated by this Agreement and any claim, controversy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dispute arising under or related thereto shall be governed by and construed in accordance with the laws of the State of New York without regard to principles of conflict of laws that would results in the application of any other law than the laws of the State of New York.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74" w:lineRule="exact"/>
        <w:rPr>
          <w:rFonts w:ascii="Times New Roman" w:cs="Times New Roman" w:eastAsia="Times New Roman" w:hAnsi="Times New Roman"/>
          <w:sz w:val="18"/>
          <w:szCs w:val="18"/>
          <w:color w:val="auto"/>
        </w:rPr>
      </w:pPr>
    </w:p>
    <w:p>
      <w:pPr>
        <w:jc w:val="both"/>
        <w:ind w:left="4" w:right="20" w:firstLine="436"/>
        <w:spacing w:after="0" w:line="259" w:lineRule="auto"/>
        <w:tabs>
          <w:tab w:leader="none" w:pos="71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Submission to Jurisdiction, Etc</w:t>
      </w:r>
      <w:r>
        <w:rPr>
          <w:rFonts w:ascii="Times New Roman" w:cs="Times New Roman" w:eastAsia="Times New Roman" w:hAnsi="Times New Roman"/>
          <w:sz w:val="18"/>
          <w:szCs w:val="18"/>
          <w:color w:val="auto"/>
        </w:rPr>
        <w:t>. Each party hereby submits to the exclusive jurisdiction of the U.S. federal and New York state courts sitting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Borough of Manhattan, City of New York, in any suit or proceeding arising out of or relating to this Agreement or the transactions contemplated hereby. The parties hereby irrevocably and unconditionally waive any objection to the laying of venue of any lawsuit, action or other proceeding in such courts, and hereby further irrevocably and unconditionally waive and agree not to plead or claim in any such court that any such lawsuit, action or other proceeding brought in any such court has been brought in an inconvenient forum.</w:t>
      </w:r>
    </w:p>
    <w:p>
      <w:pPr>
        <w:spacing w:after="0" w:line="71" w:lineRule="exact"/>
        <w:rPr>
          <w:rFonts w:ascii="Times New Roman" w:cs="Times New Roman" w:eastAsia="Times New Roman" w:hAnsi="Times New Roman"/>
          <w:sz w:val="18"/>
          <w:szCs w:val="18"/>
          <w:color w:val="auto"/>
        </w:rPr>
      </w:pPr>
    </w:p>
    <w:p>
      <w:pPr>
        <w:ind w:left="4" w:firstLine="436"/>
        <w:spacing w:after="0" w:line="262" w:lineRule="auto"/>
        <w:tabs>
          <w:tab w:leader="none" w:pos="71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Counterparts</w:t>
      </w:r>
      <w:r>
        <w:rPr>
          <w:rFonts w:ascii="Times New Roman" w:cs="Times New Roman" w:eastAsia="Times New Roman" w:hAnsi="Times New Roman"/>
          <w:sz w:val="18"/>
          <w:szCs w:val="18"/>
          <w:color w:val="auto"/>
        </w:rPr>
        <w:t>. This Agreement may be executed in one or more counterparts and, if executed in more than one counterpart, the executed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counterparts shall each be deemed to be an original and all such counterparts shall together constitute one and the same instrument. Counterparts may be delivered via facsimile or electronic mail (including, without limitation, “pdf”, “tif” or “jpg”) and any counterpart so delivered shall be deemed to have been duly and validly delivered and be valid and effective for all purposes.</w:t>
      </w:r>
    </w:p>
    <w:p>
      <w:pPr>
        <w:spacing w:after="0" w:line="68" w:lineRule="exact"/>
        <w:rPr>
          <w:rFonts w:ascii="Times New Roman" w:cs="Times New Roman" w:eastAsia="Times New Roman" w:hAnsi="Times New Roman"/>
          <w:sz w:val="18"/>
          <w:szCs w:val="18"/>
          <w:color w:val="auto"/>
        </w:rPr>
      </w:pPr>
    </w:p>
    <w:p>
      <w:pPr>
        <w:ind w:left="4" w:right="40" w:firstLine="436"/>
        <w:spacing w:after="0" w:line="259" w:lineRule="auto"/>
        <w:tabs>
          <w:tab w:leader="none" w:pos="71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General Provisions. </w:t>
      </w:r>
      <w:r>
        <w:rPr>
          <w:rFonts w:ascii="Times New Roman" w:cs="Times New Roman" w:eastAsia="Times New Roman" w:hAnsi="Times New Roman"/>
          <w:sz w:val="18"/>
          <w:szCs w:val="18"/>
          <w:color w:val="auto"/>
        </w:rPr>
        <w:t>This Agreement constitutes the entire agreement of the parties to this Agreement and supersedes all prior written or oral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all contemporaneous oral agreements, understandings and negotiations with respect to the subject matter hereof.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7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16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4"/>
          </w:cols>
          <w:pgMar w:left="436" w:top="266" w:right="479" w:bottom="1440" w:gutter="0" w:footer="0" w:header="0"/>
        </w:sectPr>
      </w:pPr>
    </w:p>
    <w:bookmarkStart w:id="40" w:name="page41"/>
    <w:bookmarkEnd w:id="40"/>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Please sign and return to the Company the enclosed duplicates of this letter whereupon this letter will become a binding agreement between the Company and the several Underwriters in accordance with its terms.</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Sean Ekins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17145</wp:posOffset>
            </wp:positionV>
            <wp:extent cx="26231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Interim Principal Financial Officer and Accounting Officer</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as of the date first above mentioned, on behalf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themselves and the other several Underwriters named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IPER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ANDLER</w:t>
      </w:r>
      <w:r>
        <w:rPr>
          <w:rFonts w:ascii="Times New Roman" w:cs="Times New Roman" w:eastAsia="Times New Roman" w:hAnsi="Times New Roman"/>
          <w:sz w:val="18"/>
          <w:szCs w:val="18"/>
          <w:color w:val="auto"/>
        </w:rPr>
        <w:t xml:space="preserve"> &amp; C</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Neil Riley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Neil Riley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 - Equity Capital Markets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OWEN AND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18"/>
          <w:szCs w:val="18"/>
          <w:color w:val="auto"/>
        </w:rPr>
        <w:t>,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Michael Campbell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w:t>
      </w:r>
    </w:p>
    <w:p>
      <w:pPr>
        <w:sectPr>
          <w:pgSz w:w="11900" w:h="16838" w:orient="portrait"/>
          <w:cols w:equalWidth="0" w:num="1">
            <w:col w:w="10860"/>
          </w:cols>
          <w:pgMar w:left="440" w:top="270" w:right="599" w:bottom="1440" w:gutter="0" w:footer="0" w:header="0"/>
        </w:sectPr>
      </w:pPr>
    </w:p>
    <w:bookmarkStart w:id="41" w:name="page42"/>
    <w:bookmarkEnd w:id="41"/>
    <w:tbl>
      <w:tblPr>
        <w:tblLayout w:type="fixed"/>
        <w:tblInd w:w="4"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320" w:type="dxa"/>
            <w:vAlign w:val="bottom"/>
            <w:gridSpan w:val="3"/>
          </w:tcPr>
          <w:p>
            <w:pPr>
              <w:ind w:left="1260"/>
              <w:spacing w:after="0"/>
              <w:rPr>
                <w:sz w:val="20"/>
                <w:szCs w:val="20"/>
                <w:color w:val="auto"/>
              </w:rPr>
            </w:pPr>
            <w:r>
              <w:rPr>
                <w:rFonts w:ascii="Times New Roman" w:cs="Times New Roman" w:eastAsia="Times New Roman" w:hAnsi="Times New Roman"/>
                <w:sz w:val="18"/>
                <w:szCs w:val="18"/>
                <w:b w:val="1"/>
                <w:bCs w:val="1"/>
                <w:color w:val="auto"/>
              </w:rPr>
              <w:t>SCHEDULE I</w:t>
            </w:r>
          </w:p>
        </w:tc>
      </w:tr>
      <w:tr>
        <w:trPr>
          <w:trHeight w:val="412"/>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Underwriter</w:t>
            </w:r>
          </w:p>
        </w:tc>
        <w:tc>
          <w:tcPr>
            <w:tcW w:w="2980" w:type="dxa"/>
            <w:vAlign w:val="bottom"/>
            <w:gridSpan w:val="2"/>
          </w:tcPr>
          <w:p>
            <w:pPr>
              <w:spacing w:after="0"/>
              <w:rPr>
                <w:sz w:val="24"/>
                <w:szCs w:val="24"/>
                <w:color w:val="auto"/>
              </w:rPr>
            </w:pPr>
          </w:p>
        </w:tc>
        <w:tc>
          <w:tcPr>
            <w:tcW w:w="5680" w:type="dxa"/>
            <w:vAlign w:val="bottom"/>
          </w:tcPr>
          <w:p>
            <w:pPr>
              <w:spacing w:after="0"/>
              <w:rPr>
                <w:sz w:val="24"/>
                <w:szCs w:val="24"/>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Number of Firm Shares (1)</w:t>
            </w:r>
          </w:p>
        </w:tc>
      </w:tr>
      <w:tr>
        <w:trPr>
          <w:trHeight w:val="203"/>
        </w:trPr>
        <w:tc>
          <w:tcPr>
            <w:tcW w:w="370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Piper Sandler &amp; Co. LLC</w:t>
            </w:r>
          </w:p>
        </w:tc>
        <w:tc>
          <w:tcPr>
            <w:tcW w:w="56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1,187,875</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Cowen and Company, LLC</w:t>
            </w:r>
          </w:p>
        </w:tc>
        <w:tc>
          <w:tcPr>
            <w:tcW w:w="7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1,048,125</w:t>
            </w:r>
          </w:p>
        </w:tc>
      </w:tr>
      <w:tr>
        <w:trPr>
          <w:trHeight w:val="216"/>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BTIG, LLC</w:t>
            </w:r>
          </w:p>
        </w:tc>
        <w:tc>
          <w:tcPr>
            <w:tcW w:w="7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349,375</w:t>
            </w:r>
          </w:p>
        </w:tc>
      </w:tr>
      <w:tr>
        <w:trPr>
          <w:trHeight w:val="223"/>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Lake Street Capital Markets, LLC</w:t>
            </w:r>
          </w:p>
        </w:tc>
        <w:tc>
          <w:tcPr>
            <w:tcW w:w="568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209,625</w:t>
            </w:r>
          </w:p>
        </w:tc>
        <w:tc>
          <w:tcPr>
            <w:tcW w:w="60" w:type="dxa"/>
            <w:vAlign w:val="bottom"/>
          </w:tcPr>
          <w:p>
            <w:pPr>
              <w:spacing w:after="0"/>
              <w:rPr>
                <w:sz w:val="19"/>
                <w:szCs w:val="19"/>
                <w:color w:val="auto"/>
              </w:rPr>
            </w:pPr>
          </w:p>
        </w:tc>
      </w:tr>
      <w:tr>
        <w:trPr>
          <w:trHeight w:val="216"/>
        </w:trPr>
        <w:tc>
          <w:tcPr>
            <w:tcW w:w="37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7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2,795,000</w:t>
            </w:r>
          </w:p>
        </w:tc>
      </w:tr>
      <w:tr>
        <w:trPr>
          <w:trHeight w:val="20"/>
        </w:trPr>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7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48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right="120" w:hanging="424"/>
        <w:spacing w:after="0" w:line="282" w:lineRule="auto"/>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may purchase up to an additional 419,250 Option Shares, to the extent the option described in Section 3(b) of the Agreement is exercised, in the proportions and in the manner described in the Agreement.</w:t>
      </w:r>
    </w:p>
    <w:p>
      <w:pPr>
        <w:sectPr>
          <w:pgSz w:w="11900" w:h="16838" w:orient="portrait"/>
          <w:cols w:equalWidth="0" w:num="1">
            <w:col w:w="11024"/>
          </w:cols>
          <w:pgMar w:left="436" w:top="266" w:right="439" w:bottom="1440" w:gutter="0" w:footer="0" w:header="0"/>
        </w:sectPr>
      </w:pPr>
    </w:p>
    <w:bookmarkStart w:id="42" w:name="page43"/>
    <w:bookmarkEnd w:id="42"/>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II</w:t>
      </w:r>
    </w:p>
    <w:p>
      <w:pPr>
        <w:spacing w:after="0" w:line="225" w:lineRule="exact"/>
        <w:rPr>
          <w:sz w:val="20"/>
          <w:szCs w:val="20"/>
          <w:color w:val="auto"/>
        </w:rPr>
      </w:pPr>
    </w:p>
    <w:p>
      <w:pPr>
        <w:jc w:val="right"/>
        <w:ind w:right="2779"/>
        <w:spacing w:after="0"/>
        <w:rPr>
          <w:sz w:val="20"/>
          <w:szCs w:val="20"/>
          <w:color w:val="auto"/>
        </w:rPr>
      </w:pPr>
      <w:r>
        <w:rPr>
          <w:rFonts w:ascii="Times New Roman" w:cs="Times New Roman" w:eastAsia="Times New Roman" w:hAnsi="Times New Roman"/>
          <w:sz w:val="18"/>
          <w:szCs w:val="18"/>
          <w:b w:val="1"/>
          <w:bCs w:val="1"/>
          <w:color w:val="auto"/>
        </w:rPr>
        <w:t>Certain Permitted Free Writing Prospectuses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0019"/>
          </w:cols>
          <w:pgMar w:left="440" w:top="266" w:right="1440" w:bottom="1440" w:gutter="0" w:footer="0" w:header="0"/>
        </w:sectPr>
      </w:pPr>
    </w:p>
    <w:bookmarkStart w:id="43" w:name="page44"/>
    <w:bookmarkEnd w:id="43"/>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III</w:t>
      </w:r>
    </w:p>
    <w:p>
      <w:pPr>
        <w:spacing w:after="0" w:line="225" w:lineRule="exact"/>
        <w:rPr>
          <w:sz w:val="20"/>
          <w:szCs w:val="20"/>
          <w:color w:val="auto"/>
        </w:rPr>
      </w:pPr>
    </w:p>
    <w:p>
      <w:pPr>
        <w:jc w:val="right"/>
        <w:ind w:right="3739"/>
        <w:spacing w:after="0"/>
        <w:rPr>
          <w:sz w:val="20"/>
          <w:szCs w:val="20"/>
          <w:color w:val="auto"/>
        </w:rPr>
      </w:pPr>
      <w:r>
        <w:rPr>
          <w:rFonts w:ascii="Times New Roman" w:cs="Times New Roman" w:eastAsia="Times New Roman" w:hAnsi="Times New Roman"/>
          <w:sz w:val="18"/>
          <w:szCs w:val="18"/>
          <w:b w:val="1"/>
          <w:bCs w:val="1"/>
          <w:color w:val="auto"/>
        </w:rPr>
        <w:t>Pricing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Firm Shares Being Offered: 2,795,000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Option Shares Being Offered: 419,250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 Per Share: $21.50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Discounts and Commissions: $1.45125 per share</w:t>
      </w:r>
    </w:p>
    <w:p>
      <w:pPr>
        <w:sectPr>
          <w:pgSz w:w="11900" w:h="16838" w:orient="portrait"/>
          <w:cols w:equalWidth="0" w:num="1">
            <w:col w:w="10019"/>
          </w:cols>
          <w:pgMar w:left="440" w:top="266" w:right="1440" w:bottom="1440" w:gutter="0" w:footer="0" w:header="0"/>
        </w:sectPr>
      </w:pPr>
    </w:p>
    <w:bookmarkStart w:id="44" w:name="page45"/>
    <w:bookmarkEnd w:id="44"/>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IV</w:t>
      </w:r>
    </w:p>
    <w:p>
      <w:pPr>
        <w:spacing w:after="0" w:line="225" w:lineRule="exact"/>
        <w:rPr>
          <w:sz w:val="20"/>
          <w:szCs w:val="20"/>
          <w:color w:val="auto"/>
        </w:rPr>
      </w:pPr>
    </w:p>
    <w:p>
      <w:pPr>
        <w:jc w:val="right"/>
        <w:ind w:right="2559"/>
        <w:spacing w:after="0"/>
        <w:rPr>
          <w:sz w:val="20"/>
          <w:szCs w:val="20"/>
          <w:color w:val="auto"/>
        </w:rPr>
      </w:pPr>
      <w:r>
        <w:rPr>
          <w:rFonts w:ascii="Times New Roman" w:cs="Times New Roman" w:eastAsia="Times New Roman" w:hAnsi="Times New Roman"/>
          <w:sz w:val="18"/>
          <w:szCs w:val="18"/>
          <w:b w:val="1"/>
          <w:bCs w:val="1"/>
          <w:color w:val="auto"/>
        </w:rPr>
        <w:t>List of Individuals Executing Lock-Up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Michael Perry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Erin Liberto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Quick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Kathy McGee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Donna Shiroma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Ekins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Non-Employee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 Panaccio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Jeremy Curnock Cook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 Drapeau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Suzanne Crowe</w:t>
      </w:r>
    </w:p>
    <w:p>
      <w:pPr>
        <w:sectPr>
          <w:pgSz w:w="11900" w:h="16838" w:orient="portrait"/>
          <w:cols w:equalWidth="0" w:num="1">
            <w:col w:w="10019"/>
          </w:cols>
          <w:pgMar w:left="440" w:top="266" w:right="1440"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Written Testing-the-Waters Communications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266" w:right="144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5" w:lineRule="exact"/>
        <w:rPr>
          <w:sz w:val="20"/>
          <w:szCs w:val="20"/>
          <w:color w:val="auto"/>
        </w:rPr>
      </w:pPr>
    </w:p>
    <w:p>
      <w:pPr>
        <w:spacing w:after="0"/>
        <w:tabs>
          <w:tab w:leader="none" w:pos="920" w:val="left"/>
          <w:tab w:leader="none" w:pos="1200" w:val="left"/>
        </w:tabs>
        <w:rPr>
          <w:sz w:val="20"/>
          <w:szCs w:val="20"/>
          <w:color w:val="auto"/>
        </w:rPr>
      </w:pPr>
      <w:r>
        <w:rPr>
          <w:rFonts w:ascii="Times New Roman" w:cs="Times New Roman" w:eastAsia="Times New Roman" w:hAnsi="Times New Roman"/>
          <w:sz w:val="18"/>
          <w:szCs w:val="18"/>
          <w:color w:val="auto"/>
        </w:rPr>
        <w:t>February [</w:t>
        <w:tab/>
        <w:t>●</w:t>
      </w:r>
      <w:r>
        <w:rPr>
          <w:sz w:val="20"/>
          <w:szCs w:val="20"/>
          <w:color w:val="auto"/>
        </w:rPr>
        <w:tab/>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Cowen and Company,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underwriters named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I to the Purchase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referred to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Piper Sandler &amp; Co.</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800 Nicollet Mall, Suite 800</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Minneapolis, MN 55402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Cowen and Company, LLC</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599 Lexington Avenue</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As an inducement to the underwriters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to execute a purchase agreement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providing for a public offering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of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AVITA Medical, Inc. and any successor (by merger or otherwise) thereto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the undersigned hereby agrees that without, in each case, the prior written consent of Piper Sandler &amp; Co. and Cowen and Company, LLC </w:t>
      </w:r>
      <w:r>
        <w:rPr>
          <w:rFonts w:ascii="Times New Roman" w:cs="Times New Roman" w:eastAsia="Times New Roman" w:hAnsi="Times New Roman"/>
          <w:sz w:val="18"/>
          <w:szCs w:val="18"/>
          <w:b w:val="1"/>
          <w:bCs w:val="1"/>
          <w:color w:val="auto"/>
        </w:rPr>
        <w:t>(the “</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during the period specified in the second succeeding paragraph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the undersigned will not: (1) offer, pledge, announce the intention to sell, sell, contract to sell, sell any option or contract to purchase, purchase any option or contract to sell, grant any option, right or warrant to purchase, make any short sale or otherwise transfer or dispose of, directly or indirectly, any shares of Common Stock or any securities convertible into, exercisable or exchangeable for or that represent the right to receive Common Stock (including without limitation, Common Stock which may be deemed to be beneficially owned by the undersigned in accordance with the rules and regulations of the Securities and Exchange Commission and securities which may be issued upon exercise of a stock option or warrant) whether now owned or hereafter acquired (the “</w:t>
      </w:r>
      <w:r>
        <w:rPr>
          <w:rFonts w:ascii="Times New Roman" w:cs="Times New Roman" w:eastAsia="Times New Roman" w:hAnsi="Times New Roman"/>
          <w:sz w:val="18"/>
          <w:szCs w:val="18"/>
          <w:b w:val="1"/>
          <w:bCs w:val="1"/>
          <w:i w:val="1"/>
          <w:iCs w:val="1"/>
          <w:color w:val="auto"/>
        </w:rPr>
        <w:t>Undersigned’s Securities</w:t>
      </w:r>
      <w:r>
        <w:rPr>
          <w:rFonts w:ascii="Times New Roman" w:cs="Times New Roman" w:eastAsia="Times New Roman" w:hAnsi="Times New Roman"/>
          <w:sz w:val="18"/>
          <w:szCs w:val="18"/>
          <w:color w:val="auto"/>
        </w:rPr>
        <w:t>”); (2) enter into any swap or other agreement that transfers, in whole or in part, any of the economic consequences of ownership of the Undersigned’s Securities, whether any such transaction described in clause (1) or (2) above is to be settled by delivery of Common Stock or such other securities, in cash or otherwise; (3) make any demand for or exercise any right with respect to, the registration of any Common Stock or any security convertible into or exercisable or exchangeable for Common Stock; or (4) publicly disclose the intention to do any of the foregoing.</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000"/>
          </w:cols>
          <w:pgMar w:left="440" w:top="266" w:right="459" w:bottom="1440" w:gutter="0" w:footer="0" w:header="0"/>
        </w:sectPr>
      </w:pPr>
    </w:p>
    <w:bookmarkStart w:id="47" w:name="page48"/>
    <w:bookmarkEnd w:id="47"/>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undersigned agrees that the foregoing restrictions preclude the undersigned from engaging in any hedging or other transaction which is designed to or which reasonably could be expected to lead to or result in a sale or disposition of the Undersigned’s Securities even if such Securities would be disposed of by someone other than the undersigned. Such prohibited hedging or other transactions would include without limitation any short sale or any purchase, sale or grant of any right (including without limitation any put or call option) with respect to any of the Undersigned’s Securities or with respect to any security that includes, relates to, or derives any significant part of its value from the Undersigned’s Securities.</w:t>
      </w:r>
    </w:p>
    <w:p>
      <w:pPr>
        <w:spacing w:after="0" w:line="183"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The Lock-Up Period will commence on the date of this Agreement and continue and include the date 90 days after the date of the final prospectus used to sell Common Stock in the Offering pursuant to the Purchase Agreement,</w:t>
      </w:r>
    </w:p>
    <w:p>
      <w:pPr>
        <w:spacing w:after="0" w:line="160" w:lineRule="exact"/>
        <w:rPr>
          <w:sz w:val="20"/>
          <w:szCs w:val="20"/>
          <w:color w:val="auto"/>
        </w:rPr>
      </w:pPr>
    </w:p>
    <w:p>
      <w:pPr>
        <w:ind w:left="4" w:right="1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the foregoing, the undersigned may transfer the Undersigned’s Securities (i) 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 (ii) to any trust for the direct or indirect benefit of the undersigned or the immediate family of the undersigned, (iii) if the undersigned is a corporation, partnership, limited liability company, trust or other business entity (1) transfers to another corporation, partnership, limited liability company, trust or other business entity that is a direct or indirect affiliate (as defined in Rule 405 promulgated under the Securities Act of 1933, as amended) of the undersigned or</w:t>
      </w:r>
    </w:p>
    <w:p>
      <w:pPr>
        <w:spacing w:after="0" w:line="1" w:lineRule="exact"/>
        <w:rPr>
          <w:sz w:val="20"/>
          <w:szCs w:val="20"/>
          <w:color w:val="auto"/>
        </w:rPr>
      </w:pPr>
    </w:p>
    <w:p>
      <w:pPr>
        <w:ind w:left="4" w:right="120" w:hanging="4"/>
        <w:spacing w:after="0" w:line="265" w:lineRule="auto"/>
        <w:tabs>
          <w:tab w:leader="none" w:pos="259"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distributions of shares of Common Stock or any security convertible into or exercisable for Common Stock to limited partners, limited liability company members or stockholders of the undersigned, (iv) if the undersigned is a trust, transfers to the beneficiary of such trust, (v) transfers by testate succession or intestate succession or (vi) pursuant to the Purchase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in the case of clauses (i)-(v), that (x) such transfer shall not involve a disposition for value, (y) the transferee agrees in writing with the Underwriters to be bound by the terms of this Lock-Up Agreement, and</w:t>
      </w:r>
    </w:p>
    <w:p>
      <w:pPr>
        <w:ind w:left="4" w:right="1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(z) no filing by any party under Section 16(a)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be required or shall be made voluntarily in connection with such transfer. For purposes of this Agreement, “immediate family” shall mean any relationship by blood, marriage or adoption, nor more remote than first cousin.</w:t>
      </w:r>
    </w:p>
    <w:p>
      <w:pPr>
        <w:spacing w:after="0" w:line="186"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addition, the foregoing restrictions shall not apply to (i) the exercise of stock options granted pursuant to the Company’s equity incentive plans;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it shall apply to any of the Undersigned’s Securities issued upon such exercise, or (ii) the establishment of any contract, instruction or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xml:space="preserve">”) that satisfies all of the requirements of Rule 10b5-1(c)(1)(i)(B)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sales of the Undersigned’s Securities shall be made pursuant to such a Plan prior to the expiration of the Lock-Up Period (as such may have been extended pursuant to the provisions hereof), and such a Plan may only be established if no public announcement of the establishment or existence thereof and no filing with the Securities and Exchange Commission or other regulatory authority in respect thereof or transactions thereunder or contemplated thereby, by the undersigned, the Company or any other person, shall be required, and no such announcement or filing is made voluntarily, by the undersigned, the Company or any other person, prior to the expiration of the Lock-Up Period (as such may have been extended pursuant to the provisions hereof).</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D-2</w:t>
      </w:r>
    </w:p>
    <w:p>
      <w:pPr>
        <w:sectPr>
          <w:pgSz w:w="11900" w:h="16838" w:orient="portrait"/>
          <w:cols w:equalWidth="0" w:num="1">
            <w:col w:w="11004"/>
          </w:cols>
          <w:pgMar w:left="436" w:top="270" w:right="459" w:bottom="1440" w:gutter="0" w:footer="0" w:header="0"/>
        </w:sectPr>
      </w:pPr>
    </w:p>
    <w:bookmarkStart w:id="48" w:name="page49"/>
    <w:bookmarkEnd w:id="48"/>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undersigned also agrees and consents to the entry of stop transfer instructions with the Company’s transfer agent and registrar against the transfer of the Undersigned’s Securities or Common Stock held by the undersigned’s immediate family, if any, except in compliance with the foregoing restrictions. In furtherance of the foregoing, the Company and its transfer agent and registrar are hereby further authorized to decline to make any transfer of shares of Common Stock if such transfer would constitute a violation or breach of this Agreement.</w:t>
      </w:r>
    </w:p>
    <w:p>
      <w:pPr>
        <w:spacing w:after="0" w:line="18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undersigned hereby represents and warrants that it: (i) has full power and authority to enter into this Agreement and that upon request, the undersigned will execute and additional documents necessary to ensure the validity or enforcement of this Agreement, and (ii) now has, and except as contemplated by this Agreement, for the duration of this Agreement will have, good and marketable title to the Undersigned’s Securities, free and clear of all liens, encumbrances, and claims whatsoever. All authority herein conferred or agreed to be conferred and any obligations of the undersigned shall be binding upon the successors, assigns, heirs or personal representatives of the undersigned.</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undersigned understands that the undersigned shall be released from all obligations under this Agreement if (i) the Company notifies the Underwriters that it does not intend to proceed with the Offering, (ii) the Purchase Agreement does not become effective, or if the Purchase Agreement (other than the provisions thereof which survive termination) shall terminate or be terminated prior to payment for and delivery of the Common Stock to be sold thereunder, or (iii) the Offering is not completed by April 30, 2021.</w:t>
      </w:r>
    </w:p>
    <w:p>
      <w:pPr>
        <w:spacing w:after="0" w:line="180"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undersigned understands that the Underwriters are entering into the Purchase Agreement and proceeding with the Offering in reliance upon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color w:val="auto"/>
        </w:rPr>
        <w:t>Printed Name of Holder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154305</wp:posOffset>
            </wp:positionV>
            <wp:extent cx="27946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32"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Printed Name of Person Signing (and indicate capacity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of person signing if signing as custodian, trustee, or 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behalf of an entity)</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D-3</w:t>
      </w:r>
    </w:p>
    <w:p>
      <w:pPr>
        <w:sectPr>
          <w:pgSz w:w="11900" w:h="16838" w:orient="portrait"/>
          <w:cols w:equalWidth="0" w:num="1">
            <w:col w:w="10980"/>
          </w:cols>
          <w:pgMar w:left="440" w:top="270" w:right="47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362710" cy="12172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62710"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March 1, 2021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AVITA M</w:t>
      </w:r>
      <w:r>
        <w:rPr>
          <w:rFonts w:ascii="Times New Roman" w:cs="Times New Roman" w:eastAsia="Times New Roman" w:hAnsi="Times New Roman"/>
          <w:sz w:val="14"/>
          <w:szCs w:val="14"/>
          <w:color w:val="auto"/>
        </w:rPr>
        <w:t>EDICAL</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28159 Avenue Stanford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Suite 220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Valencia, CA 91355</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We have acted as counsel to AVITA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issuance and sale by the Company today of 3,214,250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its Common Stock, par value $0.0001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pursuant to the Underwriting Agreement dated February 24, 2021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by and among the Company and Piper Sandler &amp; Co. and Cowen and Company, LLC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right="40" w:firstLine="440"/>
        <w:spacing w:after="0" w:line="269" w:lineRule="auto"/>
        <w:rPr>
          <w:sz w:val="20"/>
          <w:szCs w:val="20"/>
          <w:color w:val="auto"/>
        </w:rPr>
      </w:pPr>
      <w:r>
        <w:rPr>
          <w:rFonts w:ascii="Times New Roman" w:cs="Times New Roman" w:eastAsia="Times New Roman" w:hAnsi="Times New Roman"/>
          <w:sz w:val="17"/>
          <w:szCs w:val="17"/>
          <w:color w:val="auto"/>
        </w:rPr>
        <w:t>In so acting, we have examined originals or copies (certified or otherwise identified to our satisfaction) of (i) the Company’s Certificate of Incorporation, as amended in the form attached to the Fact Certificate (as defined below); (ii) the Company’s Amended and Restated Bylaws in the form attached to the Fact Certificate; (iii) the Company’s Registration Statement on Form S-3 (File No. 333-249419) which was filed with the Securities and Exchange Commission (the “</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on October 9, 2020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under the Securities Act of 1933 (the “</w:t>
      </w:r>
      <w:r>
        <w:rPr>
          <w:rFonts w:ascii="Times New Roman" w:cs="Times New Roman" w:eastAsia="Times New Roman" w:hAnsi="Times New Roman"/>
          <w:sz w:val="17"/>
          <w:szCs w:val="17"/>
          <w:u w:val="single" w:color="auto"/>
          <w:color w:val="auto"/>
        </w:rPr>
        <w:t>1933 Act</w:t>
      </w:r>
      <w:r>
        <w:rPr>
          <w:rFonts w:ascii="Times New Roman" w:cs="Times New Roman" w:eastAsia="Times New Roman" w:hAnsi="Times New Roman"/>
          <w:sz w:val="17"/>
          <w:szCs w:val="17"/>
          <w:color w:val="auto"/>
        </w:rPr>
        <w:t>”); (iv) the Underwriting Agreement; (v) the prospectus, dated as of October 16, 2020 (the “</w:t>
      </w:r>
      <w:r>
        <w:rPr>
          <w:rFonts w:ascii="Times New Roman" w:cs="Times New Roman" w:eastAsia="Times New Roman" w:hAnsi="Times New Roman"/>
          <w:sz w:val="17"/>
          <w:szCs w:val="17"/>
          <w:u w:val="single" w:color="auto"/>
          <w:color w:val="auto"/>
        </w:rPr>
        <w:t>Base Prospectus</w:t>
      </w:r>
      <w:r>
        <w:rPr>
          <w:rFonts w:ascii="Times New Roman" w:cs="Times New Roman" w:eastAsia="Times New Roman" w:hAnsi="Times New Roman"/>
          <w:sz w:val="17"/>
          <w:szCs w:val="17"/>
          <w:color w:val="auto"/>
        </w:rPr>
        <w:t>”), which forms part of the Registration Statement;</w:t>
      </w:r>
    </w:p>
    <w:p>
      <w:pPr>
        <w:spacing w:after="0" w:line="3" w:lineRule="exact"/>
        <w:rPr>
          <w:sz w:val="20"/>
          <w:szCs w:val="20"/>
          <w:color w:val="auto"/>
        </w:rPr>
      </w:pPr>
    </w:p>
    <w:p>
      <w:pPr>
        <w:ind w:left="4" w:right="60" w:hanging="4"/>
        <w:spacing w:after="0" w:line="251" w:lineRule="auto"/>
        <w:tabs>
          <w:tab w:leader="none" w:pos="30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prospectus supplement, dated February 23, 2021; (vii) the prospectus supplement, dated February 24, 2021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(viii) resolutions adopted by the Company’s Board of Directors on February 11, 2021 and by the Pricing Committee of the Company’s Board of Directors on February 24, 2021, relating to the issuance and sale of the Shares; (ix) a good standing certificate of the Company, dated February 26, 2021, obtained from the Secretary of State of the State of Delaware (the “</w:t>
      </w:r>
      <w:r>
        <w:rPr>
          <w:rFonts w:ascii="Times New Roman" w:cs="Times New Roman" w:eastAsia="Times New Roman" w:hAnsi="Times New Roman"/>
          <w:sz w:val="18"/>
          <w:szCs w:val="18"/>
          <w:u w:val="single" w:color="auto"/>
          <w:color w:val="auto"/>
        </w:rPr>
        <w:t>Good Standing Certificate</w:t>
      </w:r>
      <w:r>
        <w:rPr>
          <w:rFonts w:ascii="Times New Roman" w:cs="Times New Roman" w:eastAsia="Times New Roman" w:hAnsi="Times New Roman"/>
          <w:sz w:val="18"/>
          <w:szCs w:val="18"/>
          <w:color w:val="auto"/>
        </w:rPr>
        <w:t>”), and (x) the stock ledger of the Company (the “</w:t>
      </w:r>
      <w:r>
        <w:rPr>
          <w:rFonts w:ascii="Times New Roman" w:cs="Times New Roman" w:eastAsia="Times New Roman" w:hAnsi="Times New Roman"/>
          <w:sz w:val="18"/>
          <w:szCs w:val="18"/>
          <w:u w:val="single" w:color="auto"/>
          <w:color w:val="auto"/>
        </w:rPr>
        <w:t>Ledger</w:t>
      </w:r>
      <w:r>
        <w:rPr>
          <w:rFonts w:ascii="Times New Roman" w:cs="Times New Roman" w:eastAsia="Times New Roman" w:hAnsi="Times New Roman"/>
          <w:sz w:val="18"/>
          <w:szCs w:val="18"/>
          <w:color w:val="auto"/>
        </w:rPr>
        <w:t>”). The documents listed in clauses (i) and (ii) above are collectively referred to herein as the “Organizational Documents”. We have also examined and relied upon certificates of public officials and such other documents and instruments as we have deemed necessary or advisable for the purpose of rendering our opinion. In addition, as to certain matters of fact that are material to our opinions, we have also examined and relied on a certificate from an officer of the Company (the “</w:t>
      </w:r>
      <w:r>
        <w:rPr>
          <w:rFonts w:ascii="Times New Roman" w:cs="Times New Roman" w:eastAsia="Times New Roman" w:hAnsi="Times New Roman"/>
          <w:sz w:val="18"/>
          <w:szCs w:val="18"/>
          <w:u w:val="single" w:color="auto"/>
          <w:color w:val="auto"/>
        </w:rPr>
        <w:t>Fact Certificate</w:t>
      </w:r>
      <w:r>
        <w:rPr>
          <w:rFonts w:ascii="Times New Roman" w:cs="Times New Roman" w:eastAsia="Times New Roman" w:hAnsi="Times New Roman"/>
          <w:sz w:val="18"/>
          <w:szCs w:val="18"/>
          <w:color w:val="auto"/>
        </w:rPr>
        <w:t>”) (a copy of which has been furnished to you), and on the representations of the Company set forth in the Underwriting Agreement. We refer to the Base Prospectus as supplemented by the Prospectus Supplement as the “Prospectus.” We have not independently established any of the facts so relied on.</w:t>
      </w:r>
    </w:p>
    <w:p>
      <w:pPr>
        <w:sectPr>
          <w:pgSz w:w="11900" w:h="16838" w:orient="portrait"/>
          <w:cols w:equalWidth="0" w:num="1">
            <w:col w:w="11024"/>
          </w:cols>
          <w:pgMar w:left="436" w:top="117" w:right="439" w:bottom="1440" w:gutter="0" w:footer="0" w:header="0"/>
        </w:sectPr>
      </w:pPr>
    </w:p>
    <w:bookmarkStart w:id="50" w:name="page51"/>
    <w:bookmarkEnd w:id="50"/>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such examination, we have assumed the genuineness of all signatures, the legal capacity of all natural persons, the authenticity of all documents submitted to us as originals, the conformity to original documents of all documents submitted to us as certified, conformed or photostatic copies and the authenticity of the originals of such latter documents. We also have assumed that the issuance of the Shares will be noted in the Ledger. As to all questions of fact material to this opinion that have not been independently established, we have relied upon certificates or comparable documents of officers and representatives of the Company.</w:t>
      </w:r>
    </w:p>
    <w:p>
      <w:pPr>
        <w:spacing w:after="0" w:line="183"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Based on the foregoing, and subject to the qualifications stated herein, we are of the opinion that, the Shares have been duly authorized and, when issued and paid for as described in the Prospectus Supplement and pursuant to the Underwriting Agreement, will be validly issued, fully paid and non-assessable.</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opinion expressed herein is limited to the Delaware General Corporation Law (the “DGCL”), and reported judicial decisions interpreting the DGCL, and we express no opinion as to the effect on the matters covered by this letter of the laws of any other jurisdiction.</w:t>
      </w:r>
    </w:p>
    <w:p>
      <w:pPr>
        <w:spacing w:after="0" w:line="162"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of this letter as an exhibit to the Form 8-K being filed in connection with entry into the Underwriting Agreement and to any and all references to our firm in the Prospectus. In giving our consent we do not thereby admit that we are in the category of persons whose consent is required under Section 7 of the Securities Act or the rules and regulations thereunder.</w:t>
      </w:r>
    </w:p>
    <w:p>
      <w:pPr>
        <w:spacing w:after="0" w:line="200" w:lineRule="exact"/>
        <w:rPr>
          <w:sz w:val="20"/>
          <w:szCs w:val="20"/>
          <w:color w:val="auto"/>
        </w:rPr>
      </w:pPr>
    </w:p>
    <w:p>
      <w:pPr>
        <w:spacing w:after="0" w:line="24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Yours truly,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K&amp;L GATES LLP</w:t>
      </w:r>
    </w:p>
    <w:p>
      <w:pPr>
        <w:sectPr>
          <w:pgSz w:w="11900" w:h="16838" w:orient="portrait"/>
          <w:cols w:equalWidth="0" w:num="1">
            <w:col w:w="10980"/>
          </w:cols>
          <w:pgMar w:left="440" w:top="270" w:right="47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173990</wp:posOffset>
            </wp:positionV>
            <wp:extent cx="1165860" cy="4546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6586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AVITA MEDICAL, INC. ANNOUNCES PRICING OF ITS PUBLIC OFFERING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VALENCIA, Calif., Feb. 24, 2021 and MELBOURNE, Australia, Feb. 25, 2021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AVITA Medical, Inc. (Nasdaq: RCEL; ASX: AVH) (“AVITA Medical”), a regenerative medicine company that is developing and commercializing a technology platform that enables point - of-care autologous skin restoration for multiple unmet needs , today announced the pricing of its previously announced underwritten registered public offering of 2,795,000 shares of its common stock at a public offering price of US$21.50 per share. As part of the offering, AVITA Medical granted the underwriters a 30-day option to purchase at the public offering price up to an additional 419,250 shares of its common stock on the same terms and conditions. All of the shares of common stock to be sold in the offering are being offered by AVITA Medical. AVITA Medical expects to close the offering on or about March 1, 2021, subject to the satisfaction of customary closing conditions.</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Gross proceeds from the offering are expected to be approximately US$60.1 million assuming no exercise of the underwriter’s option to purchase additional shares. AVITA Medical intends to use the net proceeds from this offering (after deducting the underwriting discounts and commissions and other estimated offering expenses payable by AVITA Medical) to fund its current product development pipeline, to pursue approvals of its products for additional indications and for general corporate purposes, which may include licensing arrangements.</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Piper Sandler &amp; Co. and Cowen and Company, LLC are acting as joint book-running managers for the offering. BTIG, LLC is acting as lead manager and Lake Street Capital Markets, LLC is acting as co-manager for the offering.</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offering is being made pursuant to a shelf registration statement on Form S-3 (File No. 333- 249419) that was previously filed with the Securities and Exchange Commission (the “SEC”) on October 9, 2020 and declared effective on October 16, 2020 and that was also publicly released on the Australian Securities Exchange (“ASX”). A preliminary prospectus supplement and accompanying prospectus related to and describing the terms of the proposed offering have been filed with the SEC and released on the ASX on February 24, 2021 (in the United States) / February 25, 2021 (in Australia). A copy of these documents may be obtained by visiting EDGAR on the SEC’s website at www.sec.gov or by contacting Piper Sandler &amp; Co., Attention: Prospectus Department, 800 Nicollet Mall, J12S03, Minneapolis, Minnesota 55402, by e-mail at prospectus@psc.com, or by phone at (800) 747-3924, or Cowen and Company, LLC, c/o Broadridge Financial Solutions, 1155 Long Island Avenue, Edgewood, NY 11717, Attention: Prospectus Department, by telephone at (833) 297-2926 or by email at PostSaleManualRequests@broadridge.com. The final terms of the offering will be disclosed in a final prospectus supplement to be filed with the SEC and released on the ASX.</w:t>
      </w:r>
    </w:p>
    <w:p>
      <w:pPr>
        <w:sectPr>
          <w:pgSz w:w="11900" w:h="16838" w:orient="portrait"/>
          <w:cols w:equalWidth="0" w:num="1">
            <w:col w:w="11020"/>
          </w:cols>
          <w:pgMar w:left="440" w:top="117" w:right="439" w:bottom="1440" w:gutter="0" w:footer="0" w:header="0"/>
        </w:sectPr>
      </w:pPr>
    </w:p>
    <w:bookmarkStart w:id="52" w:name="page53"/>
    <w:bookmarkEnd w:id="52"/>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press release shall not constitute an offer to sell, or the solicitation of an offer to buy, nor may there be any sale of these securities in any state or jurisdiction in which such an offer, solicitation or sale would be unlawful prior to registration or qualification under the securities laws of any such state or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AVITA Medical, Inc.:</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AVITA Medical is a regenerative medicine company with a technology platform positioned to address unmet medical needs in burns, chronic wounds, and aesthetics indications. AVITA Medical’s proprietary collection and application technology provides innovative treatment solutions derived from the regenerative properties of a patient’s own skin. The medical devices work by preparing a RES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REGENERATIVE EPIDERMAL SUSPENSION, an autologous suspension comprised of the patient’s skin cells necessary to regenerate natural healthy epidermis. This aut ologous suspension is then sprayed onto the areas of the patient requiring treatment.</w:t>
      </w:r>
    </w:p>
    <w:p>
      <w:pPr>
        <w:spacing w:after="0" w:line="18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 xml:space="preserve">AVITA Medical’s first U.S. product, the RECELL </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System, was approved by the U.S. Food and Drug Administration (FDA) in September 2018. The RECELL System is indicated for use in the treatment of acute thermal burns in patients 18 years and older. The RECELL System is used to prepare Spray-On Skin</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10,000 patients globally, reinforce that the RECELL System is a significant advancement over the current standard of care for burn patients and offers benefits in clinical outcomes and cost savings. Healthc are professionals should read the INSTRUCTIONS FOR USE - RECELL</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Autologous Cell Harvesting Device for a full description of indications for use and important safety information including contraindications, warnings and precautions.</w:t>
      </w:r>
    </w:p>
    <w:p>
      <w:pPr>
        <w:spacing w:after="0" w:line="17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international markets, our products are marketed under the RECELL System brand to promote skin healing in a wide range of applications including burns, chronic wounds and aesthetics. The RECELL System is TGA -registered in Australia and received CE -mark approval in Europe.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1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within the meaning of Section 27A of the Private Securities Litigation Reform Act of 1995. Although the forward-looking statements in this release reflect the good faith judgment of management, forward-looking statements are inherently subject to known and unknown risks and uncertainties that may cause actual results to be materially different from those discussed in these forward-looking statements. Readers are urged to carefully review and consider the various disclosures made by AVITA Medical in the reports it has filed with the SEC, including the “Risk Factors” section of the Company’s Annual</w:t>
      </w:r>
    </w:p>
    <w:p>
      <w:pPr>
        <w:sectPr>
          <w:pgSz w:w="11900" w:h="16838" w:orient="portrait"/>
          <w:cols w:equalWidth="0" w:num="1">
            <w:col w:w="10940"/>
          </w:cols>
          <w:pgMar w:left="440" w:top="270" w:right="519" w:bottom="1440" w:gutter="0" w:footer="0" w:header="0"/>
        </w:sectPr>
      </w:pPr>
    </w:p>
    <w:bookmarkStart w:id="53" w:name="page54"/>
    <w:bookmarkEnd w:id="53"/>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Report 10-K for the year ended June 30, 2020 for a description of the risks that may affect its business, financial condition, results of operation and cash flows. If one or more of these risks or uncertainties materialize, or if the underlying assumptions prove incorrect, AVITA Medical’s actual results may vary materially from those expected or projected. Readers are urged not to place undue reliance on these forward-looking statements, which speak only as of the date of this release. AVITA Medical assumes no obligation to update any forward-looking statements in order to reflect any event or circumstance that may arise after the date of this release, except as required by law.</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For Further Information:</w:t>
            </w:r>
          </w:p>
        </w:tc>
        <w:tc>
          <w:tcPr>
            <w:tcW w:w="2000" w:type="dxa"/>
            <w:vAlign w:val="bottom"/>
          </w:tcPr>
          <w:p>
            <w:pPr>
              <w:spacing w:after="0"/>
              <w:rPr>
                <w:sz w:val="17"/>
                <w:szCs w:val="17"/>
                <w:color w:val="auto"/>
              </w:rPr>
            </w:pPr>
          </w:p>
        </w:tc>
        <w:tc>
          <w:tcPr>
            <w:tcW w:w="4120" w:type="dxa"/>
            <w:vAlign w:val="bottom"/>
          </w:tcPr>
          <w:p>
            <w:pPr>
              <w:spacing w:after="0"/>
              <w:rPr>
                <w:sz w:val="17"/>
                <w:szCs w:val="17"/>
                <w:color w:val="auto"/>
              </w:rPr>
            </w:pPr>
          </w:p>
        </w:tc>
      </w:tr>
      <w:tr>
        <w:trPr>
          <w:trHeight w:val="461"/>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Media</w:t>
            </w:r>
          </w:p>
        </w:tc>
        <w:tc>
          <w:tcPr>
            <w:tcW w:w="412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Investors</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 Brown, Inc.</w:t>
            </w:r>
          </w:p>
        </w:tc>
        <w:tc>
          <w:tcPr>
            <w:tcW w:w="41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Westwicke Partners</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Christy Curran</w:t>
            </w:r>
          </w:p>
        </w:tc>
        <w:tc>
          <w:tcPr>
            <w:tcW w:w="41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Caroline Corner</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Phone +1-615-414-8668</w:t>
            </w:r>
          </w:p>
        </w:tc>
        <w:tc>
          <w:tcPr>
            <w:tcW w:w="41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Phone +1-415-202-5678</w:t>
            </w:r>
          </w:p>
        </w:tc>
      </w:tr>
      <w:tr>
        <w:trPr>
          <w:trHeight w:val="234"/>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christycurran@sambrown.com</w:t>
            </w:r>
          </w:p>
        </w:tc>
        <w:tc>
          <w:tcPr>
            <w:tcW w:w="4120" w:type="dxa"/>
            <w:vAlign w:val="bottom"/>
          </w:tcPr>
          <w:p>
            <w:pPr>
              <w:ind w:left="1760"/>
              <w:spacing w:after="0"/>
              <w:rPr>
                <w:sz w:val="20"/>
                <w:szCs w:val="20"/>
                <w:color w:val="auto"/>
              </w:rPr>
            </w:pPr>
            <w:r>
              <w:rPr>
                <w:rFonts w:ascii="Times New Roman" w:cs="Times New Roman" w:eastAsia="Times New Roman" w:hAnsi="Times New Roman"/>
                <w:sz w:val="18"/>
                <w:szCs w:val="18"/>
                <w:color w:val="auto"/>
                <w:w w:val="98"/>
              </w:rPr>
              <w:t>caroline.corner@westwicke.com</w:t>
            </w:r>
          </w:p>
        </w:tc>
      </w:tr>
      <w:tr>
        <w:trPr>
          <w:trHeight w:val="441"/>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O.U.S. Media</w:t>
            </w:r>
          </w:p>
        </w:tc>
        <w:tc>
          <w:tcPr>
            <w:tcW w:w="4120" w:type="dxa"/>
            <w:vAlign w:val="bottom"/>
          </w:tcPr>
          <w:p>
            <w:pPr>
              <w:spacing w:after="0"/>
              <w:rPr>
                <w:sz w:val="24"/>
                <w:szCs w:val="24"/>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Rudi Michelson</w:t>
            </w:r>
          </w:p>
        </w:tc>
        <w:tc>
          <w:tcPr>
            <w:tcW w:w="4120" w:type="dxa"/>
            <w:vAlign w:val="bottom"/>
          </w:tcPr>
          <w:p>
            <w:pPr>
              <w:spacing w:after="0"/>
              <w:rPr>
                <w:sz w:val="18"/>
                <w:szCs w:val="18"/>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Phone +61 (0)3 9620 3333</w:t>
            </w:r>
          </w:p>
        </w:tc>
        <w:tc>
          <w:tcPr>
            <w:tcW w:w="4120" w:type="dxa"/>
            <w:vAlign w:val="bottom"/>
          </w:tcPr>
          <w:p>
            <w:pPr>
              <w:spacing w:after="0"/>
              <w:rPr>
                <w:sz w:val="18"/>
                <w:szCs w:val="18"/>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Mobile +61 (0)411 402 737</w:t>
            </w:r>
          </w:p>
        </w:tc>
        <w:tc>
          <w:tcPr>
            <w:tcW w:w="4120" w:type="dxa"/>
            <w:vAlign w:val="bottom"/>
          </w:tcPr>
          <w:p>
            <w:pPr>
              <w:spacing w:after="0"/>
              <w:rPr>
                <w:sz w:val="18"/>
                <w:szCs w:val="18"/>
                <w:color w:val="auto"/>
              </w:rPr>
            </w:pPr>
          </w:p>
        </w:tc>
      </w:tr>
      <w:tr>
        <w:trPr>
          <w:trHeight w:val="234"/>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rudim@monsoon.com.au</w:t>
            </w:r>
          </w:p>
        </w:tc>
        <w:tc>
          <w:tcPr>
            <w:tcW w:w="4120" w:type="dxa"/>
            <w:vAlign w:val="bottom"/>
          </w:tcPr>
          <w:p>
            <w:pPr>
              <w:spacing w:after="0"/>
              <w:rPr>
                <w:sz w:val="20"/>
                <w:szCs w:val="20"/>
                <w:color w:val="auto"/>
              </w:rPr>
            </w:pPr>
          </w:p>
        </w:tc>
      </w:tr>
    </w:tbl>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 20210224</w:t>
      </w:r>
    </w:p>
    <w:sectPr>
      <w:pgSz w:w="11900" w:h="16838" w:orient="portrait"/>
      <w:cols w:equalWidth="0" w:num="1">
        <w:col w:w="11020"/>
      </w:cols>
      <w:pgMar w:left="440" w:top="26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1."/>
      <w:numFmt w:val="decimal"/>
      <w:start w:val="2"/>
    </w:lvl>
    <w:lvl w:ilvl="1">
      <w:lvlJc w:val="left"/>
      <w:lvlText w:val="(%2)"/>
      <w:numFmt w:val="lowerLetter"/>
      <w:start w:val="1"/>
    </w:lvl>
  </w:abstractNum>
  <w:abstractNum w:abstractNumId="2">
    <w:nsid w:val="2901D82"/>
    <w:multiLevelType w:val="hybridMultilevel"/>
    <w:lvl w:ilvl="0">
      <w:lvlJc w:val="left"/>
      <w:lvlText w:val="(%1)"/>
      <w:numFmt w:val="lowerRoman"/>
      <w:start w:val="1"/>
    </w:lvl>
  </w:abstractNum>
  <w:abstractNum w:abstractNumId="3">
    <w:nsid w:val="3A95F874"/>
    <w:multiLevelType w:val="hybridMultilevel"/>
    <w:lvl w:ilvl="0">
      <w:lvlJc w:val="left"/>
      <w:lvlText w:val="(%1)"/>
      <w:numFmt w:val="lowerRoman"/>
      <w:start w:val="3"/>
    </w:lvl>
  </w:abstractNum>
  <w:abstractNum w:abstractNumId="4">
    <w:nsid w:val="8138641"/>
    <w:multiLevelType w:val="hybridMultilevel"/>
    <w:lvl w:ilvl="0">
      <w:lvlJc w:val="left"/>
      <w:lvlText w:val="%1"/>
      <w:numFmt w:val="lowerRoman"/>
      <w:start w:val="1"/>
    </w:lvl>
    <w:lvl w:ilvl="1">
      <w:lvlJc w:val="left"/>
      <w:lvlText w:val="(%2)"/>
      <w:numFmt w:val="upperLetter"/>
      <w:start w:val="2"/>
    </w:lvl>
  </w:abstractNum>
  <w:abstractNum w:abstractNumId="5">
    <w:nsid w:val="1E7FF521"/>
    <w:multiLevelType w:val="hybridMultilevel"/>
    <w:lvl w:ilvl="0">
      <w:lvlJc w:val="left"/>
      <w:lvlText w:val="(%1)"/>
      <w:numFmt w:val="lowerRoman"/>
      <w:start w:val="4"/>
    </w:lvl>
    <w:lvl w:ilvl="1">
      <w:lvlJc w:val="left"/>
      <w:lvlText w:val="%2"/>
      <w:numFmt w:val="upperLetter"/>
      <w:start w:val="1"/>
    </w:lvl>
  </w:abstractNum>
  <w:abstractNum w:abstractNumId="6">
    <w:nsid w:val="7C3DBD3D"/>
    <w:multiLevelType w:val="hybridMultilevel"/>
    <w:lvl w:ilvl="0">
      <w:lvlJc w:val="left"/>
      <w:lvlText w:val="(%1)"/>
      <w:numFmt w:val="lowerRoman"/>
      <w:start w:val="5"/>
    </w:lvl>
  </w:abstractNum>
  <w:abstractNum w:abstractNumId="7">
    <w:nsid w:val="737B8DDC"/>
    <w:multiLevelType w:val="hybridMultilevel"/>
    <w:lvl w:ilvl="0">
      <w:lvlJc w:val="left"/>
      <w:lvlText w:val="(%1)"/>
      <w:numFmt w:val="lowerRoman"/>
      <w:start w:val="8"/>
    </w:lvl>
  </w:abstractNum>
  <w:abstractNum w:abstractNumId="8">
    <w:nsid w:val="6CEAF087"/>
    <w:multiLevelType w:val="hybridMultilevel"/>
    <w:lvl w:ilvl="0">
      <w:lvlJc w:val="left"/>
      <w:lvlText w:val="(%1)"/>
      <w:numFmt w:val="lowerRoman"/>
      <w:start w:val="10"/>
    </w:lvl>
  </w:abstractNum>
  <w:abstractNum w:abstractNumId="9">
    <w:nsid w:val="22221A70"/>
    <w:multiLevelType w:val="hybridMultilevel"/>
    <w:lvl w:ilvl="0">
      <w:lvlJc w:val="left"/>
      <w:lvlText w:val="(%1)"/>
      <w:numFmt w:val="lowerRoman"/>
      <w:start w:val="13"/>
    </w:lvl>
  </w:abstractNum>
  <w:abstractNum w:abstractNumId="10">
    <w:nsid w:val="4516DDE9"/>
    <w:multiLevelType w:val="hybridMultilevel"/>
    <w:lvl w:ilvl="0">
      <w:lvlJc w:val="left"/>
      <w:lvlText w:val="%1"/>
      <w:numFmt w:val="lowerRoman"/>
      <w:start w:val="1"/>
    </w:lvl>
    <w:lvl w:ilvl="1">
      <w:lvlJc w:val="left"/>
      <w:lvlText w:val="(%2)"/>
      <w:numFmt w:val="lowerRoman"/>
      <w:start w:val="15"/>
    </w:lvl>
  </w:abstractNum>
  <w:abstractNum w:abstractNumId="11">
    <w:nsid w:val="3006C83E"/>
    <w:multiLevelType w:val="hybridMultilevel"/>
    <w:lvl w:ilvl="0">
      <w:lvlJc w:val="left"/>
      <w:lvlText w:val="(%1)"/>
      <w:numFmt w:val="lowerRoman"/>
      <w:start w:val="17"/>
    </w:lvl>
    <w:lvl w:ilvl="1">
      <w:lvlJc w:val="left"/>
      <w:lvlText w:val="%2"/>
      <w:numFmt w:val="lowerRoman"/>
      <w:start w:val="1"/>
    </w:lvl>
  </w:abstractNum>
  <w:abstractNum w:abstractNumId="12">
    <w:nsid w:val="614FD4A1"/>
    <w:multiLevelType w:val="hybridMultilevel"/>
    <w:lvl w:ilvl="0">
      <w:lvlJc w:val="left"/>
      <w:lvlText w:val="(%1)"/>
      <w:numFmt w:val="lowerRoman"/>
      <w:start w:val="18"/>
    </w:lvl>
  </w:abstractNum>
  <w:abstractNum w:abstractNumId="13">
    <w:nsid w:val="419AC241"/>
    <w:multiLevelType w:val="hybridMultilevel"/>
    <w:lvl w:ilvl="0">
      <w:lvlJc w:val="left"/>
      <w:lvlText w:val="(%1)"/>
      <w:numFmt w:val="lowerRoman"/>
      <w:start w:val="20"/>
    </w:lvl>
  </w:abstractNum>
  <w:abstractNum w:abstractNumId="14">
    <w:nsid w:val="5577F8E1"/>
    <w:multiLevelType w:val="hybridMultilevel"/>
    <w:lvl w:ilvl="0">
      <w:lvlJc w:val="left"/>
      <w:lvlText w:val="(%1)"/>
      <w:numFmt w:val="lowerRoman"/>
      <w:start w:val="22"/>
    </w:lvl>
  </w:abstractNum>
  <w:abstractNum w:abstractNumId="15">
    <w:nsid w:val="440BADFC"/>
    <w:multiLevelType w:val="hybridMultilevel"/>
    <w:lvl w:ilvl="0">
      <w:lvlJc w:val="left"/>
      <w:lvlText w:val="(%1)"/>
      <w:numFmt w:val="lowerRoman"/>
      <w:start w:val="26"/>
    </w:lvl>
  </w:abstractNum>
  <w:abstractNum w:abstractNumId="16">
    <w:nsid w:val="5072367"/>
    <w:multiLevelType w:val="hybridMultilevel"/>
    <w:lvl w:ilvl="0">
      <w:lvlJc w:val="left"/>
      <w:lvlText w:val="(%1)"/>
      <w:numFmt w:val="lowerRoman"/>
      <w:start w:val="29"/>
    </w:lvl>
  </w:abstractNum>
  <w:abstractNum w:abstractNumId="17">
    <w:nsid w:val="3804823E"/>
    <w:multiLevelType w:val="hybridMultilevel"/>
    <w:lvl w:ilvl="0">
      <w:lvlJc w:val="left"/>
      <w:lvlText w:val="(%1)"/>
      <w:numFmt w:val="lowerRoman"/>
      <w:start w:val="34"/>
    </w:lvl>
  </w:abstractNum>
  <w:abstractNum w:abstractNumId="18">
    <w:nsid w:val="77465F01"/>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19">
    <w:nsid w:val="7724C67E"/>
    <w:multiLevelType w:val="hybridMultilevel"/>
    <w:lvl w:ilvl="0">
      <w:lvlJc w:val="left"/>
      <w:lvlText w:val="(%1)"/>
      <w:numFmt w:val="lowerRoman"/>
      <w:start w:val="38"/>
    </w:lvl>
    <w:lvl w:ilvl="1">
      <w:lvlJc w:val="left"/>
      <w:lvlText w:val="%2"/>
      <w:numFmt w:val="upperLetter"/>
      <w:start w:val="1"/>
    </w:lvl>
    <w:lvl w:ilvl="2">
      <w:lvlJc w:val="left"/>
      <w:lvlText w:val="%3"/>
      <w:numFmt w:val="decimal"/>
      <w:start w:val="1"/>
    </w:lvl>
  </w:abstractNum>
  <w:abstractNum w:abstractNumId="20">
    <w:nsid w:val="5C482A97"/>
    <w:multiLevelType w:val="hybridMultilevel"/>
    <w:lvl w:ilvl="0">
      <w:lvlJc w:val="left"/>
      <w:lvlText w:val="(%1)"/>
      <w:numFmt w:val="lowerRoman"/>
      <w:start w:val="39"/>
    </w:lvl>
  </w:abstractNum>
  <w:abstractNum w:abstractNumId="21">
    <w:nsid w:val="2463B9EA"/>
    <w:multiLevelType w:val="hybridMultilevel"/>
    <w:lvl w:ilvl="0">
      <w:lvlJc w:val="left"/>
      <w:lvlText w:val="(%1)"/>
      <w:numFmt w:val="upperLetter"/>
      <w:start w:val="3"/>
    </w:lvl>
  </w:abstractNum>
  <w:abstractNum w:abstractNumId="22">
    <w:nsid w:val="5E884ADC"/>
    <w:multiLevelType w:val="hybridMultilevel"/>
    <w:lvl w:ilvl="0">
      <w:lvlJc w:val="left"/>
      <w:lvlText w:val="%1"/>
      <w:numFmt w:val="decimal"/>
      <w:start w:val="1"/>
    </w:lvl>
    <w:lvl w:ilvl="1">
      <w:lvlJc w:val="left"/>
      <w:lvlText w:val="(%2)"/>
      <w:numFmt w:val="lowerLetter"/>
      <w:start w:val="2"/>
    </w:lvl>
  </w:abstractNum>
  <w:abstractNum w:abstractNumId="23">
    <w:nsid w:val="51EAD36B"/>
    <w:multiLevelType w:val="hybridMultilevel"/>
    <w:lvl w:ilvl="0">
      <w:lvlJc w:val="left"/>
      <w:lvlText w:val="%1."/>
      <w:numFmt w:val="decimal"/>
      <w:start w:val="3"/>
    </w:lvl>
    <w:lvl w:ilvl="1">
      <w:lvlJc w:val="left"/>
      <w:lvlText w:val="(%2)"/>
      <w:numFmt w:val="lowerLetter"/>
      <w:start w:val="1"/>
    </w:lvl>
  </w:abstractNum>
  <w:abstractNum w:abstractNumId="24">
    <w:nsid w:val="2D517796"/>
    <w:multiLevelType w:val="hybridMultilevel"/>
    <w:lvl w:ilvl="0">
      <w:lvlJc w:val="left"/>
      <w:lvlText w:val="(%1)"/>
      <w:numFmt w:val="lowerLetter"/>
      <w:start w:val="2"/>
    </w:lvl>
  </w:abstractNum>
  <w:abstractNum w:abstractNumId="25">
    <w:nsid w:val="580BD78F"/>
    <w:multiLevelType w:val="hybridMultilevel"/>
    <w:lvl w:ilvl="0">
      <w:lvlJc w:val="left"/>
      <w:lvlText w:val="(%1)"/>
      <w:numFmt w:val="lowerLetter"/>
      <w:start w:val="3"/>
    </w:lvl>
  </w:abstractNum>
  <w:abstractNum w:abstractNumId="26">
    <w:nsid w:val="153EA43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7">
    <w:nsid w:val="3855585C"/>
    <w:multiLevelType w:val="hybridMultilevel"/>
    <w:lvl w:ilvl="0">
      <w:lvlJc w:val="left"/>
      <w:lvlText w:val="(%1)"/>
      <w:numFmt w:val="lowerRoman"/>
      <w:start w:val="3"/>
    </w:lvl>
  </w:abstractNum>
  <w:abstractNum w:abstractNumId="28">
    <w:nsid w:val="70A64E2A"/>
    <w:multiLevelType w:val="hybridMultilevel"/>
    <w:lvl w:ilvl="0">
      <w:lvlJc w:val="left"/>
      <w:lvlText w:val="(%1)"/>
      <w:numFmt w:val="upperLetter"/>
      <w:start w:val="2"/>
    </w:lvl>
  </w:abstractNum>
  <w:abstractNum w:abstractNumId="29">
    <w:nsid w:val="6A2342EC"/>
    <w:multiLevelType w:val="hybridMultilevel"/>
    <w:lvl w:ilvl="0">
      <w:lvlJc w:val="left"/>
      <w:lvlText w:val="%1"/>
      <w:numFmt w:val="upperLetter"/>
      <w:start w:val="1"/>
    </w:lvl>
    <w:lvl w:ilvl="1">
      <w:lvlJc w:val="left"/>
      <w:lvlText w:val="(%2)"/>
      <w:numFmt w:val="lowerRoman"/>
      <w:start w:val="4"/>
    </w:lvl>
  </w:abstractNum>
  <w:abstractNum w:abstractNumId="30">
    <w:nsid w:val="2A487CB0"/>
    <w:multiLevelType w:val="hybridMultilevel"/>
    <w:lvl w:ilvl="0">
      <w:lvlJc w:val="left"/>
      <w:lvlText w:val="(%1)"/>
      <w:numFmt w:val="upperLetter"/>
      <w:start w:val="7"/>
    </w:lvl>
    <w:lvl w:ilvl="1">
      <w:lvlJc w:val="left"/>
      <w:lvlText w:val="%2"/>
      <w:numFmt w:val="lowerRoman"/>
      <w:start w:val="1"/>
    </w:lvl>
  </w:abstractNum>
  <w:abstractNum w:abstractNumId="31">
    <w:nsid w:val="1D4ED43B"/>
    <w:multiLevelType w:val="hybridMultilevel"/>
    <w:lvl w:ilvl="0">
      <w:lvlJc w:val="left"/>
      <w:lvlText w:val="%1"/>
      <w:numFmt w:val="upperLetter"/>
      <w:start w:val="1"/>
    </w:lvl>
    <w:lvl w:ilvl="1">
      <w:lvlJc w:val="left"/>
      <w:lvlText w:val="(%2)"/>
      <w:numFmt w:val="lowerRoman"/>
      <w:start w:val="8"/>
    </w:lvl>
  </w:abstractNum>
  <w:abstractNum w:abstractNumId="32">
    <w:nsid w:val="725A06FB"/>
    <w:multiLevelType w:val="hybridMultilevel"/>
    <w:lvl w:ilvl="0">
      <w:lvlJc w:val="left"/>
      <w:lvlText w:val="(%1)"/>
      <w:numFmt w:val="upperLetter"/>
      <w:start w:val="1"/>
    </w:lvl>
    <w:lvl w:ilvl="1">
      <w:lvlJc w:val="left"/>
      <w:lvlText w:val="(%2)"/>
      <w:numFmt w:val="lowerRoman"/>
      <w:start w:val="10"/>
    </w:lvl>
  </w:abstractNum>
  <w:abstractNum w:abstractNumId="33">
    <w:nsid w:val="2CD89A32"/>
    <w:multiLevelType w:val="hybridMultilevel"/>
    <w:lvl w:ilvl="0">
      <w:lvlJc w:val="left"/>
      <w:lvlText w:val="(%1)"/>
      <w:numFmt w:val="lowerRoman"/>
      <w:start w:val="11"/>
    </w:lvl>
  </w:abstractNum>
  <w:abstractNum w:abstractNumId="34">
    <w:nsid w:val="57E4CCAF"/>
    <w:multiLevelType w:val="hybridMultilevel"/>
    <w:lvl w:ilvl="0">
      <w:lvlJc w:val="left"/>
      <w:lvlText w:val="%1"/>
      <w:numFmt w:val="upperLetter"/>
      <w:start w:val="1"/>
    </w:lvl>
    <w:lvl w:ilvl="1">
      <w:lvlJc w:val="left"/>
      <w:lvlText w:val="(%2)"/>
      <w:numFmt w:val="lowerRoman"/>
      <w:start w:val="16"/>
    </w:lvl>
  </w:abstractNum>
  <w:abstractNum w:abstractNumId="35">
    <w:nsid w:val="7A6D8D3C"/>
    <w:multiLevelType w:val="hybridMultilevel"/>
    <w:lvl w:ilvl="0">
      <w:lvlJc w:val="left"/>
      <w:lvlText w:val="(%1)"/>
      <w:numFmt w:val="upperLetter"/>
      <w:start w:val="2"/>
    </w:lvl>
    <w:lvl w:ilvl="1">
      <w:lvlJc w:val="left"/>
      <w:lvlText w:val="%2"/>
      <w:numFmt w:val="lowerRoman"/>
      <w:start w:val="1"/>
    </w:lvl>
  </w:abstractNum>
  <w:abstractNum w:abstractNumId="36">
    <w:nsid w:val="4B588F54"/>
    <w:multiLevelType w:val="hybridMultilevel"/>
    <w:lvl w:ilvl="0">
      <w:lvlJc w:val="left"/>
      <w:lvlText w:val="%1."/>
      <w:numFmt w:val="decimal"/>
      <w:start w:val="5"/>
    </w:lvl>
    <w:lvl w:ilvl="1">
      <w:lvlJc w:val="left"/>
      <w:lvlText w:val="(%2)"/>
      <w:numFmt w:val="lowerLetter"/>
      <w:start w:val="1"/>
    </w:lvl>
  </w:abstractNum>
  <w:abstractNum w:abstractNumId="37">
    <w:nsid w:val="542289EC"/>
    <w:multiLevelType w:val="hybridMultilevel"/>
    <w:lvl w:ilvl="0">
      <w:lvlJc w:val="left"/>
      <w:lvlText w:val="(%1)"/>
      <w:numFmt w:val="lowerLetter"/>
      <w:start w:val="4"/>
    </w:lvl>
  </w:abstractNum>
  <w:abstractNum w:abstractNumId="38">
    <w:nsid w:val="6DE91B18"/>
    <w:multiLevelType w:val="hybridMultilevel"/>
    <w:lvl w:ilvl="0">
      <w:lvlJc w:val="left"/>
      <w:lvlText w:val="%1"/>
      <w:numFmt w:val="lowerLetter"/>
      <w:start w:val="1"/>
    </w:lvl>
    <w:lvl w:ilvl="1">
      <w:lvlJc w:val="left"/>
      <w:lvlText w:val="(%2)"/>
      <w:numFmt w:val="lowerRoman"/>
      <w:start w:val="1"/>
    </w:lvl>
  </w:abstractNum>
  <w:abstractNum w:abstractNumId="39">
    <w:nsid w:val="38437FDB"/>
    <w:multiLevelType w:val="hybridMultilevel"/>
    <w:lvl w:ilvl="0">
      <w:lvlJc w:val="left"/>
      <w:lvlText w:val="(%1)"/>
      <w:numFmt w:val="lowerLetter"/>
      <w:start w:val="10"/>
    </w:lvl>
    <w:lvl w:ilvl="1">
      <w:lvlJc w:val="left"/>
      <w:lvlText w:val="%2"/>
      <w:numFmt w:val="lowerRoman"/>
      <w:start w:val="1"/>
    </w:lvl>
  </w:abstractNum>
  <w:abstractNum w:abstractNumId="40">
    <w:nsid w:val="7644A45C"/>
    <w:multiLevelType w:val="hybridMultilevel"/>
    <w:lvl w:ilvl="0">
      <w:lvlJc w:val="left"/>
      <w:lvlText w:val="%1."/>
      <w:numFmt w:val="decimal"/>
      <w:start w:val="6"/>
    </w:lvl>
    <w:lvl w:ilvl="1">
      <w:lvlJc w:val="left"/>
      <w:lvlText w:val="(%2)"/>
      <w:numFmt w:val="lowerLetter"/>
      <w:start w:val="1"/>
    </w:lvl>
  </w:abstractNum>
  <w:abstractNum w:abstractNumId="41">
    <w:nsid w:val="32FFF902"/>
    <w:multiLevelType w:val="hybridMultilevel"/>
    <w:lvl w:ilvl="0">
      <w:lvlJc w:val="left"/>
      <w:lvlText w:val="(%1)"/>
      <w:numFmt w:val="lowerLetter"/>
      <w:start w:val="2"/>
    </w:lvl>
  </w:abstractNum>
  <w:abstractNum w:abstractNumId="42">
    <w:nsid w:val="684A481A"/>
    <w:multiLevelType w:val="hybridMultilevel"/>
    <w:lvl w:ilvl="0">
      <w:lvlJc w:val="left"/>
      <w:lvlText w:val="(%1)"/>
      <w:numFmt w:val="lowerLetter"/>
      <w:start w:val="3"/>
    </w:lvl>
  </w:abstractNum>
  <w:abstractNum w:abstractNumId="43">
    <w:nsid w:val="579478FE"/>
    <w:multiLevelType w:val="hybridMultilevel"/>
    <w:lvl w:ilvl="0">
      <w:lvlJc w:val="left"/>
      <w:lvlText w:val="%1"/>
      <w:numFmt w:val="decimal"/>
      <w:start w:val="1"/>
    </w:lvl>
    <w:lvl w:ilvl="1">
      <w:lvlJc w:val="left"/>
      <w:lvlText w:val="(%2)"/>
      <w:numFmt w:val="lowerLetter"/>
      <w:start w:val="5"/>
    </w:lvl>
  </w:abstractNum>
  <w:abstractNum w:abstractNumId="44">
    <w:nsid w:val="749ABB43"/>
    <w:multiLevelType w:val="hybridMultilevel"/>
    <w:lvl w:ilvl="0">
      <w:lvlJc w:val="left"/>
      <w:lvlText w:val="%1."/>
      <w:numFmt w:val="decimal"/>
      <w:start w:val="7"/>
    </w:lvl>
    <w:lvl w:ilvl="1">
      <w:lvlJc w:val="left"/>
      <w:lvlText w:val="%2"/>
      <w:numFmt w:val="lowerLetter"/>
      <w:start w:val="1"/>
    </w:lvl>
  </w:abstractNum>
  <w:abstractNum w:abstractNumId="45">
    <w:nsid w:val="3DC240FB"/>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46">
    <w:nsid w:val="1BA026FA"/>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47">
    <w:nsid w:val="79A1DEAA"/>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48">
    <w:nsid w:val="75C6C33A"/>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abstractNum>
  <w:abstractNum w:abstractNumId="49">
    <w:nsid w:val="12E685FB"/>
    <w:multiLevelType w:val="hybridMultilevel"/>
    <w:lvl w:ilvl="0">
      <w:lvlJc w:val="left"/>
      <w:lvlText w:val="%1."/>
      <w:numFmt w:val="decimal"/>
      <w:start w:val="11"/>
    </w:lvl>
    <w:lvl w:ilvl="1">
      <w:lvlJc w:val="left"/>
      <w:lvlText w:val="%2."/>
      <w:numFmt w:val="decimal"/>
      <w:start w:val="12"/>
    </w:lvl>
    <w:lvl w:ilvl="2">
      <w:lvlJc w:val="left"/>
      <w:lvlText w:val="%3"/>
      <w:numFmt w:val="lowerLetter"/>
      <w:start w:val="1"/>
    </w:lvl>
  </w:abstractNum>
  <w:abstractNum w:abstractNumId="50">
    <w:nsid w:val="70C6A529"/>
    <w:multiLevelType w:val="hybridMultilevel"/>
    <w:lvl w:ilvl="0">
      <w:lvlJc w:val="left"/>
      <w:lvlText w:val="%1."/>
      <w:numFmt w:val="decimal"/>
      <w:start w:val="13"/>
    </w:lvl>
    <w:lvl w:ilvl="1">
      <w:lvlJc w:val="left"/>
      <w:lvlText w:val="(%2)"/>
      <w:numFmt w:val="lowerLetter"/>
      <w:start w:val="1"/>
    </w:lvl>
  </w:abstractNum>
  <w:abstractNum w:abstractNumId="51">
    <w:nsid w:val="520EEDD1"/>
    <w:multiLevelType w:val="hybridMultilevel"/>
    <w:lvl w:ilvl="0">
      <w:lvlJc w:val="left"/>
      <w:lvlText w:val="(%1)"/>
      <w:numFmt w:val="lowerRoman"/>
      <w:start w:val="2"/>
    </w:lvl>
    <w:lvl w:ilvl="1">
      <w:lvlJc w:val="left"/>
      <w:lvlText w:val="%2."/>
      <w:numFmt w:val="decimal"/>
      <w:start w:val="15"/>
    </w:lvl>
  </w:abstractNum>
  <w:abstractNum w:abstractNumId="52">
    <w:nsid w:val="374A3FE6"/>
    <w:multiLevelType w:val="hybridMultilevel"/>
    <w:lvl w:ilvl="0">
      <w:lvlJc w:val="left"/>
      <w:lvlText w:val="(%1)"/>
      <w:numFmt w:val="decimal"/>
      <w:start w:val="1"/>
    </w:lvl>
  </w:abstractNum>
  <w:abstractNum w:abstractNumId="53">
    <w:nsid w:val="4F4EF005"/>
    <w:multiLevelType w:val="hybridMultilevel"/>
    <w:lvl w:ilvl="0">
      <w:lvlJc w:val="left"/>
      <w:lvlText w:val="(%1)"/>
      <w:numFmt w:val="decimal"/>
      <w:start w:val="2"/>
    </w:lvl>
  </w:abstractNum>
  <w:abstractNum w:abstractNumId="54">
    <w:nsid w:val="23F9C13C"/>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2021-03-01T15:28:52Z</dcterms:created>
  <dcterms:modified xsi:type="dcterms:W3CDTF">2021-03-01T15:28:52Z</dcterms:modified>
</cp:coreProperties>
</file>