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Shiroma Donna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60"/>
        <w:spacing w:after="0" w:line="365"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05/31/2024</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05/31/2024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2,225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8.1685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45,951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beginning on December 1, 2023 and ending on May 31, 2024 in transactions that were exempt under both Rule 16b-3(d) and Rule 16b-3(c). In accordance with the terms of the ESPP, these shares were purchased at a price equal to 85% of the closing price of the Issuer's common stock on May 31, 2024 (the purchase date of the offering period).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06/03/2024</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251"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2024-06-03T15:45:48Z</dcterms:created>
  <dcterms:modified xsi:type="dcterms:W3CDTF">2024-06-03T15:45:48Z</dcterms:modified>
</cp:coreProperties>
</file>