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203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203825"/>
                    </a:xfrm>
                    <a:prstGeom prst="rect">
                      <a:avLst/>
                    </a:prstGeom>
                    <a:noFill/>
                  </pic:spPr>
                </pic:pic>
              </a:graphicData>
            </a:graphic>
          </wp:anchor>
        </w:drawing>
      </w:r>
    </w:p>
    <w:p>
      <w:pPr>
        <w:spacing w:after="0" w:line="1245"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Vance Cary Guy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200"/>
        <w:spacing w:after="0" w:line="283" w:lineRule="auto"/>
        <w:rPr>
          <w:sz w:val="20"/>
          <w:szCs w:val="20"/>
          <w:color w:val="auto"/>
        </w:rPr>
      </w:pPr>
      <w:r>
        <w:rPr>
          <w:rFonts w:ascii="Times New Roman" w:cs="Times New Roman" w:eastAsia="Times New Roman" w:hAnsi="Times New Roman"/>
          <w:sz w:val="17"/>
          <w:szCs w:val="17"/>
          <w:color w:val="0000FF"/>
        </w:rPr>
        <w:t>C/O AVITA MEDICAL 28159 AVENUE STANFORD</w:t>
      </w:r>
    </w:p>
    <w:p>
      <w:pPr>
        <w:spacing w:after="0" w:line="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220</w:t>
      </w:r>
    </w:p>
    <w:p>
      <w:pPr>
        <w:spacing w:after="0" w:line="28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2"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VALENCIA</w:t>
      </w:r>
      <w:r>
        <w:rPr>
          <w:sz w:val="20"/>
          <w:szCs w:val="20"/>
          <w:color w:val="auto"/>
        </w:rPr>
        <w:tab/>
      </w:r>
      <w:r>
        <w:rPr>
          <w:rFonts w:ascii="Times New Roman" w:cs="Times New Roman" w:eastAsia="Times New Roman" w:hAnsi="Times New Roman"/>
          <w:sz w:val="17"/>
          <w:szCs w:val="17"/>
          <w:color w:val="0000FF"/>
        </w:rPr>
        <w:t>CA</w:t>
      </w:r>
      <w:r>
        <w:rPr>
          <w:sz w:val="20"/>
          <w:szCs w:val="20"/>
          <w:color w:val="auto"/>
        </w:rPr>
        <w:tab/>
      </w:r>
      <w:r>
        <w:rPr>
          <w:rFonts w:ascii="Times New Roman" w:cs="Times New Roman" w:eastAsia="Times New Roman" w:hAnsi="Times New Roman"/>
          <w:sz w:val="16"/>
          <w:szCs w:val="16"/>
          <w:color w:val="0000FF"/>
        </w:rPr>
        <w:t>91355</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1"/>
        </w:trPr>
        <w:tc>
          <w:tcPr>
            <w:tcW w:w="8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AVITA Medical,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RCEL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1620" w:type="dxa"/>
            <w:vAlign w:val="bottom"/>
            <w:tcBorders>
              <w:top w:val="single" w:sz="8" w:color="0000EE"/>
            </w:tcBorders>
          </w:tcPr>
          <w:p>
            <w:pPr>
              <w:spacing w:after="0"/>
              <w:rPr>
                <w:sz w:val="13"/>
                <w:szCs w:val="13"/>
                <w:color w:val="auto"/>
              </w:rPr>
            </w:pPr>
          </w:p>
        </w:tc>
        <w:tc>
          <w:tcPr>
            <w:tcW w:w="2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r>
      <w:tr>
        <w:trPr>
          <w:trHeight w:val="172"/>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620" w:type="dxa"/>
            <w:vAlign w:val="bottom"/>
            <w:tcBorders>
              <w:bottom w:val="single" w:sz="8" w:color="2C2C2C"/>
            </w:tcBorders>
          </w:tcPr>
          <w:p>
            <w:pPr>
              <w:spacing w:after="0"/>
              <w:rPr>
                <w:sz w:val="14"/>
                <w:szCs w:val="14"/>
                <w:color w:val="auto"/>
              </w:rPr>
            </w:pPr>
          </w:p>
        </w:tc>
        <w:tc>
          <w:tcPr>
            <w:tcW w:w="2020" w:type="dxa"/>
            <w:vAlign w:val="bottom"/>
            <w:tcBorders>
              <w:bottom w:val="single" w:sz="8" w:color="2C2C2C"/>
            </w:tcBorders>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182"/>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218"/>
        </w:trPr>
        <w:tc>
          <w:tcPr>
            <w:tcW w:w="18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06/04/2025</w:t>
            </w: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20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spacing w:after="0" w:line="5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188"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rPr>
                <w:sz w:val="11"/>
                <w:szCs w:val="11"/>
                <w:color w:val="auto"/>
              </w:rPr>
            </w:pPr>
          </w:p>
        </w:tc>
        <w:tc>
          <w:tcPr>
            <w:tcW w:w="9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40" w:type="dxa"/>
            <w:vAlign w:val="bottom"/>
          </w:tcPr>
          <w:p>
            <w:pPr>
              <w:ind w:left="20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01/21/2025</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10,022</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35,771</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2"/>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ind w:left="180"/>
              <w:spacing w:after="0" w:line="19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8.73</w:t>
            </w:r>
            <w:r>
              <w:rPr>
                <w:rFonts w:ascii="Times New Roman" w:cs="Times New Roman" w:eastAsia="Times New Roman" w:hAnsi="Times New Roman"/>
                <w:sz w:val="21"/>
                <w:szCs w:val="21"/>
                <w:color w:val="008000"/>
                <w:vertAlign w:val="superscript"/>
              </w:rPr>
              <w:t>(3)</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01/21/2025</w:t>
            </w:r>
          </w:p>
        </w:tc>
        <w:tc>
          <w:tcPr>
            <w:tcW w:w="1100" w:type="dxa"/>
            <w:vAlign w:val="bottom"/>
          </w:tcPr>
          <w:p>
            <w:pPr>
              <w:spacing w:after="0"/>
              <w:rPr>
                <w:sz w:val="16"/>
                <w:szCs w:val="16"/>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4,295</w:t>
            </w:r>
          </w:p>
        </w:tc>
        <w:tc>
          <w:tcPr>
            <w:tcW w:w="34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01/21/2026</w:t>
            </w: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01/21/2035</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4,295</w:t>
            </w:r>
          </w:p>
        </w:tc>
        <w:tc>
          <w:tcPr>
            <w:tcW w:w="20" w:type="dxa"/>
            <w:vAlign w:val="bottom"/>
          </w:tcPr>
          <w:p>
            <w:pPr>
              <w:spacing w:after="0"/>
              <w:rPr>
                <w:sz w:val="16"/>
                <w:szCs w:val="16"/>
                <w:color w:val="auto"/>
              </w:rPr>
            </w:pPr>
          </w:p>
        </w:tc>
        <w:tc>
          <w:tcPr>
            <w:tcW w:w="72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80"/>
              <w:spacing w:after="0"/>
              <w:rPr>
                <w:sz w:val="20"/>
                <w:szCs w:val="20"/>
                <w:color w:val="auto"/>
              </w:rPr>
            </w:pPr>
            <w:r>
              <w:rPr>
                <w:rFonts w:ascii="Times New Roman" w:cs="Times New Roman" w:eastAsia="Times New Roman" w:hAnsi="Times New Roman"/>
                <w:sz w:val="13"/>
                <w:szCs w:val="13"/>
                <w:color w:val="0000FF"/>
              </w:rPr>
              <w:t>4,295</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ind w:left="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jc w:val="both"/>
        <w:ind w:left="40" w:right="42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stock units (the "RSUs"), each RSU representing a contingent right to be issued one share of Common Stock of the Company (the "Common Stock"), that are subject to time-based vesting criteria. These RSUs vest on the date 12 months following the grant date of January 21, 2025. This grant of RSUs was subject to the approval of the Company's stockholders, which was obtained on June 4, 2025.</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unvested RSUs.</w:t>
      </w:r>
    </w:p>
    <w:p>
      <w:pPr>
        <w:spacing w:after="0" w:line="45" w:lineRule="exact"/>
        <w:rPr>
          <w:rFonts w:ascii="Times New Roman" w:cs="Times New Roman" w:eastAsia="Times New Roman" w:hAnsi="Times New Roman"/>
          <w:sz w:val="13"/>
          <w:szCs w:val="13"/>
          <w:color w:val="008000"/>
        </w:rPr>
      </w:pPr>
    </w:p>
    <w:p>
      <w:pPr>
        <w:ind w:left="40" w:right="26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6, 2025, the Board of Directors approved a grant of 4,295 options to acquire 4,295 shares of Common Stock to each of its non-executive directors, with a grant date of January 21, 2025 (the "Grant Date") and an exercise price equal to the closing price of a share of Common Stock on Nasdaq on the Grant Date of $8.73. This option grant was subject to the approval of the Company's stockholders, which was obtained on June 4, 2025.</w:t>
      </w:r>
    </w:p>
    <w:p>
      <w:pPr>
        <w:spacing w:after="0" w:line="18"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Nicole Kelsey, by power of</w:t>
            </w: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w w:val="95"/>
              </w:rPr>
              <w:t>06/05/2025</w:t>
            </w:r>
          </w:p>
        </w:tc>
        <w:tc>
          <w:tcPr>
            <w:tcW w:w="0" w:type="dxa"/>
            <w:vAlign w:val="bottom"/>
          </w:tcPr>
          <w:p>
            <w:pPr>
              <w:spacing w:after="0"/>
              <w:rPr>
                <w:sz w:val="1"/>
                <w:szCs w:val="1"/>
                <w:color w:val="auto"/>
              </w:rPr>
            </w:pPr>
          </w:p>
        </w:tc>
      </w:tr>
      <w:tr>
        <w:trPr>
          <w:trHeight w:val="84"/>
        </w:trPr>
        <w:tc>
          <w:tcPr>
            <w:tcW w:w="56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6"/>
              </w:rPr>
              <w:t>attorney</w:t>
            </w:r>
          </w:p>
        </w:tc>
        <w:tc>
          <w:tcPr>
            <w:tcW w:w="15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560" w:type="dxa"/>
            <w:vAlign w:val="bottom"/>
            <w:tcBorders>
              <w:bottom w:val="single" w:sz="8" w:color="auto"/>
            </w:tcBorders>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6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08992" TargetMode="External"/><Relationship Id="rId14" Type="http://schemas.openxmlformats.org/officeDocument/2006/relationships/hyperlink" Target="http://www.sec.gov/cgi-bin/browse-edgar?action=getcompany&amp;CIK=000176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2025-06-05T16:06:44Z</dcterms:created>
  <dcterms:modified xsi:type="dcterms:W3CDTF">2025-06-05T16:06:44Z</dcterms:modified>
</cp:coreProperties>
</file>