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49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4990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766"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Panaccio Lou</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283" w:lineRule="auto"/>
        <w:rPr>
          <w:sz w:val="20"/>
          <w:szCs w:val="20"/>
          <w:color w:val="auto"/>
        </w:rPr>
      </w:pPr>
      <w:r>
        <w:rPr>
          <w:rFonts w:ascii="Times New Roman" w:cs="Times New Roman" w:eastAsia="Times New Roman" w:hAnsi="Times New Roman"/>
          <w:sz w:val="17"/>
          <w:szCs w:val="17"/>
          <w:color w:val="0000FF"/>
        </w:rPr>
        <w:t>C/O AVITA MEDICAL 28159 AVENUE STANFORD</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220</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VALENCIA</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91355</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AVITA Medical,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620" w:type="dxa"/>
            <w:vAlign w:val="bottom"/>
            <w:tcBorders>
              <w:top w:val="single" w:sz="8" w:color="0000EE"/>
            </w:tcBorders>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620" w:type="dxa"/>
            <w:vAlign w:val="bottom"/>
            <w:tcBorders>
              <w:bottom w:val="single" w:sz="8" w:color="2C2C2C"/>
            </w:tcBorders>
          </w:tcPr>
          <w:p>
            <w:pPr>
              <w:spacing w:after="0"/>
              <w:rPr>
                <w:sz w:val="14"/>
                <w:szCs w:val="14"/>
                <w:color w:val="auto"/>
              </w:rPr>
            </w:pPr>
          </w:p>
        </w:tc>
        <w:tc>
          <w:tcPr>
            <w:tcW w:w="20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8"/>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06/04/2025</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766"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01/21/2025</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8"/>
              </w:rPr>
              <w:t>10,022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jc w:val="center"/>
              <w:ind w:right="201"/>
              <w:spacing w:after="0"/>
              <w:rPr>
                <w:sz w:val="20"/>
                <w:szCs w:val="20"/>
                <w:color w:val="auto"/>
              </w:rPr>
            </w:pPr>
            <w:r>
              <w:rPr>
                <w:rFonts w:ascii="Times New Roman" w:cs="Times New Roman" w:eastAsia="Times New Roman" w:hAnsi="Times New Roman"/>
                <w:sz w:val="17"/>
                <w:szCs w:val="17"/>
                <w:color w:val="0000FF"/>
              </w:rPr>
              <w:t>56,428</w:t>
            </w:r>
            <w:r>
              <w:rPr>
                <w:rFonts w:ascii="Times New Roman" w:cs="Times New Roman" w:eastAsia="Times New Roman" w:hAnsi="Times New Roman"/>
                <w:sz w:val="21"/>
                <w:szCs w:val="21"/>
                <w:color w:val="008000"/>
                <w:vertAlign w:val="superscript"/>
              </w:rPr>
              <w:t>(2)(3)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gridSpan w:val="3"/>
            <w:vMerge w:val="restart"/>
          </w:tcPr>
          <w:p>
            <w:pPr>
              <w:jc w:val="center"/>
              <w:ind w:right="301"/>
              <w:spacing w:after="0"/>
              <w:rPr>
                <w:sz w:val="20"/>
                <w:szCs w:val="20"/>
                <w:color w:val="auto"/>
              </w:rPr>
            </w:pPr>
            <w:r>
              <w:rPr>
                <w:rFonts w:ascii="Times New Roman" w:cs="Times New Roman" w:eastAsia="Times New Roman" w:hAnsi="Times New Roman"/>
                <w:sz w:val="17"/>
                <w:szCs w:val="17"/>
                <w:color w:val="0000FF"/>
              </w:rPr>
              <w:t>5,972</w:t>
            </w:r>
            <w:r>
              <w:rPr>
                <w:rFonts w:ascii="Times New Roman" w:cs="Times New Roman" w:eastAsia="Times New Roman" w:hAnsi="Times New Roman"/>
                <w:sz w:val="21"/>
                <w:szCs w:val="21"/>
                <w:color w:val="008000"/>
                <w:vertAlign w:val="superscript"/>
              </w:rPr>
              <w:t>(4)</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line="19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8.73</w:t>
            </w:r>
            <w:r>
              <w:rPr>
                <w:rFonts w:ascii="Times New Roman" w:cs="Times New Roman" w:eastAsia="Times New Roman" w:hAnsi="Times New Roman"/>
                <w:sz w:val="21"/>
                <w:szCs w:val="21"/>
                <w:color w:val="008000"/>
                <w:vertAlign w:val="superscript"/>
              </w:rPr>
              <w:t>(6)</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01/21/2025</w:t>
            </w:r>
          </w:p>
        </w:tc>
        <w:tc>
          <w:tcPr>
            <w:tcW w:w="110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4,295</w:t>
            </w:r>
          </w:p>
        </w:tc>
        <w:tc>
          <w:tcPr>
            <w:tcW w:w="3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01/21/2026</w:t>
            </w:r>
          </w:p>
        </w:tc>
        <w:tc>
          <w:tcPr>
            <w:tcW w:w="720" w:type="dxa"/>
            <w:vAlign w:val="bottom"/>
          </w:tcPr>
          <w:p>
            <w:pPr>
              <w:spacing w:after="0"/>
              <w:rPr>
                <w:sz w:val="20"/>
                <w:szCs w:val="20"/>
                <w:color w:val="auto"/>
              </w:rPr>
            </w:pPr>
            <w:r>
              <w:rPr>
                <w:rFonts w:ascii="Times New Roman" w:cs="Times New Roman" w:eastAsia="Times New Roman" w:hAnsi="Times New Roman"/>
                <w:sz w:val="13"/>
                <w:szCs w:val="13"/>
                <w:color w:val="0000FF"/>
              </w:rPr>
              <w:t>01/21/2035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4,295</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5"/>
              </w:rPr>
              <w:t>4,295</w:t>
            </w:r>
          </w:p>
        </w:tc>
        <w:tc>
          <w:tcPr>
            <w:tcW w:w="280" w:type="dxa"/>
            <w:vAlign w:val="bottom"/>
          </w:tcPr>
          <w:p>
            <w:pPr>
              <w:spacing w:after="0"/>
              <w:rPr>
                <w:sz w:val="16"/>
                <w:szCs w:val="16"/>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4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(the "RSUs"), each RSU representing a contingent right to be issued one share of Common Stock of the Company (the "Common Stock"), that are subject to time-based vesting criteria. These RSUs vest on the date 12 months following the grant date of January 21, 2025. This grant of RSUs was subject to the approval of the Company's stockholders, which was obtained on June 4, 2025.</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70,460 of the Issuer's CDIs. The Reporting Person holds 70,460 CDIs, which translate into 14,092 of the shares of Common Stock set forth above.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29,860 CDIs, which translate into the 5,972 shares of Common Stock set forth above.</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CDIs are held by The Panaccio Superannuation Fund (the "Fund"). The Reporting Person is a director of Tercus Pty Ltd, trustee of the Fund, and is a beneficiary of the Fund. The Reporting Person may be deemed to have shared voting and dispositive power over the CDIs held by the Fund but disclaims such beneficial ownership, except to the extent of his pecuniary interest therein.</w:t>
      </w:r>
    </w:p>
    <w:p>
      <w:pPr>
        <w:spacing w:after="0" w:line="16"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6, 2025, the Board of Directors approved a grant of 4,295 options to acquire 4,295 shares of Common Stock to each of its non-executive directors, with a grant date of January 21, 2025 (the "Grant Date") and an exercise price equal to the closing price of a share of Common Stock on Nasdaq on the Grant Date of $8.73. This option grant was subject to the approval of the Company's stockholders, which was obtained on June 4, 2025.</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Nicole Kelsey, by power of</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06/05/2025</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attorney</w:t>
            </w:r>
          </w:p>
        </w:tc>
        <w:tc>
          <w:tcPr>
            <w:tcW w:w="15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6237"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2025-06-05T15:42:15Z</dcterms:created>
  <dcterms:modified xsi:type="dcterms:W3CDTF">2025-06-05T15:42:15Z</dcterms:modified>
</cp:coreProperties>
</file>