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580" w:right="34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3"/>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Ordinary Shares, no par value</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American Depositary Shares (ADS), each representing 20 Ordinary Shares</w:t>
      </w:r>
    </w:p>
    <w:p>
      <w:pPr>
        <w:spacing w:after="0" w:line="2"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0984"/>
          </w:cols>
          <w:pgMar w:left="436" w:top="368" w:right="479" w:bottom="1440" w:gutter="0" w:footer="0" w:header="0"/>
        </w:sectPr>
      </w:pPr>
    </w:p>
    <w:p>
      <w:pPr>
        <w:spacing w:after="0" w:line="275" w:lineRule="exact"/>
        <w:rPr>
          <w:sz w:val="24"/>
          <w:szCs w:val="24"/>
          <w:color w:val="auto"/>
        </w:rPr>
      </w:pPr>
    </w:p>
    <w:p>
      <w:pPr>
        <w:ind w:left="4664"/>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664"/>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664"/>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664"/>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664"/>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104" w:space="100"/>
            <w:col w:w="4780"/>
          </w:cols>
          <w:pgMar w:left="436" w:top="368" w:right="479" w:bottom="1440" w:gutter="0" w:footer="0" w:header="0"/>
          <w:type w:val="continuous"/>
        </w:sectPr>
      </w:pPr>
    </w:p>
    <w:p>
      <w:pPr>
        <w:spacing w:after="0" w:line="11" w:lineRule="exact"/>
        <w:rPr>
          <w:sz w:val="24"/>
          <w:szCs w:val="24"/>
          <w:color w:val="auto"/>
        </w:rPr>
      </w:pPr>
    </w:p>
    <w:p>
      <w:pPr>
        <w:ind w:left="444"/>
        <w:spacing w:after="0"/>
        <w:rPr>
          <w:sz w:val="20"/>
          <w:szCs w:val="20"/>
          <w:color w:val="auto"/>
        </w:rPr>
      </w:pPr>
      <w:r>
        <w:rPr>
          <w:rFonts w:ascii="Arial" w:cs="Arial" w:eastAsia="Arial" w:hAnsi="Arial"/>
          <w:sz w:val="18"/>
          <w:szCs w:val="18"/>
          <w:color w:val="auto"/>
        </w:rPr>
        <w:t>Approximate number of holders of record as of the certification or notice date: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4"/>
          <w:szCs w:val="24"/>
          <w:color w:val="auto"/>
        </w:rPr>
      </w:pPr>
    </w:p>
    <w:p>
      <w:pPr>
        <w:ind w:left="224" w:hanging="224"/>
        <w:spacing w:after="0" w:line="263"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Form 15 relates solely to the reporting obligations of Avita Medical Limited (a wholly owned subsidiary of Avita Therapeutics, Inc.) under the Securities Exchange Act of 1934 (the “Exchange Act”) and does not affect the reporting obligations of Avita Therapeutics, Inc. as its successor issuer under the Exchange Act.</w:t>
      </w:r>
    </w:p>
    <w:p>
      <w:pPr>
        <w:spacing w:after="0" w:line="184" w:lineRule="exact"/>
        <w:rPr>
          <w:sz w:val="24"/>
          <w:szCs w:val="24"/>
          <w:color w:val="auto"/>
        </w:rPr>
      </w:pPr>
    </w:p>
    <w:p>
      <w:pPr>
        <w:ind w:left="4" w:right="8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Avita Therapeutics, Inc., as successor to Avita Medical Limited, has caused this certification/notice to be signed on its behalf by the undersigned duly authorized person.</w:t>
      </w:r>
    </w:p>
    <w:p>
      <w:pPr>
        <w:spacing w:after="0" w:line="197" w:lineRule="exact"/>
        <w:rPr>
          <w:sz w:val="24"/>
          <w:szCs w:val="24"/>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July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McIntyre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4"/>
          <w:szCs w:val="24"/>
          <w:color w:val="auto"/>
        </w:rPr>
      </w:pPr>
    </w:p>
    <w:p>
      <w:pPr>
        <w:ind w:left="5624"/>
        <w:spacing w:after="0"/>
        <w:rPr>
          <w:sz w:val="20"/>
          <w:szCs w:val="20"/>
          <w:color w:val="auto"/>
        </w:rPr>
      </w:pPr>
      <w:r>
        <w:rPr>
          <w:rFonts w:ascii="Arial" w:cs="Arial" w:eastAsia="Arial" w:hAnsi="Arial"/>
          <w:sz w:val="18"/>
          <w:szCs w:val="18"/>
          <w:color w:val="auto"/>
        </w:rPr>
        <w:t>Name: David McIntyre</w:t>
      </w:r>
    </w:p>
    <w:p>
      <w:pPr>
        <w:spacing w:after="0" w:line="23" w:lineRule="exact"/>
        <w:rPr>
          <w:sz w:val="24"/>
          <w:szCs w:val="24"/>
          <w:color w:val="auto"/>
        </w:rPr>
      </w:pPr>
    </w:p>
    <w:p>
      <w:pPr>
        <w:ind w:left="5624"/>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984"/>
      </w:cols>
      <w:pgMar w:left="436" w:top="368"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2020-07-20T16:14:12Z</dcterms:created>
  <dcterms:modified xsi:type="dcterms:W3CDTF">2020-07-20T16:14:12Z</dcterms:modified>
</cp:coreProperties>
</file>