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465361"/>
        </w:rPr>
        <w:t>Registration No. 333-249419</w:t>
      </w:r>
    </w:p>
    <w:p>
      <w:pPr>
        <w:spacing w:after="0" w:line="145" w:lineRule="exact"/>
        <w:rPr>
          <w:sz w:val="24"/>
          <w:szCs w:val="24"/>
          <w:color w:val="auto"/>
        </w:rPr>
      </w:pPr>
    </w:p>
    <w:p>
      <w:pPr>
        <w:ind w:left="120" w:right="280"/>
        <w:spacing w:after="0" w:line="258" w:lineRule="auto"/>
        <w:rPr>
          <w:sz w:val="20"/>
          <w:szCs w:val="20"/>
          <w:color w:val="auto"/>
        </w:rPr>
      </w:pPr>
      <w:r>
        <w:rPr>
          <w:rFonts w:ascii="Arial" w:cs="Arial" w:eastAsia="Arial" w:hAnsi="Arial"/>
          <w:sz w:val="18"/>
          <w:szCs w:val="18"/>
          <w:b w:val="1"/>
          <w:bCs w:val="1"/>
          <w:color w:val="A03245"/>
        </w:rPr>
        <w:t>The information in this preliminary prospectus supplement is not complete and may be changed. A registration statement relating to these securities became effective under the Securities Act of 1933, as amended. This preliminary prospectus supplement and the accompanying prospectus are not an offer to sell these securities, and we are not soliciting an offer to buy these securities, in any jurisdiction where the offer or sale is not permitted.</w:t>
      </w:r>
    </w:p>
    <w:p>
      <w:pPr>
        <w:spacing w:after="0" w:line="12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03245"/>
        </w:rPr>
        <w:t>Preliminary Prospectus supplement (to prospectus dated October 16, 2020)</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03245"/>
        </w:rPr>
        <w:t>Subject to completion, dated February 24, 2021</w:t>
      </w:r>
    </w:p>
    <w:p>
      <w:pPr>
        <w:spacing w:after="0" w:line="334" w:lineRule="exact"/>
        <w:rPr>
          <w:sz w:val="24"/>
          <w:szCs w:val="24"/>
          <w:color w:val="auto"/>
        </w:rPr>
      </w:pPr>
    </w:p>
    <w:p>
      <w:pPr>
        <w:ind w:left="1160"/>
        <w:spacing w:after="0"/>
        <w:rPr>
          <w:sz w:val="20"/>
          <w:szCs w:val="20"/>
          <w:color w:val="auto"/>
        </w:rPr>
      </w:pPr>
      <w:r>
        <w:rPr>
          <w:rFonts w:ascii="Arial" w:cs="Arial" w:eastAsia="Arial" w:hAnsi="Arial"/>
          <w:sz w:val="32"/>
          <w:szCs w:val="32"/>
          <w:b w:val="1"/>
          <w:bCs w:val="1"/>
          <w:color w:val="465361"/>
        </w:rPr>
        <w:t>shares</w:t>
      </w:r>
    </w:p>
    <w:p>
      <w:pPr>
        <w:spacing w:after="0" w:line="361"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465361"/>
        </w:rPr>
        <w:t>AVITA MEDICAL, INC.</w:t>
      </w:r>
    </w:p>
    <w:p>
      <w:pPr>
        <w:spacing w:after="0" w:line="361" w:lineRule="exact"/>
        <w:rPr>
          <w:sz w:val="24"/>
          <w:szCs w:val="24"/>
          <w:color w:val="auto"/>
        </w:rPr>
      </w:pPr>
    </w:p>
    <w:p>
      <w:pPr>
        <w:ind w:left="120"/>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4479925</wp:posOffset>
            </wp:positionH>
            <wp:positionV relativeFrom="paragraph">
              <wp:posOffset>24130</wp:posOffset>
            </wp:positionV>
            <wp:extent cx="153416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1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780" w:hanging="664"/>
        <w:spacing w:after="0"/>
        <w:tabs>
          <w:tab w:leader="none" w:pos="780" w:val="left"/>
        </w:tabs>
        <w:numPr>
          <w:ilvl w:val="0"/>
          <w:numId w:val="1"/>
        </w:numPr>
        <w:rPr>
          <w:rFonts w:ascii="Arial" w:cs="Arial" w:eastAsia="Arial" w:hAnsi="Arial"/>
          <w:sz w:val="24"/>
          <w:szCs w:val="24"/>
          <w:b w:val="1"/>
          <w:bCs w:val="1"/>
          <w:color w:val="465361"/>
        </w:rPr>
      </w:pPr>
      <w:r>
        <w:rPr>
          <w:rFonts w:ascii="Arial" w:cs="Arial" w:eastAsia="Arial" w:hAnsi="Arial"/>
          <w:sz w:val="24"/>
          <w:szCs w:val="24"/>
          <w:b w:val="1"/>
          <w:bCs w:val="1"/>
          <w:color w:val="465361"/>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314325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120"/>
        <w:spacing w:after="0"/>
        <w:tabs>
          <w:tab w:leader="none" w:pos="1720" w:val="left"/>
        </w:tabs>
        <w:rPr>
          <w:sz w:val="20"/>
          <w:szCs w:val="20"/>
          <w:color w:val="auto"/>
        </w:rPr>
      </w:pPr>
      <w:r>
        <w:rPr>
          <w:rFonts w:ascii="Arial" w:cs="Arial" w:eastAsia="Arial" w:hAnsi="Arial"/>
          <w:sz w:val="18"/>
          <w:szCs w:val="18"/>
          <w:color w:val="465361"/>
        </w:rPr>
        <w:t>We are offering</w:t>
      </w:r>
      <w:r>
        <w:rPr>
          <w:sz w:val="20"/>
          <w:szCs w:val="20"/>
          <w:color w:val="auto"/>
        </w:rPr>
        <w:tab/>
      </w:r>
      <w:r>
        <w:rPr>
          <w:rFonts w:ascii="Arial" w:cs="Arial" w:eastAsia="Arial" w:hAnsi="Arial"/>
          <w:sz w:val="15"/>
          <w:szCs w:val="15"/>
          <w:color w:val="465361"/>
        </w:rPr>
        <w:t>shares of common stock pursuant to this prospectus supplement and the accompanying prospectus.</w:t>
      </w:r>
    </w:p>
    <w:p>
      <w:pPr>
        <w:spacing w:after="0" w:line="171" w:lineRule="exact"/>
        <w:rPr>
          <w:sz w:val="24"/>
          <w:szCs w:val="24"/>
          <w:color w:val="auto"/>
        </w:rPr>
      </w:pPr>
    </w:p>
    <w:p>
      <w:pPr>
        <w:ind w:left="120" w:right="280"/>
        <w:spacing w:after="0" w:line="256" w:lineRule="auto"/>
        <w:rPr>
          <w:sz w:val="20"/>
          <w:szCs w:val="20"/>
          <w:color w:val="auto"/>
        </w:rPr>
      </w:pPr>
      <w:r>
        <w:rPr>
          <w:rFonts w:ascii="Arial" w:cs="Arial" w:eastAsia="Arial" w:hAnsi="Arial"/>
          <w:sz w:val="18"/>
          <w:szCs w:val="18"/>
          <w:color w:val="465361"/>
        </w:rPr>
        <w:t>Our common stock is listed on the Nasdaq Stock Market LLC under the symbol “RCEL.” Our CHESS depositary interests (“CDIs”) are listed on the Australian Securities Exchange under the symbol “AVH,” with five CDIs being equivalent to one share of our common stock. On February 23, 2021, the last reported sale price of our common stock was $24.07 per share on the Nasdaq Stock Market LLC, and the last reported sale price of our CDIs on the Australian Securities Exchange was A$6.06 per share.</w:t>
      </w:r>
    </w:p>
    <w:p>
      <w:pPr>
        <w:spacing w:after="0" w:line="137" w:lineRule="exact"/>
        <w:rPr>
          <w:sz w:val="24"/>
          <w:szCs w:val="24"/>
          <w:color w:val="auto"/>
        </w:rPr>
      </w:pPr>
    </w:p>
    <w:p>
      <w:pPr>
        <w:ind w:left="120" w:right="180"/>
        <w:spacing w:after="0" w:line="339" w:lineRule="auto"/>
        <w:rPr>
          <w:rFonts w:ascii="Arial" w:cs="Arial" w:eastAsia="Arial" w:hAnsi="Arial"/>
          <w:sz w:val="16"/>
          <w:szCs w:val="16"/>
          <w:b w:val="1"/>
          <w:bCs w:val="1"/>
          <w:color w:val="465361"/>
        </w:rPr>
      </w:pPr>
      <w:r>
        <w:rPr>
          <w:rFonts w:ascii="Arial" w:cs="Arial" w:eastAsia="Arial" w:hAnsi="Arial"/>
          <w:sz w:val="16"/>
          <w:szCs w:val="16"/>
          <w:b w:val="1"/>
          <w:bCs w:val="1"/>
          <w:color w:val="465361"/>
        </w:rPr>
        <w:t>Our business and an investment in our securities involve a high degree of risk. Please read carefully the section entitled “</w:t>
      </w:r>
      <w:hyperlink w:anchor="page10">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465361"/>
        </w:rPr>
        <w:t>” beginning on page S-6 of this prospectus supplement and in the documents incorporated by reference into this prospectus supplement.</w:t>
      </w:r>
    </w:p>
    <w:p>
      <w:pPr>
        <w:spacing w:after="0" w:line="74" w:lineRule="exact"/>
        <w:rPr>
          <w:sz w:val="24"/>
          <w:szCs w:val="24"/>
          <w:color w:val="auto"/>
        </w:rPr>
      </w:pPr>
    </w:p>
    <w:p>
      <w:pPr>
        <w:jc w:val="both"/>
        <w:ind w:left="120" w:right="260"/>
        <w:spacing w:after="0" w:line="262" w:lineRule="auto"/>
        <w:rPr>
          <w:sz w:val="20"/>
          <w:szCs w:val="20"/>
          <w:color w:val="auto"/>
        </w:rPr>
      </w:pPr>
      <w:r>
        <w:rPr>
          <w:rFonts w:ascii="Arial" w:cs="Arial" w:eastAsia="Arial" w:hAnsi="Arial"/>
          <w:sz w:val="18"/>
          <w:szCs w:val="18"/>
          <w:b w:val="1"/>
          <w:bCs w:val="1"/>
          <w:color w:val="465361"/>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195580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8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465361"/>
              </w:rPr>
              <w:t>Per Share</w:t>
            </w:r>
          </w:p>
        </w:tc>
        <w:tc>
          <w:tcPr>
            <w:tcW w:w="740" w:type="dxa"/>
            <w:vAlign w:val="bottom"/>
            <w:gridSpan w:val="2"/>
          </w:tcPr>
          <w:p>
            <w:pPr>
              <w:ind w:left="200"/>
              <w:spacing w:after="0"/>
              <w:rPr>
                <w:sz w:val="20"/>
                <w:szCs w:val="20"/>
                <w:color w:val="auto"/>
              </w:rPr>
            </w:pPr>
            <w:r>
              <w:rPr>
                <w:rFonts w:ascii="Arial" w:cs="Arial" w:eastAsia="Arial" w:hAnsi="Arial"/>
                <w:sz w:val="13"/>
                <w:szCs w:val="13"/>
                <w:b w:val="1"/>
                <w:bCs w:val="1"/>
                <w:color w:val="465361"/>
              </w:rPr>
              <w:t>Total</w:t>
            </w:r>
          </w:p>
        </w:tc>
      </w:tr>
      <w:tr>
        <w:trPr>
          <w:trHeight w:val="209"/>
        </w:trPr>
        <w:tc>
          <w:tcPr>
            <w:tcW w:w="9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Public offering price</w:t>
            </w: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465361"/>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8"/>
                <w:szCs w:val="18"/>
                <w:color w:val="465361"/>
                <w:w w:val="7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465361"/>
              </w:rPr>
              <w:t>Underwriting discounts and commissions</w:t>
            </w:r>
            <w:r>
              <w:rPr>
                <w:rFonts w:ascii="Arial" w:cs="Arial" w:eastAsia="Arial" w:hAnsi="Arial"/>
                <w:sz w:val="11"/>
                <w:szCs w:val="11"/>
                <w:color w:val="465361"/>
              </w:rPr>
              <w:t>(1)</w:t>
            </w:r>
          </w:p>
        </w:tc>
        <w:tc>
          <w:tcPr>
            <w:tcW w:w="680" w:type="dxa"/>
            <w:vAlign w:val="bottom"/>
          </w:tcPr>
          <w:p>
            <w:pPr>
              <w:jc w:val="right"/>
              <w:ind w:right="497"/>
              <w:spacing w:after="0"/>
              <w:rPr>
                <w:sz w:val="20"/>
                <w:szCs w:val="20"/>
                <w:color w:val="auto"/>
              </w:rPr>
            </w:pPr>
            <w:r>
              <w:rPr>
                <w:rFonts w:ascii="Arial" w:cs="Arial" w:eastAsia="Arial" w:hAnsi="Arial"/>
                <w:sz w:val="18"/>
                <w:szCs w:val="18"/>
                <w:color w:val="465361"/>
                <w:w w:val="79"/>
              </w:rPr>
              <w:t>$</w:t>
            </w:r>
          </w:p>
        </w:tc>
        <w:tc>
          <w:tcPr>
            <w:tcW w:w="380" w:type="dxa"/>
            <w:vAlign w:val="bottom"/>
          </w:tcPr>
          <w:p>
            <w:pPr>
              <w:spacing w:after="0"/>
              <w:rPr>
                <w:sz w:val="18"/>
                <w:szCs w:val="18"/>
                <w:color w:val="auto"/>
              </w:rPr>
            </w:pPr>
          </w:p>
        </w:tc>
        <w:tc>
          <w:tcPr>
            <w:tcW w:w="680" w:type="dxa"/>
            <w:vAlign w:val="bottom"/>
          </w:tcPr>
          <w:p>
            <w:pPr>
              <w:jc w:val="right"/>
              <w:ind w:right="497"/>
              <w:spacing w:after="0"/>
              <w:rPr>
                <w:sz w:val="20"/>
                <w:szCs w:val="20"/>
                <w:color w:val="auto"/>
              </w:rPr>
            </w:pPr>
            <w:r>
              <w:rPr>
                <w:rFonts w:ascii="Arial" w:cs="Arial" w:eastAsia="Arial" w:hAnsi="Arial"/>
                <w:sz w:val="18"/>
                <w:szCs w:val="18"/>
                <w:color w:val="465361"/>
                <w:w w:val="79"/>
              </w:rPr>
              <w:t>$</w:t>
            </w:r>
          </w:p>
        </w:tc>
        <w:tc>
          <w:tcPr>
            <w:tcW w:w="6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AVITA Medical, Inc.</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465361"/>
                <w:w w:val="79"/>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465361"/>
                <w:w w:val="79"/>
              </w:rPr>
              <w:t>$</w:t>
            </w:r>
          </w:p>
        </w:tc>
        <w:tc>
          <w:tcPr>
            <w:tcW w:w="6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 w:lineRule="exact"/>
        <w:rPr>
          <w:sz w:val="24"/>
          <w:szCs w:val="24"/>
          <w:color w:val="auto"/>
        </w:rPr>
      </w:pPr>
    </w:p>
    <w:p>
      <w:pPr>
        <w:ind w:left="340" w:hanging="224"/>
        <w:spacing w:after="0"/>
        <w:tabs>
          <w:tab w:leader="none" w:pos="340" w:val="left"/>
        </w:tabs>
        <w:numPr>
          <w:ilvl w:val="0"/>
          <w:numId w:val="2"/>
        </w:numPr>
        <w:rPr>
          <w:rFonts w:ascii="Arial" w:cs="Arial" w:eastAsia="Arial" w:hAnsi="Arial"/>
          <w:sz w:val="22"/>
          <w:szCs w:val="22"/>
          <w:color w:val="465361"/>
          <w:vertAlign w:val="superscript"/>
        </w:rPr>
      </w:pPr>
      <w:r>
        <w:rPr>
          <w:rFonts w:ascii="Arial" w:cs="Arial" w:eastAsia="Arial" w:hAnsi="Arial"/>
          <w:sz w:val="13"/>
          <w:szCs w:val="13"/>
          <w:color w:val="465361"/>
        </w:rPr>
        <w:t>See “Underwriting” beginning on page S-18 of this prospectus supplement for a description of the compensation payable to the underwriters and estimated offering expenses.</w:t>
      </w:r>
    </w:p>
    <w:p>
      <w:pPr>
        <w:spacing w:after="0" w:line="141" w:lineRule="exact"/>
        <w:rPr>
          <w:sz w:val="24"/>
          <w:szCs w:val="24"/>
          <w:color w:val="auto"/>
        </w:rPr>
      </w:pPr>
    </w:p>
    <w:p>
      <w:pPr>
        <w:ind w:left="120"/>
        <w:spacing w:after="0"/>
        <w:tabs>
          <w:tab w:leader="none" w:pos="5780" w:val="left"/>
        </w:tabs>
        <w:rPr>
          <w:sz w:val="20"/>
          <w:szCs w:val="20"/>
          <w:color w:val="auto"/>
        </w:rPr>
      </w:pPr>
      <w:r>
        <w:rPr>
          <w:rFonts w:ascii="Arial" w:cs="Arial" w:eastAsia="Arial" w:hAnsi="Arial"/>
          <w:sz w:val="18"/>
          <w:szCs w:val="18"/>
          <w:color w:val="465361"/>
        </w:rPr>
        <w:t>We have granted a 30-day option to the underwriters to purchase up to</w:t>
      </w:r>
      <w:r>
        <w:rPr>
          <w:sz w:val="20"/>
          <w:szCs w:val="20"/>
          <w:color w:val="auto"/>
        </w:rPr>
        <w:tab/>
      </w:r>
      <w:r>
        <w:rPr>
          <w:rFonts w:ascii="Arial" w:cs="Arial" w:eastAsia="Arial" w:hAnsi="Arial"/>
          <w:sz w:val="16"/>
          <w:szCs w:val="16"/>
          <w:color w:val="465361"/>
        </w:rPr>
        <w:t>additional shares of common stock, at the public offering price, less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465361"/>
        </w:rPr>
        <w:t>underwriting discounts and commissions.</w:t>
      </w:r>
    </w:p>
    <w:p>
      <w:pPr>
        <w:spacing w:after="0" w:line="165" w:lineRule="exact"/>
        <w:rPr>
          <w:sz w:val="24"/>
          <w:szCs w:val="24"/>
          <w:color w:val="auto"/>
        </w:rPr>
      </w:pPr>
    </w:p>
    <w:p>
      <w:pPr>
        <w:ind w:left="120"/>
        <w:spacing w:after="0"/>
        <w:tabs>
          <w:tab w:leader="none" w:pos="6880" w:val="left"/>
        </w:tabs>
        <w:rPr>
          <w:sz w:val="20"/>
          <w:szCs w:val="20"/>
          <w:color w:val="auto"/>
        </w:rPr>
      </w:pPr>
      <w:r>
        <w:rPr>
          <w:rFonts w:ascii="Arial" w:cs="Arial" w:eastAsia="Arial" w:hAnsi="Arial"/>
          <w:sz w:val="18"/>
          <w:szCs w:val="18"/>
          <w:color w:val="465361"/>
        </w:rPr>
        <w:t>The underwriters expect to deliver our shares to purchasers in the offering on or about</w:t>
      </w:r>
      <w:r>
        <w:rPr>
          <w:sz w:val="20"/>
          <w:szCs w:val="20"/>
          <w:color w:val="auto"/>
        </w:rPr>
        <w:tab/>
      </w:r>
      <w:r>
        <w:rPr>
          <w:rFonts w:ascii="Arial" w:cs="Arial" w:eastAsia="Arial" w:hAnsi="Arial"/>
          <w:sz w:val="15"/>
          <w:szCs w:val="15"/>
          <w:color w:val="465361"/>
        </w:rPr>
        <w:t>, 2021.</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80"/>
        <w:spacing w:after="0"/>
        <w:tabs>
          <w:tab w:leader="none" w:pos="10160" w:val="left"/>
        </w:tabs>
        <w:rPr>
          <w:sz w:val="20"/>
          <w:szCs w:val="20"/>
          <w:color w:val="auto"/>
        </w:rPr>
      </w:pPr>
      <w:r>
        <w:rPr>
          <w:rFonts w:ascii="Arial" w:cs="Arial" w:eastAsia="Arial" w:hAnsi="Arial"/>
          <w:sz w:val="32"/>
          <w:szCs w:val="32"/>
          <w:b w:val="1"/>
          <w:bCs w:val="1"/>
          <w:color w:val="465361"/>
        </w:rPr>
        <w:t>Piper Sandler</w:t>
      </w:r>
      <w:r>
        <w:rPr>
          <w:sz w:val="20"/>
          <w:szCs w:val="20"/>
          <w:color w:val="auto"/>
        </w:rPr>
        <w:tab/>
      </w:r>
      <w:r>
        <w:rPr>
          <w:rFonts w:ascii="Arial" w:cs="Arial" w:eastAsia="Arial" w:hAnsi="Arial"/>
          <w:sz w:val="29"/>
          <w:szCs w:val="29"/>
          <w:b w:val="1"/>
          <w:bCs w:val="1"/>
          <w:color w:val="465361"/>
        </w:rPr>
        <w:t>Cowen</w:t>
      </w:r>
    </w:p>
    <w:p>
      <w:pPr>
        <w:sectPr>
          <w:pgSz w:w="11900" w:h="16838" w:orient="portrait"/>
          <w:cols w:equalWidth="0" w:num="1">
            <w:col w:w="11140"/>
          </w:cols>
          <w:pgMar w:left="320" w:top="230" w:right="439"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3460"/>
        <w:spacing w:after="0"/>
        <w:tabs>
          <w:tab w:leader="none" w:pos="7280" w:val="left"/>
        </w:tabs>
        <w:rPr>
          <w:sz w:val="20"/>
          <w:szCs w:val="20"/>
          <w:color w:val="auto"/>
        </w:rPr>
      </w:pPr>
      <w:r>
        <w:rPr>
          <w:rFonts w:ascii="Arial" w:cs="Arial" w:eastAsia="Arial" w:hAnsi="Arial"/>
          <w:sz w:val="18"/>
          <w:szCs w:val="18"/>
          <w:b w:val="1"/>
          <w:bCs w:val="1"/>
          <w:color w:val="465361"/>
        </w:rPr>
        <w:t>The date of this prospectus supplement is</w:t>
      </w:r>
      <w:r>
        <w:rPr>
          <w:sz w:val="20"/>
          <w:szCs w:val="20"/>
          <w:color w:val="auto"/>
        </w:rPr>
        <w:tab/>
      </w:r>
      <w:r>
        <w:rPr>
          <w:rFonts w:ascii="Arial" w:cs="Arial" w:eastAsia="Arial" w:hAnsi="Arial"/>
          <w:sz w:val="15"/>
          <w:szCs w:val="15"/>
          <w:b w:val="1"/>
          <w:bCs w:val="1"/>
          <w:color w:val="465361"/>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465361"/>
        </w:rPr>
        <w:t>TABLE OF CONTENTS</w:t>
      </w:r>
    </w:p>
    <w:p>
      <w:pPr>
        <w:spacing w:after="0" w:line="200" w:lineRule="exact"/>
        <w:rPr>
          <w:sz w:val="20"/>
          <w:szCs w:val="20"/>
          <w:color w:val="auto"/>
        </w:rPr>
      </w:pPr>
    </w:p>
    <w:p>
      <w:pPr>
        <w:spacing w:after="0" w:line="21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8360" w:type="dxa"/>
            <w:vAlign w:val="bottom"/>
            <w:vMerge w:val="restart"/>
          </w:tcPr>
          <w:p>
            <w:pPr>
              <w:spacing w:after="0"/>
              <w:rPr>
                <w:sz w:val="20"/>
                <w:szCs w:val="20"/>
                <w:color w:val="auto"/>
              </w:rPr>
            </w:pPr>
            <w:r>
              <w:rPr>
                <w:rFonts w:ascii="Arial" w:cs="Arial" w:eastAsia="Arial" w:hAnsi="Arial"/>
                <w:sz w:val="18"/>
                <w:szCs w:val="18"/>
                <w:color w:val="465361"/>
              </w:rPr>
              <w:t>Prospectus Supplement</w:t>
            </w:r>
          </w:p>
        </w:tc>
        <w:tc>
          <w:tcPr>
            <w:tcW w:w="400" w:type="dxa"/>
            <w:vAlign w:val="bottom"/>
            <w:tcBorders>
              <w:bottom w:val="single" w:sz="8" w:color="465361"/>
            </w:tcBorders>
          </w:tcPr>
          <w:p>
            <w:pPr>
              <w:jc w:val="right"/>
              <w:spacing w:after="0"/>
              <w:rPr>
                <w:sz w:val="20"/>
                <w:szCs w:val="20"/>
                <w:color w:val="auto"/>
              </w:rPr>
            </w:pPr>
            <w:r>
              <w:rPr>
                <w:rFonts w:ascii="Arial" w:cs="Arial" w:eastAsia="Arial" w:hAnsi="Arial"/>
                <w:sz w:val="13"/>
                <w:szCs w:val="13"/>
                <w:b w:val="1"/>
                <w:bCs w:val="1"/>
                <w:color w:val="465361"/>
              </w:rPr>
              <w:t>Page</w:t>
            </w:r>
          </w:p>
        </w:tc>
        <w:tc>
          <w:tcPr>
            <w:tcW w:w="0" w:type="dxa"/>
            <w:vAlign w:val="bottom"/>
          </w:tcPr>
          <w:p>
            <w:pPr>
              <w:spacing w:after="0"/>
              <w:rPr>
                <w:sz w:val="1"/>
                <w:szCs w:val="1"/>
                <w:color w:val="auto"/>
              </w:rPr>
            </w:pPr>
          </w:p>
        </w:tc>
      </w:tr>
      <w:tr>
        <w:trPr>
          <w:trHeight w:val="194"/>
        </w:trPr>
        <w:tc>
          <w:tcPr>
            <w:tcW w:w="83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S-ii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S-ii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S-6</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DIVIDEND POLICY</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CAPITALIZATION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S-12</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DILUTION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S-13</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MATERIAL U.S. FEDERAL INCOME TAX CONSIDERATIONS FOR NON-U.S. HOLDERS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UNDERWRITING</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S-18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EXPERTS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INCORPORATION OF CERTAIN INFORMATION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w w:val="99"/>
              </w:rPr>
              <w:t>S-28</w:t>
            </w:r>
          </w:p>
        </w:tc>
        <w:tc>
          <w:tcPr>
            <w:tcW w:w="0" w:type="dxa"/>
            <w:vAlign w:val="bottom"/>
          </w:tcPr>
          <w:p>
            <w:pPr>
              <w:spacing w:after="0"/>
              <w:rPr>
                <w:sz w:val="1"/>
                <w:szCs w:val="1"/>
                <w:color w:val="auto"/>
              </w:rPr>
            </w:pPr>
          </w:p>
        </w:tc>
      </w:tr>
      <w:tr>
        <w:trPr>
          <w:trHeight w:val="432"/>
        </w:trPr>
        <w:tc>
          <w:tcPr>
            <w:tcW w:w="8360" w:type="dxa"/>
            <w:vAlign w:val="bottom"/>
          </w:tcPr>
          <w:p>
            <w:pPr>
              <w:spacing w:after="0"/>
              <w:rPr>
                <w:sz w:val="20"/>
                <w:szCs w:val="20"/>
                <w:color w:val="auto"/>
              </w:rPr>
            </w:pPr>
            <w:r>
              <w:rPr>
                <w:rFonts w:ascii="Arial" w:cs="Arial" w:eastAsia="Arial" w:hAnsi="Arial"/>
                <w:sz w:val="18"/>
                <w:szCs w:val="18"/>
                <w:color w:val="465361"/>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i</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OVERVIEW OF OUR BUSINESS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3</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5</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Common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5</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Preferred Stock</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8</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Exercise of Warrants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9</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Modifications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Enforceability of Rights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UNITS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10</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CHESS DEPOSITARY INTERESTS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11</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14</w:t>
            </w:r>
          </w:p>
        </w:tc>
        <w:tc>
          <w:tcPr>
            <w:tcW w:w="0" w:type="dxa"/>
            <w:vAlign w:val="bottom"/>
          </w:tcPr>
          <w:p>
            <w:pPr>
              <w:spacing w:after="0"/>
              <w:rPr>
                <w:sz w:val="1"/>
                <w:szCs w:val="1"/>
                <w:color w:val="auto"/>
              </w:rPr>
            </w:pPr>
          </w:p>
        </w:tc>
      </w:tr>
      <w:tr>
        <w:trPr>
          <w:trHeight w:val="324"/>
        </w:trPr>
        <w:tc>
          <w:tcPr>
            <w:tcW w:w="8360" w:type="dxa"/>
            <w:vAlign w:val="bottom"/>
          </w:tcPr>
          <w:p>
            <w:pPr>
              <w:ind w:left="22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BY REFERENCE</w:t>
              </w:r>
            </w:hyperlink>
          </w:p>
        </w:tc>
        <w:tc>
          <w:tcPr>
            <w:tcW w:w="400" w:type="dxa"/>
            <w:vAlign w:val="bottom"/>
          </w:tcPr>
          <w:p>
            <w:pPr>
              <w:jc w:val="right"/>
              <w:spacing w:after="0"/>
              <w:rPr>
                <w:sz w:val="20"/>
                <w:szCs w:val="20"/>
                <w:color w:val="auto"/>
              </w:rPr>
            </w:pPr>
            <w:r>
              <w:rPr>
                <w:rFonts w:ascii="Arial" w:cs="Arial" w:eastAsia="Arial" w:hAnsi="Arial"/>
                <w:sz w:val="18"/>
                <w:szCs w:val="18"/>
                <w:color w:val="465361"/>
              </w:rPr>
              <w:t>15</w:t>
            </w:r>
          </w:p>
        </w:tc>
        <w:tc>
          <w:tcPr>
            <w:tcW w:w="0" w:type="dxa"/>
            <w:vAlign w:val="bottom"/>
          </w:tcPr>
          <w:p>
            <w:pPr>
              <w:spacing w:after="0"/>
              <w:rPr>
                <w:sz w:val="1"/>
                <w:szCs w:val="1"/>
                <w:color w:val="auto"/>
              </w:rPr>
            </w:pPr>
          </w:p>
        </w:tc>
      </w:tr>
      <w:tr>
        <w:trPr>
          <w:trHeight w:val="364"/>
        </w:trPr>
        <w:tc>
          <w:tcPr>
            <w:tcW w:w="8360" w:type="dxa"/>
            <w:vAlign w:val="bottom"/>
          </w:tcPr>
          <w:p>
            <w:pPr>
              <w:ind w:left="4300"/>
              <w:spacing w:after="0"/>
              <w:rPr>
                <w:sz w:val="20"/>
                <w:szCs w:val="20"/>
                <w:color w:val="auto"/>
              </w:rPr>
            </w:pPr>
            <w:r>
              <w:rPr>
                <w:rFonts w:ascii="Arial" w:cs="Arial" w:eastAsia="Arial" w:hAnsi="Arial"/>
                <w:sz w:val="18"/>
                <w:szCs w:val="18"/>
                <w:color w:val="465361"/>
              </w:rPr>
              <w:t>S-i</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465361"/>
        </w:rPr>
        <w:t>ABOUT THIS PROSPECTUS SUPPLEMENT</w:t>
      </w:r>
    </w:p>
    <w:p>
      <w:pPr>
        <w:spacing w:after="0" w:line="17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465361"/>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October 16, 2020, and included as part of our registration statement on Form S-3 (333-249419)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 We have not authorized, nor have the underwriters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We and the underwriters each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under the captions “Where You Can Find More Information” and “Incorporation of Certain Information by Reference” in this prospectus supplement.</w:t>
      </w:r>
    </w:p>
    <w:p>
      <w:pPr>
        <w:spacing w:after="0" w:line="1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We and the underwriters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465361"/>
        </w:rPr>
        <w:t>SPECIAL NOTE REGARDING FORWARD-LOOKING STATEMENTS</w:t>
      </w:r>
    </w:p>
    <w:p>
      <w:pPr>
        <w:spacing w:after="0" w:line="177" w:lineRule="exact"/>
        <w:rPr>
          <w:sz w:val="20"/>
          <w:szCs w:val="20"/>
          <w:color w:val="auto"/>
        </w:rPr>
      </w:pPr>
    </w:p>
    <w:p>
      <w:pPr>
        <w:ind w:left="120" w:right="220"/>
        <w:spacing w:after="0" w:line="294" w:lineRule="auto"/>
        <w:rPr>
          <w:sz w:val="20"/>
          <w:szCs w:val="20"/>
          <w:color w:val="auto"/>
        </w:rPr>
      </w:pPr>
      <w:r>
        <w:rPr>
          <w:rFonts w:ascii="Arial" w:cs="Arial" w:eastAsia="Arial" w:hAnsi="Arial"/>
          <w:sz w:val="16"/>
          <w:szCs w:val="16"/>
          <w:color w:val="465361"/>
        </w:rPr>
        <w:t>This prospectus supplement and the accompanying prospectus, including the documents that we incorporate by reference, contain forward-looking statements within the meaning of the Private Securities Litigation Reform Act of 1995. Such forward-looking statements include those that express plans, expectations,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20"/>
        <w:spacing w:after="0" w:line="256" w:lineRule="auto"/>
        <w:rPr>
          <w:sz w:val="20"/>
          <w:szCs w:val="20"/>
          <w:color w:val="auto"/>
        </w:rPr>
      </w:pPr>
      <w:r>
        <w:rPr>
          <w:rFonts w:ascii="Arial" w:cs="Arial" w:eastAsia="Arial" w:hAnsi="Arial"/>
          <w:sz w:val="18"/>
          <w:szCs w:val="18"/>
          <w:color w:val="465361"/>
        </w:rPr>
        <w:t>In some cases, you can identify forward-looking statements by terminology, such as “expects,” “anticipates,” “intends,” “estimates,” “plans,” “believes,” “seeks,” “may,” “should,” “could” or the negative of such terms or other similar expressions. Accordingly, these statements involve estimates, assumptions and uncertainties that could cause actual results to differ materially from those expressed in them. These forward-looking statements include, but are not limited to, statements about:</w:t>
      </w:r>
    </w:p>
    <w:p>
      <w:pPr>
        <w:spacing w:after="0" w:line="62" w:lineRule="exact"/>
        <w:rPr>
          <w:sz w:val="20"/>
          <w:szCs w:val="20"/>
          <w:color w:val="auto"/>
        </w:rPr>
      </w:pPr>
    </w:p>
    <w:p>
      <w:pPr>
        <w:ind w:left="1420" w:right="220" w:hanging="427"/>
        <w:spacing w:after="0" w:line="268" w:lineRule="auto"/>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the extent to which the COVID-19 pandemic and related governmental regulations and restrictions may impact our business, including our research, clinical trials, manufacturing and financial condition;</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expectations regarding the benefits of our RECELL System;</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the initiation, timing, progress and results of our ongoing clinical trials;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the rate and degree of market acceptance of our RECELL System;</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the implementation of our business model and strategic plans for our business;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estimates of our expenses, future revenue and capital requirements;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ability to obtain additional funds for our operations;</w:t>
      </w:r>
    </w:p>
    <w:p>
      <w:pPr>
        <w:spacing w:after="0" w:line="90" w:lineRule="exact"/>
        <w:rPr>
          <w:rFonts w:ascii="Arial" w:cs="Arial" w:eastAsia="Arial" w:hAnsi="Arial"/>
          <w:sz w:val="18"/>
          <w:szCs w:val="18"/>
          <w:color w:val="465361"/>
        </w:rPr>
      </w:pPr>
    </w:p>
    <w:p>
      <w:pPr>
        <w:ind w:left="1420" w:right="360" w:hanging="427"/>
        <w:spacing w:after="0" w:line="268" w:lineRule="auto"/>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ability to obtain and maintain intellectual property protection for our technologies and our ability to operate our business without infringing the intellectual property rights of others;</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reliance on third-party supply and manufacturing partners to supply the materials and components for, our products;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ability to attract and retain qualified key management and technical personnel;</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our financial performance;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3"/>
        </w:numPr>
        <w:rPr>
          <w:rFonts w:ascii="Arial" w:cs="Arial" w:eastAsia="Arial" w:hAnsi="Arial"/>
          <w:sz w:val="18"/>
          <w:szCs w:val="18"/>
          <w:color w:val="465361"/>
        </w:rPr>
      </w:pPr>
      <w:r>
        <w:rPr>
          <w:rFonts w:ascii="Arial" w:cs="Arial" w:eastAsia="Arial" w:hAnsi="Arial"/>
          <w:sz w:val="18"/>
          <w:szCs w:val="18"/>
          <w:color w:val="465361"/>
        </w:rPr>
        <w:t>developments relating to our competitors, including Mallinckrodt PLC, or our industry.</w:t>
      </w:r>
    </w:p>
    <w:p>
      <w:pPr>
        <w:spacing w:after="0" w:line="171" w:lineRule="exact"/>
        <w:rPr>
          <w:sz w:val="20"/>
          <w:szCs w:val="20"/>
          <w:color w:val="auto"/>
        </w:rPr>
      </w:pPr>
    </w:p>
    <w:p>
      <w:pPr>
        <w:ind w:left="120"/>
        <w:spacing w:after="0" w:line="307" w:lineRule="auto"/>
        <w:rPr>
          <w:sz w:val="20"/>
          <w:szCs w:val="20"/>
          <w:color w:val="auto"/>
        </w:rPr>
      </w:pPr>
      <w:r>
        <w:rPr>
          <w:rFonts w:ascii="Arial" w:cs="Arial" w:eastAsia="Arial" w:hAnsi="Arial"/>
          <w:sz w:val="15"/>
          <w:szCs w:val="15"/>
          <w:color w:val="465361"/>
        </w:rPr>
        <w:t>You should read this prospectus supplement, the accompanying prospectus and the documents that we incorporate by reference herein and therein and have filed as exhibits to the registration statement, of which this prospectus supplement is a part, completely and with the understanding that our actual future results may be materially different from what we expect.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 frame, or at all. We discuss many of these risks in greater detail in the documents incorporated by reference in this prospectus supplement and the accompanying prospectus, including those risks set forth under the heading “Risk Factors” herein and therein. Further, any forward-looking statement speaks only as of the date on which it is made, and except as may be required under applicable laws, we undertake no obligation to update any forward-looking statement after the date of this prospectus supplement.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We qualify all of the information presented in this prospectus supplement and the accompanying prospectus, and particularly our forward-looking statements, by these cautionary statements.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PROSPECTUS SUPPLEMENT SUMMARY</w:t>
      </w:r>
    </w:p>
    <w:p>
      <w:pPr>
        <w:spacing w:after="0" w:line="17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i w:val="1"/>
          <w:iCs w:val="1"/>
          <w:color w:val="465361"/>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including the information set forth under the heading “Risk Factors” in this prospectus supplement and incorporated by reference from our Annual Report on Form 10-K for the year ended June 30, 2020, as well as our consolidated financial statements and the related notes and the other documents incorporated by reference into this prospectus supplement and the accompanying prospectus.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Business Overview</w:t>
      </w:r>
    </w:p>
    <w:p>
      <w:pPr>
        <w:spacing w:after="0" w:line="9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465361"/>
        </w:rPr>
        <w:t>The AVITA group of companies (comprising AVITA Medical, Inc., formerly known as AVITA Therapeutics, Inc. (“</w:t>
      </w:r>
      <w:r>
        <w:rPr>
          <w:rFonts w:ascii="Arial" w:cs="Arial" w:eastAsia="Arial" w:hAnsi="Arial"/>
          <w:sz w:val="16"/>
          <w:szCs w:val="16"/>
          <w:b w:val="1"/>
          <w:bCs w:val="1"/>
          <w:color w:val="465361"/>
        </w:rPr>
        <w:t>AVITA</w:t>
      </w:r>
      <w:r>
        <w:rPr>
          <w:rFonts w:ascii="Arial" w:cs="Arial" w:eastAsia="Arial" w:hAnsi="Arial"/>
          <w:sz w:val="16"/>
          <w:szCs w:val="16"/>
          <w:color w:val="465361"/>
        </w:rPr>
        <w:t>” or the “</w:t>
      </w:r>
      <w:r>
        <w:rPr>
          <w:rFonts w:ascii="Arial" w:cs="Arial" w:eastAsia="Arial" w:hAnsi="Arial"/>
          <w:sz w:val="16"/>
          <w:szCs w:val="16"/>
          <w:b w:val="1"/>
          <w:bCs w:val="1"/>
          <w:color w:val="465361"/>
        </w:rPr>
        <w:t>Company</w:t>
      </w:r>
      <w:r>
        <w:rPr>
          <w:rFonts w:ascii="Arial" w:cs="Arial" w:eastAsia="Arial" w:hAnsi="Arial"/>
          <w:sz w:val="16"/>
          <w:szCs w:val="16"/>
          <w:color w:val="465361"/>
        </w:rPr>
        <w:t>”) and its subsidiaries, including AVITA Medical Pty Limited (“</w:t>
      </w:r>
      <w:r>
        <w:rPr>
          <w:rFonts w:ascii="Arial" w:cs="Arial" w:eastAsia="Arial" w:hAnsi="Arial"/>
          <w:sz w:val="16"/>
          <w:szCs w:val="16"/>
          <w:b w:val="1"/>
          <w:bCs w:val="1"/>
          <w:color w:val="465361"/>
        </w:rPr>
        <w:t>AVITA Medical</w:t>
      </w:r>
      <w:r>
        <w:rPr>
          <w:rFonts w:ascii="Arial" w:cs="Arial" w:eastAsia="Arial" w:hAnsi="Arial"/>
          <w:sz w:val="16"/>
          <w:szCs w:val="16"/>
          <w:color w:val="465361"/>
        </w:rPr>
        <w:t>”)) (collectively, “</w:t>
      </w:r>
      <w:r>
        <w:rPr>
          <w:rFonts w:ascii="Arial" w:cs="Arial" w:eastAsia="Arial" w:hAnsi="Arial"/>
          <w:sz w:val="16"/>
          <w:szCs w:val="16"/>
          <w:b w:val="1"/>
          <w:bCs w:val="1"/>
          <w:color w:val="465361"/>
        </w:rPr>
        <w:t>AVITA Group</w:t>
      </w:r>
      <w:r>
        <w:rPr>
          <w:rFonts w:ascii="Arial" w:cs="Arial" w:eastAsia="Arial" w:hAnsi="Arial"/>
          <w:sz w:val="16"/>
          <w:szCs w:val="16"/>
          <w:color w:val="465361"/>
        </w:rPr>
        <w:t>” or “</w:t>
      </w:r>
      <w:r>
        <w:rPr>
          <w:rFonts w:ascii="Arial" w:cs="Arial" w:eastAsia="Arial" w:hAnsi="Arial"/>
          <w:sz w:val="16"/>
          <w:szCs w:val="16"/>
          <w:b w:val="1"/>
          <w:bCs w:val="1"/>
          <w:color w:val="465361"/>
        </w:rPr>
        <w:t>we</w:t>
      </w:r>
      <w:r>
        <w:rPr>
          <w:rFonts w:ascii="Arial" w:cs="Arial" w:eastAsia="Arial" w:hAnsi="Arial"/>
          <w:sz w:val="16"/>
          <w:szCs w:val="16"/>
          <w:color w:val="465361"/>
        </w:rPr>
        <w:t>”, “</w:t>
      </w:r>
      <w:r>
        <w:rPr>
          <w:rFonts w:ascii="Arial" w:cs="Arial" w:eastAsia="Arial" w:hAnsi="Arial"/>
          <w:sz w:val="16"/>
          <w:szCs w:val="16"/>
          <w:b w:val="1"/>
          <w:bCs w:val="1"/>
          <w:color w:val="465361"/>
        </w:rPr>
        <w:t>us</w:t>
      </w:r>
      <w:r>
        <w:rPr>
          <w:rFonts w:ascii="Arial" w:cs="Arial" w:eastAsia="Arial" w:hAnsi="Arial"/>
          <w:sz w:val="16"/>
          <w:szCs w:val="16"/>
          <w:color w:val="465361"/>
        </w:rPr>
        <w:t>”, or “</w:t>
      </w:r>
      <w:r>
        <w:rPr>
          <w:rFonts w:ascii="Arial" w:cs="Arial" w:eastAsia="Arial" w:hAnsi="Arial"/>
          <w:sz w:val="16"/>
          <w:szCs w:val="16"/>
          <w:b w:val="1"/>
          <w:bCs w:val="1"/>
          <w:color w:val="465361"/>
        </w:rPr>
        <w:t>our</w:t>
      </w:r>
      <w:r>
        <w:rPr>
          <w:rFonts w:ascii="Arial" w:cs="Arial" w:eastAsia="Arial" w:hAnsi="Arial"/>
          <w:sz w:val="16"/>
          <w:szCs w:val="16"/>
          <w:color w:val="465361"/>
        </w:rPr>
        <w:t>”) is a regenerative medicine group with a technology platform positioned to address unmet medical needs in burn injuries, trauma and other acute injuries, together with skin defects like vitiligo. Our proprietary platform technology provides innovative treatment solutions derived from the regenerative properties of a patient’s own skin. Our medical device works by preparing Spray-On Skin</w:t>
      </w:r>
      <w:r>
        <w:rPr>
          <w:rFonts w:ascii="Arial" w:cs="Arial" w:eastAsia="Arial" w:hAnsi="Arial"/>
          <w:sz w:val="10"/>
          <w:szCs w:val="10"/>
          <w:color w:val="465361"/>
        </w:rPr>
        <w:t>™</w:t>
      </w:r>
      <w:r>
        <w:rPr>
          <w:rFonts w:ascii="Arial" w:cs="Arial" w:eastAsia="Arial" w:hAnsi="Arial"/>
          <w:sz w:val="16"/>
          <w:szCs w:val="16"/>
          <w:color w:val="465361"/>
        </w:rPr>
        <w:t xml:space="preserve"> Cells, an autologous cellular suspension comprised of the patient’s skin cells, which is then sprayed on the patient in order to regenerate natural healthy epidermis.</w:t>
      </w:r>
    </w:p>
    <w:p>
      <w:pPr>
        <w:spacing w:after="0" w:line="11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Our first United States (“</w:t>
      </w:r>
      <w:r>
        <w:rPr>
          <w:rFonts w:ascii="Arial" w:cs="Arial" w:eastAsia="Arial" w:hAnsi="Arial"/>
          <w:sz w:val="16"/>
          <w:szCs w:val="16"/>
          <w:b w:val="1"/>
          <w:bCs w:val="1"/>
          <w:color w:val="465361"/>
        </w:rPr>
        <w:t>U.S.</w:t>
      </w:r>
      <w:r>
        <w:rPr>
          <w:rFonts w:ascii="Arial" w:cs="Arial" w:eastAsia="Arial" w:hAnsi="Arial"/>
          <w:sz w:val="16"/>
          <w:szCs w:val="16"/>
          <w:color w:val="465361"/>
        </w:rPr>
        <w:t>”) product, the RECELL</w:t>
      </w:r>
      <w:r>
        <w:rPr>
          <w:rFonts w:ascii="Arial" w:cs="Arial" w:eastAsia="Arial" w:hAnsi="Arial"/>
          <w:sz w:val="10"/>
          <w:szCs w:val="10"/>
          <w:color w:val="465361"/>
        </w:rPr>
        <w:t>®</w:t>
      </w:r>
      <w:r>
        <w:rPr>
          <w:rFonts w:ascii="Arial" w:cs="Arial" w:eastAsia="Arial" w:hAnsi="Arial"/>
          <w:sz w:val="16"/>
          <w:szCs w:val="16"/>
          <w:color w:val="465361"/>
        </w:rPr>
        <w:t xml:space="preserve"> System, was approved by the U.S. Food and Drug Administration (“</w:t>
      </w:r>
      <w:r>
        <w:rPr>
          <w:rFonts w:ascii="Arial" w:cs="Arial" w:eastAsia="Arial" w:hAnsi="Arial"/>
          <w:sz w:val="16"/>
          <w:szCs w:val="16"/>
          <w:b w:val="1"/>
          <w:bCs w:val="1"/>
          <w:color w:val="465361"/>
        </w:rPr>
        <w:t>FDA</w:t>
      </w:r>
      <w:r>
        <w:rPr>
          <w:rFonts w:ascii="Arial" w:cs="Arial" w:eastAsia="Arial" w:hAnsi="Arial"/>
          <w:sz w:val="16"/>
          <w:szCs w:val="16"/>
          <w:color w:val="465361"/>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465361"/>
        </w:rPr>
        <w:t>PMA</w:t>
      </w:r>
      <w:r>
        <w:rPr>
          <w:rFonts w:ascii="Arial" w:cs="Arial" w:eastAsia="Arial" w:hAnsi="Arial"/>
          <w:sz w:val="16"/>
          <w:szCs w:val="16"/>
          <w:color w:val="465361"/>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2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465361"/>
        </w:rPr>
        <w:t>Our compelling data from prospective, randomized, controlled clinical trials conducted at major U.S.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40" w:lineRule="exact"/>
        <w:rPr>
          <w:sz w:val="20"/>
          <w:szCs w:val="20"/>
          <w:color w:val="auto"/>
        </w:rPr>
      </w:pPr>
    </w:p>
    <w:p>
      <w:pPr>
        <w:ind w:left="120" w:right="20"/>
        <w:spacing w:after="0" w:line="256" w:lineRule="auto"/>
        <w:rPr>
          <w:sz w:val="20"/>
          <w:szCs w:val="20"/>
          <w:color w:val="auto"/>
        </w:rPr>
      </w:pPr>
      <w:r>
        <w:rPr>
          <w:rFonts w:ascii="Arial" w:cs="Arial" w:eastAsia="Arial" w:hAnsi="Arial"/>
          <w:sz w:val="18"/>
          <w:szCs w:val="18"/>
          <w:color w:val="465361"/>
        </w:rPr>
        <w:t>Following receipt of our PMA, we commenced commercializing the RECELL System in January 2019 in the U.S., and we expect the dominant focus of our commercial efforts to be directed towards the U.S. market going forward. Since receipt of our PMA, we have seen increasing adoption rates in the U.S., and we estimate that as of December 31, 2020, approximately 75% of burn surgeons in the U.S. are certified and 65% of burn centers in the U.S. have been activated (meaning that such burn centers have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analysis approval, have been certified to use the product and have placed at least one commercial order) with growing procedural adoption rate of 8%.</w:t>
      </w:r>
    </w:p>
    <w:p>
      <w:pPr>
        <w:spacing w:after="0" w:line="188" w:lineRule="exact"/>
        <w:rPr>
          <w:sz w:val="20"/>
          <w:szCs w:val="20"/>
          <w:color w:val="auto"/>
        </w:rPr>
      </w:pPr>
    </w:p>
    <w:p>
      <w:pPr>
        <w:ind w:left="120" w:right="60"/>
        <w:spacing w:after="0" w:line="339" w:lineRule="auto"/>
        <w:rPr>
          <w:sz w:val="20"/>
          <w:szCs w:val="20"/>
          <w:color w:val="auto"/>
        </w:rPr>
      </w:pPr>
      <w:r>
        <w:rPr>
          <w:rFonts w:ascii="Arial" w:cs="Arial" w:eastAsia="Arial" w:hAnsi="Arial"/>
          <w:sz w:val="16"/>
          <w:szCs w:val="16"/>
          <w:color w:val="465361"/>
        </w:rPr>
        <w:t>The RECELL</w:t>
      </w:r>
      <w:r>
        <w:rPr>
          <w:rFonts w:ascii="Arial" w:cs="Arial" w:eastAsia="Arial" w:hAnsi="Arial"/>
          <w:sz w:val="10"/>
          <w:szCs w:val="10"/>
          <w:color w:val="465361"/>
        </w:rPr>
        <w:t>®</w:t>
      </w:r>
      <w:r>
        <w:rPr>
          <w:rFonts w:ascii="Arial" w:cs="Arial" w:eastAsia="Arial" w:hAnsi="Arial"/>
          <w:sz w:val="16"/>
          <w:szCs w:val="16"/>
          <w:color w:val="465361"/>
        </w:rPr>
        <w:t xml:space="preserve"> System is Therapeutic Goods Administration (“</w:t>
      </w:r>
      <w:r>
        <w:rPr>
          <w:rFonts w:ascii="Arial" w:cs="Arial" w:eastAsia="Arial" w:hAnsi="Arial"/>
          <w:sz w:val="16"/>
          <w:szCs w:val="16"/>
          <w:b w:val="1"/>
          <w:bCs w:val="1"/>
          <w:color w:val="465361"/>
        </w:rPr>
        <w:t>TGA</w:t>
      </w:r>
      <w:r>
        <w:rPr>
          <w:rFonts w:ascii="Arial" w:cs="Arial" w:eastAsia="Arial" w:hAnsi="Arial"/>
          <w:sz w:val="16"/>
          <w:szCs w:val="16"/>
          <w:color w:val="465361"/>
        </w:rPr>
        <w:t>”)-registered in Australia cleared for use in the treatment of burns, acute wounds, scars and repigmentation (vitiligo). In Europe, the RECELL</w:t>
      </w:r>
      <w:r>
        <w:rPr>
          <w:rFonts w:ascii="Arial" w:cs="Arial" w:eastAsia="Arial" w:hAnsi="Arial"/>
          <w:sz w:val="10"/>
          <w:szCs w:val="10"/>
          <w:color w:val="465361"/>
        </w:rPr>
        <w:t>®</w:t>
      </w:r>
      <w:r>
        <w:rPr>
          <w:rFonts w:ascii="Arial" w:cs="Arial" w:eastAsia="Arial" w:hAnsi="Arial"/>
          <w:sz w:val="16"/>
          <w:szCs w:val="16"/>
          <w:color w:val="465361"/>
        </w:rPr>
        <w:t xml:space="preserve"> System received CE-mark approval for the treatment of burns, chronic wounds, scars and vitiligo.</w:t>
      </w:r>
    </w:p>
    <w:p>
      <w:pPr>
        <w:spacing w:after="0" w:line="8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465361"/>
        </w:rPr>
        <w:t>We have an ongoing clinical trial in the U.S. to investigate the use of the RECELL</w:t>
      </w:r>
      <w:r>
        <w:rPr>
          <w:rFonts w:ascii="Arial" w:cs="Arial" w:eastAsia="Arial" w:hAnsi="Arial"/>
          <w:sz w:val="11"/>
          <w:szCs w:val="11"/>
          <w:color w:val="465361"/>
        </w:rPr>
        <w:t>®</w:t>
      </w:r>
      <w:r>
        <w:rPr>
          <w:rFonts w:ascii="Arial" w:cs="Arial" w:eastAsia="Arial" w:hAnsi="Arial"/>
          <w:sz w:val="18"/>
          <w:szCs w:val="18"/>
          <w:color w:val="465361"/>
        </w:rPr>
        <w:t xml:space="preserve"> System for the treatment of vitiligo. We believe that, subject to FDA approval, the RECELL</w:t>
      </w:r>
      <w:r>
        <w:rPr>
          <w:rFonts w:ascii="Arial" w:cs="Arial" w:eastAsia="Arial" w:hAnsi="Arial"/>
          <w:sz w:val="11"/>
          <w:szCs w:val="11"/>
          <w:color w:val="465361"/>
        </w:rPr>
        <w:t>®</w:t>
      </w:r>
      <w:r>
        <w:rPr>
          <w:rFonts w:ascii="Arial" w:cs="Arial" w:eastAsia="Arial" w:hAnsi="Arial"/>
          <w:sz w:val="18"/>
          <w:szCs w:val="18"/>
          <w:color w:val="465361"/>
        </w:rPr>
        <w:t xml:space="preserve"> System can be an effective therapeutic offering for patients with stable vitiligo. In the U.S. alone, there are approximately 4.5 million individuals with vitiligo, approximately 1.3 million of which have stable vitiligo.</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Intellectual Property</w:t>
      </w:r>
    </w:p>
    <w:p>
      <w:pPr>
        <w:spacing w:after="0" w:line="96" w:lineRule="exact"/>
        <w:rPr>
          <w:sz w:val="20"/>
          <w:szCs w:val="20"/>
          <w:color w:val="auto"/>
        </w:rPr>
      </w:pPr>
    </w:p>
    <w:p>
      <w:pPr>
        <w:ind w:left="120" w:right="340"/>
        <w:spacing w:after="0" w:line="294" w:lineRule="auto"/>
        <w:rPr>
          <w:sz w:val="20"/>
          <w:szCs w:val="20"/>
          <w:color w:val="auto"/>
        </w:rPr>
      </w:pPr>
      <w:r>
        <w:rPr>
          <w:rFonts w:ascii="Arial" w:cs="Arial" w:eastAsia="Arial" w:hAnsi="Arial"/>
          <w:sz w:val="16"/>
          <w:szCs w:val="16"/>
          <w:color w:val="465361"/>
        </w:rPr>
        <w:t>We seek to protect our intellectual property, core technologies and other know-how through a combination of patents, trademarks, trade secrets, non-disclosure and confidentiality agreements, licenses, assignments of invention and other contractual arrangements with our employees, consultants, partners, suppliers, customers and others. Additionally, we rely on our research and development program, clinical trials, know-how and marketing and distribution programs to advance our products and product candidates, and to expand our intellectual property rights. As of December 31, 2020, we had been granted a total of 48 patents and had 17 pending patent applications worldwide.</w:t>
      </w:r>
    </w:p>
    <w:p>
      <w:pPr>
        <w:spacing w:after="0" w:line="115" w:lineRule="exact"/>
        <w:rPr>
          <w:sz w:val="20"/>
          <w:szCs w:val="20"/>
          <w:color w:val="auto"/>
        </w:rPr>
      </w:pPr>
    </w:p>
    <w:p>
      <w:pPr>
        <w:ind w:left="120"/>
        <w:spacing w:after="0" w:line="302" w:lineRule="auto"/>
        <w:rPr>
          <w:sz w:val="20"/>
          <w:szCs w:val="20"/>
          <w:color w:val="auto"/>
        </w:rPr>
      </w:pPr>
      <w:r>
        <w:rPr>
          <w:rFonts w:ascii="Arial" w:cs="Arial" w:eastAsia="Arial" w:hAnsi="Arial"/>
          <w:sz w:val="15"/>
          <w:szCs w:val="15"/>
          <w:color w:val="465361"/>
        </w:rPr>
        <w:t>The U.S. patents and patent applications provide coverage with expected expiration dates ranging from 2022 to 2040. U.S. patents covering the composition of matter related to the current RECELL</w:t>
      </w:r>
      <w:r>
        <w:rPr>
          <w:rFonts w:ascii="Arial" w:cs="Arial" w:eastAsia="Arial" w:hAnsi="Arial"/>
          <w:sz w:val="10"/>
          <w:szCs w:val="10"/>
          <w:color w:val="465361"/>
        </w:rPr>
        <w:t>®</w:t>
      </w:r>
      <w:r>
        <w:rPr>
          <w:rFonts w:ascii="Arial" w:cs="Arial" w:eastAsia="Arial" w:hAnsi="Arial"/>
          <w:sz w:val="15"/>
          <w:szCs w:val="15"/>
          <w:color w:val="465361"/>
        </w:rPr>
        <w:t xml:space="preserve"> System expire in 2022. We have filed a Patent Term Extension (PTE) application with the U.S. Patent and Trademark Office requesting an extension of the patent term of U.S. Patent No. 9,029,140, “Cell suspension preparation technique and device” as a result of the time required for the FDA regulatory process. If the term extension requested in the PTE application is approved, the patent term of U.S. Patent</w:t>
      </w:r>
    </w:p>
    <w:p>
      <w:pPr>
        <w:spacing w:after="0" w:line="2" w:lineRule="exact"/>
        <w:rPr>
          <w:sz w:val="20"/>
          <w:szCs w:val="20"/>
          <w:color w:val="auto"/>
        </w:rPr>
      </w:pPr>
    </w:p>
    <w:p>
      <w:pPr>
        <w:ind w:left="120" w:right="80"/>
        <w:spacing w:after="0" w:line="302" w:lineRule="auto"/>
        <w:rPr>
          <w:sz w:val="20"/>
          <w:szCs w:val="20"/>
          <w:color w:val="auto"/>
        </w:rPr>
      </w:pPr>
      <w:r>
        <w:rPr>
          <w:rFonts w:ascii="Arial" w:cs="Arial" w:eastAsia="Arial" w:hAnsi="Arial"/>
          <w:sz w:val="16"/>
          <w:szCs w:val="16"/>
          <w:color w:val="465361"/>
        </w:rPr>
        <w:t>No. 9,029,140 is expected to be extended to April 9, 2024. We expect that further research and characterization of the characteristics of the RECELL System, the composition and activity of the Spray-On Skin</w:t>
      </w:r>
      <w:r>
        <w:rPr>
          <w:rFonts w:ascii="Arial" w:cs="Arial" w:eastAsia="Arial" w:hAnsi="Arial"/>
          <w:sz w:val="10"/>
          <w:szCs w:val="10"/>
          <w:color w:val="465361"/>
        </w:rPr>
        <w:t>™</w:t>
      </w:r>
      <w:r>
        <w:rPr>
          <w:rFonts w:ascii="Arial" w:cs="Arial" w:eastAsia="Arial" w:hAnsi="Arial"/>
          <w:sz w:val="16"/>
          <w:szCs w:val="16"/>
          <w:color w:val="465361"/>
        </w:rPr>
        <w:t xml:space="preserve"> Cells solution, and the design of the device currently underway may provide additional claims for which we will be able to pursue additional U.S. and international patent applications in key international markets, parallel to those in the U.S.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Our Opportunity</w:t>
      </w:r>
    </w:p>
    <w:p>
      <w:pPr>
        <w:spacing w:after="0" w:line="96" w:lineRule="exact"/>
        <w:rPr>
          <w:sz w:val="20"/>
          <w:szCs w:val="20"/>
          <w:color w:val="auto"/>
        </w:rPr>
      </w:pPr>
    </w:p>
    <w:p>
      <w:pPr>
        <w:ind w:left="120" w:right="500"/>
        <w:spacing w:after="0" w:line="268" w:lineRule="auto"/>
        <w:rPr>
          <w:sz w:val="20"/>
          <w:szCs w:val="20"/>
          <w:color w:val="auto"/>
        </w:rPr>
      </w:pPr>
      <w:r>
        <w:rPr>
          <w:rFonts w:ascii="Arial" w:cs="Arial" w:eastAsia="Arial" w:hAnsi="Arial"/>
          <w:sz w:val="18"/>
          <w:szCs w:val="18"/>
          <w:color w:val="465361"/>
        </w:rPr>
        <w:t>We believe that our RECELL</w:t>
      </w:r>
      <w:r>
        <w:rPr>
          <w:rFonts w:ascii="Arial" w:cs="Arial" w:eastAsia="Arial" w:hAnsi="Arial"/>
          <w:sz w:val="11"/>
          <w:szCs w:val="11"/>
          <w:color w:val="465361"/>
        </w:rPr>
        <w:t>®</w:t>
      </w:r>
      <w:r>
        <w:rPr>
          <w:rFonts w:ascii="Arial" w:cs="Arial" w:eastAsia="Arial" w:hAnsi="Arial"/>
          <w:sz w:val="18"/>
          <w:szCs w:val="18"/>
          <w:color w:val="465361"/>
        </w:rPr>
        <w:t xml:space="preserve"> System’s uses in the currently approved indication in the U.S. of thermal burns, together with potential indications for treating vitiligo, trauma and pediatric scalds, represents a potential U.S. market of more than $1.5 billion.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Second Fiscal Quarter Ended December 31, 2020 Highlights</w:t>
      </w:r>
    </w:p>
    <w:p>
      <w:pPr>
        <w:spacing w:after="0" w:line="96" w:lineRule="exact"/>
        <w:rPr>
          <w:sz w:val="20"/>
          <w:szCs w:val="20"/>
          <w:color w:val="auto"/>
        </w:rPr>
      </w:pPr>
    </w:p>
    <w:p>
      <w:pPr>
        <w:ind w:left="1420" w:right="180" w:hanging="427"/>
        <w:spacing w:after="0" w:line="268" w:lineRule="auto"/>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Reported U.S based RECELL</w:t>
      </w:r>
      <w:r>
        <w:rPr>
          <w:rFonts w:ascii="Arial" w:cs="Arial" w:eastAsia="Arial" w:hAnsi="Arial"/>
          <w:sz w:val="11"/>
          <w:szCs w:val="11"/>
          <w:color w:val="465361"/>
        </w:rPr>
        <w:t>®</w:t>
      </w:r>
      <w:r>
        <w:rPr>
          <w:rFonts w:ascii="Arial" w:cs="Arial" w:eastAsia="Arial" w:hAnsi="Arial"/>
          <w:sz w:val="18"/>
          <w:szCs w:val="18"/>
          <w:color w:val="465361"/>
        </w:rPr>
        <w:t xml:space="preserve"> System revenue of $5.0 million in the second quarter of 2021 ended December 31, 2020, representing a 62% increase over the same quarter in the prior year.</w:t>
      </w:r>
    </w:p>
    <w:p>
      <w:pPr>
        <w:spacing w:after="0" w:line="50" w:lineRule="exact"/>
        <w:rPr>
          <w:rFonts w:ascii="Arial" w:cs="Arial" w:eastAsia="Arial" w:hAnsi="Arial"/>
          <w:sz w:val="18"/>
          <w:szCs w:val="18"/>
          <w:color w:val="465361"/>
        </w:rPr>
      </w:pPr>
    </w:p>
    <w:p>
      <w:pPr>
        <w:ind w:left="1420" w:right="100" w:hanging="427"/>
        <w:spacing w:after="0" w:line="268" w:lineRule="auto"/>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Operating expenses were $10.4 million in the second quarter of 2021 ended December 31, 2020, representing a 22.4% decrease over the same quarter in the prior year.</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4"/>
        </w:numPr>
        <w:rPr>
          <w:rFonts w:ascii="Arial" w:cs="Arial" w:eastAsia="Arial" w:hAnsi="Arial"/>
          <w:sz w:val="18"/>
          <w:szCs w:val="18"/>
          <w:color w:val="465361"/>
        </w:rPr>
      </w:pPr>
      <w:r>
        <w:rPr>
          <w:rFonts w:ascii="Arial" w:cs="Arial" w:eastAsia="Arial" w:hAnsi="Arial"/>
          <w:sz w:val="18"/>
          <w:szCs w:val="18"/>
          <w:color w:val="465361"/>
        </w:rPr>
        <w:t>Commercial metrics and progress with additional indications for the RECELL</w:t>
      </w:r>
      <w:r>
        <w:rPr>
          <w:rFonts w:ascii="Arial" w:cs="Arial" w:eastAsia="Arial" w:hAnsi="Arial"/>
          <w:sz w:val="11"/>
          <w:szCs w:val="11"/>
          <w:color w:val="465361"/>
        </w:rPr>
        <w:t>®</w:t>
      </w:r>
      <w:r>
        <w:rPr>
          <w:rFonts w:ascii="Arial" w:cs="Arial" w:eastAsia="Arial" w:hAnsi="Arial"/>
          <w:sz w:val="18"/>
          <w:szCs w:val="18"/>
          <w:color w:val="465361"/>
        </w:rPr>
        <w:t xml:space="preserve"> System:</w:t>
      </w:r>
    </w:p>
    <w:p>
      <w:pPr>
        <w:spacing w:after="0" w:line="90" w:lineRule="exact"/>
        <w:rPr>
          <w:rFonts w:ascii="Arial" w:cs="Arial" w:eastAsia="Arial" w:hAnsi="Arial"/>
          <w:sz w:val="18"/>
          <w:szCs w:val="18"/>
          <w:color w:val="465361"/>
        </w:rPr>
      </w:pPr>
    </w:p>
    <w:p>
      <w:pPr>
        <w:ind w:left="1420"/>
        <w:spacing w:after="0"/>
        <w:rPr>
          <w:rFonts w:ascii="Arial" w:cs="Arial" w:eastAsia="Arial" w:hAnsi="Arial"/>
          <w:sz w:val="18"/>
          <w:szCs w:val="18"/>
          <w:color w:val="465361"/>
        </w:rPr>
      </w:pPr>
      <w:r>
        <w:rPr>
          <w:rFonts w:ascii="Arial" w:cs="Arial" w:eastAsia="Arial" w:hAnsi="Arial"/>
          <w:sz w:val="18"/>
          <w:szCs w:val="18"/>
          <w:color w:val="465361"/>
        </w:rPr>
        <w:t>•</w:t>
      </w:r>
      <w:r>
        <w:rPr>
          <w:rFonts w:ascii="Arial" w:cs="Arial" w:eastAsia="Arial" w:hAnsi="Arial"/>
          <w:sz w:val="15"/>
          <w:szCs w:val="15"/>
          <w:color w:val="465361"/>
        </w:rPr>
        <w:t>Procedural volumes were 487 in the second quarter of 2021, compared to 328 in the same quarter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860" w:hanging="435"/>
        <w:spacing w:after="0" w:line="268" w:lineRule="auto"/>
        <w:tabs>
          <w:tab w:leader="none" w:pos="18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Added seven new accounts with hospital burn centers in the second quarter of 2021, resulting in a total of 93 accounts with hospital burn centers as of December 31, 2020; and</w:t>
      </w:r>
    </w:p>
    <w:p>
      <w:pPr>
        <w:spacing w:after="0" w:line="50" w:lineRule="exact"/>
        <w:rPr>
          <w:rFonts w:ascii="Arial" w:cs="Arial" w:eastAsia="Arial" w:hAnsi="Arial"/>
          <w:sz w:val="18"/>
          <w:szCs w:val="18"/>
          <w:color w:val="465361"/>
        </w:rPr>
      </w:pPr>
    </w:p>
    <w:p>
      <w:pPr>
        <w:ind w:left="1860" w:hanging="435"/>
        <w:spacing w:after="0"/>
        <w:tabs>
          <w:tab w:leader="none" w:pos="1860" w:val="left"/>
        </w:tabs>
        <w:numPr>
          <w:ilvl w:val="0"/>
          <w:numId w:val="5"/>
        </w:numPr>
        <w:rPr>
          <w:rFonts w:ascii="Arial" w:cs="Arial" w:eastAsia="Arial" w:hAnsi="Arial"/>
          <w:sz w:val="18"/>
          <w:szCs w:val="18"/>
          <w:color w:val="465361"/>
        </w:rPr>
      </w:pPr>
      <w:r>
        <w:rPr>
          <w:rFonts w:ascii="Arial" w:cs="Arial" w:eastAsia="Arial" w:hAnsi="Arial"/>
          <w:sz w:val="18"/>
          <w:szCs w:val="18"/>
          <w:color w:val="465361"/>
        </w:rPr>
        <w:t>Enrolled nine patients in the pivotal study assessing the use of the RECELL</w:t>
      </w:r>
      <w:r>
        <w:rPr>
          <w:rFonts w:ascii="Arial" w:cs="Arial" w:eastAsia="Arial" w:hAnsi="Arial"/>
          <w:sz w:val="11"/>
          <w:szCs w:val="11"/>
          <w:color w:val="465361"/>
        </w:rPr>
        <w:t>®</w:t>
      </w:r>
      <w:r>
        <w:rPr>
          <w:rFonts w:ascii="Arial" w:cs="Arial" w:eastAsia="Arial" w:hAnsi="Arial"/>
          <w:sz w:val="18"/>
          <w:szCs w:val="18"/>
          <w:color w:val="465361"/>
        </w:rPr>
        <w:t xml:space="preserve"> System to treat stable vitiligo.</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Corporate History</w:t>
      </w:r>
    </w:p>
    <w:p>
      <w:pPr>
        <w:spacing w:after="0" w:line="9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465361"/>
        </w:rPr>
        <w:t>AVITA Therapeutics, Inc. (now AVITA Medical, Inc.), a Delaware corporation, was originally formed in April 2020. The former parent company of the AVITA Group, AVITA Medical Pty Limited (“</w:t>
      </w:r>
      <w:r>
        <w:rPr>
          <w:rFonts w:ascii="Arial" w:cs="Arial" w:eastAsia="Arial" w:hAnsi="Arial"/>
          <w:sz w:val="18"/>
          <w:szCs w:val="18"/>
          <w:b w:val="1"/>
          <w:bCs w:val="1"/>
          <w:color w:val="465361"/>
        </w:rPr>
        <w:t>AVITA Medical</w:t>
      </w:r>
      <w:r>
        <w:rPr>
          <w:rFonts w:ascii="Arial" w:cs="Arial" w:eastAsia="Arial" w:hAnsi="Arial"/>
          <w:sz w:val="18"/>
          <w:szCs w:val="18"/>
          <w:color w:val="465361"/>
        </w:rPr>
        <w:t>”) was formed under the laws of the Commonwealth of Australia in December of 1992 and has operated as AVITA Medical since 2008. AVITA Medical’s ordinary shares originally began trading in Australia on the ASX on August 9, 1993. AVITA Medical’s ordinary shares, in the form of American Depositary Shares (“</w:t>
      </w:r>
      <w:r>
        <w:rPr>
          <w:rFonts w:ascii="Arial" w:cs="Arial" w:eastAsia="Arial" w:hAnsi="Arial"/>
          <w:sz w:val="18"/>
          <w:szCs w:val="18"/>
          <w:b w:val="1"/>
          <w:bCs w:val="1"/>
          <w:color w:val="465361"/>
        </w:rPr>
        <w:t>ADSs</w:t>
      </w:r>
      <w:r>
        <w:rPr>
          <w:rFonts w:ascii="Arial" w:cs="Arial" w:eastAsia="Arial" w:hAnsi="Arial"/>
          <w:sz w:val="18"/>
          <w:szCs w:val="18"/>
          <w:color w:val="465361"/>
        </w:rPr>
        <w:t>”), began trading on the Nasdaq Stock Market LLC (“</w:t>
      </w:r>
      <w:r>
        <w:rPr>
          <w:rFonts w:ascii="Arial" w:cs="Arial" w:eastAsia="Arial" w:hAnsi="Arial"/>
          <w:sz w:val="18"/>
          <w:szCs w:val="18"/>
          <w:b w:val="1"/>
          <w:bCs w:val="1"/>
          <w:color w:val="465361"/>
        </w:rPr>
        <w:t>Nasdaq</w:t>
      </w:r>
      <w:r>
        <w:rPr>
          <w:rFonts w:ascii="Arial" w:cs="Arial" w:eastAsia="Arial" w:hAnsi="Arial"/>
          <w:sz w:val="18"/>
          <w:szCs w:val="18"/>
          <w:color w:val="465361"/>
        </w:rPr>
        <w:t>”) on October 1, 2019 under the ticker symbol “RCEL”.</w:t>
      </w:r>
    </w:p>
    <w:p>
      <w:pPr>
        <w:spacing w:after="0" w:line="14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465361"/>
        </w:rPr>
        <w:t>On June 29, 2020, a statutory scheme of arrangement was implemented under Australian law to change the domicile of the AVITA Group from Australia to the U.S. Under the scheme of arrangement, AVITA Therapeutics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6"/>
          <w:szCs w:val="16"/>
          <w:b w:val="1"/>
          <w:bCs w:val="1"/>
          <w:color w:val="465361"/>
        </w:rPr>
        <w:t>CDIs</w:t>
      </w:r>
      <w:r>
        <w:rPr>
          <w:rFonts w:ascii="Arial" w:cs="Arial" w:eastAsia="Arial" w:hAnsi="Arial"/>
          <w:sz w:val="16"/>
          <w:szCs w:val="16"/>
          <w:color w:val="465361"/>
        </w:rPr>
        <w:t>”). As a result, the existing listing of AVITA Medical Limited (now named AVITA Medical Pty Limited) on the ASX (as its primary listing) and on Nasdaq (as its secondary listing) was inverted and replaced with a new listing of AVITA Therapeutics common stock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 On December 2, 2020, AVITA Therapeutics, Inc., changed its corporate name to AVITA Medical, Inc. after filing a Certificate of Amendment to its Certificate of Incorporation with the Secretary of State of the State of Delaware. The Company’s change of name was registered with the Australian Securities and Investments Commission effective as from 6 January 2021. The Company’s common stock continues to trade on Nasdaq under the symbol “RCEL” and the Company’s CDIs continue to trade on the ASX under the ticker symbol “AVH”.</w:t>
      </w:r>
    </w:p>
    <w:p>
      <w:pPr>
        <w:spacing w:after="0" w:line="126" w:lineRule="exact"/>
        <w:rPr>
          <w:sz w:val="20"/>
          <w:szCs w:val="20"/>
          <w:color w:val="auto"/>
        </w:rPr>
      </w:pPr>
    </w:p>
    <w:p>
      <w:pPr>
        <w:ind w:left="120" w:right="80"/>
        <w:spacing w:after="0" w:line="256" w:lineRule="auto"/>
        <w:rPr>
          <w:sz w:val="20"/>
          <w:szCs w:val="20"/>
          <w:color w:val="auto"/>
        </w:rPr>
      </w:pPr>
      <w:r>
        <w:rPr>
          <w:rFonts w:ascii="Arial" w:cs="Arial" w:eastAsia="Arial" w:hAnsi="Arial"/>
          <w:sz w:val="18"/>
          <w:szCs w:val="18"/>
          <w:color w:val="465361"/>
        </w:rPr>
        <w:t>Our website address is www.avitamedical.com. Information contained on, or accessible through, our website is not part of or incorporated into this prospectus supplement. The SEC maintains an internet site, www.sec.gov, which contains reports, proxy and information statements, and other information regarding issuers, such as us, that file electronically with the SEC. Copies of announcements made by the Company to the ASX are available on ASX’s website (www.asx.com.au).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S-3</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The Offering</w:t>
      </w:r>
    </w:p>
    <w:p>
      <w:pPr>
        <w:spacing w:after="0" w:line="28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60" w:type="dxa"/>
            <w:vAlign w:val="bottom"/>
          </w:tcPr>
          <w:p>
            <w:pPr>
              <w:spacing w:after="0"/>
              <w:rPr>
                <w:sz w:val="20"/>
                <w:szCs w:val="20"/>
                <w:color w:val="auto"/>
              </w:rPr>
            </w:pPr>
            <w:r>
              <w:rPr>
                <w:rFonts w:ascii="Arial" w:cs="Arial" w:eastAsia="Arial" w:hAnsi="Arial"/>
                <w:sz w:val="18"/>
                <w:szCs w:val="18"/>
                <w:color w:val="465361"/>
              </w:rPr>
              <w:t>Common stock offered by us</w:t>
            </w:r>
          </w:p>
        </w:tc>
        <w:tc>
          <w:tcPr>
            <w:tcW w:w="128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465361"/>
              </w:rPr>
              <w:t>shares of common stock (or</w:t>
            </w:r>
          </w:p>
        </w:tc>
        <w:tc>
          <w:tcPr>
            <w:tcW w:w="640" w:type="dxa"/>
            <w:vAlign w:val="bottom"/>
          </w:tcPr>
          <w:p>
            <w:pPr>
              <w:jc w:val="right"/>
              <w:spacing w:after="0"/>
              <w:rPr>
                <w:sz w:val="20"/>
                <w:szCs w:val="20"/>
                <w:color w:val="auto"/>
              </w:rPr>
            </w:pPr>
            <w:r>
              <w:rPr>
                <w:rFonts w:ascii="Arial" w:cs="Arial" w:eastAsia="Arial" w:hAnsi="Arial"/>
                <w:sz w:val="18"/>
                <w:szCs w:val="18"/>
                <w:color w:val="465361"/>
                <w:w w:val="91"/>
              </w:rPr>
              <w:t>shares if</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1"/>
              </w:rPr>
              <w:t>the underwriters exercise their option to purchase</w:t>
            </w:r>
          </w:p>
        </w:tc>
      </w:tr>
      <w:tr>
        <w:trPr>
          <w:trHeight w:val="222"/>
        </w:trPr>
        <w:tc>
          <w:tcPr>
            <w:tcW w:w="4360" w:type="dxa"/>
            <w:vAlign w:val="bottom"/>
          </w:tcPr>
          <w:p>
            <w:pPr>
              <w:spacing w:after="0"/>
              <w:rPr>
                <w:sz w:val="19"/>
                <w:szCs w:val="19"/>
                <w:color w:val="auto"/>
              </w:rPr>
            </w:pPr>
          </w:p>
        </w:tc>
        <w:tc>
          <w:tcPr>
            <w:tcW w:w="2540" w:type="dxa"/>
            <w:vAlign w:val="bottom"/>
            <w:gridSpan w:val="2"/>
          </w:tcPr>
          <w:p>
            <w:pPr>
              <w:ind w:left="760"/>
              <w:spacing w:after="0"/>
              <w:rPr>
                <w:sz w:val="20"/>
                <w:szCs w:val="20"/>
                <w:color w:val="auto"/>
              </w:rPr>
            </w:pPr>
            <w:r>
              <w:rPr>
                <w:rFonts w:ascii="Arial" w:cs="Arial" w:eastAsia="Arial" w:hAnsi="Arial"/>
                <w:sz w:val="18"/>
                <w:szCs w:val="18"/>
                <w:color w:val="465361"/>
                <w:w w:val="90"/>
              </w:rPr>
              <w:t>additional shares in full).</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4360" w:type="dxa"/>
            <w:vAlign w:val="bottom"/>
          </w:tcPr>
          <w:p>
            <w:pPr>
              <w:spacing w:after="0"/>
              <w:rPr>
                <w:sz w:val="20"/>
                <w:szCs w:val="20"/>
                <w:color w:val="auto"/>
              </w:rPr>
            </w:pPr>
            <w:r>
              <w:rPr>
                <w:rFonts w:ascii="Arial" w:cs="Arial" w:eastAsia="Arial" w:hAnsi="Arial"/>
                <w:sz w:val="18"/>
                <w:szCs w:val="18"/>
                <w:color w:val="465361"/>
              </w:rPr>
              <w:t>Option to purchase additional shares</w:t>
            </w: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0"/>
              </w:rPr>
              <w:t>We have granted the underwriters a 30-day option</w:t>
            </w:r>
          </w:p>
        </w:tc>
      </w:tr>
      <w:tr>
        <w:trPr>
          <w:trHeight w:val="216"/>
        </w:trPr>
        <w:tc>
          <w:tcPr>
            <w:tcW w:w="4360" w:type="dxa"/>
            <w:vAlign w:val="bottom"/>
          </w:tcPr>
          <w:p>
            <w:pPr>
              <w:spacing w:after="0"/>
              <w:rPr>
                <w:sz w:val="18"/>
                <w:szCs w:val="18"/>
                <w:color w:val="auto"/>
              </w:rPr>
            </w:pPr>
          </w:p>
        </w:tc>
        <w:tc>
          <w:tcPr>
            <w:tcW w:w="2540" w:type="dxa"/>
            <w:vAlign w:val="bottom"/>
            <w:gridSpan w:val="2"/>
          </w:tcPr>
          <w:p>
            <w:pPr>
              <w:ind w:left="760"/>
              <w:spacing w:after="0"/>
              <w:rPr>
                <w:sz w:val="20"/>
                <w:szCs w:val="20"/>
                <w:color w:val="auto"/>
              </w:rPr>
            </w:pPr>
            <w:r>
              <w:rPr>
                <w:rFonts w:ascii="Arial" w:cs="Arial" w:eastAsia="Arial" w:hAnsi="Arial"/>
                <w:sz w:val="18"/>
                <w:szCs w:val="18"/>
                <w:color w:val="465361"/>
              </w:rPr>
              <w:t>to purchase up to</w:t>
            </w:r>
          </w:p>
        </w:tc>
        <w:tc>
          <w:tcPr>
            <w:tcW w:w="1860" w:type="dxa"/>
            <w:vAlign w:val="bottom"/>
            <w:gridSpan w:val="2"/>
          </w:tcPr>
          <w:p>
            <w:pPr>
              <w:jc w:val="right"/>
              <w:spacing w:after="0"/>
              <w:rPr>
                <w:sz w:val="20"/>
                <w:szCs w:val="20"/>
                <w:color w:val="auto"/>
              </w:rPr>
            </w:pPr>
            <w:r>
              <w:rPr>
                <w:rFonts w:ascii="Arial" w:cs="Arial" w:eastAsia="Arial" w:hAnsi="Arial"/>
                <w:sz w:val="18"/>
                <w:szCs w:val="18"/>
                <w:color w:val="465361"/>
                <w:w w:val="88"/>
              </w:rPr>
              <w:t>additional shares from us</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rPr>
              <w:t>at the public offering price less underwriting</w:t>
            </w:r>
          </w:p>
        </w:tc>
      </w:tr>
      <w:tr>
        <w:trPr>
          <w:trHeight w:val="222"/>
        </w:trPr>
        <w:tc>
          <w:tcPr>
            <w:tcW w:w="4360" w:type="dxa"/>
            <w:vAlign w:val="bottom"/>
          </w:tcPr>
          <w:p>
            <w:pPr>
              <w:spacing w:after="0"/>
              <w:rPr>
                <w:sz w:val="19"/>
                <w:szCs w:val="19"/>
                <w:color w:val="auto"/>
              </w:rPr>
            </w:pPr>
          </w:p>
        </w:tc>
        <w:tc>
          <w:tcPr>
            <w:tcW w:w="3760" w:type="dxa"/>
            <w:vAlign w:val="bottom"/>
            <w:gridSpan w:val="3"/>
          </w:tcPr>
          <w:p>
            <w:pPr>
              <w:ind w:left="760"/>
              <w:spacing w:after="0"/>
              <w:rPr>
                <w:sz w:val="20"/>
                <w:szCs w:val="20"/>
                <w:color w:val="auto"/>
              </w:rPr>
            </w:pPr>
            <w:r>
              <w:rPr>
                <w:rFonts w:ascii="Arial" w:cs="Arial" w:eastAsia="Arial" w:hAnsi="Arial"/>
                <w:sz w:val="18"/>
                <w:szCs w:val="18"/>
                <w:color w:val="465361"/>
              </w:rPr>
              <w:t>discounts and commissions.</w:t>
            </w:r>
          </w:p>
        </w:tc>
        <w:tc>
          <w:tcPr>
            <w:tcW w:w="640" w:type="dxa"/>
            <w:vAlign w:val="bottom"/>
          </w:tcPr>
          <w:p>
            <w:pPr>
              <w:spacing w:after="0"/>
              <w:rPr>
                <w:sz w:val="19"/>
                <w:szCs w:val="19"/>
                <w:color w:val="auto"/>
              </w:rPr>
            </w:pPr>
          </w:p>
        </w:tc>
      </w:tr>
      <w:tr>
        <w:trPr>
          <w:trHeight w:val="277"/>
        </w:trPr>
        <w:tc>
          <w:tcPr>
            <w:tcW w:w="4360" w:type="dxa"/>
            <w:vAlign w:val="bottom"/>
          </w:tcPr>
          <w:p>
            <w:pPr>
              <w:spacing w:after="0"/>
              <w:rPr>
                <w:sz w:val="20"/>
                <w:szCs w:val="20"/>
                <w:color w:val="auto"/>
              </w:rPr>
            </w:pPr>
            <w:r>
              <w:rPr>
                <w:rFonts w:ascii="Arial" w:cs="Arial" w:eastAsia="Arial" w:hAnsi="Arial"/>
                <w:sz w:val="18"/>
                <w:szCs w:val="18"/>
                <w:color w:val="465361"/>
              </w:rPr>
              <w:t>Common stock to be outstanding after this offering</w:t>
            </w:r>
          </w:p>
        </w:tc>
        <w:tc>
          <w:tcPr>
            <w:tcW w:w="12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465361"/>
              </w:rPr>
              <w:t>shares ( or</w:t>
            </w:r>
          </w:p>
        </w:tc>
        <w:tc>
          <w:tcPr>
            <w:tcW w:w="1860" w:type="dxa"/>
            <w:vAlign w:val="bottom"/>
            <w:gridSpan w:val="2"/>
          </w:tcPr>
          <w:p>
            <w:pPr>
              <w:jc w:val="right"/>
              <w:spacing w:after="0"/>
              <w:rPr>
                <w:sz w:val="20"/>
                <w:szCs w:val="20"/>
                <w:color w:val="auto"/>
              </w:rPr>
            </w:pPr>
            <w:r>
              <w:rPr>
                <w:rFonts w:ascii="Arial" w:cs="Arial" w:eastAsia="Arial" w:hAnsi="Arial"/>
                <w:sz w:val="18"/>
                <w:szCs w:val="18"/>
                <w:color w:val="465361"/>
                <w:w w:val="89"/>
              </w:rPr>
              <w:t>shares if the underwriters</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3"/>
              </w:rPr>
              <w:t>exercise their option in full to purchase additional</w:t>
            </w:r>
          </w:p>
        </w:tc>
      </w:tr>
      <w:tr>
        <w:trPr>
          <w:trHeight w:val="222"/>
        </w:trPr>
        <w:tc>
          <w:tcPr>
            <w:tcW w:w="4360" w:type="dxa"/>
            <w:vAlign w:val="bottom"/>
          </w:tcPr>
          <w:p>
            <w:pPr>
              <w:spacing w:after="0"/>
              <w:rPr>
                <w:sz w:val="19"/>
                <w:szCs w:val="19"/>
                <w:color w:val="auto"/>
              </w:rPr>
            </w:pPr>
          </w:p>
        </w:tc>
        <w:tc>
          <w:tcPr>
            <w:tcW w:w="2540" w:type="dxa"/>
            <w:vAlign w:val="bottom"/>
            <w:gridSpan w:val="2"/>
          </w:tcPr>
          <w:p>
            <w:pPr>
              <w:ind w:left="760"/>
              <w:spacing w:after="0"/>
              <w:rPr>
                <w:sz w:val="20"/>
                <w:szCs w:val="20"/>
                <w:color w:val="auto"/>
              </w:rPr>
            </w:pPr>
            <w:r>
              <w:rPr>
                <w:rFonts w:ascii="Arial" w:cs="Arial" w:eastAsia="Arial" w:hAnsi="Arial"/>
                <w:sz w:val="18"/>
                <w:szCs w:val="18"/>
                <w:color w:val="465361"/>
              </w:rPr>
              <w:t>shares).</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7"/>
        </w:trPr>
        <w:tc>
          <w:tcPr>
            <w:tcW w:w="4360" w:type="dxa"/>
            <w:vAlign w:val="bottom"/>
          </w:tcPr>
          <w:p>
            <w:pPr>
              <w:spacing w:after="0"/>
              <w:rPr>
                <w:sz w:val="20"/>
                <w:szCs w:val="20"/>
                <w:color w:val="auto"/>
              </w:rPr>
            </w:pPr>
            <w:r>
              <w:rPr>
                <w:rFonts w:ascii="Arial" w:cs="Arial" w:eastAsia="Arial" w:hAnsi="Arial"/>
                <w:sz w:val="18"/>
                <w:szCs w:val="18"/>
                <w:color w:val="465361"/>
              </w:rPr>
              <w:t>Use of Proceeds</w:t>
            </w: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2"/>
              </w:rPr>
              <w:t>We estimate that the net proceeds to us from the</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6"/>
              </w:rPr>
              <w:t>offering, after deducting estimated underwriting</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89"/>
              </w:rPr>
              <w:t>discounts and commissions and estimated offering</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7"/>
              </w:rPr>
              <w:t>expenses payable by us, will be approximately</w:t>
            </w:r>
          </w:p>
        </w:tc>
      </w:tr>
      <w:tr>
        <w:trPr>
          <w:trHeight w:val="216"/>
        </w:trPr>
        <w:tc>
          <w:tcPr>
            <w:tcW w:w="4360" w:type="dxa"/>
            <w:vAlign w:val="bottom"/>
          </w:tcPr>
          <w:p>
            <w:pPr>
              <w:spacing w:after="0"/>
              <w:rPr>
                <w:sz w:val="18"/>
                <w:szCs w:val="18"/>
                <w:color w:val="auto"/>
              </w:rPr>
            </w:pPr>
          </w:p>
        </w:tc>
        <w:tc>
          <w:tcPr>
            <w:tcW w:w="1280" w:type="dxa"/>
            <w:vAlign w:val="bottom"/>
          </w:tcPr>
          <w:p>
            <w:pPr>
              <w:ind w:left="760"/>
              <w:spacing w:after="0"/>
              <w:rPr>
                <w:sz w:val="20"/>
                <w:szCs w:val="20"/>
                <w:color w:val="auto"/>
              </w:rPr>
            </w:pPr>
            <w:r>
              <w:rPr>
                <w:rFonts w:ascii="Arial" w:cs="Arial" w:eastAsia="Arial" w:hAnsi="Arial"/>
                <w:sz w:val="18"/>
                <w:szCs w:val="18"/>
                <w:color w:val="465361"/>
              </w:rPr>
              <w:t>$</w:t>
            </w:r>
          </w:p>
        </w:tc>
        <w:tc>
          <w:tcPr>
            <w:tcW w:w="2480" w:type="dxa"/>
            <w:vAlign w:val="bottom"/>
            <w:gridSpan w:val="2"/>
          </w:tcPr>
          <w:p>
            <w:pPr>
              <w:ind w:left="100"/>
              <w:spacing w:after="0"/>
              <w:rPr>
                <w:sz w:val="20"/>
                <w:szCs w:val="20"/>
                <w:color w:val="auto"/>
              </w:rPr>
            </w:pPr>
            <w:r>
              <w:rPr>
                <w:rFonts w:ascii="Arial" w:cs="Arial" w:eastAsia="Arial" w:hAnsi="Arial"/>
                <w:sz w:val="18"/>
                <w:szCs w:val="18"/>
                <w:color w:val="465361"/>
              </w:rPr>
              <w:t>million (or approximately $</w:t>
            </w:r>
          </w:p>
        </w:tc>
        <w:tc>
          <w:tcPr>
            <w:tcW w:w="640" w:type="dxa"/>
            <w:vAlign w:val="bottom"/>
          </w:tcPr>
          <w:p>
            <w:pPr>
              <w:jc w:val="right"/>
              <w:spacing w:after="0"/>
              <w:rPr>
                <w:sz w:val="20"/>
                <w:szCs w:val="20"/>
                <w:color w:val="auto"/>
              </w:rPr>
            </w:pPr>
            <w:r>
              <w:rPr>
                <w:rFonts w:ascii="Arial" w:cs="Arial" w:eastAsia="Arial" w:hAnsi="Arial"/>
                <w:sz w:val="18"/>
                <w:szCs w:val="18"/>
                <w:color w:val="465361"/>
              </w:rPr>
              <w:t>million</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6"/>
              </w:rPr>
              <w:t>if the underwriters exercise their option in full to</w:t>
            </w:r>
          </w:p>
        </w:tc>
      </w:tr>
      <w:tr>
        <w:trPr>
          <w:trHeight w:val="222"/>
        </w:trPr>
        <w:tc>
          <w:tcPr>
            <w:tcW w:w="4360" w:type="dxa"/>
            <w:vAlign w:val="bottom"/>
          </w:tcPr>
          <w:p>
            <w:pPr>
              <w:spacing w:after="0"/>
              <w:rPr>
                <w:sz w:val="19"/>
                <w:szCs w:val="19"/>
                <w:color w:val="auto"/>
              </w:rPr>
            </w:pPr>
          </w:p>
        </w:tc>
        <w:tc>
          <w:tcPr>
            <w:tcW w:w="3760" w:type="dxa"/>
            <w:vAlign w:val="bottom"/>
            <w:gridSpan w:val="3"/>
          </w:tcPr>
          <w:p>
            <w:pPr>
              <w:ind w:left="760"/>
              <w:spacing w:after="0"/>
              <w:rPr>
                <w:sz w:val="20"/>
                <w:szCs w:val="20"/>
                <w:color w:val="auto"/>
              </w:rPr>
            </w:pPr>
            <w:r>
              <w:rPr>
                <w:rFonts w:ascii="Arial" w:cs="Arial" w:eastAsia="Arial" w:hAnsi="Arial"/>
                <w:sz w:val="18"/>
                <w:szCs w:val="18"/>
                <w:color w:val="465361"/>
              </w:rPr>
              <w:t>purchase additional shares).</w:t>
            </w:r>
          </w:p>
        </w:tc>
        <w:tc>
          <w:tcPr>
            <w:tcW w:w="640" w:type="dxa"/>
            <w:vAlign w:val="bottom"/>
          </w:tcPr>
          <w:p>
            <w:pPr>
              <w:spacing w:after="0"/>
              <w:rPr>
                <w:sz w:val="19"/>
                <w:szCs w:val="19"/>
                <w:color w:val="auto"/>
              </w:rPr>
            </w:pPr>
          </w:p>
        </w:tc>
      </w:tr>
      <w:tr>
        <w:trPr>
          <w:trHeight w:val="358"/>
        </w:trPr>
        <w:tc>
          <w:tcPr>
            <w:tcW w:w="4360" w:type="dxa"/>
            <w:vAlign w:val="bottom"/>
          </w:tcPr>
          <w:p>
            <w:pPr>
              <w:spacing w:after="0"/>
              <w:rPr>
                <w:sz w:val="24"/>
                <w:szCs w:val="24"/>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87"/>
              </w:rPr>
              <w:t>We intend to use the net proceeds of this offering to</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2"/>
              </w:rPr>
              <w:t>fund our product development pipeline, to pursue</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0"/>
              </w:rPr>
              <w:t>approvals of our products for additional indications</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6"/>
              </w:rPr>
              <w:t>and for general corporate purposes, which may</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rPr>
              <w:t>include licensing arrangements. See “Use of</w:t>
            </w:r>
          </w:p>
        </w:tc>
      </w:tr>
      <w:tr>
        <w:trPr>
          <w:trHeight w:val="222"/>
        </w:trPr>
        <w:tc>
          <w:tcPr>
            <w:tcW w:w="4360" w:type="dxa"/>
            <w:vAlign w:val="bottom"/>
          </w:tcPr>
          <w:p>
            <w:pPr>
              <w:spacing w:after="0"/>
              <w:rPr>
                <w:sz w:val="19"/>
                <w:szCs w:val="19"/>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8"/>
              </w:rPr>
              <w:t>Proceeds” on page S-6 for further information.</w:t>
            </w:r>
          </w:p>
        </w:tc>
      </w:tr>
      <w:tr>
        <w:trPr>
          <w:trHeight w:val="291"/>
        </w:trPr>
        <w:tc>
          <w:tcPr>
            <w:tcW w:w="4360" w:type="dxa"/>
            <w:vAlign w:val="bottom"/>
          </w:tcPr>
          <w:p>
            <w:pPr>
              <w:spacing w:after="0"/>
              <w:rPr>
                <w:sz w:val="20"/>
                <w:szCs w:val="20"/>
                <w:color w:val="auto"/>
              </w:rPr>
            </w:pPr>
            <w:r>
              <w:rPr>
                <w:rFonts w:ascii="Arial" w:cs="Arial" w:eastAsia="Arial" w:hAnsi="Arial"/>
                <w:sz w:val="18"/>
                <w:szCs w:val="18"/>
                <w:color w:val="465361"/>
              </w:rPr>
              <w:t>Risk Factors</w:t>
            </w: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7"/>
              </w:rPr>
              <w:t>Investing in our common stock involves certain</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0"/>
              </w:rPr>
              <w:t>risks. See “Risk Factors” beginning on page S-6 of</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89"/>
              </w:rPr>
              <w:t>this prospectus supplement and the risk factors set</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95"/>
              </w:rPr>
              <w:t>forth in our Annual Report on Form 10-K for the</w:t>
            </w:r>
          </w:p>
        </w:tc>
      </w:tr>
      <w:tr>
        <w:trPr>
          <w:trHeight w:val="216"/>
        </w:trPr>
        <w:tc>
          <w:tcPr>
            <w:tcW w:w="4360" w:type="dxa"/>
            <w:vAlign w:val="bottom"/>
          </w:tcPr>
          <w:p>
            <w:pPr>
              <w:spacing w:after="0"/>
              <w:rPr>
                <w:sz w:val="18"/>
                <w:szCs w:val="18"/>
                <w:color w:val="auto"/>
              </w:rPr>
            </w:pPr>
          </w:p>
        </w:tc>
        <w:tc>
          <w:tcPr>
            <w:tcW w:w="4400" w:type="dxa"/>
            <w:vAlign w:val="bottom"/>
            <w:gridSpan w:val="4"/>
          </w:tcPr>
          <w:p>
            <w:pPr>
              <w:ind w:left="760"/>
              <w:spacing w:after="0"/>
              <w:rPr>
                <w:sz w:val="20"/>
                <w:szCs w:val="20"/>
                <w:color w:val="auto"/>
              </w:rPr>
            </w:pPr>
            <w:r>
              <w:rPr>
                <w:rFonts w:ascii="Arial" w:cs="Arial" w:eastAsia="Arial" w:hAnsi="Arial"/>
                <w:sz w:val="18"/>
                <w:szCs w:val="18"/>
                <w:color w:val="465361"/>
                <w:w w:val="87"/>
              </w:rPr>
              <w:t>year ended June 30, 2020, which is incorporated by</w:t>
            </w:r>
          </w:p>
        </w:tc>
      </w:tr>
      <w:tr>
        <w:trPr>
          <w:trHeight w:val="222"/>
        </w:trPr>
        <w:tc>
          <w:tcPr>
            <w:tcW w:w="4360" w:type="dxa"/>
            <w:vAlign w:val="bottom"/>
          </w:tcPr>
          <w:p>
            <w:pPr>
              <w:spacing w:after="0"/>
              <w:rPr>
                <w:sz w:val="19"/>
                <w:szCs w:val="19"/>
                <w:color w:val="auto"/>
              </w:rPr>
            </w:pPr>
          </w:p>
        </w:tc>
        <w:tc>
          <w:tcPr>
            <w:tcW w:w="3760" w:type="dxa"/>
            <w:vAlign w:val="bottom"/>
            <w:gridSpan w:val="3"/>
          </w:tcPr>
          <w:p>
            <w:pPr>
              <w:ind w:left="760"/>
              <w:spacing w:after="0"/>
              <w:rPr>
                <w:sz w:val="20"/>
                <w:szCs w:val="20"/>
                <w:color w:val="auto"/>
              </w:rPr>
            </w:pPr>
            <w:r>
              <w:rPr>
                <w:rFonts w:ascii="Arial" w:cs="Arial" w:eastAsia="Arial" w:hAnsi="Arial"/>
                <w:sz w:val="18"/>
                <w:szCs w:val="18"/>
                <w:color w:val="465361"/>
                <w:w w:val="87"/>
              </w:rPr>
              <w:t>reference into this prospectus supplement.</w:t>
            </w:r>
          </w:p>
        </w:tc>
        <w:tc>
          <w:tcPr>
            <w:tcW w:w="640" w:type="dxa"/>
            <w:vAlign w:val="bottom"/>
          </w:tcPr>
          <w:p>
            <w:pPr>
              <w:spacing w:after="0"/>
              <w:rPr>
                <w:sz w:val="19"/>
                <w:szCs w:val="19"/>
                <w:color w:val="auto"/>
              </w:rPr>
            </w:pPr>
          </w:p>
        </w:tc>
      </w:tr>
      <w:tr>
        <w:trPr>
          <w:trHeight w:val="283"/>
        </w:trPr>
        <w:tc>
          <w:tcPr>
            <w:tcW w:w="4360" w:type="dxa"/>
            <w:vAlign w:val="bottom"/>
          </w:tcPr>
          <w:p>
            <w:pPr>
              <w:spacing w:after="0"/>
              <w:rPr>
                <w:sz w:val="20"/>
                <w:szCs w:val="20"/>
                <w:color w:val="auto"/>
              </w:rPr>
            </w:pPr>
            <w:r>
              <w:rPr>
                <w:rFonts w:ascii="Arial" w:cs="Arial" w:eastAsia="Arial" w:hAnsi="Arial"/>
                <w:sz w:val="18"/>
                <w:szCs w:val="18"/>
                <w:color w:val="465361"/>
              </w:rPr>
              <w:t>Nasdaq Stock Market LLC trading symbol</w:t>
            </w:r>
          </w:p>
        </w:tc>
        <w:tc>
          <w:tcPr>
            <w:tcW w:w="2540" w:type="dxa"/>
            <w:vAlign w:val="bottom"/>
            <w:gridSpan w:val="2"/>
          </w:tcPr>
          <w:p>
            <w:pPr>
              <w:ind w:left="760"/>
              <w:spacing w:after="0"/>
              <w:rPr>
                <w:sz w:val="20"/>
                <w:szCs w:val="20"/>
                <w:color w:val="auto"/>
              </w:rPr>
            </w:pPr>
            <w:r>
              <w:rPr>
                <w:rFonts w:ascii="Arial" w:cs="Arial" w:eastAsia="Arial" w:hAnsi="Arial"/>
                <w:sz w:val="18"/>
                <w:szCs w:val="18"/>
                <w:color w:val="465361"/>
              </w:rPr>
              <w:t>“RCEL”</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83"/>
        </w:trPr>
        <w:tc>
          <w:tcPr>
            <w:tcW w:w="4360" w:type="dxa"/>
            <w:vAlign w:val="bottom"/>
          </w:tcPr>
          <w:p>
            <w:pPr>
              <w:spacing w:after="0"/>
              <w:rPr>
                <w:sz w:val="20"/>
                <w:szCs w:val="20"/>
                <w:color w:val="auto"/>
              </w:rPr>
            </w:pPr>
            <w:r>
              <w:rPr>
                <w:rFonts w:ascii="Arial" w:cs="Arial" w:eastAsia="Arial" w:hAnsi="Arial"/>
                <w:sz w:val="18"/>
                <w:szCs w:val="18"/>
                <w:color w:val="465361"/>
              </w:rPr>
              <w:t>Australian Securities Exchange trading symbol</w:t>
            </w:r>
          </w:p>
        </w:tc>
        <w:tc>
          <w:tcPr>
            <w:tcW w:w="1280" w:type="dxa"/>
            <w:vAlign w:val="bottom"/>
          </w:tcPr>
          <w:p>
            <w:pPr>
              <w:ind w:left="760"/>
              <w:spacing w:after="0"/>
              <w:rPr>
                <w:sz w:val="20"/>
                <w:szCs w:val="20"/>
                <w:color w:val="auto"/>
              </w:rPr>
            </w:pPr>
            <w:r>
              <w:rPr>
                <w:rFonts w:ascii="Arial" w:cs="Arial" w:eastAsia="Arial" w:hAnsi="Arial"/>
                <w:sz w:val="18"/>
                <w:szCs w:val="18"/>
                <w:color w:val="465361"/>
              </w:rPr>
              <w:t>“AVH”</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56"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color w:val="465361"/>
        </w:rPr>
        <w:t>Unless we indicate otherwise, the number of shares of our common stock to be outstanding after this offering is based on 21,625,058 shares of common stock outstanding as of December 31, 2020, and excludes the following, in each case as of such date:</w:t>
      </w:r>
    </w:p>
    <w:p>
      <w:pPr>
        <w:spacing w:after="0" w:line="51" w:lineRule="exact"/>
        <w:rPr>
          <w:sz w:val="20"/>
          <w:szCs w:val="20"/>
          <w:color w:val="auto"/>
        </w:rPr>
      </w:pPr>
    </w:p>
    <w:p>
      <w:pPr>
        <w:ind w:left="1420" w:hanging="427"/>
        <w:spacing w:after="0" w:line="268" w:lineRule="auto"/>
        <w:tabs>
          <w:tab w:leader="none" w:pos="142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1,154,270 shares of common stock issuable upon exercise of outstanding stock options under our equity incentive plans at a weighted average exercise price of $13.39 per share;</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6"/>
        </w:numPr>
        <w:rPr>
          <w:rFonts w:ascii="Arial" w:cs="Arial" w:eastAsia="Arial" w:hAnsi="Arial"/>
          <w:sz w:val="18"/>
          <w:szCs w:val="18"/>
          <w:color w:val="465361"/>
        </w:rPr>
      </w:pPr>
      <w:r>
        <w:rPr>
          <w:rFonts w:ascii="Arial" w:cs="Arial" w:eastAsia="Arial" w:hAnsi="Arial"/>
          <w:sz w:val="18"/>
          <w:szCs w:val="18"/>
          <w:color w:val="465361"/>
        </w:rPr>
        <w:t>147,520 shares of common stock issuable upon vesting of outstanding restricted stock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465361"/>
        </w:rPr>
        <w:t>S-4</w:t>
      </w:r>
    </w:p>
    <w:p>
      <w:pPr>
        <w:sectPr>
          <w:pgSz w:w="11900" w:h="16838" w:orient="portrait"/>
          <w:cols w:equalWidth="0" w:num="1">
            <w:col w:w="10800"/>
          </w:cols>
          <w:pgMar w:left="320" w:top="459" w:right="7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420" w:hanging="427"/>
        <w:spacing w:after="0"/>
        <w:tabs>
          <w:tab w:leader="none" w:pos="1420" w:val="left"/>
        </w:tabs>
        <w:numPr>
          <w:ilvl w:val="0"/>
          <w:numId w:val="7"/>
        </w:numPr>
        <w:rPr>
          <w:rFonts w:ascii="Arial" w:cs="Arial" w:eastAsia="Arial" w:hAnsi="Arial"/>
          <w:sz w:val="15"/>
          <w:szCs w:val="15"/>
          <w:color w:val="465361"/>
        </w:rPr>
      </w:pPr>
      <w:r>
        <w:rPr>
          <w:rFonts w:ascii="Arial" w:cs="Arial" w:eastAsia="Arial" w:hAnsi="Arial"/>
          <w:sz w:val="15"/>
          <w:szCs w:val="15"/>
          <w:color w:val="465361"/>
        </w:rPr>
        <w:t>1,745,000 shares of common stock reserved for issuance pursuant to future awards under our 2020 Omnibus Incentive Plan.</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Unless we indicate otherwise, or the context otherwise requires, this prospectus supplement assumes the following:</w:t>
      </w:r>
    </w:p>
    <w:p>
      <w:pPr>
        <w:spacing w:after="0" w:line="90" w:lineRule="exact"/>
        <w:rPr>
          <w:sz w:val="20"/>
          <w:szCs w:val="20"/>
          <w:color w:val="auto"/>
        </w:rPr>
      </w:pPr>
    </w:p>
    <w:p>
      <w:pPr>
        <w:ind w:left="1420" w:hanging="427"/>
        <w:spacing w:after="0"/>
        <w:tabs>
          <w:tab w:leader="none" w:pos="1420" w:val="left"/>
        </w:tabs>
        <w:numPr>
          <w:ilvl w:val="0"/>
          <w:numId w:val="8"/>
        </w:numPr>
        <w:rPr>
          <w:rFonts w:ascii="Arial" w:cs="Arial" w:eastAsia="Arial" w:hAnsi="Arial"/>
          <w:sz w:val="16"/>
          <w:szCs w:val="16"/>
          <w:color w:val="465361"/>
        </w:rPr>
      </w:pPr>
      <w:r>
        <w:rPr>
          <w:rFonts w:ascii="Arial" w:cs="Arial" w:eastAsia="Arial" w:hAnsi="Arial"/>
          <w:sz w:val="16"/>
          <w:szCs w:val="16"/>
          <w:color w:val="465361"/>
        </w:rPr>
        <w:t>no exercise of outstanding stock options or vesting of restricted stock units subsequent to December 31, 2020; and</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8"/>
        </w:numPr>
        <w:rPr>
          <w:rFonts w:ascii="Arial" w:cs="Arial" w:eastAsia="Arial" w:hAnsi="Arial"/>
          <w:sz w:val="18"/>
          <w:szCs w:val="18"/>
          <w:color w:val="465361"/>
        </w:rPr>
      </w:pPr>
      <w:r>
        <w:rPr>
          <w:rFonts w:ascii="Arial" w:cs="Arial" w:eastAsia="Arial" w:hAnsi="Arial"/>
          <w:sz w:val="18"/>
          <w:szCs w:val="18"/>
          <w:color w:val="465361"/>
        </w:rPr>
        <w:t>no exercise by the underwriters of their option to purchase additional shares of common stock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4" w:lineRule="exact"/>
        <w:rPr>
          <w:sz w:val="20"/>
          <w:szCs w:val="20"/>
          <w:color w:val="auto"/>
        </w:rPr>
      </w:pPr>
    </w:p>
    <w:p>
      <w:pPr>
        <w:ind w:left="5500"/>
        <w:spacing w:after="0"/>
        <w:rPr>
          <w:sz w:val="20"/>
          <w:szCs w:val="20"/>
          <w:color w:val="auto"/>
        </w:rPr>
      </w:pPr>
      <w:r>
        <w:rPr>
          <w:rFonts w:ascii="Arial" w:cs="Arial" w:eastAsia="Arial" w:hAnsi="Arial"/>
          <w:sz w:val="18"/>
          <w:szCs w:val="18"/>
          <w:color w:val="465361"/>
        </w:rPr>
        <w:t>S-5</w:t>
      </w:r>
    </w:p>
    <w:p>
      <w:pPr>
        <w:sectPr>
          <w:pgSz w:w="11900" w:h="16838" w:orient="portrait"/>
          <w:cols w:equalWidth="0" w:num="1">
            <w:col w:w="10140"/>
          </w:cols>
          <w:pgMar w:left="320" w:top="459" w:right="1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RISK FACTORS</w:t>
      </w:r>
    </w:p>
    <w:p>
      <w:pPr>
        <w:spacing w:after="0" w:line="177" w:lineRule="exact"/>
        <w:rPr>
          <w:sz w:val="20"/>
          <w:szCs w:val="20"/>
          <w:color w:val="auto"/>
        </w:rPr>
      </w:pPr>
    </w:p>
    <w:p>
      <w:pPr>
        <w:ind w:left="120" w:right="100"/>
        <w:spacing w:after="0" w:line="294" w:lineRule="auto"/>
        <w:rPr>
          <w:sz w:val="20"/>
          <w:szCs w:val="20"/>
          <w:color w:val="auto"/>
        </w:rPr>
      </w:pPr>
      <w:r>
        <w:rPr>
          <w:rFonts w:ascii="Arial" w:cs="Arial" w:eastAsia="Arial" w:hAnsi="Arial"/>
          <w:sz w:val="16"/>
          <w:szCs w:val="16"/>
          <w:i w:val="1"/>
          <w:iCs w:val="1"/>
          <w:color w:val="465361"/>
        </w:rPr>
        <w:t>Investing in our common stock involves a high degree of risk. You should carefully consider the following risk factors, as well as the risk factors set forth in our Annual Report on Form 10-K for the year ended June 30, 2020, as updated by our subsequent filings under the Securities Exchange Act of 1934, as amended, each of which is incorporated by reference in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Additional Risks Relating to this Offering</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5361"/>
        </w:rPr>
        <w:t>You will experience immediate and substantial dilution in the net tangible book value per share of the common stock you purchase.</w:t>
      </w:r>
    </w:p>
    <w:p>
      <w:pPr>
        <w:spacing w:after="0" w:line="119" w:lineRule="exact"/>
        <w:rPr>
          <w:sz w:val="20"/>
          <w:szCs w:val="20"/>
          <w:color w:val="auto"/>
        </w:rPr>
      </w:pPr>
    </w:p>
    <w:p>
      <w:pPr>
        <w:ind w:left="120" w:right="260"/>
        <w:spacing w:after="0" w:line="285" w:lineRule="auto"/>
        <w:rPr>
          <w:sz w:val="20"/>
          <w:szCs w:val="20"/>
          <w:color w:val="auto"/>
        </w:rPr>
      </w:pPr>
      <w:r>
        <w:rPr>
          <w:rFonts w:ascii="Arial" w:cs="Arial" w:eastAsia="Arial" w:hAnsi="Arial"/>
          <w:sz w:val="16"/>
          <w:szCs w:val="16"/>
          <w:color w:val="465361"/>
        </w:rPr>
        <w:t>Since the price per share of our common stock being offered is higher than the net tangible book value per share of our common stock, you will suffer substantial dilution in the net tangible book value of the common stock you purchase in this offering. Based on the public offering price of $ 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share, and after deducting the underwriting discounts and commissions and estimated offering expenses payable by us, if you purchase shares of common</w:t>
      </w:r>
    </w:p>
    <w:p>
      <w:pPr>
        <w:spacing w:after="0" w:line="3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465361"/>
        </w:rPr>
        <w:t>stock in this offering, you will suffer immediate and substantial dilution of $ per share in the net tangible book value of the common stock. See the section entitled “Dilution” in this prospectus supplement for a more detailed discussion of the dilution you will incur if you purchase common stock in this offering. As a result of the dilution to investors purchasing shares in this offering, investors may receive significantly less than the purchase price paid in this offering, if anything, in the event of our liquidation.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465361"/>
        </w:rPr>
        <w:t>Management will have broad discretion as to the use of the proceeds from this offering, and we may not use the proceeds effectively.</w:t>
      </w:r>
    </w:p>
    <w:p>
      <w:pPr>
        <w:spacing w:after="0" w:line="119" w:lineRule="exact"/>
        <w:rPr>
          <w:sz w:val="20"/>
          <w:szCs w:val="20"/>
          <w:color w:val="auto"/>
        </w:rPr>
      </w:pPr>
    </w:p>
    <w:p>
      <w:pPr>
        <w:ind w:left="120" w:right="300"/>
        <w:spacing w:after="0" w:line="294" w:lineRule="auto"/>
        <w:rPr>
          <w:sz w:val="20"/>
          <w:szCs w:val="20"/>
          <w:color w:val="auto"/>
        </w:rPr>
      </w:pPr>
      <w:r>
        <w:rPr>
          <w:rFonts w:ascii="Arial" w:cs="Arial" w:eastAsia="Arial" w:hAnsi="Arial"/>
          <w:sz w:val="16"/>
          <w:szCs w:val="16"/>
          <w:color w:val="465361"/>
        </w:rPr>
        <w:t>We expect to receive net proceeds of $ million from this offering, after deducting the underwriting discounts and commissions and estimated offering expenses payable by us, and assuming no exercise by the underwriters of their option to purchase additional shares. Our management will have broad discretion in the application of the net proceeds from this offering and could spend the proceeds in ways that you do not agree with or that do not improve our results of operations or enhance the value of our common stock — see “Use of Proceeds”. Our failure to apply these funds effectively could have a material adverse effect on our business and cause the price of our common stock to decline.</w:t>
      </w:r>
    </w:p>
    <w:p>
      <w:pPr>
        <w:spacing w:after="0" w:line="109" w:lineRule="exact"/>
        <w:rPr>
          <w:sz w:val="20"/>
          <w:szCs w:val="20"/>
          <w:color w:val="auto"/>
        </w:rPr>
      </w:pPr>
    </w:p>
    <w:p>
      <w:pPr>
        <w:ind w:left="120" w:right="100"/>
        <w:spacing w:after="0" w:line="275" w:lineRule="auto"/>
        <w:rPr>
          <w:sz w:val="20"/>
          <w:szCs w:val="20"/>
          <w:color w:val="auto"/>
        </w:rPr>
      </w:pPr>
      <w:r>
        <w:rPr>
          <w:rFonts w:ascii="Arial" w:cs="Arial" w:eastAsia="Arial" w:hAnsi="Arial"/>
          <w:sz w:val="18"/>
          <w:szCs w:val="18"/>
          <w:b w:val="1"/>
          <w:bCs w:val="1"/>
          <w:color w:val="465361"/>
        </w:rPr>
        <w:t>Because we do not intend to pay dividends on our common stock, stockholders will benefit from an investment in our stock only if it appreciates in value.</w:t>
      </w:r>
    </w:p>
    <w:p>
      <w:pPr>
        <w:spacing w:after="0" w:line="45"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465361"/>
        </w:rPr>
        <w:t>We have never declared or paid any cash dividends on our shares of stock. We currently intend to retain all future earnings, if any, for use in the operations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as well as business prospects. Accordingly, realization of a gain on stockholders’ investments will depend on the appreciation of the price of our stock. There is no guarantee that our stock will appreciate in value.</w:t>
      </w:r>
    </w:p>
    <w:p>
      <w:pPr>
        <w:spacing w:after="0" w:line="138" w:lineRule="exact"/>
        <w:rPr>
          <w:sz w:val="20"/>
          <w:szCs w:val="20"/>
          <w:color w:val="auto"/>
        </w:rPr>
      </w:pPr>
    </w:p>
    <w:p>
      <w:pPr>
        <w:ind w:left="120" w:right="220"/>
        <w:spacing w:after="0" w:line="275" w:lineRule="auto"/>
        <w:rPr>
          <w:sz w:val="20"/>
          <w:szCs w:val="20"/>
          <w:color w:val="auto"/>
        </w:rPr>
      </w:pPr>
      <w:r>
        <w:rPr>
          <w:rFonts w:ascii="Arial" w:cs="Arial" w:eastAsia="Arial" w:hAnsi="Arial"/>
          <w:sz w:val="18"/>
          <w:szCs w:val="18"/>
          <w:b w:val="1"/>
          <w:bCs w:val="1"/>
          <w:color w:val="465361"/>
        </w:rPr>
        <w:t>Sales of a significant number of shares of our common stock in the public markets, and other transactions that we may pursue, could depress the market price of our common stock.</w:t>
      </w:r>
    </w:p>
    <w:p>
      <w:pPr>
        <w:spacing w:after="0" w:line="45" w:lineRule="exact"/>
        <w:rPr>
          <w:sz w:val="20"/>
          <w:szCs w:val="20"/>
          <w:color w:val="auto"/>
        </w:rPr>
      </w:pPr>
    </w:p>
    <w:p>
      <w:pPr>
        <w:ind w:left="120" w:right="160"/>
        <w:spacing w:after="0" w:line="268" w:lineRule="auto"/>
        <w:rPr>
          <w:sz w:val="20"/>
          <w:szCs w:val="20"/>
          <w:color w:val="auto"/>
        </w:rPr>
      </w:pPr>
      <w:r>
        <w:rPr>
          <w:rFonts w:ascii="Arial" w:cs="Arial" w:eastAsia="Arial" w:hAnsi="Arial"/>
          <w:sz w:val="18"/>
          <w:szCs w:val="18"/>
          <w:color w:val="465361"/>
        </w:rPr>
        <w:t>Sales of a substantial number of shares of our common stock in the public markets and the perception that those sales may occur could adversely affect the market price of our common stock. The completion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S-6</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160"/>
        <w:spacing w:after="0" w:line="256" w:lineRule="auto"/>
        <w:rPr>
          <w:sz w:val="20"/>
          <w:szCs w:val="20"/>
          <w:color w:val="auto"/>
        </w:rPr>
      </w:pPr>
      <w:r>
        <w:rPr>
          <w:rFonts w:ascii="Arial" w:cs="Arial" w:eastAsia="Arial" w:hAnsi="Arial"/>
          <w:sz w:val="18"/>
          <w:szCs w:val="18"/>
          <w:color w:val="465361"/>
        </w:rPr>
        <w:t>of this offering will notably increase the number of shares of our common stock that may be sold in the public market because the shares of our common stock issued by us through this offering will be freely tradeable without restriction on further registration under the Securities Act of 1933, as amended. In addition, future issuances of equity securities may dilute the interests of our existing stockholders, including you, and could cause the market price of our common stock to decline.</w:t>
      </w:r>
    </w:p>
    <w:p>
      <w:pPr>
        <w:spacing w:after="0" w:line="13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We have agreed that, subject to specified limited exceptions, for a period of 90 days from the date of this prospectus supplement (the “</w:t>
      </w:r>
      <w:r>
        <w:rPr>
          <w:rFonts w:ascii="Arial" w:cs="Arial" w:eastAsia="Arial" w:hAnsi="Arial"/>
          <w:sz w:val="16"/>
          <w:szCs w:val="16"/>
          <w:b w:val="1"/>
          <w:bCs w:val="1"/>
          <w:color w:val="465361"/>
        </w:rPr>
        <w:t>Lockup Period</w:t>
      </w:r>
      <w:r>
        <w:rPr>
          <w:rFonts w:ascii="Arial" w:cs="Arial" w:eastAsia="Arial" w:hAnsi="Arial"/>
          <w:sz w:val="16"/>
          <w:szCs w:val="16"/>
          <w:color w:val="465361"/>
        </w:rPr>
        <w:t>”), we will not, without the prior written consent of Piper Sandler &amp; Co. and Cowen and Company, LLC, (A) offer, sell, contract to sell, pledge, grant any option to purchase, make any short sale or otherwise transfer or dispose of, directly or indirectly, or file with the SEC a registration statement under the Act relating to, any securities of the Company that are substantially similar to the common stock offered hereby,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(B) enter into any swap or other agreement that transfers, in whole or in part, any of the economic consequences of ownership of the common stock or any such other securities, whether any such transaction described in clause (A) or (B) above is to be settled by delivery of common stock or such other securities, in cash or otherwise (other than the Securities to be sold hereunder or pursuant to employee stock option plans existing on, or upon the conversion or exchange of convertible or exchangeable securities outstanding as of, the date hereof).</w:t>
      </w:r>
    </w:p>
    <w:p>
      <w:pPr>
        <w:spacing w:after="0" w:line="120" w:lineRule="exact"/>
        <w:rPr>
          <w:sz w:val="20"/>
          <w:szCs w:val="20"/>
          <w:color w:val="auto"/>
        </w:rPr>
      </w:pPr>
    </w:p>
    <w:p>
      <w:pPr>
        <w:ind w:left="120" w:right="80"/>
        <w:spacing w:after="0" w:line="308" w:lineRule="auto"/>
        <w:rPr>
          <w:sz w:val="20"/>
          <w:szCs w:val="20"/>
          <w:color w:val="auto"/>
        </w:rPr>
      </w:pPr>
      <w:r>
        <w:rPr>
          <w:rFonts w:ascii="Arial" w:cs="Arial" w:eastAsia="Arial" w:hAnsi="Arial"/>
          <w:sz w:val="15"/>
          <w:szCs w:val="15"/>
          <w:color w:val="465361"/>
        </w:rPr>
        <w:t>Additionally, our executive officers and directors have agreed that, subject to certain exceptions, without the prior written consent of Piper Sandler &amp; Co. and Cowen and Company, LLC, for a period of 90 days from the date of this prospectus supplement, they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holder’s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108" w:lineRule="exact"/>
        <w:rPr>
          <w:sz w:val="20"/>
          <w:szCs w:val="20"/>
          <w:color w:val="auto"/>
        </w:rPr>
      </w:pPr>
    </w:p>
    <w:p>
      <w:pPr>
        <w:ind w:left="120" w:right="180"/>
        <w:spacing w:after="0" w:line="268" w:lineRule="auto"/>
        <w:rPr>
          <w:sz w:val="20"/>
          <w:szCs w:val="20"/>
          <w:color w:val="auto"/>
        </w:rPr>
      </w:pPr>
      <w:r>
        <w:rPr>
          <w:rFonts w:ascii="Arial" w:cs="Arial" w:eastAsia="Arial" w:hAnsi="Arial"/>
          <w:sz w:val="18"/>
          <w:szCs w:val="18"/>
          <w:color w:val="465361"/>
        </w:rPr>
        <w:t>Piper Sandler &amp; Co. and Cowen and Company, LLC in their sole discretion may release all or some portion of the shares subject to lock-up agreements at any time and for any reason.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Our stock price may be volatile and purchasers of our common stock could incur substantial losses.</w:t>
      </w:r>
    </w:p>
    <w:p>
      <w:pPr>
        <w:spacing w:after="0" w:line="96" w:lineRule="exact"/>
        <w:rPr>
          <w:sz w:val="20"/>
          <w:szCs w:val="20"/>
          <w:color w:val="auto"/>
        </w:rPr>
      </w:pPr>
    </w:p>
    <w:p>
      <w:pPr>
        <w:ind w:left="120" w:right="300"/>
        <w:spacing w:after="0" w:line="331" w:lineRule="auto"/>
        <w:rPr>
          <w:sz w:val="20"/>
          <w:szCs w:val="20"/>
          <w:color w:val="auto"/>
        </w:rPr>
      </w:pPr>
      <w:r>
        <w:rPr>
          <w:rFonts w:ascii="Arial" w:cs="Arial" w:eastAsia="Arial" w:hAnsi="Arial"/>
          <w:sz w:val="16"/>
          <w:szCs w:val="16"/>
          <w:color w:val="465361"/>
        </w:rPr>
        <w:t>Our stock price has been volatile. The market price for our common stock may be influenced by many factors, including the other risks described in this section titled “Risk Factors,” the risk factors set forth in our Annual Report on Form 10-K for the year ended June 30, 2020 and the following:</w:t>
      </w:r>
    </w:p>
    <w:p>
      <w:pPr>
        <w:spacing w:after="0" w:line="6" w:lineRule="exact"/>
        <w:rPr>
          <w:sz w:val="20"/>
          <w:szCs w:val="20"/>
          <w:color w:val="auto"/>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actual or expected fluctuations in our operating results;</w:t>
      </w:r>
    </w:p>
    <w:p>
      <w:pPr>
        <w:spacing w:after="0" w:line="90" w:lineRule="exact"/>
        <w:rPr>
          <w:rFonts w:ascii="Arial" w:cs="Arial" w:eastAsia="Arial" w:hAnsi="Arial"/>
          <w:sz w:val="18"/>
          <w:szCs w:val="18"/>
          <w:color w:val="465361"/>
        </w:rPr>
      </w:pPr>
    </w:p>
    <w:p>
      <w:pPr>
        <w:ind w:left="1420" w:right="60" w:hanging="427"/>
        <w:spacing w:after="0" w:line="268" w:lineRule="auto"/>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the impact of COVID-19 on our operations, clinical trials (including patient enrollment), availability of materials from our suppliers, and sales of our products;</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9"/>
        </w:numPr>
        <w:rPr>
          <w:rFonts w:ascii="Arial" w:cs="Arial" w:eastAsia="Arial" w:hAnsi="Arial"/>
          <w:sz w:val="18"/>
          <w:szCs w:val="18"/>
          <w:color w:val="465361"/>
        </w:rPr>
      </w:pPr>
      <w:r>
        <w:rPr>
          <w:rFonts w:ascii="Arial" w:cs="Arial" w:eastAsia="Arial" w:hAnsi="Arial"/>
          <w:sz w:val="18"/>
          <w:szCs w:val="18"/>
          <w:color w:val="465361"/>
        </w:rPr>
        <w:t>actual or expected changes in our growth rates or our competitors’ growth rates;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results of clinical trials of our product candidates;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results of clinical trials of our competitors’ products and announcements by competitors of related regulatory approvals;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regulatory actions with respect to our products or our competitors’ products;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reports of one or more patient serious adverse events;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publication of research reports by securities analysts about us or our competitors in the industry;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6"/>
          <w:szCs w:val="16"/>
          <w:color w:val="465361"/>
        </w:rPr>
      </w:pPr>
      <w:r>
        <w:rPr>
          <w:rFonts w:ascii="Arial" w:cs="Arial" w:eastAsia="Arial" w:hAnsi="Arial"/>
          <w:sz w:val="16"/>
          <w:szCs w:val="16"/>
          <w:color w:val="465361"/>
        </w:rPr>
        <w:t>our failure or the failure of our competitors to meet analysts’ projections or guidance that we or our competitors may give to the market;</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fluctuations of exchange rates between the U.S. dollar and the Australian dollar;</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issuances by us of debt or equity securities;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litigation involving our company, including shareholder litigation;</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investigations or audits by regulators into the operations of our company;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proceedings initiated by our competitors or clients;</w:t>
      </w:r>
    </w:p>
    <w:p>
      <w:pPr>
        <w:spacing w:after="0" w:line="90" w:lineRule="exact"/>
        <w:rPr>
          <w:rFonts w:ascii="Arial" w:cs="Arial" w:eastAsia="Arial" w:hAnsi="Arial"/>
          <w:sz w:val="18"/>
          <w:szCs w:val="18"/>
          <w:color w:val="465361"/>
        </w:rPr>
      </w:pPr>
    </w:p>
    <w:p>
      <w:pPr>
        <w:ind w:left="1420" w:right="80" w:hanging="427"/>
        <w:spacing w:after="0" w:line="268" w:lineRule="auto"/>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strategic decisions by us or our competitors, such as acquisitions, divestitures, spin-offs, joint ventures, strategic investments or changes in business strategy;</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5"/>
          <w:szCs w:val="15"/>
          <w:color w:val="465361"/>
        </w:rPr>
      </w:pPr>
      <w:r>
        <w:rPr>
          <w:rFonts w:ascii="Arial" w:cs="Arial" w:eastAsia="Arial" w:hAnsi="Arial"/>
          <w:sz w:val="15"/>
          <w:szCs w:val="15"/>
          <w:color w:val="465361"/>
        </w:rPr>
        <w:t>sales or perceived potential sales of the common stock or CDIs by us, our directors, senior management or our stockholders in the future;</w:t>
      </w:r>
    </w:p>
    <w:p>
      <w:pPr>
        <w:spacing w:after="0" w:line="124" w:lineRule="exact"/>
        <w:rPr>
          <w:rFonts w:ascii="Arial" w:cs="Arial" w:eastAsia="Arial" w:hAnsi="Arial"/>
          <w:sz w:val="15"/>
          <w:szCs w:val="15"/>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short selling or other market manipulation activities;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announcement or expectation of additional financing efforts;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terrorist acts, acts of war or periods of widespread civil unrest;</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economic and social effects of the COVID-19 virus or other pandemics;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natural disasters and other calamities;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changes in market conditions for biopharmaceutical stocks;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our inability to raise additional capital;</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changes in market prices for our product or for our raw materials;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changes in market valuations of similar companies;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changes in key personnel for us or our competitors;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speculation in the press or investment community;</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changes or proposed changes in laws and regulations affecting our industry;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0"/>
        </w:numPr>
        <w:rPr>
          <w:rFonts w:ascii="Arial" w:cs="Arial" w:eastAsia="Arial" w:hAnsi="Arial"/>
          <w:sz w:val="18"/>
          <w:szCs w:val="18"/>
          <w:color w:val="465361"/>
        </w:rPr>
      </w:pPr>
      <w:r>
        <w:rPr>
          <w:rFonts w:ascii="Arial" w:cs="Arial" w:eastAsia="Arial" w:hAnsi="Arial"/>
          <w:sz w:val="18"/>
          <w:szCs w:val="18"/>
          <w:color w:val="465361"/>
        </w:rPr>
        <w:t>conditions in the financial markets in general or changes in general economic conditions.</w:t>
      </w:r>
    </w:p>
    <w:p>
      <w:pPr>
        <w:spacing w:after="0" w:line="171" w:lineRule="exact"/>
        <w:rPr>
          <w:sz w:val="20"/>
          <w:szCs w:val="20"/>
          <w:color w:val="auto"/>
        </w:rPr>
      </w:pPr>
    </w:p>
    <w:p>
      <w:pPr>
        <w:jc w:val="both"/>
        <w:ind w:left="120" w:right="120"/>
        <w:spacing w:after="0" w:line="317" w:lineRule="auto"/>
        <w:rPr>
          <w:sz w:val="20"/>
          <w:szCs w:val="20"/>
          <w:color w:val="auto"/>
        </w:rPr>
      </w:pPr>
      <w:r>
        <w:rPr>
          <w:rFonts w:ascii="Arial" w:cs="Arial" w:eastAsia="Arial" w:hAnsi="Arial"/>
          <w:sz w:val="15"/>
          <w:szCs w:val="15"/>
          <w:color w:val="465361"/>
        </w:rPr>
        <w:t>In addition, the stock markets in general, and the markets for pharmaceutical, biopharmaceutical and biotechnology stocks in particular, have experienced extreme volatility, including as a result of the COVID-19 pandemic, that has often been unrelated to the operating performance of the issuer. Furthermore, the trading price of our common stock may be adversely affected by third-parties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spacing w:after="0" w:line="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465361"/>
        </w:rPr>
        <w:t>S-8</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Risks Related to Our Business</w:t>
      </w:r>
    </w:p>
    <w:p>
      <w:pPr>
        <w:spacing w:after="0" w:line="90" w:lineRule="exact"/>
        <w:rPr>
          <w:sz w:val="20"/>
          <w:szCs w:val="20"/>
          <w:color w:val="auto"/>
        </w:rPr>
      </w:pPr>
    </w:p>
    <w:p>
      <w:pPr>
        <w:ind w:left="120" w:right="700"/>
        <w:spacing w:after="0" w:line="334" w:lineRule="auto"/>
        <w:rPr>
          <w:sz w:val="20"/>
          <w:szCs w:val="20"/>
          <w:color w:val="auto"/>
        </w:rPr>
      </w:pPr>
      <w:r>
        <w:rPr>
          <w:rFonts w:ascii="Arial" w:cs="Arial" w:eastAsia="Arial" w:hAnsi="Arial"/>
          <w:sz w:val="16"/>
          <w:szCs w:val="16"/>
          <w:b w:val="1"/>
          <w:bCs w:val="1"/>
          <w:color w:val="465361"/>
        </w:rPr>
        <w:t>We recently received comments from the SEC staff in connection with the staff’s routine review of our filings. The SEC’s review is not yet complete, and we may be required to make changes to our filings in order to respond to the comments of the SEC.</w:t>
      </w:r>
    </w:p>
    <w:p>
      <w:pPr>
        <w:spacing w:after="0" w:line="1"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465361"/>
        </w:rPr>
        <w:t>We recently received a comment letter from the staff of the SEC’s Division of Corporation Finance (the “</w:t>
      </w:r>
      <w:r>
        <w:rPr>
          <w:rFonts w:ascii="Arial" w:cs="Arial" w:eastAsia="Arial" w:hAnsi="Arial"/>
          <w:sz w:val="18"/>
          <w:szCs w:val="18"/>
          <w:b w:val="1"/>
          <w:bCs w:val="1"/>
          <w:color w:val="465361"/>
        </w:rPr>
        <w:t>Staff</w:t>
      </w:r>
      <w:r>
        <w:rPr>
          <w:rFonts w:ascii="Arial" w:cs="Arial" w:eastAsia="Arial" w:hAnsi="Arial"/>
          <w:sz w:val="18"/>
          <w:szCs w:val="18"/>
          <w:color w:val="465361"/>
        </w:rPr>
        <w:t>”) relating to our Annual Report on Form 10-K for the fiscal year ended June 30, 2020 (the “</w:t>
      </w:r>
      <w:r>
        <w:rPr>
          <w:rFonts w:ascii="Arial" w:cs="Arial" w:eastAsia="Arial" w:hAnsi="Arial"/>
          <w:sz w:val="18"/>
          <w:szCs w:val="18"/>
          <w:b w:val="1"/>
          <w:bCs w:val="1"/>
          <w:color w:val="465361"/>
        </w:rPr>
        <w:t>Form 10-K</w:t>
      </w:r>
      <w:r>
        <w:rPr>
          <w:rFonts w:ascii="Arial" w:cs="Arial" w:eastAsia="Arial" w:hAnsi="Arial"/>
          <w:sz w:val="18"/>
          <w:szCs w:val="18"/>
          <w:color w:val="465361"/>
        </w:rPr>
        <w:t>”). The Form 10-K is incorporated by reference into this prospectus supplement and the accompanying prospectus. Primarily, the Staff has provided us with comments regarding our presentation of stock based compensation in our Form 10-K and as well requested that we amend the Form 10-K to correct an inadvertent omission of language from Section 9A “Controls and Procedures” in the Form 10-K.</w:t>
      </w:r>
    </w:p>
    <w:p>
      <w:pPr>
        <w:spacing w:after="0" w:line="144" w:lineRule="exact"/>
        <w:rPr>
          <w:sz w:val="20"/>
          <w:szCs w:val="20"/>
          <w:color w:val="auto"/>
        </w:rPr>
      </w:pPr>
    </w:p>
    <w:p>
      <w:pPr>
        <w:ind w:left="120" w:right="160"/>
        <w:spacing w:after="0" w:line="298" w:lineRule="auto"/>
        <w:rPr>
          <w:sz w:val="20"/>
          <w:szCs w:val="20"/>
          <w:color w:val="auto"/>
        </w:rPr>
      </w:pPr>
      <w:r>
        <w:rPr>
          <w:rFonts w:ascii="Arial" w:cs="Arial" w:eastAsia="Arial" w:hAnsi="Arial"/>
          <w:sz w:val="16"/>
          <w:szCs w:val="16"/>
          <w:color w:val="465361"/>
        </w:rPr>
        <w:t>We have provided the Staff with the information they most recently requested and conformed to the Staff’s comment by prospectively reclassifying the Company’s stock based compensation on our Form 10-Q for the quarter ended December 31, 2020. However, there can be no assurance that the Staff will not require us to revise our Form 10-K in a similar manner as well as our subsequent filings on Form 10-Q. We believe we are in a position to resolve the Staff’s comments although it is possible the Staff will raise additional questions.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465361"/>
        </w:rPr>
        <w:t>USE OF PROCEEDS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We estimate that the net proceeds from the sale of the common stock offered pursuant to this prospectus supplement will be approximately</w:t>
      </w:r>
    </w:p>
    <w:p>
      <w:pPr>
        <w:spacing w:after="0" w:line="38"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465361"/>
        </w:rPr>
        <w:t>$ million, or approximately $ million if the underwriters exercise in full their option to purchase additional shares, after deducting the underwriting discount and the estimated offering expenses that are payable by us.</w:t>
      </w:r>
    </w:p>
    <w:p>
      <w:pPr>
        <w:spacing w:after="0" w:line="139" w:lineRule="exact"/>
        <w:rPr>
          <w:sz w:val="20"/>
          <w:szCs w:val="20"/>
          <w:color w:val="auto"/>
        </w:rPr>
      </w:pPr>
    </w:p>
    <w:p>
      <w:pPr>
        <w:ind w:left="120" w:right="600"/>
        <w:spacing w:after="0" w:line="268" w:lineRule="auto"/>
        <w:rPr>
          <w:sz w:val="20"/>
          <w:szCs w:val="20"/>
          <w:color w:val="auto"/>
        </w:rPr>
      </w:pPr>
      <w:r>
        <w:rPr>
          <w:rFonts w:ascii="Arial" w:cs="Arial" w:eastAsia="Arial" w:hAnsi="Arial"/>
          <w:sz w:val="18"/>
          <w:szCs w:val="18"/>
          <w:color w:val="465361"/>
        </w:rPr>
        <w:t>We currently intend to use the net proceeds from this offering to fund our product development pipeline, to accelerate approvals of our products for additional indications and for general corporate purposes, which may include licensing arrangements.</w:t>
      </w:r>
    </w:p>
    <w:p>
      <w:pPr>
        <w:spacing w:after="0" w:line="13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465361"/>
        </w:rPr>
        <w:t>The amounts and timing of our actual expenditures will depend on numerous factors, including our development and commercialization efforts with respect to our lead product candidates,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any use, as described above, we intend to invest the net proceeds in high-quality, short-term, interest-bearing securities.</w:t>
      </w:r>
    </w:p>
    <w:p>
      <w:pPr>
        <w:spacing w:after="0" w:line="1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S-10</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465361"/>
        </w:rPr>
        <w:t>DIVIDEND POLICY</w:t>
      </w:r>
    </w:p>
    <w:p>
      <w:pPr>
        <w:spacing w:after="0" w:line="177"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color w:val="465361"/>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465361"/>
        </w:rPr>
        <w:t>S-11</w:t>
      </w:r>
    </w:p>
    <w:p>
      <w:pPr>
        <w:sectPr>
          <w:pgSz w:w="11900" w:h="16838" w:orient="portrait"/>
          <w:cols w:equalWidth="0" w:num="1">
            <w:col w:w="10760"/>
          </w:cols>
          <w:pgMar w:left="320" w:top="459" w:right="8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465361"/>
        </w:rPr>
        <w:t>CAPITALIZATION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The following table sets forth our cash and our capitalization as of December 31, 2020:</w:t>
      </w:r>
    </w:p>
    <w:p>
      <w:pPr>
        <w:spacing w:after="0" w:line="90" w:lineRule="exact"/>
        <w:rPr>
          <w:sz w:val="20"/>
          <w:szCs w:val="20"/>
          <w:color w:val="auto"/>
        </w:rPr>
      </w:pPr>
    </w:p>
    <w:p>
      <w:pPr>
        <w:ind w:left="1420" w:hanging="427"/>
        <w:spacing w:after="0"/>
        <w:tabs>
          <w:tab w:leader="none" w:pos="142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on an actual basis; and</w:t>
      </w:r>
    </w:p>
    <w:p>
      <w:pPr>
        <w:spacing w:after="0" w:line="90" w:lineRule="exact"/>
        <w:rPr>
          <w:rFonts w:ascii="Arial" w:cs="Arial" w:eastAsia="Arial" w:hAnsi="Arial"/>
          <w:sz w:val="18"/>
          <w:szCs w:val="18"/>
          <w:color w:val="465361"/>
        </w:rPr>
      </w:pPr>
    </w:p>
    <w:p>
      <w:pPr>
        <w:ind w:left="1420" w:right="320" w:hanging="427"/>
        <w:spacing w:after="0" w:line="268" w:lineRule="auto"/>
        <w:tabs>
          <w:tab w:leader="none" w:pos="1420" w:val="left"/>
        </w:tabs>
        <w:numPr>
          <w:ilvl w:val="0"/>
          <w:numId w:val="11"/>
        </w:numPr>
        <w:rPr>
          <w:rFonts w:ascii="Arial" w:cs="Arial" w:eastAsia="Arial" w:hAnsi="Arial"/>
          <w:sz w:val="18"/>
          <w:szCs w:val="18"/>
          <w:color w:val="465361"/>
        </w:rPr>
      </w:pPr>
      <w:r>
        <w:rPr>
          <w:rFonts w:ascii="Arial" w:cs="Arial" w:eastAsia="Arial" w:hAnsi="Arial"/>
          <w:sz w:val="18"/>
          <w:szCs w:val="18"/>
          <w:color w:val="465361"/>
        </w:rPr>
        <w:t>on an as adjusted basis to give effect to the issuance and sale by us of shares of common stock in this offering, and after deducting the underwriting discounts and commissions and estimated offering expenses payable by us.</w:t>
      </w:r>
    </w:p>
    <w:p>
      <w:pPr>
        <w:spacing w:after="0" w:line="13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465361"/>
        </w:rPr>
        <w:t>This table should be read with our audited financial statements and related notes incorporated by reference into this prospectus supplement and the accompanying prospectus. For more details on how you can obtain our SEC reports and other information, you should read the section of this prospectus supplement entitled “Where You Can Find More Information.”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3"/>
                <w:szCs w:val="13"/>
                <w:b w:val="1"/>
                <w:bCs w:val="1"/>
                <w:color w:val="465361"/>
                <w:w w:val="92"/>
              </w:rPr>
              <w:t>December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0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465361"/>
              </w:rPr>
              <w:t>Actual</w:t>
            </w:r>
          </w:p>
        </w:tc>
        <w:tc>
          <w:tcPr>
            <w:tcW w:w="88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465361"/>
              </w:rPr>
              <w:t>As adjusted</w:t>
            </w:r>
          </w:p>
        </w:tc>
        <w:tc>
          <w:tcPr>
            <w:tcW w:w="0" w:type="dxa"/>
            <w:vAlign w:val="bottom"/>
          </w:tcPr>
          <w:p>
            <w:pPr>
              <w:spacing w:after="0"/>
              <w:rPr>
                <w:sz w:val="1"/>
                <w:szCs w:val="1"/>
                <w:color w:val="auto"/>
              </w:rPr>
            </w:pPr>
          </w:p>
        </w:tc>
      </w:tr>
      <w:tr>
        <w:trPr>
          <w:trHeight w:val="123"/>
        </w:trPr>
        <w:tc>
          <w:tcPr>
            <w:tcW w:w="34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gridSpan w:val="4"/>
          </w:tcPr>
          <w:p>
            <w:pPr>
              <w:jc w:val="center"/>
              <w:ind w:right="82"/>
              <w:spacing w:after="0" w:line="129" w:lineRule="exact"/>
              <w:rPr>
                <w:sz w:val="20"/>
                <w:szCs w:val="20"/>
                <w:color w:val="auto"/>
              </w:rPr>
            </w:pPr>
            <w:r>
              <w:rPr>
                <w:rFonts w:ascii="Arial" w:cs="Arial" w:eastAsia="Arial" w:hAnsi="Arial"/>
                <w:sz w:val="13"/>
                <w:szCs w:val="13"/>
                <w:b w:val="1"/>
                <w:bCs w:val="1"/>
                <w:color w:val="465361"/>
                <w:w w:val="91"/>
              </w:rPr>
              <w:t>(In thousands, except share and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gridSpan w:val="3"/>
          </w:tcPr>
          <w:p>
            <w:pPr>
              <w:jc w:val="center"/>
              <w:ind w:right="960"/>
              <w:spacing w:after="0"/>
              <w:rPr>
                <w:sz w:val="20"/>
                <w:szCs w:val="20"/>
                <w:color w:val="auto"/>
              </w:rPr>
            </w:pPr>
            <w:r>
              <w:rPr>
                <w:rFonts w:ascii="Arial" w:cs="Arial" w:eastAsia="Arial" w:hAnsi="Arial"/>
                <w:sz w:val="13"/>
                <w:szCs w:val="13"/>
                <w:b w:val="1"/>
                <w:bCs w:val="1"/>
                <w:color w:val="465361"/>
                <w:w w:val="94"/>
              </w:rPr>
              <w:t>per share data)</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3"/>
          </w:tcPr>
          <w:p>
            <w:pPr>
              <w:jc w:val="center"/>
              <w:ind w:right="980"/>
              <w:spacing w:after="0"/>
              <w:rPr>
                <w:sz w:val="20"/>
                <w:szCs w:val="20"/>
                <w:color w:val="auto"/>
              </w:rPr>
            </w:pPr>
            <w:r>
              <w:rPr>
                <w:rFonts w:ascii="Arial" w:cs="Arial" w:eastAsia="Arial" w:hAnsi="Arial"/>
                <w:sz w:val="13"/>
                <w:szCs w:val="13"/>
                <w:b w:val="1"/>
                <w:bCs w:val="1"/>
                <w:color w:val="465361"/>
                <w:w w:val="96"/>
              </w:rPr>
              <w:t>(Unaudited)</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465361"/>
              </w:rPr>
              <w:t>Cash</w:t>
            </w:r>
          </w:p>
        </w:tc>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59,765</w:t>
            </w:r>
          </w:p>
        </w:tc>
        <w:tc>
          <w:tcPr>
            <w:tcW w:w="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46536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8"/>
                <w:szCs w:val="18"/>
                <w:color w:val="465361"/>
              </w:rPr>
              <w:t>Stockholders’ equity:</w:t>
            </w: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vMerge w:val="continue"/>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465361"/>
              </w:rPr>
              <w:t>Preferred stock, par value $0.0001 per share; 10,000,000 shares authorized; no shares issued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400" w:type="dxa"/>
            <w:vAlign w:val="bottom"/>
            <w:shd w:val="clear" w:color="auto" w:fill="CCEEFF"/>
          </w:tcPr>
          <w:p>
            <w:pPr>
              <w:ind w:left="640"/>
              <w:spacing w:after="0"/>
              <w:rPr>
                <w:sz w:val="20"/>
                <w:szCs w:val="20"/>
                <w:color w:val="auto"/>
              </w:rPr>
            </w:pPr>
            <w:r>
              <w:rPr>
                <w:rFonts w:ascii="Arial" w:cs="Arial" w:eastAsia="Arial" w:hAnsi="Arial"/>
                <w:sz w:val="18"/>
                <w:szCs w:val="18"/>
                <w:color w:val="465361"/>
                <w:w w:val="86"/>
              </w:rPr>
              <w:t>and outstanding, actual and as adjusted</w:t>
            </w:r>
          </w:p>
        </w:tc>
        <w:tc>
          <w:tcPr>
            <w:tcW w:w="4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465361"/>
              </w:rPr>
              <w:t>—</w:t>
            </w:r>
          </w:p>
        </w:tc>
        <w:tc>
          <w:tcPr>
            <w:tcW w:w="8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465361"/>
              </w:rPr>
              <w:t>—</w:t>
            </w:r>
          </w:p>
        </w:tc>
        <w:tc>
          <w:tcPr>
            <w:tcW w:w="0" w:type="dxa"/>
            <w:vAlign w:val="bottom"/>
          </w:tcPr>
          <w:p>
            <w:pPr>
              <w:spacing w:after="0"/>
              <w:rPr>
                <w:sz w:val="1"/>
                <w:szCs w:val="1"/>
                <w:color w:val="auto"/>
              </w:rPr>
            </w:pPr>
          </w:p>
        </w:tc>
      </w:tr>
      <w:tr>
        <w:trPr>
          <w:trHeight w:val="208"/>
        </w:trPr>
        <w:tc>
          <w:tcPr>
            <w:tcW w:w="8240" w:type="dxa"/>
            <w:vAlign w:val="bottom"/>
            <w:gridSpan w:val="2"/>
          </w:tcPr>
          <w:p>
            <w:pPr>
              <w:ind w:left="420"/>
              <w:spacing w:after="0"/>
              <w:rPr>
                <w:sz w:val="20"/>
                <w:szCs w:val="20"/>
                <w:color w:val="auto"/>
              </w:rPr>
            </w:pPr>
            <w:r>
              <w:rPr>
                <w:rFonts w:ascii="Arial" w:cs="Arial" w:eastAsia="Arial" w:hAnsi="Arial"/>
                <w:sz w:val="18"/>
                <w:szCs w:val="18"/>
                <w:color w:val="465361"/>
              </w:rPr>
              <w:t>Common stock, par value $0.0001 per share; 200,000,000 shares authorized; 21,625,058 shares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640"/>
              <w:spacing w:after="0"/>
              <w:rPr>
                <w:sz w:val="20"/>
                <w:szCs w:val="20"/>
                <w:color w:val="auto"/>
              </w:rPr>
            </w:pPr>
            <w:r>
              <w:rPr>
                <w:rFonts w:ascii="Arial" w:cs="Arial" w:eastAsia="Arial" w:hAnsi="Arial"/>
                <w:sz w:val="18"/>
                <w:szCs w:val="18"/>
                <w:color w:val="465361"/>
              </w:rPr>
              <w:t>issued and outstanding, actual;</w:t>
            </w:r>
          </w:p>
        </w:tc>
        <w:tc>
          <w:tcPr>
            <w:tcW w:w="4840" w:type="dxa"/>
            <w:vAlign w:val="bottom"/>
          </w:tcPr>
          <w:p>
            <w:pPr>
              <w:ind w:left="20"/>
              <w:spacing w:after="0"/>
              <w:rPr>
                <w:sz w:val="20"/>
                <w:szCs w:val="20"/>
                <w:color w:val="auto"/>
              </w:rPr>
            </w:pPr>
            <w:r>
              <w:rPr>
                <w:rFonts w:ascii="Arial" w:cs="Arial" w:eastAsia="Arial" w:hAnsi="Arial"/>
                <w:sz w:val="18"/>
                <w:szCs w:val="18"/>
                <w:color w:val="465361"/>
              </w:rPr>
              <w:t>shares issued and outstanding, as adjusted</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465361"/>
              </w:rPr>
              <w:t>3</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465361"/>
              </w:rPr>
              <w:t>Additional paid-in capital</w:t>
            </w:r>
          </w:p>
        </w:tc>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262,086</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465361"/>
                <w:w w:val="99"/>
              </w:rPr>
              <w:t>Accumulated other comprehensive income</w:t>
            </w: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465361"/>
              </w:rPr>
              <w:t>8,289</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465361"/>
              </w:rPr>
              <w:t>Accumulated deficit</w:t>
            </w:r>
          </w:p>
        </w:tc>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465361"/>
                <w:w w:val="95"/>
              </w:rPr>
              <w:t>(210,781)</w:t>
            </w:r>
          </w:p>
        </w:tc>
        <w:tc>
          <w:tcPr>
            <w:tcW w:w="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465361"/>
              </w:rPr>
              <w:t>Total stockholders’ equity</w:t>
            </w:r>
          </w:p>
        </w:tc>
        <w:tc>
          <w:tcPr>
            <w:tcW w:w="4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465361"/>
              </w:rPr>
              <w:t>59,597</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465361"/>
              </w:rPr>
              <w:t>Total capitalization</w:t>
            </w:r>
          </w:p>
        </w:tc>
        <w:tc>
          <w:tcPr>
            <w:tcW w:w="4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465361"/>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465361"/>
              </w:rPr>
              <w:t>59,597</w:t>
            </w:r>
          </w:p>
        </w:tc>
        <w:tc>
          <w:tcPr>
            <w:tcW w:w="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2"/>
              <w:spacing w:after="0"/>
              <w:rPr>
                <w:sz w:val="20"/>
                <w:szCs w:val="20"/>
                <w:color w:val="auto"/>
              </w:rPr>
            </w:pPr>
            <w:r>
              <w:rPr>
                <w:rFonts w:ascii="Arial" w:cs="Arial" w:eastAsia="Arial" w:hAnsi="Arial"/>
                <w:sz w:val="18"/>
                <w:szCs w:val="18"/>
                <w:color w:val="46536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right="100"/>
        <w:spacing w:after="0" w:line="268" w:lineRule="auto"/>
        <w:rPr>
          <w:sz w:val="20"/>
          <w:szCs w:val="20"/>
          <w:color w:val="auto"/>
        </w:rPr>
      </w:pPr>
      <w:r>
        <w:rPr>
          <w:rFonts w:ascii="Arial" w:cs="Arial" w:eastAsia="Arial" w:hAnsi="Arial"/>
          <w:sz w:val="18"/>
          <w:szCs w:val="18"/>
          <w:color w:val="465361"/>
        </w:rPr>
        <w:t>All information above is based on 21,625,058 shares of common stock outstanding as of December 31, 2020, and excludes the following, in each case as of such date:</w:t>
      </w:r>
    </w:p>
    <w:p>
      <w:pPr>
        <w:spacing w:after="0" w:line="51" w:lineRule="exact"/>
        <w:rPr>
          <w:sz w:val="20"/>
          <w:szCs w:val="20"/>
          <w:color w:val="auto"/>
        </w:rPr>
      </w:pPr>
    </w:p>
    <w:p>
      <w:pPr>
        <w:ind w:left="1420" w:right="340" w:hanging="427"/>
        <w:spacing w:after="0" w:line="268" w:lineRule="auto"/>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1,154,270 shares of common stock issuable upon exercise of outstanding stock options under our equity incentive plans at a weighted average exercise price of $13.39 per share;</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8"/>
          <w:szCs w:val="18"/>
          <w:color w:val="465361"/>
        </w:rPr>
      </w:pPr>
      <w:r>
        <w:rPr>
          <w:rFonts w:ascii="Arial" w:cs="Arial" w:eastAsia="Arial" w:hAnsi="Arial"/>
          <w:sz w:val="18"/>
          <w:szCs w:val="18"/>
          <w:color w:val="465361"/>
        </w:rPr>
        <w:t>147,520 shares of common stock issuable upon vesting of outstanding restricted stock units; and</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2"/>
        </w:numPr>
        <w:rPr>
          <w:rFonts w:ascii="Arial" w:cs="Arial" w:eastAsia="Arial" w:hAnsi="Arial"/>
          <w:sz w:val="16"/>
          <w:szCs w:val="16"/>
          <w:color w:val="465361"/>
        </w:rPr>
      </w:pPr>
      <w:r>
        <w:rPr>
          <w:rFonts w:ascii="Arial" w:cs="Arial" w:eastAsia="Arial" w:hAnsi="Arial"/>
          <w:sz w:val="16"/>
          <w:szCs w:val="16"/>
          <w:color w:val="465361"/>
        </w:rPr>
        <w:t>1,745,000 shares of common stock reserved for issuance pursuant to future awards under our 2020 Omnibus Incentive Plan.</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465361"/>
        </w:rPr>
        <w:t>S-12</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465361"/>
        </w:rPr>
        <w:t>DILUTION</w:t>
      </w:r>
    </w:p>
    <w:p>
      <w:pPr>
        <w:spacing w:after="0" w:line="177" w:lineRule="exact"/>
        <w:rPr>
          <w:sz w:val="20"/>
          <w:szCs w:val="20"/>
          <w:color w:val="auto"/>
        </w:rPr>
      </w:pPr>
    </w:p>
    <w:p>
      <w:pPr>
        <w:ind w:left="120" w:right="60"/>
        <w:spacing w:after="0" w:line="306" w:lineRule="auto"/>
        <w:rPr>
          <w:sz w:val="20"/>
          <w:szCs w:val="20"/>
          <w:color w:val="auto"/>
        </w:rPr>
      </w:pPr>
      <w:r>
        <w:rPr>
          <w:rFonts w:ascii="Arial" w:cs="Arial" w:eastAsia="Arial" w:hAnsi="Arial"/>
          <w:sz w:val="16"/>
          <w:szCs w:val="16"/>
          <w:color w:val="465361"/>
        </w:rPr>
        <w:t>If you invest in our common stock in this offering, your interest will be diluted to the extent of the difference between the public offering price per share of our common stock and the net tangible book value per share of our common stock after this offering. We calculate net tangible book value per share by dividing our net tangible assets (tangible assets less total liabilities) by the number of shares of our common stock issued and outstanding.</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Our net tangible book value at December 31, 2020 was $57.4 million, or $2.65 per share, based on 21,625,058 shares of our common stock outstanding.</w:t>
      </w:r>
    </w:p>
    <w:p>
      <w:pPr>
        <w:spacing w:after="0" w:line="38"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465361"/>
        </w:rPr>
        <w:t>After giving effect to the issuance and sale of shares in this offering at the public offering price of $ per share, after deducting underwriting discounts and commissions and estimated offering expenses payable by us, our pro forma as adjusted net tangible book value at December 31,</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465361"/>
              </w:rPr>
              <w:t>2020 would have been $</w:t>
            </w:r>
          </w:p>
        </w:tc>
        <w:tc>
          <w:tcPr>
            <w:tcW w:w="760" w:type="dxa"/>
            <w:vAlign w:val="bottom"/>
          </w:tcPr>
          <w:p>
            <w:pPr>
              <w:ind w:left="140"/>
              <w:spacing w:after="0"/>
              <w:rPr>
                <w:sz w:val="20"/>
                <w:szCs w:val="20"/>
                <w:color w:val="auto"/>
              </w:rPr>
            </w:pPr>
            <w:r>
              <w:rPr>
                <w:rFonts w:ascii="Arial" w:cs="Arial" w:eastAsia="Arial" w:hAnsi="Arial"/>
                <w:sz w:val="18"/>
                <w:szCs w:val="18"/>
                <w:color w:val="465361"/>
              </w:rPr>
              <w:t>or $</w:t>
            </w:r>
          </w:p>
        </w:tc>
        <w:tc>
          <w:tcPr>
            <w:tcW w:w="7040" w:type="dxa"/>
            <w:vAlign w:val="bottom"/>
            <w:gridSpan w:val="5"/>
          </w:tcPr>
          <w:p>
            <w:pPr>
              <w:ind w:left="360"/>
              <w:spacing w:after="0"/>
              <w:rPr>
                <w:sz w:val="20"/>
                <w:szCs w:val="20"/>
                <w:color w:val="auto"/>
              </w:rPr>
            </w:pPr>
            <w:r>
              <w:rPr>
                <w:rFonts w:ascii="Arial" w:cs="Arial" w:eastAsia="Arial" w:hAnsi="Arial"/>
                <w:sz w:val="18"/>
                <w:szCs w:val="18"/>
                <w:color w:val="465361"/>
                <w:w w:val="92"/>
              </w:rPr>
              <w:t>per share. This represents an immediate increase in pro forma net tangible book value of $</w:t>
            </w:r>
          </w:p>
        </w:tc>
        <w:tc>
          <w:tcPr>
            <w:tcW w:w="660" w:type="dxa"/>
            <w:vAlign w:val="bottom"/>
          </w:tcPr>
          <w:p>
            <w:pPr>
              <w:ind w:left="360"/>
              <w:spacing w:after="0"/>
              <w:rPr>
                <w:sz w:val="20"/>
                <w:szCs w:val="20"/>
                <w:color w:val="auto"/>
              </w:rPr>
            </w:pPr>
            <w:r>
              <w:rPr>
                <w:rFonts w:ascii="Arial" w:cs="Arial" w:eastAsia="Arial" w:hAnsi="Arial"/>
                <w:sz w:val="18"/>
                <w:szCs w:val="18"/>
                <w:color w:val="465361"/>
              </w:rPr>
              <w:t>per</w:t>
            </w:r>
          </w:p>
        </w:tc>
      </w:tr>
      <w:tr>
        <w:trPr>
          <w:trHeight w:val="216"/>
        </w:trPr>
        <w:tc>
          <w:tcPr>
            <w:tcW w:w="4880" w:type="dxa"/>
            <w:vAlign w:val="bottom"/>
            <w:gridSpan w:val="4"/>
          </w:tcPr>
          <w:p>
            <w:pPr>
              <w:spacing w:after="0"/>
              <w:rPr>
                <w:sz w:val="20"/>
                <w:szCs w:val="20"/>
                <w:color w:val="auto"/>
              </w:rPr>
            </w:pPr>
            <w:r>
              <w:rPr>
                <w:rFonts w:ascii="Arial" w:cs="Arial" w:eastAsia="Arial" w:hAnsi="Arial"/>
                <w:sz w:val="18"/>
                <w:szCs w:val="18"/>
                <w:color w:val="465361"/>
              </w:rPr>
              <w:t>share to existing stockholders and an immediate dilution of $</w:t>
            </w:r>
          </w:p>
        </w:tc>
        <w:tc>
          <w:tcPr>
            <w:tcW w:w="5860" w:type="dxa"/>
            <w:vAlign w:val="bottom"/>
            <w:gridSpan w:val="5"/>
          </w:tcPr>
          <w:p>
            <w:pPr>
              <w:ind w:left="100"/>
              <w:spacing w:after="0"/>
              <w:rPr>
                <w:sz w:val="20"/>
                <w:szCs w:val="20"/>
                <w:color w:val="auto"/>
              </w:rPr>
            </w:pPr>
            <w:r>
              <w:rPr>
                <w:rFonts w:ascii="Arial" w:cs="Arial" w:eastAsia="Arial" w:hAnsi="Arial"/>
                <w:sz w:val="18"/>
                <w:szCs w:val="18"/>
                <w:color w:val="465361"/>
                <w:w w:val="88"/>
              </w:rPr>
              <w:t>per share to investors in this offering. The following table illustrates this per share</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465361"/>
              </w:rPr>
              <w:t>dilution:</w:t>
            </w:r>
          </w:p>
        </w:tc>
        <w:tc>
          <w:tcPr>
            <w:tcW w:w="7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05"/>
        </w:trPr>
        <w:tc>
          <w:tcPr>
            <w:tcW w:w="1380" w:type="dxa"/>
            <w:vAlign w:val="bottom"/>
          </w:tcPr>
          <w:p>
            <w:pPr>
              <w:spacing w:after="0"/>
              <w:rPr>
                <w:sz w:val="17"/>
                <w:szCs w:val="17"/>
                <w:color w:val="auto"/>
              </w:rPr>
            </w:pPr>
          </w:p>
        </w:tc>
        <w:tc>
          <w:tcPr>
            <w:tcW w:w="3500" w:type="dxa"/>
            <w:vAlign w:val="bottom"/>
            <w:gridSpan w:val="3"/>
          </w:tcPr>
          <w:p>
            <w:pPr>
              <w:spacing w:after="0"/>
              <w:rPr>
                <w:sz w:val="17"/>
                <w:szCs w:val="17"/>
                <w:color w:val="auto"/>
              </w:rPr>
            </w:pPr>
          </w:p>
        </w:tc>
        <w:tc>
          <w:tcPr>
            <w:tcW w:w="2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465361"/>
                <w:w w:val="91"/>
              </w:rPr>
              <w:t>Public offering price per share of common stock</w:t>
            </w:r>
          </w:p>
        </w:tc>
        <w:tc>
          <w:tcPr>
            <w:tcW w:w="2560" w:type="dxa"/>
            <w:vAlign w:val="bottom"/>
            <w:shd w:val="clear" w:color="auto" w:fill="CCEEFF"/>
          </w:tcPr>
          <w:p>
            <w:pPr>
              <w:spacing w:after="0"/>
              <w:rPr>
                <w:sz w:val="18"/>
                <w:szCs w:val="18"/>
                <w:color w:val="auto"/>
              </w:rPr>
            </w:pPr>
          </w:p>
        </w:tc>
        <w:tc>
          <w:tcPr>
            <w:tcW w:w="2200" w:type="dxa"/>
            <w:vAlign w:val="bottom"/>
            <w:tcBorders>
              <w:right w:val="single" w:sz="8" w:color="CCEEFF"/>
            </w:tcBorders>
            <w:gridSpan w:val="2"/>
            <w:shd w:val="clear" w:color="auto" w:fill="CCEEFF"/>
          </w:tcPr>
          <w:p>
            <w:pPr>
              <w:jc w:val="right"/>
              <w:ind w:right="552"/>
              <w:spacing w:after="0"/>
              <w:rPr>
                <w:sz w:val="20"/>
                <w:szCs w:val="20"/>
                <w:color w:val="auto"/>
              </w:rPr>
            </w:pPr>
            <w:r>
              <w:rPr>
                <w:rFonts w:ascii="Arial" w:cs="Arial" w:eastAsia="Arial" w:hAnsi="Arial"/>
                <w:sz w:val="18"/>
                <w:szCs w:val="18"/>
                <w:color w:val="465361"/>
              </w:rPr>
              <w:t>$</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465361"/>
              </w:rPr>
              <w:t>Net tangible book value per share as of December 31, 2020</w:t>
            </w:r>
          </w:p>
        </w:tc>
        <w:tc>
          <w:tcPr>
            <w:tcW w:w="1460" w:type="dxa"/>
            <w:vAlign w:val="bottom"/>
          </w:tcPr>
          <w:p>
            <w:pPr>
              <w:jc w:val="right"/>
              <w:ind w:right="872"/>
              <w:spacing w:after="0"/>
              <w:rPr>
                <w:sz w:val="20"/>
                <w:szCs w:val="20"/>
                <w:color w:val="auto"/>
              </w:rPr>
            </w:pPr>
            <w:r>
              <w:rPr>
                <w:rFonts w:ascii="Arial" w:cs="Arial" w:eastAsia="Arial" w:hAnsi="Arial"/>
                <w:sz w:val="18"/>
                <w:szCs w:val="18"/>
                <w:color w:val="465361"/>
              </w:rPr>
              <w:t>$</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465361"/>
                <w:w w:val="96"/>
              </w:rPr>
              <w:t>Increase per share attributable to this offering</w:t>
            </w:r>
          </w:p>
        </w:tc>
        <w:tc>
          <w:tcPr>
            <w:tcW w:w="25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465361"/>
              </w:rPr>
              <w:t>$</w:t>
            </w:r>
          </w:p>
        </w:tc>
        <w:tc>
          <w:tcPr>
            <w:tcW w:w="740" w:type="dxa"/>
            <w:vAlign w:val="bottom"/>
            <w:tcBorders>
              <w:right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8"/>
        </w:trPr>
        <w:tc>
          <w:tcPr>
            <w:tcW w:w="1380" w:type="dxa"/>
            <w:vAlign w:val="bottom"/>
          </w:tcPr>
          <w:p>
            <w:pPr>
              <w:spacing w:after="0"/>
              <w:rPr>
                <w:sz w:val="18"/>
                <w:szCs w:val="18"/>
                <w:color w:val="auto"/>
              </w:rPr>
            </w:pPr>
          </w:p>
        </w:tc>
        <w:tc>
          <w:tcPr>
            <w:tcW w:w="6060" w:type="dxa"/>
            <w:vAlign w:val="bottom"/>
            <w:gridSpan w:val="4"/>
          </w:tcPr>
          <w:p>
            <w:pPr>
              <w:spacing w:after="0"/>
              <w:rPr>
                <w:sz w:val="20"/>
                <w:szCs w:val="20"/>
                <w:color w:val="auto"/>
              </w:rPr>
            </w:pPr>
            <w:r>
              <w:rPr>
                <w:rFonts w:ascii="Arial" w:cs="Arial" w:eastAsia="Arial" w:hAnsi="Arial"/>
                <w:sz w:val="18"/>
                <w:szCs w:val="18"/>
                <w:color w:val="465361"/>
                <w:w w:val="93"/>
              </w:rPr>
              <w:t>As adjusted net tangible book value per share as of December 31, 2020 after this</w:t>
            </w: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1"/>
        </w:trPr>
        <w:tc>
          <w:tcPr>
            <w:tcW w:w="1380" w:type="dxa"/>
            <w:vAlign w:val="bottom"/>
          </w:tcPr>
          <w:p>
            <w:pPr>
              <w:spacing w:after="0"/>
              <w:rPr>
                <w:sz w:val="20"/>
                <w:szCs w:val="20"/>
                <w:color w:val="auto"/>
              </w:rPr>
            </w:pPr>
          </w:p>
        </w:tc>
        <w:tc>
          <w:tcPr>
            <w:tcW w:w="900" w:type="dxa"/>
            <w:vAlign w:val="bottom"/>
          </w:tcPr>
          <w:p>
            <w:pPr>
              <w:ind w:left="200"/>
              <w:spacing w:after="0"/>
              <w:rPr>
                <w:sz w:val="20"/>
                <w:szCs w:val="20"/>
                <w:color w:val="auto"/>
              </w:rPr>
            </w:pPr>
            <w:r>
              <w:rPr>
                <w:rFonts w:ascii="Arial" w:cs="Arial" w:eastAsia="Arial" w:hAnsi="Arial"/>
                <w:sz w:val="18"/>
                <w:szCs w:val="18"/>
                <w:color w:val="465361"/>
              </w:rPr>
              <w:t>offering</w:t>
            </w:r>
          </w:p>
        </w:tc>
        <w:tc>
          <w:tcPr>
            <w:tcW w:w="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465361"/>
                <w:w w:val="79"/>
              </w:rPr>
              <w:t>$</w:t>
            </w: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6060" w:type="dxa"/>
            <w:vAlign w:val="bottom"/>
            <w:gridSpan w:val="4"/>
            <w:shd w:val="clear" w:color="auto" w:fill="CCEEFF"/>
          </w:tcPr>
          <w:p>
            <w:pPr>
              <w:spacing w:after="0"/>
              <w:rPr>
                <w:sz w:val="20"/>
                <w:szCs w:val="20"/>
                <w:color w:val="auto"/>
              </w:rPr>
            </w:pPr>
            <w:r>
              <w:rPr>
                <w:rFonts w:ascii="Arial" w:cs="Arial" w:eastAsia="Arial" w:hAnsi="Arial"/>
                <w:sz w:val="18"/>
                <w:szCs w:val="18"/>
                <w:color w:val="465361"/>
              </w:rPr>
              <w:t>Dilution per share to new investors participating in this offering</w:t>
            </w:r>
          </w:p>
        </w:tc>
        <w:tc>
          <w:tcPr>
            <w:tcW w:w="2200" w:type="dxa"/>
            <w:vAlign w:val="bottom"/>
            <w:tcBorders>
              <w:right w:val="single" w:sz="8" w:color="CCEEFF"/>
            </w:tcBorders>
            <w:gridSpan w:val="2"/>
            <w:shd w:val="clear" w:color="auto" w:fill="CCEEFF"/>
          </w:tcPr>
          <w:p>
            <w:pPr>
              <w:jc w:val="right"/>
              <w:ind w:right="552"/>
              <w:spacing w:after="0"/>
              <w:rPr>
                <w:sz w:val="20"/>
                <w:szCs w:val="20"/>
                <w:color w:val="auto"/>
              </w:rPr>
            </w:pPr>
            <w:r>
              <w:rPr>
                <w:rFonts w:ascii="Arial" w:cs="Arial" w:eastAsia="Arial" w:hAnsi="Arial"/>
                <w:sz w:val="18"/>
                <w:szCs w:val="18"/>
                <w:color w:val="465361"/>
              </w:rPr>
              <w:t>$</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67" w:lineRule="exact"/>
        <w:rPr>
          <w:sz w:val="20"/>
          <w:szCs w:val="20"/>
          <w:color w:val="auto"/>
        </w:rPr>
      </w:pPr>
    </w:p>
    <w:p>
      <w:pPr>
        <w:ind w:left="120"/>
        <w:spacing w:after="0"/>
        <w:tabs>
          <w:tab w:leader="none" w:pos="9660" w:val="left"/>
        </w:tabs>
        <w:rPr>
          <w:sz w:val="20"/>
          <w:szCs w:val="20"/>
          <w:color w:val="auto"/>
        </w:rPr>
      </w:pPr>
      <w:r>
        <w:rPr>
          <w:rFonts w:ascii="Arial" w:cs="Arial" w:eastAsia="Arial" w:hAnsi="Arial"/>
          <w:sz w:val="18"/>
          <w:szCs w:val="18"/>
          <w:color w:val="465361"/>
        </w:rPr>
        <w:t>If the underwriters exercise in full their option to purchase additional shares of common stock at the public offering price of $</w:t>
      </w:r>
      <w:r>
        <w:rPr>
          <w:sz w:val="20"/>
          <w:szCs w:val="20"/>
          <w:color w:val="auto"/>
        </w:rPr>
        <w:tab/>
      </w:r>
      <w:r>
        <w:rPr>
          <w:rFonts w:ascii="Arial" w:cs="Arial" w:eastAsia="Arial" w:hAnsi="Arial"/>
          <w:sz w:val="15"/>
          <w:szCs w:val="15"/>
          <w:color w:val="465361"/>
        </w:rPr>
        <w:t>per share, the as</w:t>
      </w:r>
    </w:p>
    <w:p>
      <w:pPr>
        <w:spacing w:after="0" w:line="15" w:lineRule="exact"/>
        <w:rPr>
          <w:sz w:val="20"/>
          <w:szCs w:val="20"/>
          <w:color w:val="auto"/>
        </w:rPr>
      </w:pPr>
    </w:p>
    <w:p>
      <w:pPr>
        <w:ind w:left="120"/>
        <w:spacing w:after="0"/>
        <w:tabs>
          <w:tab w:leader="none" w:pos="5700" w:val="left"/>
        </w:tabs>
        <w:rPr>
          <w:sz w:val="20"/>
          <w:szCs w:val="20"/>
          <w:color w:val="auto"/>
        </w:rPr>
      </w:pPr>
      <w:r>
        <w:rPr>
          <w:rFonts w:ascii="Arial" w:cs="Arial" w:eastAsia="Arial" w:hAnsi="Arial"/>
          <w:sz w:val="18"/>
          <w:szCs w:val="18"/>
          <w:color w:val="465361"/>
        </w:rPr>
        <w:t>adjusted net tangible book value after this offering would have been $</w:t>
      </w:r>
      <w:r>
        <w:rPr>
          <w:sz w:val="20"/>
          <w:szCs w:val="20"/>
          <w:color w:val="auto"/>
        </w:rPr>
        <w:tab/>
      </w:r>
      <w:r>
        <w:rPr>
          <w:rFonts w:ascii="Arial" w:cs="Arial" w:eastAsia="Arial" w:hAnsi="Arial"/>
          <w:sz w:val="15"/>
          <w:szCs w:val="15"/>
          <w:color w:val="465361"/>
        </w:rPr>
        <w:t>per share, representing an increase in net tangible book value of</w:t>
      </w:r>
    </w:p>
    <w:p>
      <w:pPr>
        <w:spacing w:after="0" w:line="9" w:lineRule="exact"/>
        <w:rPr>
          <w:sz w:val="20"/>
          <w:szCs w:val="20"/>
          <w:color w:val="auto"/>
        </w:rPr>
      </w:pPr>
    </w:p>
    <w:p>
      <w:pPr>
        <w:ind w:left="120"/>
        <w:spacing w:after="0"/>
        <w:tabs>
          <w:tab w:leader="none" w:pos="920" w:val="left"/>
          <w:tab w:leader="none" w:pos="7840" w:val="left"/>
        </w:tabs>
        <w:rPr>
          <w:sz w:val="20"/>
          <w:szCs w:val="20"/>
          <w:color w:val="auto"/>
        </w:rPr>
      </w:pPr>
      <w:r>
        <w:rPr>
          <w:rFonts w:ascii="Arial" w:cs="Arial" w:eastAsia="Arial" w:hAnsi="Arial"/>
          <w:sz w:val="18"/>
          <w:szCs w:val="18"/>
          <w:color w:val="465361"/>
        </w:rPr>
        <w:t>$</w:t>
      </w:r>
      <w:r>
        <w:rPr>
          <w:sz w:val="20"/>
          <w:szCs w:val="20"/>
          <w:color w:val="auto"/>
        </w:rPr>
        <w:tab/>
      </w:r>
      <w:r>
        <w:rPr>
          <w:rFonts w:ascii="Arial" w:cs="Arial" w:eastAsia="Arial" w:hAnsi="Arial"/>
          <w:sz w:val="18"/>
          <w:szCs w:val="18"/>
          <w:color w:val="465361"/>
        </w:rPr>
        <w:t>per share to existing stockholders and immediate dilution in net tangible book value of $</w:t>
      </w:r>
      <w:r>
        <w:rPr>
          <w:sz w:val="20"/>
          <w:szCs w:val="20"/>
          <w:color w:val="auto"/>
        </w:rPr>
        <w:tab/>
      </w:r>
      <w:r>
        <w:rPr>
          <w:rFonts w:ascii="Arial" w:cs="Arial" w:eastAsia="Arial" w:hAnsi="Arial"/>
          <w:sz w:val="15"/>
          <w:szCs w:val="15"/>
          <w:color w:val="465361"/>
        </w:rPr>
        <w:t>per share to purchasers in this offering.</w:t>
      </w:r>
    </w:p>
    <w:p>
      <w:pPr>
        <w:spacing w:after="0" w:line="165" w:lineRule="exact"/>
        <w:rPr>
          <w:sz w:val="20"/>
          <w:szCs w:val="20"/>
          <w:color w:val="auto"/>
        </w:rPr>
      </w:pPr>
    </w:p>
    <w:p>
      <w:pPr>
        <w:ind w:left="120" w:right="100"/>
        <w:spacing w:after="0" w:line="298" w:lineRule="auto"/>
        <w:rPr>
          <w:sz w:val="20"/>
          <w:szCs w:val="20"/>
          <w:color w:val="auto"/>
        </w:rPr>
      </w:pPr>
      <w:r>
        <w:rPr>
          <w:rFonts w:ascii="Arial" w:cs="Arial" w:eastAsia="Arial" w:hAnsi="Arial"/>
          <w:sz w:val="16"/>
          <w:szCs w:val="16"/>
          <w:color w:val="465361"/>
        </w:rPr>
        <w:t>To the extent that outstanding options are exercised, or we issue new options under our equity incentive plans, you will experience further dilution. In addition, we may choose to raise additional capital due to market conditions or strategic considerations even if we believe we have sufficient funds for our current or future operating plans. To the extent that the additional capital is raised through the sale of common stock or securities convertible or exchangeable into common stock, such issuance could result in further dilution to our stockholders.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465361"/>
        </w:rPr>
        <w:t>S-13</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65361"/>
        </w:rPr>
        <w:t>MATERIAL U.S. FEDERAL INCOME TAX CONSIDERATIONS FOR NON-U.S. HOLDERS</w:t>
      </w:r>
    </w:p>
    <w:p>
      <w:pPr>
        <w:spacing w:after="0" w:line="177"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color w:val="465361"/>
        </w:rPr>
        <w:t>The following is a discussion of material U.S. federal income tax considerations relating to the acquisition, ownership and disposition of our common stock purchased in this offering by a non-U.S. holder (as defined below). This discussion is based on the provisions of the Internal Revenue Code of 1986, as amended (the “</w:t>
      </w:r>
      <w:r>
        <w:rPr>
          <w:rFonts w:ascii="Arial" w:cs="Arial" w:eastAsia="Arial" w:hAnsi="Arial"/>
          <w:sz w:val="16"/>
          <w:szCs w:val="16"/>
          <w:b w:val="1"/>
          <w:bCs w:val="1"/>
          <w:color w:val="465361"/>
        </w:rPr>
        <w:t>Code</w:t>
      </w:r>
      <w:r>
        <w:rPr>
          <w:rFonts w:ascii="Arial" w:cs="Arial" w:eastAsia="Arial" w:hAnsi="Arial"/>
          <w:sz w:val="16"/>
          <w:szCs w:val="16"/>
          <w:color w:val="465361"/>
        </w:rPr>
        <w:t>”), final, temporary and proposed U.S. Treasury Regulations promulgated thereunder and current administrative rulings and judicial decisions, all as in effect as of the date hereof. All of these authorities may be subject to differing interpretations or repealed, revoked or modified, possibly with retroactive effect, which could materially alter the tax considerations to non-U.S. holders described in this prospectus supplement.</w:t>
      </w:r>
    </w:p>
    <w:p>
      <w:pPr>
        <w:spacing w:after="0" w:line="109" w:lineRule="exact"/>
        <w:rPr>
          <w:sz w:val="20"/>
          <w:szCs w:val="20"/>
          <w:color w:val="auto"/>
        </w:rPr>
      </w:pPr>
    </w:p>
    <w:p>
      <w:pPr>
        <w:jc w:val="both"/>
        <w:ind w:left="120" w:right="60"/>
        <w:spacing w:after="0" w:line="262" w:lineRule="auto"/>
        <w:rPr>
          <w:sz w:val="20"/>
          <w:szCs w:val="20"/>
          <w:color w:val="auto"/>
        </w:rPr>
      </w:pPr>
      <w:r>
        <w:rPr>
          <w:rFonts w:ascii="Arial" w:cs="Arial" w:eastAsia="Arial" w:hAnsi="Arial"/>
          <w:sz w:val="18"/>
          <w:szCs w:val="18"/>
          <w:color w:val="465361"/>
        </w:rPr>
        <w:t>There can be no assurance that the Internal Revenue Service (“</w:t>
      </w:r>
      <w:r>
        <w:rPr>
          <w:rFonts w:ascii="Arial" w:cs="Arial" w:eastAsia="Arial" w:hAnsi="Arial"/>
          <w:sz w:val="18"/>
          <w:szCs w:val="18"/>
          <w:b w:val="1"/>
          <w:bCs w:val="1"/>
          <w:color w:val="465361"/>
        </w:rPr>
        <w:t>IRS</w:t>
      </w:r>
      <w:r>
        <w:rPr>
          <w:rFonts w:ascii="Arial" w:cs="Arial" w:eastAsia="Arial" w:hAnsi="Arial"/>
          <w:sz w:val="18"/>
          <w:szCs w:val="18"/>
          <w:color w:val="465361"/>
        </w:rPr>
        <w:t>”) will not take a contrary position to the tax considerations described herein or that such position will not be sustained by a court. No ruling from the IRS has been obtained with respect to the U.S. federal income tax consequences to a non-U.S. holder of the acquisition, ownership or disposition of our common stock.</w:t>
      </w:r>
    </w:p>
    <w:p>
      <w:pPr>
        <w:spacing w:after="0" w:line="13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465361"/>
        </w:rPr>
        <w:t>This discussion is for general information only and is not tax advice. All prospective non-U.S. holders of our common stock should consult their own tax advisors with respect to the U.S. federal, state, local and non-U.S. income, estate, and other tax consequences of the acquisition, ownership and disposition of our common stock.</w:t>
      </w:r>
    </w:p>
    <w:p>
      <w:pPr>
        <w:spacing w:after="0" w:line="14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As used in this discussion, a “non-U.S. holder” is, for U.S. federal income tax purposes, a beneficial owner of our common stock (other than a partnership or entity or arrangement treated as a partnership for U.S. federal income tax purposes) that is not a U.S. holder. A “U.S. holder” means a beneficial owner of our common stock that is, for U.S. federal income tax purposes, (a) an individual who is a citizen or resident of the United States, (b) a corporation or other entity treated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the Code) have the authority to control all substantial decisions of the trust or (2) has a valid election in effect under applicable U.S. Treasury Regulations to be treated as a United States person.</w:t>
      </w:r>
    </w:p>
    <w:p>
      <w:pPr>
        <w:spacing w:after="0" w:line="124"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This discussion assumes that a prospective non-U.S. holder will hold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In addition, this discussion does not address any aspect of the U.S. federal alternative minimum tax, the Medicare contribution tax on net investment income, U.S. state or local or non-U.S. taxes, any U.S. federal non-income taxes (such as estate or gift taxes) or the special tax rules applicable to particular non-U.S. holders, such as:</w:t>
      </w:r>
    </w:p>
    <w:p>
      <w:pPr>
        <w:spacing w:after="0" w:line="34" w:lineRule="exact"/>
        <w:rPr>
          <w:sz w:val="20"/>
          <w:szCs w:val="20"/>
          <w:color w:val="auto"/>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insurance companies and financial institutions;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tax-exempt organizations or governmental organizations;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pension plans;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controlled foreign corporations;</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passive foreign investment companies;</w:t>
      </w:r>
    </w:p>
    <w:p>
      <w:pPr>
        <w:spacing w:after="0" w:line="90" w:lineRule="exact"/>
        <w:rPr>
          <w:rFonts w:ascii="Arial" w:cs="Arial" w:eastAsia="Arial" w:hAnsi="Arial"/>
          <w:sz w:val="18"/>
          <w:szCs w:val="18"/>
          <w:color w:val="465361"/>
        </w:rPr>
      </w:pPr>
    </w:p>
    <w:p>
      <w:pPr>
        <w:ind w:left="1420" w:right="340" w:hanging="427"/>
        <w:spacing w:after="0" w:line="268" w:lineRule="auto"/>
        <w:tabs>
          <w:tab w:leader="none" w:pos="1420" w:val="left"/>
        </w:tabs>
        <w:numPr>
          <w:ilvl w:val="0"/>
          <w:numId w:val="13"/>
        </w:numPr>
        <w:rPr>
          <w:rFonts w:ascii="Arial" w:cs="Arial" w:eastAsia="Arial" w:hAnsi="Arial"/>
          <w:sz w:val="18"/>
          <w:szCs w:val="18"/>
          <w:color w:val="465361"/>
        </w:rPr>
      </w:pPr>
      <w:r>
        <w:rPr>
          <w:rFonts w:ascii="Arial" w:cs="Arial" w:eastAsia="Arial" w:hAnsi="Arial"/>
          <w:sz w:val="18"/>
          <w:szCs w:val="18"/>
          <w:color w:val="465361"/>
        </w:rPr>
        <w:t>tax qualified retirement plans and “qualified foreign pension funds” as defined in Section 897(1)(2) of the Code and entities all of the interests of which are held by qualified foreign pension funds;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tabs>
          <w:tab w:leader="none" w:pos="142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corporations that accumulate earnings to avoid U.S. federal income tax;</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accrual method taxpayers subject to special tax accounting rules under the Section 451(b) of the Code;</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dealers in securities;</w:t>
      </w:r>
    </w:p>
    <w:p>
      <w:pPr>
        <w:spacing w:after="0" w:line="90" w:lineRule="exact"/>
        <w:rPr>
          <w:rFonts w:ascii="Arial" w:cs="Arial" w:eastAsia="Arial" w:hAnsi="Arial"/>
          <w:sz w:val="18"/>
          <w:szCs w:val="18"/>
          <w:color w:val="465361"/>
        </w:rPr>
      </w:pPr>
    </w:p>
    <w:p>
      <w:pPr>
        <w:ind w:left="1420" w:right="220" w:hanging="427"/>
        <w:spacing w:after="0" w:line="268" w:lineRule="auto"/>
        <w:tabs>
          <w:tab w:leader="none" w:pos="142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persons deemed to sell our common stock under the constructive sale provisions of the Code or persons that hold our common stock as part of a straddle, conversion transaction, or other integrated investment; and</w:t>
      </w:r>
    </w:p>
    <w:p>
      <w:pPr>
        <w:spacing w:after="0" w:line="50" w:lineRule="exact"/>
        <w:rPr>
          <w:rFonts w:ascii="Arial" w:cs="Arial" w:eastAsia="Arial" w:hAnsi="Arial"/>
          <w:sz w:val="18"/>
          <w:szCs w:val="18"/>
          <w:color w:val="465361"/>
        </w:rPr>
      </w:pPr>
    </w:p>
    <w:p>
      <w:pPr>
        <w:ind w:left="1420" w:hanging="427"/>
        <w:spacing w:after="0"/>
        <w:tabs>
          <w:tab w:leader="none" w:pos="1420" w:val="left"/>
        </w:tabs>
        <w:numPr>
          <w:ilvl w:val="0"/>
          <w:numId w:val="14"/>
        </w:numPr>
        <w:rPr>
          <w:rFonts w:ascii="Arial" w:cs="Arial" w:eastAsia="Arial" w:hAnsi="Arial"/>
          <w:sz w:val="18"/>
          <w:szCs w:val="18"/>
          <w:color w:val="465361"/>
        </w:rPr>
      </w:pPr>
      <w:r>
        <w:rPr>
          <w:rFonts w:ascii="Arial" w:cs="Arial" w:eastAsia="Arial" w:hAnsi="Arial"/>
          <w:sz w:val="18"/>
          <w:szCs w:val="18"/>
          <w:color w:val="465361"/>
        </w:rPr>
        <w:t>former citizens or residents of the United States subject to tax as expatriates.</w:t>
      </w:r>
    </w:p>
    <w:p>
      <w:pPr>
        <w:spacing w:after="0" w:line="171" w:lineRule="exact"/>
        <w:rPr>
          <w:sz w:val="20"/>
          <w:szCs w:val="20"/>
          <w:color w:val="auto"/>
        </w:rPr>
      </w:pPr>
    </w:p>
    <w:p>
      <w:pPr>
        <w:ind w:left="120" w:right="100"/>
        <w:spacing w:after="0" w:line="256" w:lineRule="auto"/>
        <w:rPr>
          <w:sz w:val="20"/>
          <w:szCs w:val="20"/>
          <w:color w:val="auto"/>
        </w:rPr>
      </w:pPr>
      <w:r>
        <w:rPr>
          <w:rFonts w:ascii="Arial" w:cs="Arial" w:eastAsia="Arial" w:hAnsi="Arial"/>
          <w:sz w:val="18"/>
          <w:szCs w:val="18"/>
          <w:color w:val="465361"/>
        </w:rPr>
        <w:t>If a partnership or other entity or arrangement treated as a partnership for U.S. federal income tax purposes is an owner of our common stock, the treatment of a partner in the partnership generally will depend on the status of the partner and the activities of the partnership. We urge any owner of our common stock that is a partnership and partners in that partnership to consult their tax advisors regarding the U.S. federal income tax consequences of purchasing, owning and disposing of our common stock.</w:t>
      </w:r>
    </w:p>
    <w:p>
      <w:pPr>
        <w:spacing w:after="0" w:line="137" w:lineRule="exact"/>
        <w:rPr>
          <w:sz w:val="20"/>
          <w:szCs w:val="20"/>
          <w:color w:val="auto"/>
        </w:rPr>
      </w:pPr>
    </w:p>
    <w:p>
      <w:pPr>
        <w:ind w:left="120" w:right="300"/>
        <w:spacing w:after="0" w:line="258" w:lineRule="auto"/>
        <w:rPr>
          <w:sz w:val="20"/>
          <w:szCs w:val="20"/>
          <w:color w:val="auto"/>
        </w:rPr>
      </w:pPr>
      <w:r>
        <w:rPr>
          <w:rFonts w:ascii="Arial" w:cs="Arial" w:eastAsia="Arial" w:hAnsi="Arial"/>
          <w:sz w:val="18"/>
          <w:szCs w:val="18"/>
          <w:b w:val="1"/>
          <w:bCs w:val="1"/>
          <w:color w:val="465361"/>
        </w:rPr>
        <w:t>PROSPECTIVE INVESTORS SHOULD CONSULT THEIR TAX ADVISORS REGARDING THE PARTICULAR U.S. FEDERAL INCOME TAX CONSEQUENCES TO THEM OF ACQUIRING, OWNING, AND DISPOSING OF OUR COMMON STOCK, AS WELL AS ANY TAX CONSEQUENCES ARISING UNDER ANY STATE, LOCAL, OR NON-U.S. TAX LAWS AND ANY NON-INCOME U.S. FEDERAL TAX LAWS.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Distributions on Our Common Stock</w:t>
      </w:r>
    </w:p>
    <w:p>
      <w:pPr>
        <w:spacing w:after="0" w:line="96"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465361"/>
        </w:rPr>
        <w:t>As described in the section entitled “Dividend Policy,” we do not anticipate declaring or paying dividends to non-U.S. holders of our common stock in the foreseeable future. However, if we do make distributions of cash or property on our common stock, such distribution will generally constitute a dividend for U.S. federal income tax purposes to the extent paid from our current or accumulated earnings and profits, as determined under U.S. federal income tax principles. Distributions in excess of our current and accumulated earnings and profits will generally constitute a return of capital to the extent of the non-U.S. holder’s adjusted tax basis in our common stock, and will be applied against and reduce the non-U.S. holder’s adjusted tax basis. Any remaining excess amount will be treated as capital gain, subject to the tax treatment described below in “— Gain on Sale, Exchange or Other Disposition of Our Common Stock.”</w:t>
      </w:r>
    </w:p>
    <w:p>
      <w:pPr>
        <w:spacing w:after="0" w:line="14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Subject to the discussions below regarding effectively connected income, backup withholding and FATCA, dividends paid to a non-U.S. holder will generally be subject to withholding of U.S. federal income tax at a rate of 30% on the gross amount paid, unless the non-U.S. holder is entitled to an exemption from or reduced rate of withholding under an applicable income tax treaty. In order to claim the benefit of an income tax treaty, a non-U.S. holder must provide a properly executed IRS Form W-8BEN or W-8BEN-E, as applicable (or applicable successor form), certifying under penalties of perjury that such non-U.S. holder is entitled to benefits under the applicable income tax treaty and has complied with any special certification requirements prior to the payment of dividends. A non-U.S. holder eligible for a reduced rate of withholding pursuant to an income tax treaty may be eligible to obtain a refund or credit of any excess amounts withheld by timely filing an appropriate claim for a refund with the IRS. Non-U.S. holders should consult their tax advisors regarding possible entitlements to benefits under any income tax treaty.</w:t>
      </w:r>
    </w:p>
    <w:p>
      <w:pPr>
        <w:spacing w:after="0" w:line="124" w:lineRule="exact"/>
        <w:rPr>
          <w:sz w:val="20"/>
          <w:szCs w:val="20"/>
          <w:color w:val="auto"/>
        </w:rPr>
      </w:pPr>
    </w:p>
    <w:p>
      <w:pPr>
        <w:ind w:left="120" w:right="260"/>
        <w:spacing w:after="0" w:line="268" w:lineRule="auto"/>
        <w:rPr>
          <w:sz w:val="20"/>
          <w:szCs w:val="20"/>
          <w:color w:val="auto"/>
        </w:rPr>
      </w:pPr>
      <w:r>
        <w:rPr>
          <w:rFonts w:ascii="Arial" w:cs="Arial" w:eastAsia="Arial" w:hAnsi="Arial"/>
          <w:sz w:val="18"/>
          <w:szCs w:val="18"/>
          <w:color w:val="465361"/>
        </w:rPr>
        <w:t>Dividends paid to a non-U.S. holder that are treated as effectively connected with a trade or business conducted by the non-U.S. holder within the United States (and, if an applicable income tax treaty so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provides, are also attributable to a permanent establishment or a fixed base maintained within the United States by the non-U.S. holder) are generally exempt from the 30% withholding tax. To establish the exemption, a non-U.S. holder must provide a properly executed IRS Form W-8ECI (or successor form), certifying that the dividends are effectively connected with the non-U.S. holder’s conduct of a trade or business within the United States prior to the payment of the dividend. Dividends received by a non-U.S. holder that are treated as effectively connected with a U.S. trade or business generally are subject to U.S. federal income tax at rates applicable to U.S. persons. A non-U.S. holder that is a corporation may, under certain circumstances, be subject to an additional “branch profits tax” imposed at a rate of 30%, or such lower rate as provided by an applicable income tax treaty between the United States and such non-U.S. holder’s country of residence.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Gain On Sale, Exchange or Other Disposition of Our Common Stock</w:t>
      </w:r>
    </w:p>
    <w:p>
      <w:pPr>
        <w:spacing w:after="0" w:line="96" w:lineRule="exact"/>
        <w:rPr>
          <w:sz w:val="20"/>
          <w:szCs w:val="20"/>
          <w:color w:val="auto"/>
        </w:rPr>
      </w:pPr>
    </w:p>
    <w:p>
      <w:pPr>
        <w:ind w:left="120" w:right="100"/>
        <w:spacing w:after="0" w:line="331" w:lineRule="auto"/>
        <w:rPr>
          <w:sz w:val="20"/>
          <w:szCs w:val="20"/>
          <w:color w:val="auto"/>
        </w:rPr>
      </w:pPr>
      <w:r>
        <w:rPr>
          <w:rFonts w:ascii="Arial" w:cs="Arial" w:eastAsia="Arial" w:hAnsi="Arial"/>
          <w:sz w:val="16"/>
          <w:szCs w:val="16"/>
          <w:color w:val="465361"/>
        </w:rPr>
        <w:t>Subject to the discussions below regarding backup withholding and FACTA, a non-U.S. holder will generally not be subject to any U.S. federal income tax or withholding on any gain realized from the non-U.S. holder’s sale, exchange or other disposition of shares of our common stock unless:</w:t>
      </w:r>
    </w:p>
    <w:p>
      <w:pPr>
        <w:spacing w:after="0" w:line="6" w:lineRule="exact"/>
        <w:rPr>
          <w:sz w:val="20"/>
          <w:szCs w:val="20"/>
          <w:color w:val="auto"/>
        </w:rPr>
      </w:pPr>
    </w:p>
    <w:p>
      <w:pPr>
        <w:ind w:left="1420" w:hanging="427"/>
        <w:spacing w:after="0" w:line="298" w:lineRule="auto"/>
        <w:tabs>
          <w:tab w:leader="none" w:pos="142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the gain is effectively connected with a U.S. trade or business (and, if an applicable income tax treaty so provides, is also attributable to a permanent establishment or a fixed base maintained within the United States by the non-U.S. holder), in which case the gain will be taxed on a net-income basis, generally in the same manner as if the non-U.S. holder were a U.S. person, and, if the non-U.S. holder is a corporation, the additional branch profits tax described above in “-Distributions on Our Common Stock” may also apply;</w:t>
      </w:r>
    </w:p>
    <w:p>
      <w:pPr>
        <w:spacing w:after="0" w:line="31" w:lineRule="exact"/>
        <w:rPr>
          <w:rFonts w:ascii="Arial" w:cs="Arial" w:eastAsia="Arial" w:hAnsi="Arial"/>
          <w:sz w:val="16"/>
          <w:szCs w:val="16"/>
          <w:color w:val="465361"/>
        </w:rPr>
      </w:pPr>
    </w:p>
    <w:p>
      <w:pPr>
        <w:ind w:left="1420" w:right="60" w:hanging="427"/>
        <w:spacing w:after="0" w:line="298" w:lineRule="auto"/>
        <w:tabs>
          <w:tab w:leader="none" w:pos="142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the non-U.S. holder is an individual who is present in the United States for 183 days or more in the taxable year of the disposition and certain other conditions are met, in which case the non-U.S. holder will be subject to a 30% tax (or such lower rates as may be provided by an applicable income tax treaty) on the net gain derived from the disposition, which may be offset by U.S.-source capital losses of the non-U.S. holder, if any, provided the non-U.S. holder has timely filed U.S. federal income tax returns with respect to such losses; or</w:t>
      </w:r>
    </w:p>
    <w:p>
      <w:pPr>
        <w:spacing w:after="0" w:line="31" w:lineRule="exact"/>
        <w:rPr>
          <w:rFonts w:ascii="Arial" w:cs="Arial" w:eastAsia="Arial" w:hAnsi="Arial"/>
          <w:sz w:val="16"/>
          <w:szCs w:val="16"/>
          <w:color w:val="465361"/>
        </w:rPr>
      </w:pPr>
    </w:p>
    <w:p>
      <w:pPr>
        <w:ind w:left="1420" w:right="500" w:hanging="427"/>
        <w:spacing w:after="0" w:line="331" w:lineRule="auto"/>
        <w:tabs>
          <w:tab w:leader="none" w:pos="1420" w:val="left"/>
        </w:tabs>
        <w:numPr>
          <w:ilvl w:val="0"/>
          <w:numId w:val="15"/>
        </w:numPr>
        <w:rPr>
          <w:rFonts w:ascii="Arial" w:cs="Arial" w:eastAsia="Arial" w:hAnsi="Arial"/>
          <w:sz w:val="16"/>
          <w:szCs w:val="16"/>
          <w:color w:val="465361"/>
        </w:rPr>
      </w:pPr>
      <w:r>
        <w:rPr>
          <w:rFonts w:ascii="Arial" w:cs="Arial" w:eastAsia="Arial" w:hAnsi="Arial"/>
          <w:sz w:val="16"/>
          <w:szCs w:val="16"/>
          <w:color w:val="465361"/>
        </w:rPr>
        <w:t>we are, or have been at any time during the five-year period preceding such disposition (or the non-U.S. holder’s holding period, if shorter), a “United States real property holding corporation” (a “USRPHC”) under Section 897 of the Code.</w:t>
      </w:r>
    </w:p>
    <w:p>
      <w:pPr>
        <w:spacing w:after="0" w:line="8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465361"/>
        </w:rPr>
        <w:t>Generally, we will be a USRPHC if the fair market value of our U.S. real property interests equals or exceeds 50% of the sum of the fair market values of our worldwide real property interests and other assets used or held for use in a trade or business, all as determined under applicable U.S. Treasury Regulations. We believe that we are not currently, and do not anticipate becoming in the future, a USRPHC for U.S. federal income tax purposes. However, because the determination of whether we are a USRPHC depends on the fair market value of our United States real property relative to the fair market value of our other business assets, there can be no assurance that we will not become a USRPHC in the future. If we are a USRPHC and either our common stock is not regularly traded on an established securities market (as defined under applicable Treasury Regulations) or a non-U.S. holder holds, or is treated as holding, more than 5% of our outstanding common stock, directly or indirectly, during the applicable testing period, such non-U.S. holder will generally be taxed on any gain in the same manner as gain that is effectively connected with the conduct of a U.S. trade or business, except that the branch profits tax generally will not apply. Prospective investors are encouraged to consult their own tax advisors regarding the possible consequences to them if we are, or were to become, a USRPHC.</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Information Reporting and Backup Withholding</w:t>
      </w:r>
    </w:p>
    <w:p>
      <w:pPr>
        <w:spacing w:after="0" w:line="96" w:lineRule="exact"/>
        <w:rPr>
          <w:sz w:val="20"/>
          <w:szCs w:val="20"/>
          <w:color w:val="auto"/>
        </w:rPr>
      </w:pPr>
    </w:p>
    <w:p>
      <w:pPr>
        <w:ind w:left="120" w:right="60"/>
        <w:spacing w:after="0" w:line="268" w:lineRule="auto"/>
        <w:rPr>
          <w:sz w:val="20"/>
          <w:szCs w:val="20"/>
          <w:color w:val="auto"/>
        </w:rPr>
      </w:pPr>
      <w:r>
        <w:rPr>
          <w:rFonts w:ascii="Arial" w:cs="Arial" w:eastAsia="Arial" w:hAnsi="Arial"/>
          <w:sz w:val="18"/>
          <w:szCs w:val="18"/>
          <w:color w:val="465361"/>
        </w:rPr>
        <w:t>The applicable withholding agent must report annually to the IRS and to each non-U.S. holder the amount of distributions paid to such non-U.S. holder and the amount of tax withheld, if any. Copies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S-16</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68" w:lineRule="auto"/>
        <w:rPr>
          <w:sz w:val="20"/>
          <w:szCs w:val="20"/>
          <w:color w:val="auto"/>
        </w:rPr>
      </w:pPr>
      <w:r>
        <w:rPr>
          <w:rFonts w:ascii="Arial" w:cs="Arial" w:eastAsia="Arial" w:hAnsi="Arial"/>
          <w:sz w:val="18"/>
          <w:szCs w:val="18"/>
          <w:color w:val="465361"/>
        </w:rPr>
        <w:t>the information returns filed with the IRS to report the distributions and withholding may also be made available to the tax authorities in a country in which the non-U.S. holder is a resident under the provisions of an applicable income tax treaty or agreement.</w:t>
      </w:r>
    </w:p>
    <w:p>
      <w:pPr>
        <w:spacing w:after="0" w:line="13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The United States imposes backup withholding, currently at a rate of 24%, on the gross amount of dividends and certain other types of payments. Dividends paid to a non-U.S. holder will not be subject to backup withholding if proper certification of foreign status (usually on IRS Form W-8BEN, W-8BEN-E or W-8ECI, as applicable) is provided and the payor does not have actual knowledge or reason to know that the non-U.S. holder is a U.S. person. In addition, no backup withholding or information reporting will be required regarding the proceeds of a disposition of our common stock made by a non-U.S. holder within the United States or conducted through certain U.S. financial intermediaries if the payor receives the certification of foreign status described in the preceding sentence and does not have actual knowledge or reason to know that such non-U.S. holder is a U.S. person or the non-U.S. holder otherwise establishes an exemption. Non-U.S. holders should consult their tax advisors regarding the application of the information reporting and backup withholding rules to them.</w:t>
      </w:r>
    </w:p>
    <w:p>
      <w:pPr>
        <w:spacing w:after="0" w:line="12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465361"/>
        </w:rPr>
        <w:t>Backup withholding is not an additional tax. Rather, amounts withheld under the backup withholding rules from a payment to a non-U.S. holder may be credited against the non-U.S. holder’s U.S. federal income tax liability, if any, and may entitle such holder to a refund, provided that certain required information is furnished to the IRS in a timely manner.</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FATCA</w:t>
      </w:r>
    </w:p>
    <w:p>
      <w:pPr>
        <w:spacing w:after="0" w:line="96" w:lineRule="exact"/>
        <w:rPr>
          <w:sz w:val="20"/>
          <w:szCs w:val="20"/>
          <w:color w:val="auto"/>
        </w:rPr>
      </w:pPr>
    </w:p>
    <w:p>
      <w:pPr>
        <w:ind w:left="120" w:right="40"/>
        <w:spacing w:after="0" w:line="302" w:lineRule="auto"/>
        <w:rPr>
          <w:sz w:val="20"/>
          <w:szCs w:val="20"/>
          <w:color w:val="auto"/>
        </w:rPr>
      </w:pPr>
      <w:r>
        <w:rPr>
          <w:rFonts w:ascii="Arial" w:cs="Arial" w:eastAsia="Arial" w:hAnsi="Arial"/>
          <w:sz w:val="15"/>
          <w:szCs w:val="15"/>
          <w:color w:val="465361"/>
        </w:rPr>
        <w:t>In addition to the withholding described above, Sections 1471 through 1474 of the Code, or FATCA, imposes a 30% withholding tax on dividend payments made by a U.S. person to a foreign financial institution or non-financial foreign entity (including, in some cases, when a foreign financial institution or nonfinancial foreign entity is acting as an intermediary), and, subject to the proposed Treasury Regulations discussed below on the gross proceeds received by a foreign financial institution or non-financial foreign entity as a result of a sale or other disposition of shares of stock issued by a U.S. person, unless</w:t>
      </w:r>
    </w:p>
    <w:p>
      <w:pPr>
        <w:spacing w:after="0" w:line="2" w:lineRule="exact"/>
        <w:rPr>
          <w:sz w:val="20"/>
          <w:szCs w:val="20"/>
          <w:color w:val="auto"/>
        </w:rPr>
      </w:pPr>
    </w:p>
    <w:p>
      <w:pPr>
        <w:ind w:left="120" w:right="260" w:hanging="4"/>
        <w:spacing w:after="0" w:line="288" w:lineRule="auto"/>
        <w:tabs>
          <w:tab w:leader="none" w:pos="330" w:val="left"/>
        </w:tabs>
        <w:numPr>
          <w:ilvl w:val="0"/>
          <w:numId w:val="16"/>
        </w:numPr>
        <w:rPr>
          <w:rFonts w:ascii="Arial" w:cs="Arial" w:eastAsia="Arial" w:hAnsi="Arial"/>
          <w:sz w:val="16"/>
          <w:szCs w:val="16"/>
          <w:color w:val="465361"/>
        </w:rPr>
      </w:pPr>
      <w:r>
        <w:rPr>
          <w:rFonts w:ascii="Arial" w:cs="Arial" w:eastAsia="Arial" w:hAnsi="Arial"/>
          <w:sz w:val="16"/>
          <w:szCs w:val="16"/>
          <w:color w:val="465361"/>
        </w:rPr>
        <w:t>in the case of a foreign financial institution, such institution enters into (or is deemed to have entered into) an agreement with the U.S. Treasury Department to withhold on certain payments, and to collect and provide to the U.S. Treasury Department substantial information regarding certain U.S. account holders of such institution (which includes certain equity and debt holders of such institution, as well as certain account holders that are foreign entities with U.S. owners), (ii) in the case of a non-financial foreign entity, such entity provides the withholding agent with a certification identifying the direct and indirect substantial U.S. owners of the entity, or (iii) the foreign financial institution or non-financial foreign entity otherwise qualifies for an exemption from these rules. Under certain circumstances, a non-U.S. holder might be eligible for refunds or credits of such taxes. An intergovernmental agreement between the United States and an applicable foreign country may modify these requirements.</w:t>
      </w:r>
    </w:p>
    <w:p>
      <w:pPr>
        <w:spacing w:after="0" w:line="12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465361"/>
        </w:rPr>
        <w:t>While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40"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color w:val="465361"/>
        </w:rPr>
        <w:t>Non-U.S. holders should consult their tax advisors regarding the possible implications of FATCA to them in connection with the acquisition, ownership and disposition of our common stock.</w:t>
      </w:r>
    </w:p>
    <w:p>
      <w:pPr>
        <w:spacing w:after="0" w:line="126"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b w:val="1"/>
          <w:bCs w:val="1"/>
          <w:color w:val="465361"/>
        </w:rPr>
        <w:t>EACH PROSPECTIVE INVESTOR SHOULD CONSULT ITS OWN TAX ADVISOR REGARDING THE TAX CONSEQUENCES OF PURCHASING, HOLDING AND DISPOSING OF OUR COMMON STOCK, INCLUDING THE CONSEQUENCES OF ANY PROPOSED OR RECENT CHANGES IN APPLICABLE LAW, AS WELL AS TAX CONSEQUENCES ARISING UNDER ANY STATE, LOCAL, NON-U.S. OR U.S. FEDERAL NON-INCOME TAX LAWS OR UNDER ANY APPLICABLE TAX TREATY.</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S-17</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UNDERWRITING</w:t>
      </w:r>
    </w:p>
    <w:p>
      <w:pPr>
        <w:spacing w:after="0" w:line="177" w:lineRule="exact"/>
        <w:rPr>
          <w:sz w:val="20"/>
          <w:szCs w:val="20"/>
          <w:color w:val="auto"/>
        </w:rPr>
      </w:pPr>
    </w:p>
    <w:p>
      <w:pPr>
        <w:ind w:left="120" w:right="40"/>
        <w:spacing w:after="0" w:line="294" w:lineRule="auto"/>
        <w:rPr>
          <w:sz w:val="20"/>
          <w:szCs w:val="20"/>
          <w:color w:val="auto"/>
        </w:rPr>
      </w:pPr>
      <w:r>
        <w:rPr>
          <w:rFonts w:ascii="Arial" w:cs="Arial" w:eastAsia="Arial" w:hAnsi="Arial"/>
          <w:sz w:val="16"/>
          <w:szCs w:val="16"/>
          <w:color w:val="465361"/>
        </w:rPr>
        <w:t>We are offering the shares of common stock described in this prospectus supplement through Piper Sandler &amp; Co. and Cowen and Company, LLC, as book-running managers. We have entered into an underwriting agreement with Piper Sandler &amp; Co. and Cowen and Company, LLC, as representatives of the several underwriters named below. Subject to the terms and conditions set forth in the underwriting agreement, we have agreed to sell to the underwriters, and each of the underwriters has agreed, severally and not jointly, to purchase from us, at the public offering price less the underwriting discounts and commissions set forth on the cover page of this prospectus the number of shares of common stock listed opposite its name below.</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465361"/>
                <w:w w:val="95"/>
              </w:rPr>
              <w:t>Underwriter</w:t>
            </w:r>
          </w:p>
        </w:tc>
        <w:tc>
          <w:tcPr>
            <w:tcW w:w="7440" w:type="dxa"/>
            <w:vAlign w:val="bottom"/>
          </w:tcPr>
          <w:p>
            <w:pPr>
              <w:jc w:val="center"/>
              <w:ind w:left="6813"/>
              <w:spacing w:after="0"/>
              <w:rPr>
                <w:sz w:val="20"/>
                <w:szCs w:val="20"/>
                <w:color w:val="auto"/>
              </w:rPr>
            </w:pPr>
            <w:r>
              <w:rPr>
                <w:rFonts w:ascii="Arial" w:cs="Arial" w:eastAsia="Arial" w:hAnsi="Arial"/>
                <w:sz w:val="13"/>
                <w:szCs w:val="13"/>
                <w:b w:val="1"/>
                <w:bCs w:val="1"/>
                <w:color w:val="465361"/>
                <w:w w:val="97"/>
              </w:rPr>
              <w:t>Number</w:t>
            </w:r>
          </w:p>
        </w:tc>
        <w:tc>
          <w:tcPr>
            <w:tcW w:w="0" w:type="dxa"/>
            <w:vAlign w:val="bottom"/>
          </w:tcPr>
          <w:p>
            <w:pPr>
              <w:spacing w:after="0"/>
              <w:rPr>
                <w:sz w:val="1"/>
                <w:szCs w:val="1"/>
                <w:color w:val="auto"/>
              </w:rPr>
            </w:pPr>
          </w:p>
        </w:tc>
      </w:tr>
      <w:tr>
        <w:trPr>
          <w:trHeight w:val="153"/>
        </w:trPr>
        <w:tc>
          <w:tcPr>
            <w:tcW w:w="720" w:type="dxa"/>
            <w:vAlign w:val="bottom"/>
            <w:tcBorders>
              <w:bottom w:val="single" w:sz="8" w:color="auto"/>
            </w:tcBorders>
            <w:vMerge w:val="continue"/>
          </w:tcPr>
          <w:p>
            <w:pPr>
              <w:spacing w:after="0"/>
              <w:rPr>
                <w:sz w:val="12"/>
                <w:szCs w:val="12"/>
                <w:color w:val="auto"/>
              </w:rPr>
            </w:pPr>
          </w:p>
        </w:tc>
        <w:tc>
          <w:tcPr>
            <w:tcW w:w="7440" w:type="dxa"/>
            <w:vAlign w:val="bottom"/>
          </w:tcPr>
          <w:p>
            <w:pPr>
              <w:jc w:val="center"/>
              <w:ind w:left="6833"/>
              <w:spacing w:after="0" w:line="148" w:lineRule="exact"/>
              <w:rPr>
                <w:sz w:val="20"/>
                <w:szCs w:val="20"/>
                <w:color w:val="auto"/>
              </w:rPr>
            </w:pPr>
            <w:r>
              <w:rPr>
                <w:rFonts w:ascii="Arial" w:cs="Arial" w:eastAsia="Arial" w:hAnsi="Arial"/>
                <w:sz w:val="13"/>
                <w:szCs w:val="13"/>
                <w:b w:val="1"/>
                <w:bCs w:val="1"/>
                <w:color w:val="465361"/>
                <w:w w:val="91"/>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0</wp:posOffset>
            </wp:positionV>
            <wp:extent cx="524637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46370" cy="14541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465361"/>
        </w:rPr>
        <w:t>Piper Sandler &amp; Co.</w:t>
      </w:r>
    </w:p>
    <w:p>
      <w:pPr>
        <w:spacing w:after="0" w:line="14" w:lineRule="exact"/>
        <w:rPr>
          <w:sz w:val="20"/>
          <w:szCs w:val="20"/>
          <w:color w:val="auto"/>
        </w:rPr>
      </w:pPr>
    </w:p>
    <w:p>
      <w:pPr>
        <w:ind w:left="1500"/>
        <w:spacing w:after="0"/>
        <w:rPr>
          <w:sz w:val="20"/>
          <w:szCs w:val="20"/>
          <w:color w:val="auto"/>
        </w:rPr>
      </w:pPr>
      <w:r>
        <w:rPr>
          <w:rFonts w:ascii="Arial" w:cs="Arial" w:eastAsia="Arial" w:hAnsi="Arial"/>
          <w:sz w:val="18"/>
          <w:szCs w:val="18"/>
          <w:color w:val="465361"/>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10795</wp:posOffset>
            </wp:positionV>
            <wp:extent cx="386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16" w:lineRule="exact"/>
        <w:rPr>
          <w:sz w:val="20"/>
          <w:szCs w:val="20"/>
          <w:color w:val="auto"/>
        </w:rPr>
      </w:pPr>
    </w:p>
    <w:p>
      <w:pPr>
        <w:ind w:left="2360"/>
        <w:spacing w:after="0"/>
        <w:rPr>
          <w:sz w:val="20"/>
          <w:szCs w:val="20"/>
          <w:color w:val="auto"/>
        </w:rPr>
      </w:pPr>
      <w:r>
        <w:rPr>
          <w:rFonts w:ascii="Arial" w:cs="Arial" w:eastAsia="Arial" w:hAnsi="Arial"/>
          <w:sz w:val="18"/>
          <w:szCs w:val="18"/>
          <w:color w:val="465361"/>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-125730</wp:posOffset>
            </wp:positionV>
            <wp:extent cx="52463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46370" cy="163195"/>
                    </a:xfrm>
                    <a:prstGeom prst="rect">
                      <a:avLst/>
                    </a:prstGeom>
                    <a:noFill/>
                  </pic:spPr>
                </pic:pic>
              </a:graphicData>
            </a:graphic>
          </wp:anchor>
        </w:drawing>
      </w:r>
    </w:p>
    <w:p>
      <w:pPr>
        <w:spacing w:after="0" w:line="205"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465361"/>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w:t>
      </w:r>
    </w:p>
    <w:p>
      <w:pPr>
        <w:spacing w:after="0" w:line="112" w:lineRule="exact"/>
        <w:rPr>
          <w:sz w:val="20"/>
          <w:szCs w:val="20"/>
          <w:color w:val="auto"/>
        </w:rPr>
      </w:pPr>
    </w:p>
    <w:p>
      <w:pPr>
        <w:jc w:val="both"/>
        <w:ind w:left="120" w:right="160"/>
        <w:spacing w:after="0" w:line="306" w:lineRule="auto"/>
        <w:rPr>
          <w:sz w:val="20"/>
          <w:szCs w:val="20"/>
          <w:color w:val="auto"/>
        </w:rPr>
      </w:pPr>
      <w:r>
        <w:rPr>
          <w:rFonts w:ascii="Arial" w:cs="Arial" w:eastAsia="Arial" w:hAnsi="Arial"/>
          <w:sz w:val="16"/>
          <w:szCs w:val="16"/>
          <w:color w:val="465361"/>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Option to Purchase Additional Shares</w:t>
      </w:r>
    </w:p>
    <w:p>
      <w:pPr>
        <w:spacing w:after="0" w:line="96" w:lineRule="exact"/>
        <w:rPr>
          <w:sz w:val="20"/>
          <w:szCs w:val="20"/>
          <w:color w:val="auto"/>
        </w:rPr>
      </w:pPr>
    </w:p>
    <w:p>
      <w:pPr>
        <w:ind w:left="120"/>
        <w:spacing w:after="0"/>
        <w:tabs>
          <w:tab w:leader="none" w:pos="4940" w:val="left"/>
        </w:tabs>
        <w:rPr>
          <w:sz w:val="20"/>
          <w:szCs w:val="20"/>
          <w:color w:val="auto"/>
        </w:rPr>
      </w:pPr>
      <w:r>
        <w:rPr>
          <w:rFonts w:ascii="Arial" w:cs="Arial" w:eastAsia="Arial" w:hAnsi="Arial"/>
          <w:sz w:val="18"/>
          <w:szCs w:val="18"/>
          <w:color w:val="465361"/>
        </w:rPr>
        <w:t>We have granted the underwriters an option to purchase up to</w:t>
      </w:r>
      <w:r>
        <w:rPr>
          <w:sz w:val="20"/>
          <w:szCs w:val="20"/>
          <w:color w:val="auto"/>
        </w:rPr>
        <w:tab/>
      </w:r>
      <w:r>
        <w:rPr>
          <w:rFonts w:ascii="Arial" w:cs="Arial" w:eastAsia="Arial" w:hAnsi="Arial"/>
          <w:sz w:val="15"/>
          <w:szCs w:val="15"/>
          <w:color w:val="465361"/>
        </w:rPr>
        <w:t>additional shares of common stock from us. The underwriters have 30 days from the</w:t>
      </w:r>
    </w:p>
    <w:p>
      <w:pPr>
        <w:spacing w:after="0" w:line="15" w:lineRule="exact"/>
        <w:rPr>
          <w:sz w:val="20"/>
          <w:szCs w:val="20"/>
          <w:color w:val="auto"/>
        </w:rPr>
      </w:pPr>
    </w:p>
    <w:p>
      <w:pPr>
        <w:ind w:left="120" w:right="220"/>
        <w:spacing w:after="0" w:line="302" w:lineRule="auto"/>
        <w:rPr>
          <w:sz w:val="20"/>
          <w:szCs w:val="20"/>
          <w:color w:val="auto"/>
        </w:rPr>
      </w:pPr>
      <w:r>
        <w:rPr>
          <w:rFonts w:ascii="Arial" w:cs="Arial" w:eastAsia="Arial" w:hAnsi="Arial"/>
          <w:sz w:val="16"/>
          <w:szCs w:val="16"/>
          <w:color w:val="465361"/>
        </w:rPr>
        <w:t>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Discounts, Commissions and Expenses</w:t>
      </w:r>
    </w:p>
    <w:p>
      <w:pPr>
        <w:spacing w:after="0" w:line="9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465361"/>
        </w:rPr>
        <w:t>The underwriters have advised us that they propose to offer the shares of common stock to the public at the offering price set forth on the cover page of this prospectus supplement. The underwriters propose to offer the shares to certain dealers, which may include the underwriters, at that price less a concession not in excess of $ per share of common stock. After the offering, if all of the shares of common stock are not sold at the public offering price, the public offering price and concession may be reduced by the representatives. No such reduction will change the amount of proceeds to be received by us as set forth on the cover of this prospectus.</w:t>
      </w:r>
    </w:p>
    <w:p>
      <w:pPr>
        <w:spacing w:after="0" w:line="147" w:lineRule="exact"/>
        <w:rPr>
          <w:sz w:val="20"/>
          <w:szCs w:val="20"/>
          <w:color w:val="auto"/>
        </w:rPr>
      </w:pPr>
    </w:p>
    <w:p>
      <w:pPr>
        <w:ind w:left="120" w:right="240"/>
        <w:spacing w:after="0" w:line="369" w:lineRule="auto"/>
        <w:rPr>
          <w:sz w:val="20"/>
          <w:szCs w:val="20"/>
          <w:color w:val="auto"/>
        </w:rPr>
      </w:pPr>
      <w:r>
        <w:rPr>
          <w:rFonts w:ascii="Arial" w:cs="Arial" w:eastAsia="Arial" w:hAnsi="Arial"/>
          <w:sz w:val="15"/>
          <w:szCs w:val="15"/>
          <w:color w:val="465361"/>
        </w:rPr>
        <w:t>The underwriting fee is equal to the public offering price per share of common stock less the amount paid by the underwriters to us per share of common stock. The following table shows the per share and total underwriting discounts and commissions to be paid to the underwriters in connection with this</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offering, assuming both no exercise and full exercise of the underwriters’ option to purchase additional shares:</w:t>
      </w:r>
    </w:p>
    <w:p>
      <w:pPr>
        <w:spacing w:after="0" w:line="206" w:lineRule="exact"/>
        <w:rPr>
          <w:sz w:val="20"/>
          <w:szCs w:val="20"/>
          <w:color w:val="auto"/>
        </w:rPr>
      </w:pPr>
    </w:p>
    <w:tbl>
      <w:tblPr>
        <w:tblLayout w:type="fixed"/>
        <w:tblInd w:w="150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3"/>
                <w:szCs w:val="13"/>
                <w:b w:val="1"/>
                <w:bCs w:val="1"/>
                <w:color w:val="465361"/>
              </w:rPr>
              <w:t>Total Without</w:t>
            </w:r>
          </w:p>
        </w:tc>
        <w:tc>
          <w:tcPr>
            <w:tcW w:w="48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465361"/>
              </w:rPr>
              <w:t>Total With Full</w:t>
            </w:r>
          </w:p>
        </w:tc>
      </w:tr>
      <w:tr>
        <w:trPr>
          <w:trHeight w:val="161"/>
        </w:trPr>
        <w:tc>
          <w:tcPr>
            <w:tcW w:w="47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465361"/>
              </w:rPr>
              <w:t>Per Share</w:t>
            </w:r>
          </w:p>
        </w:tc>
        <w:tc>
          <w:tcPr>
            <w:tcW w:w="920" w:type="dxa"/>
            <w:vAlign w:val="bottom"/>
          </w:tcPr>
          <w:p>
            <w:pPr>
              <w:spacing w:after="0"/>
              <w:rPr>
                <w:sz w:val="20"/>
                <w:szCs w:val="20"/>
                <w:color w:val="auto"/>
              </w:rPr>
            </w:pPr>
            <w:r>
              <w:rPr>
                <w:rFonts w:ascii="Arial" w:cs="Arial" w:eastAsia="Arial" w:hAnsi="Arial"/>
                <w:sz w:val="13"/>
                <w:szCs w:val="13"/>
                <w:b w:val="1"/>
                <w:bCs w:val="1"/>
                <w:color w:val="465361"/>
                <w:w w:val="90"/>
              </w:rPr>
              <w:t>Option Exercise</w:t>
            </w:r>
          </w:p>
        </w:tc>
        <w:tc>
          <w:tcPr>
            <w:tcW w:w="4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465361"/>
                <w:w w:val="96"/>
              </w:rPr>
              <w:t>Option Exercise</w:t>
            </w:r>
          </w:p>
        </w:tc>
      </w:tr>
      <w:tr>
        <w:trPr>
          <w:trHeight w:val="209"/>
        </w:trPr>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465361"/>
              </w:rPr>
              <w:t>Public offering price</w:t>
            </w:r>
          </w:p>
        </w:tc>
        <w:tc>
          <w:tcPr>
            <w:tcW w:w="660" w:type="dxa"/>
            <w:vAlign w:val="bottom"/>
            <w:tcBorders>
              <w:top w:val="single" w:sz="8" w:color="auto"/>
            </w:tcBorders>
            <w:shd w:val="clear" w:color="auto" w:fill="CCEEFF"/>
          </w:tcPr>
          <w:p>
            <w:pPr>
              <w:jc w:val="right"/>
              <w:ind w:right="506"/>
              <w:spacing w:after="0"/>
              <w:rPr>
                <w:sz w:val="20"/>
                <w:szCs w:val="20"/>
                <w:color w:val="auto"/>
              </w:rPr>
            </w:pPr>
            <w:r>
              <w:rPr>
                <w:rFonts w:ascii="Arial" w:cs="Arial" w:eastAsia="Arial" w:hAnsi="Arial"/>
                <w:sz w:val="15"/>
                <w:szCs w:val="15"/>
                <w:color w:val="465361"/>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465361"/>
              </w:rPr>
              <w:t>$</w:t>
            </w:r>
          </w:p>
        </w:tc>
        <w:tc>
          <w:tcPr>
            <w:tcW w:w="4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46536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465361"/>
              </w:rPr>
              <w:t>Underwriting discounts and commissions</w:t>
            </w:r>
          </w:p>
        </w:tc>
        <w:tc>
          <w:tcPr>
            <w:tcW w:w="660" w:type="dxa"/>
            <w:vAlign w:val="bottom"/>
          </w:tcPr>
          <w:p>
            <w:pPr>
              <w:jc w:val="right"/>
              <w:ind w:right="506"/>
              <w:spacing w:after="0"/>
              <w:rPr>
                <w:sz w:val="20"/>
                <w:szCs w:val="20"/>
                <w:color w:val="auto"/>
              </w:rPr>
            </w:pPr>
            <w:r>
              <w:rPr>
                <w:rFonts w:ascii="Arial" w:cs="Arial" w:eastAsia="Arial" w:hAnsi="Arial"/>
                <w:sz w:val="15"/>
                <w:szCs w:val="15"/>
                <w:color w:val="465361"/>
                <w:w w:val="71"/>
              </w:rPr>
              <w:t>$</w:t>
            </w:r>
          </w:p>
        </w:tc>
        <w:tc>
          <w:tcPr>
            <w:tcW w:w="5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465361"/>
              </w:rPr>
              <w:t>$</w:t>
            </w:r>
          </w:p>
        </w:tc>
        <w:tc>
          <w:tcPr>
            <w:tcW w:w="1420" w:type="dxa"/>
            <w:vAlign w:val="bottom"/>
            <w:gridSpan w:val="2"/>
          </w:tcPr>
          <w:p>
            <w:pPr>
              <w:ind w:left="480"/>
              <w:spacing w:after="0"/>
              <w:rPr>
                <w:sz w:val="20"/>
                <w:szCs w:val="20"/>
                <w:color w:val="auto"/>
              </w:rPr>
            </w:pPr>
            <w:r>
              <w:rPr>
                <w:rFonts w:ascii="Arial" w:cs="Arial" w:eastAsia="Arial" w:hAnsi="Arial"/>
                <w:sz w:val="18"/>
                <w:szCs w:val="18"/>
                <w:color w:val="465361"/>
              </w:rPr>
              <w:t>$</w:t>
            </w:r>
          </w:p>
        </w:tc>
        <w:tc>
          <w:tcPr>
            <w:tcW w:w="6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465361"/>
              </w:rPr>
              <w:t>Proceeds, before expenses, to us</w:t>
            </w:r>
          </w:p>
        </w:tc>
        <w:tc>
          <w:tcPr>
            <w:tcW w:w="660" w:type="dxa"/>
            <w:vAlign w:val="bottom"/>
            <w:shd w:val="clear" w:color="auto" w:fill="CCEEFF"/>
          </w:tcPr>
          <w:p>
            <w:pPr>
              <w:jc w:val="right"/>
              <w:ind w:right="506"/>
              <w:spacing w:after="0"/>
              <w:rPr>
                <w:sz w:val="20"/>
                <w:szCs w:val="20"/>
                <w:color w:val="auto"/>
              </w:rPr>
            </w:pPr>
            <w:r>
              <w:rPr>
                <w:rFonts w:ascii="Arial" w:cs="Arial" w:eastAsia="Arial" w:hAnsi="Arial"/>
                <w:sz w:val="15"/>
                <w:szCs w:val="15"/>
                <w:color w:val="465361"/>
                <w:w w:val="71"/>
              </w:rPr>
              <w:t>$</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465361"/>
              </w:rPr>
              <w:t>$</w:t>
            </w:r>
          </w:p>
        </w:tc>
        <w:tc>
          <w:tcPr>
            <w:tcW w:w="14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465361"/>
              </w:rPr>
              <w:t>$</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120" w:right="260"/>
        <w:spacing w:after="0" w:line="331" w:lineRule="auto"/>
        <w:rPr>
          <w:sz w:val="20"/>
          <w:szCs w:val="20"/>
          <w:color w:val="auto"/>
        </w:rPr>
      </w:pPr>
      <w:r>
        <w:rPr>
          <w:rFonts w:ascii="Arial" w:cs="Arial" w:eastAsia="Arial" w:hAnsi="Arial"/>
          <w:sz w:val="16"/>
          <w:szCs w:val="16"/>
          <w:color w:val="465361"/>
        </w:rPr>
        <w:t>We estimate that the total fees and expenses payable by us, excluding underwriting discount, will be approximately $225,000. We have also agreed to reimburse the underwriters, up to $125,000, for legal expenses relating to the clearance of this offering with the Financial Industry Regulatory Authority.</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Indemnification of Underwriters</w:t>
      </w:r>
    </w:p>
    <w:p>
      <w:pPr>
        <w:spacing w:after="0" w:line="96" w:lineRule="exact"/>
        <w:rPr>
          <w:sz w:val="20"/>
          <w:szCs w:val="20"/>
          <w:color w:val="auto"/>
        </w:rPr>
      </w:pPr>
    </w:p>
    <w:p>
      <w:pPr>
        <w:ind w:left="120" w:right="160"/>
        <w:spacing w:after="0" w:line="268" w:lineRule="auto"/>
        <w:rPr>
          <w:sz w:val="20"/>
          <w:szCs w:val="20"/>
          <w:color w:val="auto"/>
        </w:rPr>
      </w:pPr>
      <w:r>
        <w:rPr>
          <w:rFonts w:ascii="Arial" w:cs="Arial" w:eastAsia="Arial" w:hAnsi="Arial"/>
          <w:sz w:val="18"/>
          <w:szCs w:val="18"/>
          <w:color w:val="465361"/>
        </w:rPr>
        <w:t>We have agreed to indemnify the underwriters against certain liabilities, including liabilities under the Securities Act, or to contribute to payments that the underwriters may be required to make in respect of those liabilities.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No Sales of Similar Securities</w:t>
      </w:r>
    </w:p>
    <w:p>
      <w:pPr>
        <w:spacing w:after="0" w:line="9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We have agreed that, subject to specified limited exceptions, for a period of 90 days from the date of this prospectus supplement (the “</w:t>
      </w:r>
      <w:r>
        <w:rPr>
          <w:rFonts w:ascii="Arial" w:cs="Arial" w:eastAsia="Arial" w:hAnsi="Arial"/>
          <w:sz w:val="16"/>
          <w:szCs w:val="16"/>
          <w:b w:val="1"/>
          <w:bCs w:val="1"/>
          <w:color w:val="465361"/>
        </w:rPr>
        <w:t>Lockup Period</w:t>
      </w:r>
      <w:r>
        <w:rPr>
          <w:rFonts w:ascii="Arial" w:cs="Arial" w:eastAsia="Arial" w:hAnsi="Arial"/>
          <w:sz w:val="16"/>
          <w:szCs w:val="16"/>
          <w:color w:val="465361"/>
        </w:rPr>
        <w:t>”), we will not, without the prior written consent of Piper Sandler &amp; Co. and Cowen and Company, LLC, (A) offer, sell, contract to sell, pledge, grant any option to purchase, make any short sale or otherwise transfer or dispose of, directly or indirectly, or file with the SEC a registration statement under the Act relating to, any securities of the Company that are substantially similar to the common stock offered hereby,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(B) enter into any swap or other agreement that transfers, in whole or in part, any of the economic consequences of ownership of the common stock or any such other securities, whether any such transaction described in clause (A) or (B) above is to be settled by delivery of common stock or such other securities, in cash or otherwise (other than the Securities to be sold hereunder or pursuant to employee stock option plans existing on, or upon the conversion or exchange of convertible or exchangeable securities outstanding as of, the date hereof).</w:t>
      </w:r>
    </w:p>
    <w:p>
      <w:pPr>
        <w:spacing w:after="0" w:line="120" w:lineRule="exact"/>
        <w:rPr>
          <w:sz w:val="20"/>
          <w:szCs w:val="20"/>
          <w:color w:val="auto"/>
        </w:rPr>
      </w:pPr>
    </w:p>
    <w:p>
      <w:pPr>
        <w:ind w:left="120" w:right="80"/>
        <w:spacing w:after="0" w:line="308" w:lineRule="auto"/>
        <w:rPr>
          <w:sz w:val="20"/>
          <w:szCs w:val="20"/>
          <w:color w:val="auto"/>
        </w:rPr>
      </w:pPr>
      <w:r>
        <w:rPr>
          <w:rFonts w:ascii="Arial" w:cs="Arial" w:eastAsia="Arial" w:hAnsi="Arial"/>
          <w:sz w:val="15"/>
          <w:szCs w:val="15"/>
          <w:color w:val="465361"/>
        </w:rPr>
        <w:t>Additionally, our executive officers and directors have agreed that, subject to certain exceptions, without the prior written consent of Piper Sandler &amp; Co. and Cowen and Company, LLC, for a period of 90 days from the date of this prospectus supplement, they will not (1) 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common stock or any securities convertible into, exercisable or exchangeable for or that represent the right to receive common stock (including without limitation, common stock which may be deemed to be beneficially owned by the undersigned in accordance with the rules and regulations of the SEC and securities which may be issued upon exercise of a stock option or warrant) whether now owned or hereafter acquired; (2) enter into any swap or other agreement that transfers, in whole or in part, any of the economic consequences of ownership of the holder’s securities, whether any such transaction described in clause (1) or (2) above is to be settled by delivery of common stock or such other securities, in cash or otherwise; (3) make any demand for or exercise any right with respect to, the registration of any common stock or any security convertible into or exercisable or exchangeable for common stock; or (4) publicly disclose the intention to do any of the foregoing.</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80"/>
        <w:spacing w:after="0" w:line="268" w:lineRule="auto"/>
        <w:rPr>
          <w:sz w:val="20"/>
          <w:szCs w:val="20"/>
          <w:color w:val="auto"/>
        </w:rPr>
      </w:pPr>
      <w:r>
        <w:rPr>
          <w:rFonts w:ascii="Arial" w:cs="Arial" w:eastAsia="Arial" w:hAnsi="Arial"/>
          <w:sz w:val="18"/>
          <w:szCs w:val="18"/>
          <w:color w:val="465361"/>
        </w:rPr>
        <w:t>The restrictions described in the immediately preceding paragraph contained in the lock-up agreements with our directors and executive officers are subject to specified exceptions, including:</w:t>
      </w:r>
    </w:p>
    <w:p>
      <w:pPr>
        <w:spacing w:after="0" w:line="5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transfers as a bona fide gift or gifts;</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transfers to any trust for the direct or indirect benefit of the undersigned or the immediate family of the holder;</w:t>
      </w:r>
    </w:p>
    <w:p>
      <w:pPr>
        <w:spacing w:after="0" w:line="90" w:lineRule="exact"/>
        <w:rPr>
          <w:rFonts w:ascii="Arial" w:cs="Arial" w:eastAsia="Arial" w:hAnsi="Arial"/>
          <w:sz w:val="18"/>
          <w:szCs w:val="18"/>
          <w:color w:val="465361"/>
        </w:rPr>
      </w:pPr>
    </w:p>
    <w:p>
      <w:pPr>
        <w:ind w:left="1300" w:hanging="644"/>
        <w:spacing w:after="0" w:line="298" w:lineRule="auto"/>
        <w:tabs>
          <w:tab w:leader="none" w:pos="1300" w:val="left"/>
        </w:tabs>
        <w:numPr>
          <w:ilvl w:val="0"/>
          <w:numId w:val="17"/>
        </w:numPr>
        <w:rPr>
          <w:rFonts w:ascii="Arial" w:cs="Arial" w:eastAsia="Arial" w:hAnsi="Arial"/>
          <w:sz w:val="16"/>
          <w:szCs w:val="16"/>
          <w:color w:val="465361"/>
        </w:rPr>
      </w:pPr>
      <w:r>
        <w:rPr>
          <w:rFonts w:ascii="Arial" w:cs="Arial" w:eastAsia="Arial" w:hAnsi="Arial"/>
          <w:sz w:val="16"/>
          <w:szCs w:val="16"/>
          <w:color w:val="465361"/>
        </w:rPr>
        <w:t>if the holder is a corporation, partnership, limited liability company, trust or other business entity (1) transfers to another corporation, partnership, limited liability company, trust or other business entity that is a direct or indirect affiliate (as defined in Rule 405 promulgated under the Securities Act of 1933, as amended) of the undersigned or (2) distributions of shares of common stock or any security convertible into or exercisable for common stock to limited partners, limited liability company members or stockholders of the holder;</w:t>
      </w:r>
    </w:p>
    <w:p>
      <w:pPr>
        <w:spacing w:after="0" w:line="31" w:lineRule="exact"/>
        <w:rPr>
          <w:rFonts w:ascii="Arial" w:cs="Arial" w:eastAsia="Arial" w:hAnsi="Arial"/>
          <w:sz w:val="16"/>
          <w:szCs w:val="16"/>
          <w:color w:val="465361"/>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if the holder is a trust, transfers to the beneficiary of such trust;</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transfers by testate succession or intestate succession;</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transfers pursuant to the underwriting agreement; or</w:t>
      </w:r>
    </w:p>
    <w:p>
      <w:pPr>
        <w:spacing w:after="0" w:line="90" w:lineRule="exact"/>
        <w:rPr>
          <w:rFonts w:ascii="Arial" w:cs="Arial" w:eastAsia="Arial" w:hAnsi="Arial"/>
          <w:sz w:val="18"/>
          <w:szCs w:val="18"/>
          <w:color w:val="465361"/>
        </w:rPr>
      </w:pPr>
    </w:p>
    <w:p>
      <w:pPr>
        <w:ind w:left="1300" w:hanging="644"/>
        <w:spacing w:after="0"/>
        <w:tabs>
          <w:tab w:leader="none" w:pos="1300" w:val="left"/>
        </w:tabs>
        <w:numPr>
          <w:ilvl w:val="0"/>
          <w:numId w:val="17"/>
        </w:numPr>
        <w:rPr>
          <w:rFonts w:ascii="Arial" w:cs="Arial" w:eastAsia="Arial" w:hAnsi="Arial"/>
          <w:sz w:val="18"/>
          <w:szCs w:val="18"/>
          <w:color w:val="465361"/>
        </w:rPr>
      </w:pPr>
      <w:r>
        <w:rPr>
          <w:rFonts w:ascii="Arial" w:cs="Arial" w:eastAsia="Arial" w:hAnsi="Arial"/>
          <w:sz w:val="18"/>
          <w:szCs w:val="18"/>
          <w:color w:val="465361"/>
        </w:rPr>
        <w:t>in the case of one officer, transfers or sales of common stock pursuant to an existing divorce decree.</w:t>
      </w:r>
    </w:p>
    <w:p>
      <w:pPr>
        <w:spacing w:after="0" w:line="171" w:lineRule="exact"/>
        <w:rPr>
          <w:sz w:val="20"/>
          <w:szCs w:val="20"/>
          <w:color w:val="auto"/>
        </w:rPr>
      </w:pPr>
    </w:p>
    <w:p>
      <w:pPr>
        <w:ind w:left="120" w:right="120"/>
        <w:spacing w:after="0" w:line="306" w:lineRule="auto"/>
        <w:rPr>
          <w:sz w:val="20"/>
          <w:szCs w:val="20"/>
          <w:color w:val="auto"/>
        </w:rPr>
      </w:pPr>
      <w:r>
        <w:rPr>
          <w:rFonts w:ascii="Arial" w:cs="Arial" w:eastAsia="Arial" w:hAnsi="Arial"/>
          <w:sz w:val="16"/>
          <w:szCs w:val="16"/>
          <w:color w:val="465361"/>
        </w:rPr>
        <w:t>provided, in the case of clauses (i)-(v) above, that (x) such transfer shall not involve a disposition for value, (y) the transferee agrees in writing with the underwriters to be bound by the terms of the lock-up agreement, and (z) no filing by any party under Section 16(a) of the Securities Exchange Act of 1934, as amended (the “Exchange Act”), shall be required or shall be made voluntarily in connection with such transfer.</w:t>
      </w:r>
    </w:p>
    <w:p>
      <w:pPr>
        <w:spacing w:after="0" w:line="106" w:lineRule="exact"/>
        <w:rPr>
          <w:sz w:val="20"/>
          <w:szCs w:val="20"/>
          <w:color w:val="auto"/>
        </w:rPr>
      </w:pPr>
    </w:p>
    <w:p>
      <w:pPr>
        <w:ind w:left="120" w:right="760"/>
        <w:spacing w:after="0" w:line="268" w:lineRule="auto"/>
        <w:rPr>
          <w:sz w:val="20"/>
          <w:szCs w:val="20"/>
          <w:color w:val="auto"/>
        </w:rPr>
      </w:pPr>
      <w:r>
        <w:rPr>
          <w:rFonts w:ascii="Arial" w:cs="Arial" w:eastAsia="Arial" w:hAnsi="Arial"/>
          <w:sz w:val="18"/>
          <w:szCs w:val="18"/>
          <w:color w:val="465361"/>
        </w:rPr>
        <w:t>Piper Sandler &amp; Co. and Cowen and Company, LLC, in their discretion, may release the common stock and other securities subject to the lock-up agreements described above in whole or in part at any time.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Listing</w:t>
      </w:r>
    </w:p>
    <w:p>
      <w:pPr>
        <w:spacing w:after="0" w:line="96" w:lineRule="exact"/>
        <w:rPr>
          <w:sz w:val="20"/>
          <w:szCs w:val="20"/>
          <w:color w:val="auto"/>
        </w:rPr>
      </w:pPr>
    </w:p>
    <w:p>
      <w:pPr>
        <w:ind w:left="120" w:right="120"/>
        <w:spacing w:after="0" w:line="268" w:lineRule="auto"/>
        <w:rPr>
          <w:sz w:val="20"/>
          <w:szCs w:val="20"/>
          <w:color w:val="auto"/>
        </w:rPr>
      </w:pPr>
      <w:r>
        <w:rPr>
          <w:rFonts w:ascii="Arial" w:cs="Arial" w:eastAsia="Arial" w:hAnsi="Arial"/>
          <w:sz w:val="18"/>
          <w:szCs w:val="18"/>
          <w:color w:val="465361"/>
        </w:rPr>
        <w:t>Our common stock is listed on Nasdaq Stock Market LLC under the symbol “RCEL.” Our CDIs are listed on the Australian Securities Exchange under the symbol “AVH,” with five CDIs being equivalent to one share of our common stock.</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Price Stabilization, Short Positions and Penalty Bids</w:t>
      </w:r>
    </w:p>
    <w:p>
      <w:pPr>
        <w:spacing w:after="0" w:line="96"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465361"/>
        </w:rPr>
        <w:t>To facilitate the offering, the underwriters may engage in transactions that stabilize, maintain or otherwise affect the price of our common stock during and after the offering. Specifically, the underwriters may over-allot or otherwise create a short position in the common stock for their own account by selling more shares of common stock than we have sold to them. Short sales involve the sale by the underwriters of a greater number of shares than the underwriters are required to purchase in the offering. The underwriters may close out any short position by either exercising their option to purchase additional shares or purchasing shares in the open market.</w:t>
      </w:r>
    </w:p>
    <w:p>
      <w:pPr>
        <w:spacing w:after="0" w:line="147" w:lineRule="exact"/>
        <w:rPr>
          <w:sz w:val="20"/>
          <w:szCs w:val="20"/>
          <w:color w:val="auto"/>
        </w:rPr>
      </w:pPr>
    </w:p>
    <w:p>
      <w:pPr>
        <w:ind w:left="120" w:right="60"/>
        <w:spacing w:after="0" w:line="294" w:lineRule="auto"/>
        <w:rPr>
          <w:sz w:val="20"/>
          <w:szCs w:val="20"/>
          <w:color w:val="auto"/>
        </w:rPr>
      </w:pPr>
      <w:r>
        <w:rPr>
          <w:rFonts w:ascii="Arial" w:cs="Arial" w:eastAsia="Arial" w:hAnsi="Arial"/>
          <w:sz w:val="16"/>
          <w:szCs w:val="16"/>
          <w:color w:val="465361"/>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the offering are reclaimed if shares of common stock previously distributed in the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affect the price of the</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465361"/>
        </w:rPr>
        <w:t>common stock to the extent that it discourages resales of the common stock. The magnitude or effect of any stabilization or other transactions is uncertain. These transactions may be effected on The Nasdaq Stock Exchange or otherwise and, if commenced, may be discontinued at any time. The underwriters may also engage in passive market making transactions in our common stock. Passive market making consists of displaying bids on The Nasdaq Stock Exchange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the common stock at a level above that which might otherwise prevail in the open market and, if commenced, may be discontinued at any time.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Other Activities and Relationships</w:t>
      </w:r>
    </w:p>
    <w:p>
      <w:pPr>
        <w:spacing w:after="0" w:line="9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465361"/>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465361"/>
        </w:rPr>
        <w:t>Selling Restrictions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General</w:t>
      </w:r>
    </w:p>
    <w:p>
      <w:pPr>
        <w:spacing w:after="0" w:line="9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465361"/>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the European Economic Area</w:t>
      </w:r>
    </w:p>
    <w:p>
      <w:pPr>
        <w:spacing w:after="0" w:line="9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465361"/>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580" w:hanging="244"/>
        <w:spacing w:after="0"/>
        <w:tabs>
          <w:tab w:leader="none" w:pos="580"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under the Prospectus Regulation;</w:t>
      </w:r>
    </w:p>
    <w:p>
      <w:pPr>
        <w:spacing w:after="0" w:line="90" w:lineRule="exact"/>
        <w:rPr>
          <w:rFonts w:ascii="Arial" w:cs="Arial" w:eastAsia="Arial" w:hAnsi="Arial"/>
          <w:sz w:val="18"/>
          <w:szCs w:val="18"/>
          <w:color w:val="465361"/>
        </w:rPr>
      </w:pPr>
    </w:p>
    <w:p>
      <w:pPr>
        <w:ind w:left="340" w:right="180" w:hanging="4"/>
        <w:spacing w:after="0" w:line="268" w:lineRule="auto"/>
        <w:tabs>
          <w:tab w:leader="none" w:pos="589" w:val="left"/>
        </w:tabs>
        <w:numPr>
          <w:ilvl w:val="0"/>
          <w:numId w:val="18"/>
        </w:numPr>
        <w:rPr>
          <w:rFonts w:ascii="Arial" w:cs="Arial" w:eastAsia="Arial" w:hAnsi="Arial"/>
          <w:sz w:val="18"/>
          <w:szCs w:val="18"/>
          <w:color w:val="465361"/>
        </w:rPr>
      </w:pPr>
      <w:r>
        <w:rPr>
          <w:rFonts w:ascii="Arial" w:cs="Arial" w:eastAsia="Arial" w:hAnsi="Arial"/>
          <w:sz w:val="18"/>
          <w:szCs w:val="18"/>
          <w:color w:val="465361"/>
        </w:rPr>
        <w:t>to fewer than 150 natural or legal persons (other than qualified investors as defined under the Prospectus Regulation), subject to obtaining the prior consent of the underwriters; 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465361"/>
        </w:rPr>
        <w:t>(c) in any other circumstances falling within Article 1(4) of the Prospectus Regulation,</w:t>
      </w:r>
    </w:p>
    <w:p>
      <w:pPr>
        <w:spacing w:after="0" w:line="15" w:lineRule="exact"/>
        <w:rPr>
          <w:sz w:val="20"/>
          <w:szCs w:val="20"/>
          <w:color w:val="auto"/>
        </w:rPr>
      </w:pPr>
    </w:p>
    <w:p>
      <w:pPr>
        <w:ind w:left="340" w:right="60"/>
        <w:spacing w:after="0" w:line="286" w:lineRule="auto"/>
        <w:rPr>
          <w:sz w:val="20"/>
          <w:szCs w:val="20"/>
          <w:color w:val="auto"/>
        </w:rPr>
      </w:pPr>
      <w:r>
        <w:rPr>
          <w:rFonts w:ascii="Arial" w:cs="Arial" w:eastAsia="Arial" w:hAnsi="Arial"/>
          <w:sz w:val="16"/>
          <w:szCs w:val="16"/>
          <w:color w:val="465361"/>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26" w:lineRule="exact"/>
        <w:rPr>
          <w:sz w:val="20"/>
          <w:szCs w:val="20"/>
          <w:color w:val="auto"/>
        </w:rPr>
      </w:pPr>
    </w:p>
    <w:p>
      <w:pPr>
        <w:ind w:left="120" w:right="140"/>
        <w:spacing w:after="0" w:line="306" w:lineRule="auto"/>
        <w:rPr>
          <w:sz w:val="20"/>
          <w:szCs w:val="20"/>
          <w:color w:val="auto"/>
        </w:rPr>
      </w:pPr>
      <w:r>
        <w:rPr>
          <w:rFonts w:ascii="Arial" w:cs="Arial" w:eastAsia="Arial" w:hAnsi="Arial"/>
          <w:sz w:val="16"/>
          <w:szCs w:val="16"/>
          <w:color w:val="465361"/>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465361"/>
        </w:rPr>
        <w:t>We have not authorized and do not authorize the making of any offer of shares through any financial intermediary on their behalf, other than offers made by the underwriters with a view to the final placement of the shares in this document. Accordingly, no purchaser of the shares, other than the underwriters, is authorized to make any further offer of the shares on behalf of us or the underwriters.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the United Kingdom</w:t>
      </w:r>
    </w:p>
    <w:p>
      <w:pPr>
        <w:spacing w:after="0" w:line="9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465361"/>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66" w:lineRule="exact"/>
        <w:rPr>
          <w:sz w:val="20"/>
          <w:szCs w:val="20"/>
          <w:color w:val="auto"/>
        </w:rPr>
      </w:pPr>
    </w:p>
    <w:p>
      <w:pPr>
        <w:ind w:left="1420" w:hanging="427"/>
        <w:spacing w:after="0"/>
        <w:tabs>
          <w:tab w:leader="none" w:pos="142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to any legal entity which is a qualified investor as defined in Article 2 of the UK Prospectus Regulation;</w:t>
      </w:r>
    </w:p>
    <w:p>
      <w:pPr>
        <w:spacing w:after="0" w:line="90" w:lineRule="exact"/>
        <w:rPr>
          <w:rFonts w:ascii="Arial" w:cs="Arial" w:eastAsia="Arial" w:hAnsi="Arial"/>
          <w:sz w:val="18"/>
          <w:szCs w:val="18"/>
          <w:color w:val="465361"/>
        </w:rPr>
      </w:pPr>
    </w:p>
    <w:p>
      <w:pPr>
        <w:ind w:left="1420" w:hanging="427"/>
        <w:spacing w:after="0"/>
        <w:tabs>
          <w:tab w:leader="none" w:pos="1420" w:val="left"/>
        </w:tabs>
        <w:numPr>
          <w:ilvl w:val="0"/>
          <w:numId w:val="19"/>
        </w:numPr>
        <w:rPr>
          <w:rFonts w:ascii="Arial" w:cs="Arial" w:eastAsia="Arial" w:hAnsi="Arial"/>
          <w:sz w:val="16"/>
          <w:szCs w:val="16"/>
          <w:color w:val="465361"/>
        </w:rPr>
      </w:pPr>
      <w:r>
        <w:rPr>
          <w:rFonts w:ascii="Arial" w:cs="Arial" w:eastAsia="Arial" w:hAnsi="Arial"/>
          <w:sz w:val="16"/>
          <w:szCs w:val="16"/>
          <w:color w:val="465361"/>
        </w:rPr>
        <w:t>to fewer than 150 natural or legal persons (other than qualified investors as defined in Article 2 of the UK Prospectus Regulation); or</w:t>
      </w:r>
    </w:p>
    <w:p>
      <w:pPr>
        <w:spacing w:after="0" w:line="113" w:lineRule="exact"/>
        <w:rPr>
          <w:rFonts w:ascii="Arial" w:cs="Arial" w:eastAsia="Arial" w:hAnsi="Arial"/>
          <w:sz w:val="16"/>
          <w:szCs w:val="16"/>
          <w:color w:val="465361"/>
        </w:rPr>
      </w:pPr>
    </w:p>
    <w:p>
      <w:pPr>
        <w:ind w:left="1420" w:hanging="427"/>
        <w:spacing w:after="0"/>
        <w:tabs>
          <w:tab w:leader="none" w:pos="1420" w:val="left"/>
        </w:tabs>
        <w:numPr>
          <w:ilvl w:val="0"/>
          <w:numId w:val="19"/>
        </w:numPr>
        <w:rPr>
          <w:rFonts w:ascii="Arial" w:cs="Arial" w:eastAsia="Arial" w:hAnsi="Arial"/>
          <w:sz w:val="18"/>
          <w:szCs w:val="18"/>
          <w:color w:val="465361"/>
        </w:rPr>
      </w:pPr>
      <w:r>
        <w:rPr>
          <w:rFonts w:ascii="Arial" w:cs="Arial" w:eastAsia="Arial" w:hAnsi="Arial"/>
          <w:sz w:val="18"/>
          <w:szCs w:val="18"/>
          <w:color w:val="465361"/>
        </w:rPr>
        <w:t>in any other circumstances falling within section 86 of the Financial Services and Markets Act 2000 (“FSMA”),</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8"/>
          <w:szCs w:val="18"/>
          <w:color w:val="465361"/>
        </w:rPr>
        <w:t>provided that no such offer of shares shall require the Issuer or any representative to publish a prospectus pursuant to section 85 of the FSMA or supplement a prospectus pursuant to Article 23 of the UK Prospectus Regulation.</w:t>
      </w:r>
    </w:p>
    <w:p>
      <w:pPr>
        <w:spacing w:after="0" w:line="132" w:lineRule="exact"/>
        <w:rPr>
          <w:sz w:val="20"/>
          <w:szCs w:val="20"/>
          <w:color w:val="auto"/>
        </w:rPr>
      </w:pPr>
    </w:p>
    <w:p>
      <w:pPr>
        <w:ind w:left="120" w:right="200"/>
        <w:spacing w:after="0" w:line="256" w:lineRule="auto"/>
        <w:rPr>
          <w:sz w:val="20"/>
          <w:szCs w:val="20"/>
          <w:color w:val="auto"/>
        </w:rPr>
      </w:pPr>
      <w:r>
        <w:rPr>
          <w:rFonts w:ascii="Arial" w:cs="Arial" w:eastAsia="Arial" w:hAnsi="Arial"/>
          <w:sz w:val="18"/>
          <w:szCs w:val="18"/>
          <w:color w:val="465361"/>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right="60"/>
        <w:spacing w:after="0" w:line="306" w:lineRule="auto"/>
        <w:rPr>
          <w:sz w:val="20"/>
          <w:szCs w:val="20"/>
          <w:color w:val="auto"/>
        </w:rPr>
      </w:pPr>
      <w:r>
        <w:rPr>
          <w:rFonts w:ascii="Arial" w:cs="Arial" w:eastAsia="Arial" w:hAnsi="Arial"/>
          <w:sz w:val="16"/>
          <w:szCs w:val="16"/>
          <w:color w:val="465361"/>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Notice to Prospective Investors in Australia</w:t>
      </w:r>
    </w:p>
    <w:p>
      <w:pPr>
        <w:spacing w:after="0" w:line="90" w:lineRule="exact"/>
        <w:rPr>
          <w:sz w:val="20"/>
          <w:szCs w:val="20"/>
          <w:color w:val="auto"/>
        </w:rPr>
      </w:pPr>
    </w:p>
    <w:p>
      <w:pPr>
        <w:ind w:left="120" w:right="140"/>
        <w:spacing w:after="0" w:line="312" w:lineRule="auto"/>
        <w:rPr>
          <w:sz w:val="20"/>
          <w:szCs w:val="20"/>
          <w:color w:val="auto"/>
        </w:rPr>
      </w:pPr>
      <w:r>
        <w:rPr>
          <w:rFonts w:ascii="Arial" w:cs="Arial" w:eastAsia="Arial" w:hAnsi="Arial"/>
          <w:sz w:val="15"/>
          <w:szCs w:val="15"/>
          <w:color w:val="465361"/>
        </w:rPr>
        <w:t xml:space="preserve">Neither this prospectus supplement nor the accompanying prospectus is a prospectus, product disclosure document or other disclosure document for the purposes of the Australian </w:t>
      </w:r>
      <w:r>
        <w:rPr>
          <w:rFonts w:ascii="Arial" w:cs="Arial" w:eastAsia="Arial" w:hAnsi="Arial"/>
          <w:sz w:val="15"/>
          <w:szCs w:val="15"/>
          <w:i w:val="1"/>
          <w:iCs w:val="1"/>
          <w:color w:val="465361"/>
        </w:rPr>
        <w:t>Corporations Act 2001</w:t>
      </w:r>
      <w:r>
        <w:rPr>
          <w:rFonts w:ascii="Arial" w:cs="Arial" w:eastAsia="Arial" w:hAnsi="Arial"/>
          <w:sz w:val="15"/>
          <w:szCs w:val="15"/>
          <w:color w:val="465361"/>
        </w:rPr>
        <w:t xml:space="preserve"> (Cth) (“Corporations Act”) and they do not purport to include the information required for a prospectus, product disclosure document or disclosure document under the Corporations Act and they have not been and will not be lodged with the Australian Securities &amp; Investments Commission. Accordingly, this prospectus supplement and accompanying prospectus is directed only to the categories of exempt persons set out below and no offer or invitation in relation to the issue, sale or purchase of shares of common stock under this prospectus supplement has been or will be made to any person who is unable to provide the representations and warranties set out below. To the extent that you are unable to provide the representations and warranties set out below, any offer or invitation made to you under this document is void and incapable of acceptance.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6"/>
          <w:szCs w:val="16"/>
          <w:color w:val="465361"/>
        </w:rPr>
        <w:t>If you receive this prospectus supplement in Australia and apply for shares of common stock, then you represent and warrant to us as follows:</w:t>
      </w:r>
    </w:p>
    <w:p>
      <w:pPr>
        <w:spacing w:after="0" w:line="113"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you are a person or entity who is either:</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1"/>
          <w:numId w:val="20"/>
        </w:numPr>
        <w:rPr>
          <w:rFonts w:ascii="Arial" w:cs="Arial" w:eastAsia="Arial" w:hAnsi="Arial"/>
          <w:sz w:val="18"/>
          <w:szCs w:val="18"/>
          <w:color w:val="465361"/>
        </w:rPr>
      </w:pPr>
      <w:r>
        <w:rPr>
          <w:rFonts w:ascii="Arial" w:cs="Arial" w:eastAsia="Arial" w:hAnsi="Arial"/>
          <w:sz w:val="18"/>
          <w:szCs w:val="18"/>
          <w:color w:val="465361"/>
        </w:rPr>
        <w:t>a “sophisticated investor” under section 708(8)(a) or (b) of the Corporations Act;</w:t>
      </w:r>
    </w:p>
    <w:p>
      <w:pPr>
        <w:spacing w:after="0" w:line="90" w:lineRule="exact"/>
        <w:rPr>
          <w:rFonts w:ascii="Arial" w:cs="Arial" w:eastAsia="Arial" w:hAnsi="Arial"/>
          <w:sz w:val="18"/>
          <w:szCs w:val="18"/>
          <w:color w:val="465361"/>
        </w:rPr>
      </w:pPr>
    </w:p>
    <w:p>
      <w:pPr>
        <w:ind w:left="1860" w:right="20" w:hanging="543"/>
        <w:spacing w:after="0" w:line="259" w:lineRule="auto"/>
        <w:tabs>
          <w:tab w:leader="none" w:pos="1860" w:val="left"/>
        </w:tabs>
        <w:numPr>
          <w:ilvl w:val="1"/>
          <w:numId w:val="20"/>
        </w:numPr>
        <w:rPr>
          <w:rFonts w:ascii="Arial" w:cs="Arial" w:eastAsia="Arial" w:hAnsi="Arial"/>
          <w:sz w:val="18"/>
          <w:szCs w:val="18"/>
          <w:color w:val="465361"/>
        </w:rPr>
      </w:pPr>
      <w:r>
        <w:rPr>
          <w:rFonts w:ascii="Arial" w:cs="Arial" w:eastAsia="Arial" w:hAnsi="Arial"/>
          <w:sz w:val="18"/>
          <w:szCs w:val="18"/>
          <w:color w:val="465361"/>
        </w:rPr>
        <w:t>a “sophisticated investor” under section 708(8)(c) or (d) of the Corporations Act and you have provided a certificate to us which complies with the requirements of section 708(8)(c) of the Corporations Act and related regulations before the offer has been made; or</w:t>
      </w:r>
    </w:p>
    <w:p>
      <w:pPr>
        <w:spacing w:after="0" w:line="58" w:lineRule="exact"/>
        <w:rPr>
          <w:rFonts w:ascii="Arial" w:cs="Arial" w:eastAsia="Arial" w:hAnsi="Arial"/>
          <w:sz w:val="18"/>
          <w:szCs w:val="18"/>
          <w:color w:val="465361"/>
        </w:rPr>
      </w:pPr>
    </w:p>
    <w:p>
      <w:pPr>
        <w:ind w:left="1860" w:hanging="543"/>
        <w:spacing w:after="0"/>
        <w:tabs>
          <w:tab w:leader="none" w:pos="1860" w:val="left"/>
        </w:tabs>
        <w:numPr>
          <w:ilvl w:val="1"/>
          <w:numId w:val="20"/>
        </w:numPr>
        <w:rPr>
          <w:rFonts w:ascii="Arial" w:cs="Arial" w:eastAsia="Arial" w:hAnsi="Arial"/>
          <w:sz w:val="18"/>
          <w:szCs w:val="18"/>
          <w:color w:val="465361"/>
        </w:rPr>
      </w:pPr>
      <w:r>
        <w:rPr>
          <w:rFonts w:ascii="Arial" w:cs="Arial" w:eastAsia="Arial" w:hAnsi="Arial"/>
          <w:sz w:val="18"/>
          <w:szCs w:val="18"/>
          <w:color w:val="465361"/>
        </w:rPr>
        <w:t>a “professional investor” within the meaning of section 708(11)(a) or (b) of the Corporations Act; and</w:t>
      </w:r>
    </w:p>
    <w:p>
      <w:pPr>
        <w:spacing w:after="0" w:line="90" w:lineRule="exact"/>
        <w:rPr>
          <w:rFonts w:ascii="Arial" w:cs="Arial" w:eastAsia="Arial" w:hAnsi="Arial"/>
          <w:sz w:val="18"/>
          <w:szCs w:val="18"/>
          <w:color w:val="465361"/>
        </w:rPr>
      </w:pPr>
    </w:p>
    <w:p>
      <w:pPr>
        <w:ind w:left="1300" w:right="80" w:hanging="644"/>
        <w:spacing w:after="0" w:line="256" w:lineRule="auto"/>
        <w:tabs>
          <w:tab w:leader="none" w:pos="1300" w:val="left"/>
        </w:tabs>
        <w:numPr>
          <w:ilvl w:val="0"/>
          <w:numId w:val="20"/>
        </w:numPr>
        <w:rPr>
          <w:rFonts w:ascii="Arial" w:cs="Arial" w:eastAsia="Arial" w:hAnsi="Arial"/>
          <w:sz w:val="18"/>
          <w:szCs w:val="18"/>
          <w:color w:val="465361"/>
        </w:rPr>
      </w:pPr>
      <w:r>
        <w:rPr>
          <w:rFonts w:ascii="Arial" w:cs="Arial" w:eastAsia="Arial" w:hAnsi="Arial"/>
          <w:sz w:val="18"/>
          <w:szCs w:val="18"/>
          <w:color w:val="465361"/>
        </w:rPr>
        <w:t>you will not offer any of the shares of common stock issued to you pursuant to this prospectus supplement for resale in Australia within 12 months of those shares of common stock being issued to you unless any such resale offer is exempt from the requirement to issue a disclosure document under section 708 of the Corporations Act or otherwise. Any person acquiring shares of common stock must observe such Australian on-sale restrictions.</w:t>
      </w:r>
    </w:p>
    <w:p>
      <w:pPr>
        <w:spacing w:after="0" w:line="143"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465361"/>
        </w:rPr>
        <w:t>This document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document is appropriate for their needs, objectives and circumstances, and, if necessary, seek expert advice on those matters.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Canada</w:t>
      </w:r>
    </w:p>
    <w:p>
      <w:pPr>
        <w:spacing w:after="0" w:line="90"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465361"/>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40"/>
        <w:spacing w:after="0" w:line="298" w:lineRule="auto"/>
        <w:rPr>
          <w:sz w:val="20"/>
          <w:szCs w:val="20"/>
          <w:color w:val="auto"/>
        </w:rPr>
      </w:pPr>
      <w:r>
        <w:rPr>
          <w:rFonts w:ascii="Arial" w:cs="Arial" w:eastAsia="Arial" w:hAnsi="Arial"/>
          <w:sz w:val="16"/>
          <w:szCs w:val="16"/>
          <w:color w:val="465361"/>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ind w:left="120" w:right="20"/>
        <w:spacing w:after="0" w:line="268" w:lineRule="auto"/>
        <w:rPr>
          <w:sz w:val="20"/>
          <w:szCs w:val="20"/>
          <w:color w:val="auto"/>
        </w:rPr>
      </w:pPr>
      <w:r>
        <w:rPr>
          <w:rFonts w:ascii="Arial" w:cs="Arial" w:eastAsia="Arial" w:hAnsi="Arial"/>
          <w:sz w:val="18"/>
          <w:szCs w:val="18"/>
          <w:color w:val="465361"/>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Germany</w:t>
      </w:r>
    </w:p>
    <w:p>
      <w:pPr>
        <w:spacing w:after="0" w:line="90"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color w:val="465361"/>
        </w:rPr>
        <w:t>Each person who is in possession of this prospectus is aware of the fact that no German securities prospectus (wertpapierprospekt) within the meaning of the German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within the meaning of the Act with respect to any of the shares of our common stock otherwise than in accordance with the Act and all other applicable legal and regulatory requirements.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Hong Kong</w:t>
      </w:r>
    </w:p>
    <w:p>
      <w:pPr>
        <w:spacing w:after="0" w:line="90"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465361"/>
        </w:rPr>
        <w:t>The shares of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the shares of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Israel</w:t>
      </w:r>
    </w:p>
    <w:p>
      <w:pPr>
        <w:spacing w:after="0" w:line="90"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465361"/>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jc w:val="both"/>
        <w:ind w:left="120"/>
        <w:spacing w:after="0" w:line="302" w:lineRule="auto"/>
        <w:rPr>
          <w:sz w:val="20"/>
          <w:szCs w:val="20"/>
          <w:color w:val="auto"/>
        </w:rPr>
      </w:pPr>
      <w:r>
        <w:rPr>
          <w:rFonts w:ascii="Arial" w:cs="Arial" w:eastAsia="Arial" w:hAnsi="Arial"/>
          <w:sz w:val="15"/>
          <w:szCs w:val="15"/>
          <w:color w:val="465361"/>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2" w:lineRule="exact"/>
        <w:rPr>
          <w:sz w:val="20"/>
          <w:szCs w:val="20"/>
          <w:color w:val="auto"/>
        </w:rPr>
      </w:pPr>
    </w:p>
    <w:p>
      <w:pPr>
        <w:ind w:left="120" w:hanging="4"/>
        <w:spacing w:after="0" w:line="290" w:lineRule="auto"/>
        <w:tabs>
          <w:tab w:leader="none" w:pos="427" w:val="left"/>
        </w:tabs>
        <w:numPr>
          <w:ilvl w:val="0"/>
          <w:numId w:val="21"/>
        </w:numPr>
        <w:rPr>
          <w:rFonts w:ascii="Arial" w:cs="Arial" w:eastAsia="Arial" w:hAnsi="Arial"/>
          <w:sz w:val="16"/>
          <w:szCs w:val="16"/>
          <w:color w:val="465361"/>
        </w:rPr>
      </w:pPr>
      <w:r>
        <w:rPr>
          <w:rFonts w:ascii="Arial" w:cs="Arial" w:eastAsia="Arial" w:hAnsi="Arial"/>
          <w:sz w:val="16"/>
          <w:szCs w:val="16"/>
          <w:color w:val="465361"/>
        </w:rPr>
        <w:t>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Singapore</w:t>
      </w:r>
    </w:p>
    <w:p>
      <w:pPr>
        <w:spacing w:after="0" w:line="9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465361"/>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 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38" w:lineRule="exact"/>
        <w:rPr>
          <w:sz w:val="20"/>
          <w:szCs w:val="20"/>
          <w:color w:val="auto"/>
        </w:rPr>
      </w:pPr>
    </w:p>
    <w:p>
      <w:pPr>
        <w:ind w:left="1300" w:right="20" w:hanging="644"/>
        <w:spacing w:after="0" w:line="268" w:lineRule="auto"/>
        <w:tabs>
          <w:tab w:leader="none" w:pos="13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to an institutional investor (as defined in Section 4A of the Securities and Futures Act (Chapter 289) of Singapore, as modified or amended from time to time (the “SFA”)) pursuant to Section 274 of the SFA;</w:t>
      </w:r>
    </w:p>
    <w:p>
      <w:pPr>
        <w:spacing w:after="0" w:line="50" w:lineRule="exact"/>
        <w:rPr>
          <w:rFonts w:ascii="Arial" w:cs="Arial" w:eastAsia="Arial" w:hAnsi="Arial"/>
          <w:sz w:val="18"/>
          <w:szCs w:val="18"/>
          <w:color w:val="465361"/>
        </w:rPr>
      </w:pPr>
    </w:p>
    <w:p>
      <w:pPr>
        <w:ind w:left="1300" w:right="40" w:hanging="644"/>
        <w:spacing w:after="0" w:line="268" w:lineRule="auto"/>
        <w:tabs>
          <w:tab w:leader="none" w:pos="13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to a relevant person (as defined in Section 275(2) of the SFA) pursuant to Section 275(1) of the SFA and in accordance with the conditions specified in Section 275 of the SFA; or</w:t>
      </w:r>
    </w:p>
    <w:p>
      <w:pPr>
        <w:spacing w:after="0" w:line="50" w:lineRule="exact"/>
        <w:rPr>
          <w:rFonts w:ascii="Arial" w:cs="Arial" w:eastAsia="Arial" w:hAnsi="Arial"/>
          <w:sz w:val="18"/>
          <w:szCs w:val="18"/>
          <w:color w:val="465361"/>
        </w:rPr>
      </w:pPr>
    </w:p>
    <w:p>
      <w:pPr>
        <w:ind w:left="1300" w:hanging="644"/>
        <w:spacing w:after="0"/>
        <w:tabs>
          <w:tab w:leader="none" w:pos="1300" w:val="left"/>
        </w:tabs>
        <w:numPr>
          <w:ilvl w:val="0"/>
          <w:numId w:val="22"/>
        </w:numPr>
        <w:rPr>
          <w:rFonts w:ascii="Arial" w:cs="Arial" w:eastAsia="Arial" w:hAnsi="Arial"/>
          <w:sz w:val="18"/>
          <w:szCs w:val="18"/>
          <w:color w:val="465361"/>
        </w:rPr>
      </w:pPr>
      <w:r>
        <w:rPr>
          <w:rFonts w:ascii="Arial" w:cs="Arial" w:eastAsia="Arial" w:hAnsi="Arial"/>
          <w:sz w:val="18"/>
          <w:szCs w:val="18"/>
          <w:color w:val="465361"/>
        </w:rPr>
        <w:t>otherwise pursuant to, and in accordance with the conditions of, any other applicable provision of the SFA.</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Where the shares are subscribed or purchased under Section 275 of the SFA by a relevant person which is:</w:t>
      </w:r>
    </w:p>
    <w:p>
      <w:pPr>
        <w:spacing w:after="0" w:line="90" w:lineRule="exact"/>
        <w:rPr>
          <w:sz w:val="20"/>
          <w:szCs w:val="20"/>
          <w:color w:val="auto"/>
        </w:rPr>
      </w:pPr>
    </w:p>
    <w:p>
      <w:pPr>
        <w:ind w:left="1300" w:right="80" w:hanging="644"/>
        <w:spacing w:after="0" w:line="331" w:lineRule="auto"/>
        <w:tabs>
          <w:tab w:leader="none" w:pos="1300" w:val="left"/>
        </w:tabs>
        <w:numPr>
          <w:ilvl w:val="0"/>
          <w:numId w:val="23"/>
        </w:numPr>
        <w:rPr>
          <w:rFonts w:ascii="Arial" w:cs="Arial" w:eastAsia="Arial" w:hAnsi="Arial"/>
          <w:sz w:val="16"/>
          <w:szCs w:val="16"/>
          <w:color w:val="465361"/>
        </w:rPr>
      </w:pPr>
      <w:r>
        <w:rPr>
          <w:rFonts w:ascii="Arial" w:cs="Arial" w:eastAsia="Arial" w:hAnsi="Arial"/>
          <w:sz w:val="16"/>
          <w:szCs w:val="16"/>
          <w:color w:val="465361"/>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 w:lineRule="exact"/>
        <w:rPr>
          <w:rFonts w:ascii="Arial" w:cs="Arial" w:eastAsia="Arial" w:hAnsi="Arial"/>
          <w:sz w:val="16"/>
          <w:szCs w:val="16"/>
          <w:color w:val="465361"/>
        </w:rPr>
      </w:pPr>
    </w:p>
    <w:p>
      <w:pPr>
        <w:jc w:val="both"/>
        <w:ind w:left="1300" w:right="300" w:hanging="644"/>
        <w:spacing w:after="0" w:line="306" w:lineRule="auto"/>
        <w:tabs>
          <w:tab w:leader="none" w:pos="1300" w:val="left"/>
        </w:tabs>
        <w:numPr>
          <w:ilvl w:val="0"/>
          <w:numId w:val="23"/>
        </w:numPr>
        <w:rPr>
          <w:rFonts w:ascii="Arial" w:cs="Arial" w:eastAsia="Arial" w:hAnsi="Arial"/>
          <w:sz w:val="16"/>
          <w:szCs w:val="16"/>
          <w:color w:val="465361"/>
        </w:rPr>
      </w:pPr>
      <w:r>
        <w:rPr>
          <w:rFonts w:ascii="Arial" w:cs="Arial" w:eastAsia="Arial" w:hAnsi="Arial"/>
          <w:sz w:val="16"/>
          <w:szCs w:val="16"/>
          <w:color w:val="465361"/>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S-25</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320"/>
        <w:spacing w:after="0"/>
        <w:rPr>
          <w:sz w:val="20"/>
          <w:szCs w:val="20"/>
          <w:color w:val="auto"/>
        </w:rPr>
      </w:pPr>
      <w:r>
        <w:rPr>
          <w:rFonts w:ascii="Arial" w:cs="Arial" w:eastAsia="Arial" w:hAnsi="Arial"/>
          <w:sz w:val="16"/>
          <w:szCs w:val="16"/>
          <w:color w:val="465361"/>
        </w:rPr>
        <w:t>trust shall not be transferred within six months after that corporation or that trust has acquired the shares pursuant to an offer made under</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8"/>
          <w:szCs w:val="18"/>
          <w:color w:val="465361"/>
        </w:rPr>
        <w:t>Section 275 of the SFA except:</w:t>
      </w:r>
    </w:p>
    <w:p>
      <w:pPr>
        <w:spacing w:after="0" w:line="84" w:lineRule="exact"/>
        <w:rPr>
          <w:sz w:val="20"/>
          <w:szCs w:val="20"/>
          <w:color w:val="auto"/>
        </w:rPr>
      </w:pPr>
    </w:p>
    <w:p>
      <w:pPr>
        <w:ind w:left="1860" w:right="200" w:hanging="543"/>
        <w:spacing w:after="0" w:line="268" w:lineRule="auto"/>
        <w:tabs>
          <w:tab w:leader="none" w:pos="18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to an institutional investor or to a relevant person, or to any person arising from an offer referred to in Section 276(4)(i)(B) of the SFA;</w:t>
      </w:r>
    </w:p>
    <w:p>
      <w:pPr>
        <w:spacing w:after="0" w:line="50" w:lineRule="exact"/>
        <w:rPr>
          <w:rFonts w:ascii="Arial" w:cs="Arial" w:eastAsia="Arial" w:hAnsi="Arial"/>
          <w:sz w:val="18"/>
          <w:szCs w:val="18"/>
          <w:color w:val="465361"/>
        </w:rPr>
      </w:pPr>
    </w:p>
    <w:p>
      <w:pPr>
        <w:ind w:left="1860" w:hanging="543"/>
        <w:spacing w:after="0"/>
        <w:tabs>
          <w:tab w:leader="none" w:pos="18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where no consideration is or will be given for the transfer;</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where the transfer is by operation of law;</w:t>
      </w:r>
    </w:p>
    <w:p>
      <w:pPr>
        <w:spacing w:after="0" w:line="90" w:lineRule="exact"/>
        <w:rPr>
          <w:rFonts w:ascii="Arial" w:cs="Arial" w:eastAsia="Arial" w:hAnsi="Arial"/>
          <w:sz w:val="18"/>
          <w:szCs w:val="18"/>
          <w:color w:val="465361"/>
        </w:rPr>
      </w:pPr>
    </w:p>
    <w:p>
      <w:pPr>
        <w:ind w:left="1860" w:hanging="543"/>
        <w:spacing w:after="0"/>
        <w:tabs>
          <w:tab w:leader="none" w:pos="18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as specified in Section 276(7) of the SFA; or</w:t>
      </w:r>
    </w:p>
    <w:p>
      <w:pPr>
        <w:spacing w:after="0" w:line="90" w:lineRule="exact"/>
        <w:rPr>
          <w:rFonts w:ascii="Arial" w:cs="Arial" w:eastAsia="Arial" w:hAnsi="Arial"/>
          <w:sz w:val="18"/>
          <w:szCs w:val="18"/>
          <w:color w:val="465361"/>
        </w:rPr>
      </w:pPr>
    </w:p>
    <w:p>
      <w:pPr>
        <w:ind w:left="1860" w:right="220" w:hanging="543"/>
        <w:spacing w:after="0" w:line="268" w:lineRule="auto"/>
        <w:tabs>
          <w:tab w:leader="none" w:pos="1860" w:val="left"/>
        </w:tabs>
        <w:numPr>
          <w:ilvl w:val="0"/>
          <w:numId w:val="24"/>
        </w:numPr>
        <w:rPr>
          <w:rFonts w:ascii="Arial" w:cs="Arial" w:eastAsia="Arial" w:hAnsi="Arial"/>
          <w:sz w:val="18"/>
          <w:szCs w:val="18"/>
          <w:color w:val="465361"/>
        </w:rPr>
      </w:pPr>
      <w:r>
        <w:rPr>
          <w:rFonts w:ascii="Arial" w:cs="Arial" w:eastAsia="Arial" w:hAnsi="Arial"/>
          <w:sz w:val="18"/>
          <w:szCs w:val="18"/>
          <w:color w:val="465361"/>
        </w:rPr>
        <w:t>as specified in Regulation 37A of the Securities and Futures (Offers of Investments) (Securities and Securities-based Derivatives Contracts) Regulations 2018.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Switzerland</w:t>
      </w:r>
    </w:p>
    <w:p>
      <w:pPr>
        <w:spacing w:after="0" w:line="90" w:lineRule="exact"/>
        <w:rPr>
          <w:sz w:val="20"/>
          <w:szCs w:val="20"/>
          <w:color w:val="auto"/>
        </w:rPr>
      </w:pPr>
    </w:p>
    <w:p>
      <w:pPr>
        <w:jc w:val="both"/>
        <w:ind w:left="120" w:right="40"/>
        <w:spacing w:after="0" w:line="294" w:lineRule="auto"/>
        <w:rPr>
          <w:sz w:val="20"/>
          <w:szCs w:val="20"/>
          <w:color w:val="auto"/>
        </w:rPr>
      </w:pPr>
      <w:r>
        <w:rPr>
          <w:rFonts w:ascii="Arial" w:cs="Arial" w:eastAsia="Arial" w:hAnsi="Arial"/>
          <w:sz w:val="16"/>
          <w:szCs w:val="16"/>
          <w:color w:val="465361"/>
        </w:rPr>
        <w:t>The shares of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common stock or the offering may be publicly distributed or otherwise made publicly available in Switzerland.</w:t>
      </w:r>
    </w:p>
    <w:p>
      <w:pPr>
        <w:spacing w:after="0" w:line="11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465361"/>
        </w:rPr>
        <w:t>Neither this document nor any other offering or marketing material relating to the offering, or the shares of common stock have been or will be filed with or approved by any Swiss regulatory authority. In particular, this document will not be filed with, and the offer of the shares of common stock will not be supervised by, the Swiss Financial Market Supervisory Authority FINMA, and the offer of the shares of common stock has not been and will not be authorized under the Swiss Federal Act on Collective Investment Schemes (“CISA”).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the shares of common stock.</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United Arab Emirates</w:t>
      </w:r>
    </w:p>
    <w:p>
      <w:pPr>
        <w:spacing w:after="0" w:line="9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465361"/>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shares of common stock may not be offered to the public in the UAE and/or any of the free zones.</w:t>
      </w:r>
    </w:p>
    <w:p>
      <w:pPr>
        <w:spacing w:after="0" w:line="120" w:lineRule="exact"/>
        <w:rPr>
          <w:sz w:val="20"/>
          <w:szCs w:val="20"/>
          <w:color w:val="auto"/>
        </w:rPr>
      </w:pPr>
    </w:p>
    <w:p>
      <w:pPr>
        <w:ind w:left="120" w:right="880"/>
        <w:spacing w:after="0" w:line="268" w:lineRule="auto"/>
        <w:rPr>
          <w:sz w:val="20"/>
          <w:szCs w:val="20"/>
          <w:color w:val="auto"/>
        </w:rPr>
      </w:pPr>
      <w:r>
        <w:rPr>
          <w:rFonts w:ascii="Arial" w:cs="Arial" w:eastAsia="Arial" w:hAnsi="Arial"/>
          <w:sz w:val="18"/>
          <w:szCs w:val="18"/>
          <w:color w:val="465361"/>
        </w:rPr>
        <w:t>The shares of common stock may be offered and issued only to a limited number of investors in the UAE or any of its free zones who qualify as sophisticated investors under the relevant laws and regulations of the UAE or the free zone concerned.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465361"/>
        </w:rPr>
        <w:t>France</w:t>
      </w:r>
    </w:p>
    <w:p>
      <w:pPr>
        <w:spacing w:after="0" w:line="90"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465361"/>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465361"/>
        </w:rPr>
        <w:t>S-26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right="140"/>
        <w:spacing w:after="0" w:line="268" w:lineRule="auto"/>
        <w:rPr>
          <w:sz w:val="20"/>
          <w:szCs w:val="20"/>
          <w:color w:val="auto"/>
        </w:rPr>
      </w:pPr>
      <w:r>
        <w:rPr>
          <w:rFonts w:ascii="Arial" w:cs="Arial" w:eastAsia="Arial" w:hAnsi="Arial"/>
          <w:sz w:val="18"/>
          <w:szCs w:val="18"/>
          <w:color w:val="465361"/>
        </w:rPr>
        <w:t>This prospectus has not been and will not be submitted to the French Autorité des marchés financiers (the “AMF”) for approval in France and accordingly may not and will not be distributed to the public in France.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Pursuant to Article 211-3 of the AMF General Regulation, French residents are hereby informed that:</w:t>
      </w:r>
    </w:p>
    <w:p>
      <w:pPr>
        <w:spacing w:after="0" w:line="90"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the transaction does not require a prospectus to be submitted for approval to the AMF;</w:t>
      </w:r>
    </w:p>
    <w:p>
      <w:pPr>
        <w:spacing w:after="0" w:line="90" w:lineRule="exact"/>
        <w:rPr>
          <w:rFonts w:ascii="Arial" w:cs="Arial" w:eastAsia="Arial" w:hAnsi="Arial"/>
          <w:sz w:val="18"/>
          <w:szCs w:val="18"/>
          <w:color w:val="465361"/>
        </w:rPr>
      </w:pPr>
    </w:p>
    <w:p>
      <w:pPr>
        <w:ind w:left="1300" w:hanging="644"/>
        <w:spacing w:after="0" w:line="259" w:lineRule="auto"/>
        <w:tabs>
          <w:tab w:leader="none" w:pos="130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p>
      <w:pPr>
        <w:spacing w:after="0" w:line="58" w:lineRule="exact"/>
        <w:rPr>
          <w:rFonts w:ascii="Arial" w:cs="Arial" w:eastAsia="Arial" w:hAnsi="Arial"/>
          <w:sz w:val="18"/>
          <w:szCs w:val="18"/>
          <w:color w:val="465361"/>
        </w:rPr>
      </w:pPr>
    </w:p>
    <w:p>
      <w:pPr>
        <w:ind w:left="1300" w:right="100" w:hanging="644"/>
        <w:spacing w:after="0" w:line="268" w:lineRule="auto"/>
        <w:tabs>
          <w:tab w:leader="none" w:pos="1300" w:val="left"/>
        </w:tabs>
        <w:numPr>
          <w:ilvl w:val="0"/>
          <w:numId w:val="25"/>
        </w:numPr>
        <w:rPr>
          <w:rFonts w:ascii="Arial" w:cs="Arial" w:eastAsia="Arial" w:hAnsi="Arial"/>
          <w:sz w:val="18"/>
          <w:szCs w:val="18"/>
          <w:color w:val="465361"/>
        </w:rPr>
      </w:pPr>
      <w:r>
        <w:rPr>
          <w:rFonts w:ascii="Arial" w:cs="Arial" w:eastAsia="Arial" w:hAnsi="Arial"/>
          <w:sz w:val="18"/>
          <w:szCs w:val="18"/>
          <w:color w:val="465361"/>
        </w:rPr>
        <w:t>the financial instruments thus acquired cannot be distributed directly or indirectly to the public otherwise than in accordance with Articles L. 411-1, L. 411-2, L. 412-1 and L. 621-8 to L. 621-8-3 of the Monetary and Financial Code.</w:t>
      </w:r>
    </w:p>
    <w:p>
      <w:pPr>
        <w:spacing w:after="0" w:line="132" w:lineRule="exact"/>
        <w:rPr>
          <w:sz w:val="20"/>
          <w:szCs w:val="20"/>
          <w:color w:val="auto"/>
        </w:rPr>
      </w:pPr>
    </w:p>
    <w:p>
      <w:pPr>
        <w:ind w:left="120" w:right="100"/>
        <w:spacing w:after="0" w:line="298" w:lineRule="auto"/>
        <w:rPr>
          <w:sz w:val="20"/>
          <w:szCs w:val="20"/>
          <w:color w:val="auto"/>
        </w:rPr>
      </w:pPr>
      <w:r>
        <w:rPr>
          <w:rFonts w:ascii="Arial" w:cs="Arial" w:eastAsia="Arial" w:hAnsi="Arial"/>
          <w:sz w:val="16"/>
          <w:szCs w:val="16"/>
          <w:color w:val="465361"/>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465361"/>
        </w:rPr>
        <w:t>S-27</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LEGAL MATTERS</w:t>
      </w:r>
    </w:p>
    <w:p>
      <w:pPr>
        <w:spacing w:after="0" w:line="177" w:lineRule="exact"/>
        <w:rPr>
          <w:sz w:val="20"/>
          <w:szCs w:val="20"/>
          <w:color w:val="auto"/>
        </w:rPr>
      </w:pPr>
    </w:p>
    <w:p>
      <w:pPr>
        <w:ind w:left="120" w:right="480"/>
        <w:spacing w:after="0" w:line="268" w:lineRule="auto"/>
        <w:rPr>
          <w:sz w:val="20"/>
          <w:szCs w:val="20"/>
          <w:color w:val="auto"/>
        </w:rPr>
      </w:pPr>
      <w:r>
        <w:rPr>
          <w:rFonts w:ascii="Arial" w:cs="Arial" w:eastAsia="Arial" w:hAnsi="Arial"/>
          <w:sz w:val="18"/>
          <w:szCs w:val="18"/>
          <w:color w:val="465361"/>
        </w:rPr>
        <w:t>The validity of the issuance of the securities offered hereby will be passed upon for us by K&amp;L Gates LLP, Seattle, Washington. The underwriters are represented in this offering by Davis Polk &amp; Wardwell LLP, Menlo Park, California.</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EXPERTS</w:t>
      </w:r>
    </w:p>
    <w:p>
      <w:pPr>
        <w:spacing w:after="0" w:line="177" w:lineRule="exact"/>
        <w:rPr>
          <w:sz w:val="20"/>
          <w:szCs w:val="20"/>
          <w:color w:val="auto"/>
        </w:rPr>
      </w:pPr>
    </w:p>
    <w:p>
      <w:pPr>
        <w:jc w:val="both"/>
        <w:ind w:left="120" w:right="60"/>
        <w:spacing w:after="0" w:line="298" w:lineRule="auto"/>
        <w:rPr>
          <w:sz w:val="20"/>
          <w:szCs w:val="20"/>
          <w:color w:val="auto"/>
        </w:rPr>
      </w:pPr>
      <w:r>
        <w:rPr>
          <w:rFonts w:ascii="Arial" w:cs="Arial" w:eastAsia="Arial" w:hAnsi="Arial"/>
          <w:sz w:val="16"/>
          <w:szCs w:val="16"/>
          <w:color w:val="465361"/>
        </w:rPr>
        <w:t>The consolidated balance sheets of AVITA Medical, Inc. as of June 30, 2020 and 2019, and the related consolidated statements of operations, stockholders’ equity, and cash flows for each of the years then ended have been audited by Grant Thornton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WHERE YOU CAN FIND MORE INFORMATION</w:t>
      </w:r>
    </w:p>
    <w:p>
      <w:pPr>
        <w:spacing w:after="0" w:line="177" w:lineRule="exact"/>
        <w:rPr>
          <w:sz w:val="20"/>
          <w:szCs w:val="20"/>
          <w:color w:val="auto"/>
        </w:rPr>
      </w:pPr>
    </w:p>
    <w:p>
      <w:pPr>
        <w:ind w:left="120" w:right="200"/>
        <w:spacing w:after="0" w:line="290" w:lineRule="auto"/>
        <w:rPr>
          <w:sz w:val="20"/>
          <w:szCs w:val="20"/>
          <w:color w:val="auto"/>
        </w:rPr>
      </w:pPr>
      <w:r>
        <w:rPr>
          <w:rFonts w:ascii="Arial" w:cs="Arial" w:eastAsia="Arial" w:hAnsi="Arial"/>
          <w:sz w:val="16"/>
          <w:szCs w:val="16"/>
          <w:color w:val="465361"/>
        </w:rPr>
        <w:t>This prospectus supplement and the accompanying prospectus are part of the registration statement on Form S-3 (File No. 333-249419) we filed with the Securities and Exchange Commission, or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prospectus for a copy of such contract, agreement or other document. You may inspect a copy of the registration statement, including the exhibits and schedules, without charge, at the SEC’s public reference room mentioned below, or obtain a copy from the SEC upon payment of the fees prescribed by the SEC.</w:t>
      </w:r>
    </w:p>
    <w:p>
      <w:pPr>
        <w:spacing w:after="0" w:line="118" w:lineRule="exact"/>
        <w:rPr>
          <w:sz w:val="20"/>
          <w:szCs w:val="20"/>
          <w:color w:val="auto"/>
        </w:rPr>
      </w:pPr>
    </w:p>
    <w:p>
      <w:pPr>
        <w:ind w:left="120" w:right="160"/>
        <w:spacing w:after="0" w:line="331" w:lineRule="auto"/>
        <w:rPr>
          <w:sz w:val="20"/>
          <w:szCs w:val="20"/>
          <w:color w:val="auto"/>
        </w:rPr>
      </w:pPr>
      <w:r>
        <w:rPr>
          <w:rFonts w:ascii="Arial" w:cs="Arial" w:eastAsia="Arial" w:hAnsi="Arial"/>
          <w:sz w:val="16"/>
          <w:szCs w:val="16"/>
          <w:color w:val="465361"/>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87" w:lineRule="exact"/>
        <w:rPr>
          <w:sz w:val="20"/>
          <w:szCs w:val="20"/>
          <w:color w:val="auto"/>
        </w:rPr>
      </w:pPr>
    </w:p>
    <w:p>
      <w:pPr>
        <w:ind w:left="120" w:right="620"/>
        <w:spacing w:after="0" w:line="268" w:lineRule="auto"/>
        <w:rPr>
          <w:sz w:val="20"/>
          <w:szCs w:val="20"/>
          <w:color w:val="auto"/>
        </w:rPr>
      </w:pPr>
      <w:r>
        <w:rPr>
          <w:rFonts w:ascii="Arial" w:cs="Arial" w:eastAsia="Arial" w:hAnsi="Arial"/>
          <w:sz w:val="18"/>
          <w:szCs w:val="18"/>
          <w:color w:val="465361"/>
        </w:rPr>
        <w:t>We also maintain a website at www.avitamedical.com. The information set forth on, or accessible through, our website is not part of this prospectus supplement.</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465361"/>
        </w:rPr>
        <w:t>INCORPORATION OF CERTAIN INFORMATION BY REFERENCE</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465361"/>
        </w:rPr>
        <w:t>We incorporate by reference the filed documents listed below, except as superseded, supplemented or modified by this prospectus, and any future filings we will make with the SEC under Sections 13(a), 13(c), 14 or 15(d) of the Exchange Act (unless otherwise noted, the SEC file number for each of the documents listed below is 001-39059):</w:t>
      </w:r>
    </w:p>
    <w:p>
      <w:pPr>
        <w:spacing w:after="0" w:line="59" w:lineRule="exact"/>
        <w:rPr>
          <w:sz w:val="20"/>
          <w:szCs w:val="20"/>
          <w:color w:val="auto"/>
        </w:rPr>
      </w:pPr>
    </w:p>
    <w:p>
      <w:pPr>
        <w:ind w:left="1420" w:hanging="427"/>
        <w:spacing w:after="0"/>
        <w:tabs>
          <w:tab w:leader="none" w:pos="1420" w:val="left"/>
        </w:tabs>
        <w:numPr>
          <w:ilvl w:val="0"/>
          <w:numId w:val="26"/>
        </w:numPr>
        <w:rPr>
          <w:rFonts w:ascii="Arial" w:cs="Arial" w:eastAsia="Arial" w:hAnsi="Arial"/>
          <w:sz w:val="18"/>
          <w:szCs w:val="18"/>
          <w:color w:val="465361"/>
        </w:rPr>
      </w:pPr>
      <w:r>
        <w:rPr>
          <w:rFonts w:ascii="Arial" w:cs="Arial" w:eastAsia="Arial" w:hAnsi="Arial"/>
          <w:sz w:val="18"/>
          <w:szCs w:val="18"/>
          <w:color w:val="465361"/>
        </w:rPr>
        <w:t xml:space="preserve">Our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465361"/>
          </w:rPr>
          <w:t xml:space="preserve"> </w:t>
        </w:r>
      </w:hyperlink>
      <w:r>
        <w:rPr>
          <w:rFonts w:ascii="Arial" w:cs="Arial" w:eastAsia="Arial" w:hAnsi="Arial"/>
          <w:sz w:val="18"/>
          <w:szCs w:val="18"/>
          <w:color w:val="465361"/>
        </w:rPr>
        <w:t>for the year ended June 30, 2020, filed with the SEC on August 27, 2020;</w:t>
      </w:r>
    </w:p>
    <w:p>
      <w:pPr>
        <w:spacing w:after="0" w:line="90" w:lineRule="exact"/>
        <w:rPr>
          <w:rFonts w:ascii="Arial" w:cs="Arial" w:eastAsia="Arial" w:hAnsi="Arial"/>
          <w:sz w:val="18"/>
          <w:szCs w:val="18"/>
          <w:color w:val="465361"/>
        </w:rPr>
      </w:pPr>
    </w:p>
    <w:p>
      <w:pPr>
        <w:ind w:left="1420" w:right="680" w:hanging="427"/>
        <w:spacing w:after="0" w:line="268" w:lineRule="auto"/>
        <w:tabs>
          <w:tab w:leader="none" w:pos="1420" w:val="left"/>
        </w:tabs>
        <w:numPr>
          <w:ilvl w:val="0"/>
          <w:numId w:val="26"/>
        </w:numPr>
        <w:rPr>
          <w:rFonts w:ascii="Arial" w:cs="Arial" w:eastAsia="Arial" w:hAnsi="Arial"/>
          <w:sz w:val="18"/>
          <w:szCs w:val="18"/>
          <w:color w:val="0000EE"/>
        </w:rPr>
      </w:pPr>
      <w:r>
        <w:rPr>
          <w:rFonts w:ascii="Arial" w:cs="Arial" w:eastAsia="Arial" w:hAnsi="Arial"/>
          <w:sz w:val="18"/>
          <w:szCs w:val="18"/>
          <w:color w:val="465361"/>
        </w:rPr>
        <w:t xml:space="preserve">Our Quarterly Reports on Form 10-Q for the quarters ended September 30, 2020 and December 31, 2020, filed with the SEC on </w:t>
      </w:r>
      <w:hyperlink r:id="rId58">
        <w:r>
          <w:rPr>
            <w:rFonts w:ascii="Arial" w:cs="Arial" w:eastAsia="Arial" w:hAnsi="Arial"/>
            <w:sz w:val="18"/>
            <w:szCs w:val="18"/>
            <w:u w:val="single" w:color="auto"/>
            <w:color w:val="0000EE"/>
          </w:rPr>
          <w:t>November 11, 2020</w:t>
        </w:r>
        <w:r>
          <w:rPr>
            <w:rFonts w:ascii="Arial" w:cs="Arial" w:eastAsia="Arial" w:hAnsi="Arial"/>
            <w:sz w:val="18"/>
            <w:szCs w:val="18"/>
            <w:color w:val="0000EE"/>
          </w:rPr>
          <w:t xml:space="preserve"> </w:t>
        </w:r>
      </w:hyperlink>
      <w:r>
        <w:rPr>
          <w:rFonts w:ascii="Arial" w:cs="Arial" w:eastAsia="Arial" w:hAnsi="Arial"/>
          <w:sz w:val="18"/>
          <w:szCs w:val="18"/>
          <w:color w:val="465361"/>
        </w:rPr>
        <w:t>and</w:t>
      </w:r>
      <w:r>
        <w:rPr>
          <w:rFonts w:ascii="Arial" w:cs="Arial" w:eastAsia="Arial" w:hAnsi="Arial"/>
          <w:sz w:val="18"/>
          <w:szCs w:val="18"/>
          <w:color w:val="0000EE"/>
        </w:rPr>
        <w:t xml:space="preserve"> </w:t>
      </w:r>
      <w:hyperlink r:id="rId59">
        <w:r>
          <w:rPr>
            <w:rFonts w:ascii="Arial" w:cs="Arial" w:eastAsia="Arial" w:hAnsi="Arial"/>
            <w:sz w:val="18"/>
            <w:szCs w:val="18"/>
            <w:u w:val="single" w:color="auto"/>
            <w:color w:val="0000EE"/>
          </w:rPr>
          <w:t>February 16, 2021</w:t>
        </w:r>
      </w:hyperlink>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color w:val="465361"/>
        </w:rPr>
        <w:t>respectively;</w:t>
      </w:r>
    </w:p>
    <w:p>
      <w:pPr>
        <w:spacing w:after="0" w:line="50" w:lineRule="exact"/>
        <w:rPr>
          <w:rFonts w:ascii="Arial" w:cs="Arial" w:eastAsia="Arial" w:hAnsi="Arial"/>
          <w:sz w:val="18"/>
          <w:szCs w:val="18"/>
          <w:color w:val="0000EE"/>
        </w:rPr>
      </w:pPr>
    </w:p>
    <w:p>
      <w:pPr>
        <w:ind w:left="1420" w:hanging="427"/>
        <w:spacing w:after="0" w:line="259" w:lineRule="auto"/>
        <w:tabs>
          <w:tab w:leader="none" w:pos="1420" w:val="left"/>
        </w:tabs>
        <w:numPr>
          <w:ilvl w:val="0"/>
          <w:numId w:val="26"/>
        </w:numPr>
        <w:rPr>
          <w:rFonts w:ascii="Arial" w:cs="Arial" w:eastAsia="Arial" w:hAnsi="Arial"/>
          <w:sz w:val="18"/>
          <w:szCs w:val="18"/>
          <w:color w:val="0000EE"/>
        </w:rPr>
      </w:pPr>
      <w:r>
        <w:rPr>
          <w:rFonts w:ascii="Arial" w:cs="Arial" w:eastAsia="Arial" w:hAnsi="Arial"/>
          <w:sz w:val="18"/>
          <w:szCs w:val="18"/>
          <w:color w:val="465361"/>
        </w:rPr>
        <w:t xml:space="preserve">Our Current Reports on Form 8-K filed with the SEC on </w:t>
      </w:r>
      <w:hyperlink r:id="rId60">
        <w:r>
          <w:rPr>
            <w:rFonts w:ascii="Arial" w:cs="Arial" w:eastAsia="Arial" w:hAnsi="Arial"/>
            <w:sz w:val="18"/>
            <w:szCs w:val="18"/>
            <w:u w:val="single" w:color="auto"/>
            <w:color w:val="0000EE"/>
          </w:rPr>
          <w:t>July 6, 2020</w:t>
        </w:r>
      </w:hyperlink>
      <w:r>
        <w:rPr>
          <w:rFonts w:ascii="Arial" w:cs="Arial" w:eastAsia="Arial" w:hAnsi="Arial"/>
          <w:sz w:val="18"/>
          <w:szCs w:val="18"/>
          <w:color w:val="465361"/>
        </w:rPr>
        <w:t xml:space="preserve">, </w:t>
      </w:r>
      <w:hyperlink r:id="rId61">
        <w:r>
          <w:rPr>
            <w:rFonts w:ascii="Arial" w:cs="Arial" w:eastAsia="Arial" w:hAnsi="Arial"/>
            <w:sz w:val="18"/>
            <w:szCs w:val="18"/>
            <w:u w:val="single" w:color="auto"/>
            <w:color w:val="0000EE"/>
          </w:rPr>
          <w:t>July 9, 2020</w:t>
        </w:r>
      </w:hyperlink>
      <w:r>
        <w:rPr>
          <w:rFonts w:ascii="Arial" w:cs="Arial" w:eastAsia="Arial" w:hAnsi="Arial"/>
          <w:sz w:val="18"/>
          <w:szCs w:val="18"/>
          <w:color w:val="465361"/>
        </w:rPr>
        <w:t xml:space="preserve">, </w:t>
      </w:r>
      <w:hyperlink r:id="rId62">
        <w:r>
          <w:rPr>
            <w:rFonts w:ascii="Arial" w:cs="Arial" w:eastAsia="Arial" w:hAnsi="Arial"/>
            <w:sz w:val="18"/>
            <w:szCs w:val="18"/>
            <w:u w:val="single" w:color="auto"/>
            <w:color w:val="0000EE"/>
          </w:rPr>
          <w:t>July 13, 2020</w:t>
        </w:r>
      </w:hyperlink>
      <w:r>
        <w:rPr>
          <w:rFonts w:ascii="Arial" w:cs="Arial" w:eastAsia="Arial" w:hAnsi="Arial"/>
          <w:sz w:val="18"/>
          <w:szCs w:val="18"/>
          <w:color w:val="465361"/>
        </w:rPr>
        <w:t xml:space="preserve">, </w:t>
      </w:r>
      <w:hyperlink r:id="rId63">
        <w:r>
          <w:rPr>
            <w:rFonts w:ascii="Arial" w:cs="Arial" w:eastAsia="Arial" w:hAnsi="Arial"/>
            <w:sz w:val="18"/>
            <w:szCs w:val="18"/>
            <w:u w:val="single" w:color="auto"/>
            <w:color w:val="0000EE"/>
          </w:rPr>
          <w:t>August 4, 2020</w:t>
        </w:r>
      </w:hyperlink>
      <w:r>
        <w:rPr>
          <w:rFonts w:ascii="Arial" w:cs="Arial" w:eastAsia="Arial" w:hAnsi="Arial"/>
          <w:sz w:val="18"/>
          <w:szCs w:val="18"/>
          <w:color w:val="465361"/>
        </w:rPr>
        <w:t xml:space="preserve">, </w:t>
      </w:r>
      <w:hyperlink r:id="rId64">
        <w:r>
          <w:rPr>
            <w:rFonts w:ascii="Arial" w:cs="Arial" w:eastAsia="Arial" w:hAnsi="Arial"/>
            <w:sz w:val="18"/>
            <w:szCs w:val="18"/>
            <w:u w:val="single" w:color="auto"/>
            <w:color w:val="0000EE"/>
          </w:rPr>
          <w:t>August 28, 2020</w:t>
        </w:r>
      </w:hyperlink>
      <w:r>
        <w:rPr>
          <w:rFonts w:ascii="Arial" w:cs="Arial" w:eastAsia="Arial" w:hAnsi="Arial"/>
          <w:sz w:val="18"/>
          <w:szCs w:val="18"/>
          <w:color w:val="465361"/>
        </w:rPr>
        <w:t xml:space="preserve">, </w:t>
      </w:r>
      <w:hyperlink r:id="rId65">
        <w:r>
          <w:rPr>
            <w:rFonts w:ascii="Arial" w:cs="Arial" w:eastAsia="Arial" w:hAnsi="Arial"/>
            <w:sz w:val="18"/>
            <w:szCs w:val="18"/>
            <w:u w:val="single" w:color="auto"/>
            <w:color w:val="0000EE"/>
          </w:rPr>
          <w:t>September 10,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13,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2,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5,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6,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10, 2020</w:t>
        </w:r>
        <w:r>
          <w:rPr>
            <w:rFonts w:ascii="Arial" w:cs="Arial" w:eastAsia="Arial" w:hAnsi="Arial"/>
            <w:sz w:val="18"/>
            <w:szCs w:val="18"/>
            <w:color w:val="465361"/>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12,</w:t>
        </w:r>
      </w:hyperlink>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2020</w:t>
        </w:r>
        <w:r>
          <w:rPr>
            <w:rFonts w:ascii="Arial" w:cs="Arial" w:eastAsia="Arial" w:hAnsi="Arial"/>
            <w:sz w:val="18"/>
            <w:szCs w:val="18"/>
            <w:color w:val="465361"/>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 xml:space="preserve">December 2, 2020 </w:t>
        </w:r>
      </w:hyperlink>
      <w:hyperlink r:id="rId65">
        <w:r>
          <w:rPr>
            <w:rFonts w:ascii="Arial" w:cs="Arial" w:eastAsia="Arial" w:hAnsi="Arial"/>
            <w:sz w:val="18"/>
            <w:szCs w:val="18"/>
            <w:color w:val="465361"/>
          </w:rPr>
          <w:t>and</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December 2, 2020</w:t>
        </w:r>
      </w:hyperlink>
      <w:hyperlink r:id="rId65">
        <w:r>
          <w:rPr>
            <w:rFonts w:ascii="Arial" w:cs="Arial" w:eastAsia="Arial" w:hAnsi="Arial"/>
            <w:sz w:val="18"/>
            <w:szCs w:val="18"/>
            <w:color w:val="465361"/>
          </w:rPr>
          <w:t>; and</w:t>
        </w:r>
      </w:hyperlink>
    </w:p>
    <w:p>
      <w:pPr>
        <w:spacing w:after="0" w:line="126"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465361"/>
        </w:rPr>
        <w:t>S-28</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420" w:hanging="427"/>
        <w:spacing w:after="0" w:line="259" w:lineRule="auto"/>
        <w:tabs>
          <w:tab w:leader="none" w:pos="1420" w:val="left"/>
        </w:tabs>
        <w:numPr>
          <w:ilvl w:val="0"/>
          <w:numId w:val="27"/>
        </w:numPr>
        <w:rPr>
          <w:rFonts w:ascii="Arial" w:cs="Arial" w:eastAsia="Arial" w:hAnsi="Arial"/>
          <w:sz w:val="18"/>
          <w:szCs w:val="18"/>
          <w:color w:val="465361"/>
        </w:rPr>
      </w:pPr>
      <w:r>
        <w:rPr>
          <w:rFonts w:ascii="Arial" w:cs="Arial" w:eastAsia="Arial" w:hAnsi="Arial"/>
          <w:sz w:val="18"/>
          <w:szCs w:val="18"/>
          <w:color w:val="465361"/>
        </w:rPr>
        <w:t>All documents subsequently filed by us pursuant to Sections 13(a), 13(c), 14 or 15(d) of the Exchange Act after this offering is completed (other than information furnished under Item 2.02 or Item 7.01 of any Form 8-K which information is not deemed filed under the Exchange Act).</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465361"/>
        </w:rPr>
        <w:t>You may request and obtain a copy of these filings, at no cost, by writing or telephoning us at the following address or phone number: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AVITA Medical, Inc.</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28159 Avenue Stanford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Suite 220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Valencia, CA 91355</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(661) 367-9170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Attn: Donna Shiroma, General Counsel</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465361"/>
        </w:rPr>
        <w:t>S-29</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334645</wp:posOffset>
            </wp:positionV>
            <wp:extent cx="1466215" cy="642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46621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$200,000,000</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We may offer and sell from time to time our common stock, preferred stock, warrants, and units. The aggregate initial offering price of all securities sold by AVITA Therapeutics, Inc. pursuant to this prospectus and any prospectus supplement will not exceed $200,000,000.</w:t>
      </w:r>
    </w:p>
    <w:p>
      <w:pPr>
        <w:spacing w:after="0" w:line="12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prospectus describes the general terms of these securities and the general manner in which we will offer these securities. The specific terms of any securities we offer will be included in a supplement to this prospectus. The prospectus supplement will also describe the specific manner in which we will offer the securities.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w:t>
      </w:r>
    </w:p>
    <w:p>
      <w:pPr>
        <w:spacing w:after="0" w:line="172" w:lineRule="exact"/>
        <w:rPr>
          <w:sz w:val="20"/>
          <w:szCs w:val="20"/>
          <w:color w:val="auto"/>
        </w:rPr>
      </w:pPr>
    </w:p>
    <w:p>
      <w:pPr>
        <w:ind w:left="120" w:right="2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See “</w:t>
      </w:r>
      <w:hyperlink w:anchor="page3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3 of this prospectus, together with risk factors contained in any applicable prospectus supplement, for factors you should consider before buying any of our securities.</w:t>
      </w:r>
    </w:p>
    <w:p>
      <w:pPr>
        <w:spacing w:after="0" w:line="162" w:lineRule="exact"/>
        <w:rPr>
          <w:sz w:val="20"/>
          <w:szCs w:val="20"/>
          <w:color w:val="auto"/>
        </w:rPr>
      </w:pPr>
    </w:p>
    <w:p>
      <w:pPr>
        <w:ind w:left="120" w:right="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offer these securities for sale directly to investors or through underwriters, dealers or agents. We will set forth the names of any underwriters, dealers or agents and their compensation in the accompanying prospectus supplement.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date of this Prospectus is October 16, 2020.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800" w:type="dxa"/>
            <w:vAlign w:val="bottom"/>
            <w:gridSpan w:val="3"/>
          </w:tcPr>
          <w:p>
            <w:pPr>
              <w:ind w:left="3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180" w:type="dxa"/>
            <w:vAlign w:val="bottom"/>
            <w:vMerge w:val="restart"/>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ABOUT THIS PROSPECTUS</w:t>
              </w:r>
            </w:hyperlink>
          </w:p>
        </w:tc>
        <w:tc>
          <w:tcPr>
            <w:tcW w:w="64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4180" w:type="dxa"/>
            <w:vAlign w:val="bottom"/>
            <w:vMerge w:val="continue"/>
          </w:tcPr>
          <w:p>
            <w:pPr>
              <w:spacing w:after="0"/>
              <w:rPr>
                <w:sz w:val="16"/>
                <w:szCs w:val="16"/>
                <w:color w:val="auto"/>
              </w:rPr>
            </w:pPr>
          </w:p>
        </w:tc>
        <w:tc>
          <w:tcPr>
            <w:tcW w:w="6480" w:type="dxa"/>
            <w:vAlign w:val="bottom"/>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FORWARD-LOOKING STATEMENTS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OVERVIEW OF OUR BUSINESS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USE OF PROCEEDS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DESCRIPTION OF CAPITAL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Common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Preferred Stock</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Exercise of Warrants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Modifications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Enforceability of Rights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UNITS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PLAN OF DISTRIBUTION</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LEGAL MATTERS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EXPERTS</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18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WHERE YOU CAN FIND MORE INFORMATION</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1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INCORPORATION BY REFERENCE</w:t>
              </w:r>
            </w:hyperlink>
          </w:p>
        </w:tc>
        <w:tc>
          <w:tcPr>
            <w:tcW w:w="68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Unless the context requires otherwise or unless otherwise noted, all references in this prospectus or any prospectus supplement to “AVITA Therapeutics” and to the “Company,” “we,” “us” or “our” are to AVITA Therapeutics, Inc. and its subsidiaries which together are referred to as the “AVITA Group”.</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which we refer to as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 “Where You Can Find More Information” below.</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included or incorporated by reference in this prospectus and the applicable prospectus supplement. We have not authorized anyone else to provide you with different information. We are not making an offer to sell in any jurisdiction in which the offer is not permitted. You should not assume that the information in the prospectus, any prospectus supplement or any other document incorporated by reference in this prospectus is accurate as of any date other than the dates of those documents.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w:t>
      </w:r>
    </w:p>
    <w:p>
      <w:pPr>
        <w:spacing w:after="0" w:line="35"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June 30, 2020. These documents are available through our web site or through the SEC’s Electronic Data Gathering and Analysis Retrieval System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left="120" w:right="320" w:firstLine="440"/>
        <w:spacing w:after="0" w:line="287" w:lineRule="auto"/>
        <w:rPr>
          <w:sz w:val="20"/>
          <w:szCs w:val="20"/>
          <w:color w:val="auto"/>
        </w:rPr>
      </w:pPr>
      <w:r>
        <w:rPr>
          <w:rFonts w:ascii="Arial" w:cs="Arial" w:eastAsia="Arial" w:hAnsi="Arial"/>
          <w:sz w:val="16"/>
          <w:szCs w:val="16"/>
          <w:color w:val="auto"/>
        </w:rPr>
        <w:t>The AVITA Group is a regenerative medicine group with a technology platform positioned to address unmet medical needs in burn injuries, trauma injuries, chronic wounds, and dermatological and aesthetics indications, including vitiligo. Our patented and proprietary platform technology provides innovative treatment solutions derived from the regenerative properties of a patient’s own skin. Our medical device works by</w:t>
      </w:r>
    </w:p>
    <w:p>
      <w:pPr>
        <w:spacing w:after="0" w:line="1" w:lineRule="exact"/>
        <w:rPr>
          <w:sz w:val="20"/>
          <w:szCs w:val="20"/>
          <w:color w:val="auto"/>
        </w:rPr>
      </w:pPr>
    </w:p>
    <w:p>
      <w:pPr>
        <w:ind w:left="120" w:right="20"/>
        <w:spacing w:after="0" w:line="262" w:lineRule="auto"/>
        <w:rPr>
          <w:sz w:val="20"/>
          <w:szCs w:val="20"/>
          <w:color w:val="auto"/>
        </w:rPr>
      </w:pPr>
      <w:r>
        <w:rPr>
          <w:rFonts w:ascii="Arial" w:cs="Arial" w:eastAsia="Arial" w:hAnsi="Arial"/>
          <w:sz w:val="18"/>
          <w:szCs w:val="18"/>
          <w:color w:val="auto"/>
        </w:rPr>
        <w:t>preparing Spray-On Skin</w:t>
      </w:r>
      <w:r>
        <w:rPr>
          <w:rFonts w:ascii="Arial" w:cs="Arial" w:eastAsia="Arial" w:hAnsi="Arial"/>
          <w:sz w:val="15"/>
          <w:szCs w:val="15"/>
          <w:color w:val="auto"/>
        </w:rPr>
        <w:t>™</w:t>
      </w:r>
      <w:r>
        <w:rPr>
          <w:rFonts w:ascii="Arial" w:cs="Arial" w:eastAsia="Arial" w:hAnsi="Arial"/>
          <w:sz w:val="18"/>
          <w:szCs w:val="18"/>
          <w:color w:val="auto"/>
        </w:rPr>
        <w:t xml:space="preserve"> Cells, an autologous cellular suspension comprised of the patient’s skin cells, which is then sprayed on the patient in order to regenerate natural healthy epidermis.</w:t>
      </w:r>
    </w:p>
    <w:p>
      <w:pPr>
        <w:spacing w:after="0" w:line="17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first United States (“</w:t>
      </w:r>
      <w:r>
        <w:rPr>
          <w:rFonts w:ascii="Arial" w:cs="Arial" w:eastAsia="Arial" w:hAnsi="Arial"/>
          <w:sz w:val="16"/>
          <w:szCs w:val="16"/>
          <w:b w:val="1"/>
          <w:bCs w:val="1"/>
          <w:color w:val="auto"/>
        </w:rPr>
        <w:t>U.S.</w:t>
      </w:r>
      <w:r>
        <w:rPr>
          <w:rFonts w:ascii="Arial" w:cs="Arial" w:eastAsia="Arial" w:hAnsi="Arial"/>
          <w:sz w:val="16"/>
          <w:szCs w:val="16"/>
          <w:color w:val="auto"/>
        </w:rPr>
        <w:t>”) product, the RECELL</w:t>
      </w:r>
      <w:r>
        <w:rPr>
          <w:rFonts w:ascii="Arial" w:cs="Arial" w:eastAsia="Arial" w:hAnsi="Arial"/>
          <w:sz w:val="13"/>
          <w:szCs w:val="13"/>
          <w:color w:val="auto"/>
        </w:rPr>
        <w:t>®</w:t>
      </w:r>
      <w:r>
        <w:rPr>
          <w:rFonts w:ascii="Arial" w:cs="Arial" w:eastAsia="Arial" w:hAnsi="Arial"/>
          <w:sz w:val="16"/>
          <w:szCs w:val="16"/>
          <w:color w:val="auto"/>
        </w:rPr>
        <w:t xml:space="preserve"> System, was approved by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in September 2018 for the treatment of acute thermal burn injuries in patients 18 years and older. 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transplants”, known as split-thickness skin autografts, depending on the depth of the burn injury. The pivotal studies leading to the RECELL System’s FDA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w:t>
      </w:r>
    </w:p>
    <w:p>
      <w:pPr>
        <w:spacing w:after="0" w:line="16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Following receipt of our PMA, we commenced commercializing the RECELL System in January 2019 in the U.S., and we expect the dominant focus of our commercial efforts to be directed towards the U.S. market going forward.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440"/>
        <w:spacing w:after="0" w:line="266" w:lineRule="auto"/>
        <w:rPr>
          <w:sz w:val="20"/>
          <w:szCs w:val="20"/>
          <w:color w:val="auto"/>
        </w:rPr>
      </w:pPr>
      <w:r>
        <w:rPr>
          <w:rFonts w:ascii="Arial" w:cs="Arial" w:eastAsia="Arial" w:hAnsi="Arial"/>
          <w:sz w:val="18"/>
          <w:szCs w:val="18"/>
          <w:color w:val="auto"/>
        </w:rPr>
        <w:t>The RECELL System is Therapeutic Goods Administration (“</w:t>
      </w:r>
      <w:r>
        <w:rPr>
          <w:rFonts w:ascii="Arial" w:cs="Arial" w:eastAsia="Arial" w:hAnsi="Arial"/>
          <w:sz w:val="18"/>
          <w:szCs w:val="18"/>
          <w:b w:val="1"/>
          <w:bCs w:val="1"/>
          <w:color w:val="auto"/>
        </w:rPr>
        <w:t>TGA</w:t>
      </w:r>
      <w:r>
        <w:rPr>
          <w:rFonts w:ascii="Arial" w:cs="Arial" w:eastAsia="Arial" w:hAnsi="Arial"/>
          <w:sz w:val="18"/>
          <w:szCs w:val="18"/>
          <w:color w:val="auto"/>
        </w:rPr>
        <w:t>”)-registered in Australia cleared for use in the treatment of burns, acute wounds, scars and repigmentation (vitiligo). In Europe, the RECELL System received CE-mark approval for the treatment of burns, chronic wounds, scars and vitiligo.</w:t>
      </w:r>
    </w:p>
    <w:p>
      <w:pPr>
        <w:spacing w:after="0" w:line="18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or SEC or with the Australian Securities Exchange, or ASX. The SEC maintains an internet site, www.sec.gov, which contains reports, proxy and information statements, and other information regarding issuers that file electronically with the SEC. Copies of announcements made by the Company to the ASX are available on ASX’s website (www.asx.com.au).</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AVITA Therapeutics, a Delaware corporation, was originally formed in April 2020. The former parent company of the AVITA Group, AVITA Medical Limited, was formed under the laws of the Commonwealth of Australia in December of 1992, and has operated as AVITA Medical since 2008. AVITA Medical’s ordinary shares originally began trading in Australia on the Australian Securities Exchange (“</w:t>
      </w:r>
      <w:r>
        <w:rPr>
          <w:rFonts w:ascii="Arial" w:cs="Arial" w:eastAsia="Arial" w:hAnsi="Arial"/>
          <w:sz w:val="18"/>
          <w:szCs w:val="18"/>
          <w:b w:val="1"/>
          <w:bCs w:val="1"/>
          <w:color w:val="auto"/>
        </w:rPr>
        <w:t>ASX</w:t>
      </w:r>
      <w:r>
        <w:rPr>
          <w:rFonts w:ascii="Arial" w:cs="Arial" w:eastAsia="Arial" w:hAnsi="Arial"/>
          <w:sz w:val="18"/>
          <w:szCs w:val="18"/>
          <w:color w:val="auto"/>
        </w:rPr>
        <w:t>”) on August 9, 1993. AVITA Medical’s ordinary shares, in the form of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began trading on the NASDAQ Stock Market LLC (“</w:t>
      </w:r>
      <w:r>
        <w:rPr>
          <w:rFonts w:ascii="Arial" w:cs="Arial" w:eastAsia="Arial" w:hAnsi="Arial"/>
          <w:sz w:val="18"/>
          <w:szCs w:val="18"/>
          <w:b w:val="1"/>
          <w:bCs w:val="1"/>
          <w:color w:val="auto"/>
        </w:rPr>
        <w:t>NASDAQ</w:t>
      </w:r>
      <w:r>
        <w:rPr>
          <w:rFonts w:ascii="Arial" w:cs="Arial" w:eastAsia="Arial" w:hAnsi="Arial"/>
          <w:sz w:val="18"/>
          <w:szCs w:val="18"/>
          <w:color w:val="auto"/>
        </w:rPr>
        <w:t>”) on October 1, 2019 under the ticker symbol “RCEL”.</w:t>
      </w:r>
    </w:p>
    <w:p>
      <w:pPr>
        <w:spacing w:after="0" w:line="18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Effective June 29, 2020, we implemented a statutory scheme of arrangement under Australian law to change our domicile from Australia to the U.S. Under the scheme of arrangement, we became the new parent company of the AVITA Group, and all ordinary shares in AVITA Medical (including ordinary shares represented by ADSs) held by securityholders were exchanged for shares of common stock or CHESS Depositary Interests (“</w:t>
      </w:r>
      <w:r>
        <w:rPr>
          <w:rFonts w:ascii="Arial" w:cs="Arial" w:eastAsia="Arial" w:hAnsi="Arial"/>
          <w:sz w:val="17"/>
          <w:szCs w:val="17"/>
          <w:b w:val="1"/>
          <w:bCs w:val="1"/>
          <w:color w:val="auto"/>
        </w:rPr>
        <w:t>CDIs</w:t>
      </w:r>
      <w:r>
        <w:rPr>
          <w:rFonts w:ascii="Arial" w:cs="Arial" w:eastAsia="Arial" w:hAnsi="Arial"/>
          <w:sz w:val="17"/>
          <w:szCs w:val="17"/>
          <w:color w:val="auto"/>
        </w:rPr>
        <w:t>”). As a result, the existing listing of AVITA Medical on the ASX (as its primary listing) and on NASDAQ (as its secondary listing) was inverted and replaced with a new listing of AVITA Therapeutics on NASDAQ (as its primary listing) under the existing ticker symbol, “RCEL”, and on the ASX (as its secondary listing) under the existing ticker symbol, “AVH”. AVITA Therapeutics’ shares of common stock trade on NASDAQ and its CDIs trade on ASX (with five CDIs trading on ASX representing one share of common stock on NASDAQ).</w:t>
      </w:r>
    </w:p>
    <w:p>
      <w:pPr>
        <w:spacing w:after="0" w:line="177"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Our principal executive office is located at 28159 Avenue Stanford, Suite 220,Valencia, CA 91355, and our telephone number is 661.367.9170. 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For a complete discussion of Risk Factors affecting us, please see our discussion of Risk Factors in our annual report on Form 10-K for the fiscal year ended June 30, 2020 which was filed on August 27, 2020 and is incorporated by reference to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an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capital requirements may require incurring debt or dilution of existing stockholders.</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Acquisition, development and partnership opportunities together with other contingencies may arise, which could require us to raise additional capital or incur debt. If we raise additional capital through the sale of equity, including preferred stock, warrants or convertible debt securities, the percentage ownership of our then existing stockholders will be diluted.</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stockholders will benefit from an investment in our stock only if it appreciates in value.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never declared or paid any cash dividends on our shares of common stock. We currently intend to retain all future earnings, if any, for use in the operation and expansion of the business. As a result, we do not anticipate paying cash dividends in the foreseeable future. 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any credit facilities and other financing arrangements. Accordingly, realization of a gain on stockholders’ investments will depend on the appreciation of the price of our stock. We can make no guarantee that our common stock will appreciate in value.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Unless specified otherwise in the applicable prospectus supplement, we expect to use the net proceeds we receive from the sale of the securities offered by this prospectus and the accompanying prospectus supplement for general corporate purposes, which may include, among other things:</w:t>
      </w:r>
    </w:p>
    <w:p>
      <w:pPr>
        <w:spacing w:after="0" w:line="2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and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repayment of debt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repurchases and redemptions of securities.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short-term indebtedness.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are a Delaware corporation. The rights of our stockholders are governed by the Delaware General Corporation Law, or the DGCL, and our amended certificate of incorporation (the “Certificate”) and our amended and restated bylaws (the “Bylaws”).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Certificate authorizes the issuance of up to 200,000,000 shares of common stock, $0.0001 par value per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the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the Board may consider relevant.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right="520" w:firstLine="44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Stockholder Meetings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Certificate and Bylaws provide that annual stockholder meetings will be held at a date, place (if any) and time, as exclusively selected by the board of directors. To the extent permitted under applicable law, we may but are not obligated to conduct meetings by remote communications, including by webcast.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Effects of Provisions of the Certificate and Bylaws and DGCL</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Some provisions of the DGCL, the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the our best interest, including transactions that might result in a premium over the market price for our common stock.</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 law.</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are subject to Section 203 of the DGCL, an anti-takeover law. In general, the statute prohibits a publicly held Delaware corporation from engaging in a business combination with an “interested stockholder” for a period of three years after the date of the transaction in which the person became an interested stockholder. A “business combination” includes a merger, sale of 10% or more of our assets and certain other transactions resulting in a financial benefit to the stockholder. For purposes of Section 203, an “interested stockholder” is defined to include any person that is:</w:t>
      </w:r>
    </w:p>
    <w:p>
      <w:pPr>
        <w:spacing w:after="0" w:line="63"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owner of 15% or more of the outstanding voting stock of the corporation;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affiliate or associate of the corporation and was the owner of 15% or more of the corporation’s voting stock outstanding, at any time within three years immediately before the relevant date;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affiliate or associate of the persons described in the foregoing bullet points.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the above provisions of Section 203 do not apply if:</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approves the transaction that made the stockholder an interested stockholder before the date of that transaction;</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29" w:lineRule="exact"/>
        <w:rPr>
          <w:rFonts w:ascii="Arial" w:cs="Arial" w:eastAsia="Arial" w:hAnsi="Arial"/>
          <w:sz w:val="16"/>
          <w:szCs w:val="16"/>
          <w:color w:val="auto"/>
        </w:rPr>
      </w:pPr>
    </w:p>
    <w:p>
      <w:pPr>
        <w:ind w:left="1080" w:right="56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24"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Proposals and Director Nominations.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stockholders can submit stockholder proposals and nominate candidates for our board of directors if the stockholders follow advance notice procedures described in our Bylaws.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To nominate directors, stockholders must submit a written notice at least 120 days before the first anniversary of the date of our proxy statement for the previous year’s annual stockholders’ meeting. The notice must include the name and address of the stockholder, the class and number of shares owned by the stockholder, information about the nominee required by the SEC and the written consent of the nominee to serve as a director. Our board of directors may require the nominee to furnish the same information as is required in the stockholders’ notice that pertains to the nominee.</w:t>
      </w:r>
    </w:p>
    <w:p>
      <w:pPr>
        <w:spacing w:after="0" w:line="15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Stockholder proposals must be submitted at least 120 days before the first anniversary of the date of our proxy statement for the previous year’s annual stockholders’ meeting. The notice must include a description of the proposal, the reasons for bringing the proposal before the meeting, the name and address of the stockholder, the class and number of shares owned by the stockholder and any material interest of the stockholder in the proposal.</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each case, if we did not hold an annual meeting in the previous year or if we have changed the date of the annual meeting by more than 30 days from the date contemplated in the previous year’s proxy statement, stockholders must submit the notice within a reasonable time before we begin to print and send our proxy materials.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Director nominations and stockholder proposals that are late or that do not include all required information may be rejected. This could prevent stockholders from bringing certain matters before an annual meeting, including making nominations for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Bylaws provide that a special meeting of stockholders (1) may be called at any time by the order of a majority of the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our common stock.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Composition of the Board of Directors; Election and Removal of Directors; Filling Vacancies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Our board of directors consists of one or more directors. In any uncontested elections of directors, a director nominee for our board of directors will be elected by the plurality of the votes cast with respect to such director at a meeting at which a quorum is present.</w:t>
      </w:r>
    </w:p>
    <w:p>
      <w:pPr>
        <w:spacing w:after="0" w:line="146"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a contested election, a plurality voting standard will apply to director elections. Our directors are elected until the expiration of the term for which they are elected and until their respective successors are duly elected and qualified.</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Our directors may be removed by the affirmative vote of at least a majority of the holders of our then- outstanding common stock. Furthermore, any vacancy on our board of directors, however occurring, including a vacancy resulting from an increase in the size of the board, may be filled only by a majority vote of the board of directors then in office, even if less than a quorum, or by the sole remaining director.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the Certificate and Bylaws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Certificate may be amended in any manner permitted under the DGCL and the Bylaws may be amended by the holders of at a majority of the voting power of the then outstanding voting stock or by the board of directors.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of Liability and Indemnification Matters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the Certificate and Bylaws provide that the Company is required to indemnify its directors and officers to the fullest extent permitted by Delaware law. The Bylaws also obligate us to advance expenses incurred by a director or officer in advance of the final disposition of any action or proceeding upon delivery us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may maintain insurance, at its expense, to protect itself and any director, officer, employee or agent or another corporation, partnership, joint venture, trust, employee benefit plan or other enterprise against any expense, liability or loss, whether or not we would have the power to indemnify such person against such expense, liability or loss under the DGCL.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transfer agent and registrar for our common stock is Computershare Trust Company, N.A, and its address is 250 Royall St., Canton, Massachusetts 02021. The transfer agent and registrar for our CDIs is Computershare Investor Services Pty Limited, and its address is Level 2, 45 St Georges Terrace, Perth WA 6000 Australia.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may offer shares of our preferred stock from time to time, in one or more series of preferred stock. Pursuant to our certificate of incorporation, we have the authority to issue 10,000,000 shares of preferred stock, $0.0001 par value. As of October 9, 2020,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 payments and payments upon liquidation. The issuance could decrease the market price of our common stock. The issuance of preferred stock also could delay, deter, or prevent a change of control of the Company.</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summarized material provisions of the preferred stock in this section. This summary is not complete. If we offer preferred stock,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certificate of designation and prospectus supplement relating to any series of preferred stock we are offering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maximum number of shares of the series of preferred stock;</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dividend rate, if any, or the method of calculating and paying the dividend, the date from which dividends will accrue and whether dividends will be cumulative;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stock for other securities of us or any other entity;</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shares of preferred stock we issue will, at the time of issuance, be fully paid and nonassessable.</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relating to any warrants that we are offering will include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number and terms of the common stock or preferred stock purchasable upon exercise of the warrants, and procedures by which those numbers may be adjusted;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Holders may exercise warrants at any time up to the close of business on the expiration date provided in the applicable prospectus supplement.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close of business on the expiration date, unexercised warrants are void.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Prior to the exercise of their warrants, holders of warrants will not have any of the rights of holders of the securities subject to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8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shorten the period of time during which the warrants may be exercised;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otherwise materially and adversely affect the exercise rights of the holders of the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Enforceability of Rights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prospectus supplement relating to any units we are offering will include specific terms relating to the offering. These terms will include some or all of the following:</w:t>
      </w:r>
    </w:p>
    <w:p>
      <w:pPr>
        <w:spacing w:after="0" w:line="76" w:lineRule="exact"/>
        <w:rPr>
          <w:sz w:val="20"/>
          <w:szCs w:val="20"/>
          <w:color w:val="auto"/>
        </w:rPr>
      </w:pPr>
    </w:p>
    <w:p>
      <w:pPr>
        <w:ind w:left="1080" w:right="46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such units will be issued in fully registered or global form.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CHESS DEPOSITARY INTERESTS</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7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52" w:lineRule="exact"/>
        <w:rPr>
          <w:sz w:val="20"/>
          <w:szCs w:val="20"/>
          <w:color w:val="auto"/>
        </w:rPr>
      </w:pPr>
    </w:p>
    <w:p>
      <w:pPr>
        <w:ind w:left="1080" w:right="5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transactions on the Nasdaq Stock Market LLC or the ASX in accordance with the rules of the ASX (including through at the market offerings) or any other organized market where the securities may be traded;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broker-dealers, who may act as agents or principals;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one or more underwriters on a firm commitment or best-efforts basis;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 block trade in which a broker-dealer will attempt to sell a block of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offerings of securities exchangeable, convertible or exercisable for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through any combination of the above.</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any time a particular offer of securities covered by this prospectus is made, a revised prospectus or prospectus supplement, if required, will be distributed which will set forth:</w:t>
      </w:r>
    </w:p>
    <w:p>
      <w:pPr>
        <w:spacing w:after="0" w:line="7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 or names of any underwriters, broker-dealers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be received by us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commissions, concessions and other items constituting underwriters’ or agents’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discounts, commissions or concessions allowed or re-allowed or paid to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additional risk factors applicable to the securities that we propose to sell;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securities exchange on which the securities may be listed.</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84"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5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addition, we file annual, quarterly and current reports, proxy statements and other information with the SEC under the Exchange Act. Copies of these reports, proxy statements and other information may be inspected and copied at the Public Reference Room maintained by the SEC at 100 F Street, N.E., Washington, D.C. 20549. Copies of these materials can also be obtained by mail at prescribed rates from the Public Reference Room. Please call the SEC at 1-800-SEC-0330 for further information on the Public Reference Room. The SEC maintains a Website that contains reports, proxy statements and other information regarding Flow. The address of the SEC web site is </w:t>
      </w:r>
      <w:r>
        <w:rPr>
          <w:rFonts w:ascii="Arial" w:cs="Arial" w:eastAsia="Arial" w:hAnsi="Arial"/>
          <w:sz w:val="18"/>
          <w:szCs w:val="18"/>
          <w:u w:val="single" w:color="auto"/>
          <w:color w:val="auto"/>
        </w:rPr>
        <w:t>http://www.sec.gov</w:t>
      </w:r>
      <w:r>
        <w:rPr>
          <w:rFonts w:ascii="Arial" w:cs="Arial" w:eastAsia="Arial" w:hAnsi="Arial"/>
          <w:sz w:val="18"/>
          <w:szCs w:val="18"/>
          <w:color w:val="auto"/>
        </w:rPr>
        <w:t>. Copies of certain information filed by us with the SEC are also available on our website at www.avitamedical.com. Our website is not a part of this prospectus and is not incorporated by reference in this prospectus.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76"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June 30, 2020 as filed with the SEC on August 27, 2020;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Form 8-K’s dated </w:t>
      </w:r>
      <w:hyperlink r:id="rId64">
        <w:r>
          <w:rPr>
            <w:rFonts w:ascii="Arial" w:cs="Arial" w:eastAsia="Arial" w:hAnsi="Arial"/>
            <w:sz w:val="18"/>
            <w:szCs w:val="18"/>
            <w:u w:val="single" w:color="auto"/>
            <w:color w:val="0000EE"/>
          </w:rPr>
          <w:t>August 28, 2020</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August 31, 2020</w:t>
        </w:r>
      </w:hyperlink>
      <w:r>
        <w:rPr>
          <w:rFonts w:ascii="Arial" w:cs="Arial" w:eastAsia="Arial" w:hAnsi="Arial"/>
          <w:sz w:val="18"/>
          <w:szCs w:val="18"/>
          <w:color w:val="auto"/>
        </w:rPr>
        <w:t xml:space="preserve">, and </w:t>
      </w:r>
      <w:hyperlink r:id="rId88">
        <w:r>
          <w:rPr>
            <w:rFonts w:ascii="Arial" w:cs="Arial" w:eastAsia="Arial" w:hAnsi="Arial"/>
            <w:sz w:val="18"/>
            <w:szCs w:val="18"/>
            <w:u w:val="single" w:color="auto"/>
            <w:color w:val="0000EE"/>
          </w:rPr>
          <w:t>September 10,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 description of our common stock contained in our </w:t>
      </w:r>
      <w:hyperlink r:id="rId89">
        <w:r>
          <w:rPr>
            <w:rFonts w:ascii="Arial" w:cs="Arial" w:eastAsia="Arial" w:hAnsi="Arial"/>
            <w:sz w:val="18"/>
            <w:szCs w:val="18"/>
            <w:u w:val="single" w:color="auto"/>
            <w:color w:val="0000EE"/>
          </w:rPr>
          <w:t>Form 8-K 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June 30, 2020, including any amendment or reports filed for the purpose of updating this description; and</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documents subsequently filed by us pursuant to Sections 13(a), 13(c), 14 or 15(d) of the Exchange Act until this offering is completed,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87"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7"/>
          <w:szCs w:val="17"/>
          <w:color w:val="auto"/>
        </w:rPr>
        <w:t>You may request and obtain a copy of these filings, at no cost, by writing or telephoning us at the following address or phone number:</w:t>
      </w:r>
    </w:p>
    <w:p>
      <w:pPr>
        <w:spacing w:after="0" w:line="200" w:lineRule="exact"/>
        <w:rPr>
          <w:rFonts w:ascii="Arial" w:cs="Arial" w:eastAsia="Arial" w:hAnsi="Arial"/>
          <w:sz w:val="18"/>
          <w:szCs w:val="18"/>
          <w:color w:val="auto"/>
        </w:rPr>
      </w:pPr>
    </w:p>
    <w:p>
      <w:pPr>
        <w:spacing w:after="0" w:line="24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28159 Avenue Stanford, Suite 220,</w:t>
      </w:r>
    </w:p>
    <w:p>
      <w:pPr>
        <w:spacing w:after="0" w:line="27"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Valencia, CA 91355</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661.367.9170</w:t>
      </w:r>
    </w:p>
    <w:p>
      <w:pPr>
        <w:spacing w:after="0" w:line="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b w:val="1"/>
          <w:bCs w:val="1"/>
          <w:color w:val="auto"/>
        </w:rPr>
        <w:t>Attn: David McIntyre, Chief Financial Officer</w:t>
      </w:r>
    </w:p>
    <w:p>
      <w:pPr>
        <w:spacing w:after="0" w:line="143"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320" w:top="459" w:right="5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5680"/>
        <w:spacing w:after="0"/>
        <w:rPr>
          <w:sz w:val="20"/>
          <w:szCs w:val="20"/>
          <w:color w:val="auto"/>
        </w:rPr>
      </w:pPr>
      <w:r>
        <w:rPr>
          <w:rFonts w:ascii="Arial" w:cs="Arial" w:eastAsia="Arial" w:hAnsi="Arial"/>
          <w:sz w:val="32"/>
          <w:szCs w:val="32"/>
          <w:b w:val="1"/>
          <w:bCs w:val="1"/>
          <w:color w:val="465361"/>
        </w:rPr>
        <w:t>Shares</w:t>
      </w:r>
    </w:p>
    <w:p>
      <w:pPr>
        <w:spacing w:after="0" w:line="361"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AVITA MEDICAL, INC.</w:t>
      </w:r>
    </w:p>
    <w:p>
      <w:pPr>
        <w:spacing w:after="0" w:line="361" w:lineRule="exact"/>
        <w:rPr>
          <w:sz w:val="20"/>
          <w:szCs w:val="20"/>
          <w:color w:val="auto"/>
        </w:rPr>
      </w:pPr>
    </w:p>
    <w:p>
      <w:pPr>
        <w:ind w:left="4560"/>
        <w:spacing w:after="0"/>
        <w:rPr>
          <w:sz w:val="20"/>
          <w:szCs w:val="20"/>
          <w:color w:val="auto"/>
        </w:rPr>
      </w:pPr>
      <w:r>
        <w:rPr>
          <w:rFonts w:ascii="Arial" w:cs="Arial" w:eastAsia="Arial" w:hAnsi="Arial"/>
          <w:sz w:val="32"/>
          <w:szCs w:val="32"/>
          <w:b w:val="1"/>
          <w:bCs w:val="1"/>
          <w:color w:val="465361"/>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3058795</wp:posOffset>
            </wp:positionV>
            <wp:extent cx="2091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209169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1181100</wp:posOffset>
            </wp:positionV>
            <wp:extent cx="1534160" cy="677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15341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24"/>
          <w:szCs w:val="24"/>
          <w:b w:val="1"/>
          <w:bCs w:val="1"/>
          <w:color w:val="465361"/>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66040</wp:posOffset>
            </wp:positionV>
            <wp:extent cx="2091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Arial" w:cs="Arial" w:eastAsia="Arial" w:hAnsi="Arial"/>
          <w:sz w:val="32"/>
          <w:szCs w:val="32"/>
          <w:b w:val="1"/>
          <w:bCs w:val="1"/>
          <w:color w:val="465361"/>
        </w:rPr>
        <w:t>Piper Sandler</w:t>
      </w:r>
    </w:p>
    <w:p>
      <w:pPr>
        <w:spacing w:after="0" w:line="361" w:lineRule="exact"/>
        <w:rPr>
          <w:sz w:val="20"/>
          <w:szCs w:val="20"/>
          <w:color w:val="auto"/>
        </w:rPr>
      </w:pPr>
    </w:p>
    <w:p>
      <w:pPr>
        <w:ind w:left="5140"/>
        <w:spacing w:after="0"/>
        <w:rPr>
          <w:sz w:val="20"/>
          <w:szCs w:val="20"/>
          <w:color w:val="auto"/>
        </w:rPr>
      </w:pPr>
      <w:r>
        <w:rPr>
          <w:rFonts w:ascii="Arial" w:cs="Arial" w:eastAsia="Arial" w:hAnsi="Arial"/>
          <w:sz w:val="32"/>
          <w:szCs w:val="32"/>
          <w:b w:val="1"/>
          <w:bCs w:val="1"/>
          <w:color w:val="465361"/>
        </w:rPr>
        <w:t>Cowen</w:t>
      </w:r>
    </w:p>
    <w:p>
      <w:pPr>
        <w:spacing w:after="0" w:line="200" w:lineRule="exact"/>
        <w:rPr>
          <w:sz w:val="20"/>
          <w:szCs w:val="20"/>
          <w:color w:val="auto"/>
        </w:rPr>
      </w:pPr>
    </w:p>
    <w:p>
      <w:pPr>
        <w:spacing w:after="0" w:line="350"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465361"/>
        </w:rPr>
        <w:t>, 2021</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lowerRoman"/>
      <w:start w:val="1"/>
    </w:lvl>
  </w:abstractNum>
  <w:abstractNum w:abstractNumId="16">
    <w:nsid w:val="71F32454"/>
    <w:multiLevelType w:val="hybridMultilevel"/>
    <w:lvl w:ilvl="0">
      <w:lvlJc w:val="left"/>
      <w:lvlText w:val="(%1)"/>
      <w:numFmt w:val="lowerRoman"/>
      <w:start w:val="1"/>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lvl w:ilvl="1">
      <w:lvlJc w:val="left"/>
      <w:lvlText w:val="(%2)"/>
      <w:numFmt w:val="lowerRoman"/>
      <w:start w:val="1"/>
    </w:lvl>
  </w:abstractNum>
  <w:abstractNum w:abstractNumId="20">
    <w:nsid w:val="3A95F874"/>
    <w:multiLevelType w:val="hybridMultilevel"/>
    <w:lvl w:ilvl="0">
      <w:lvlJc w:val="left"/>
      <w:lvlText w:val="(%1)"/>
      <w:numFmt w:val="lowerRoman"/>
      <w:start w:val="3"/>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jpe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jpeg"/><Relationship Id="rId93" Type="http://schemas.openxmlformats.org/officeDocument/2006/relationships/image" Target="media/image72.png"/><Relationship Id="rId57" Type="http://schemas.openxmlformats.org/officeDocument/2006/relationships/hyperlink" Target="http://www.sec.gov/Archives/edgar/data/1762303/000119312520233145/d80602d10k.htm" TargetMode="External"/><Relationship Id="rId58" Type="http://schemas.openxmlformats.org/officeDocument/2006/relationships/hyperlink" Target="http://www.sec.gov/Archives/edgar/data/1762303/000119312520290149/d848036d10q.htm" TargetMode="External"/><Relationship Id="rId59" Type="http://schemas.openxmlformats.org/officeDocument/2006/relationships/hyperlink" Target="http://www.sec.gov/Archives/edgar/data/1762303/000119312521044929/d91453d10q.htm" TargetMode="External"/><Relationship Id="rId60" Type="http://schemas.openxmlformats.org/officeDocument/2006/relationships/hyperlink" Target="http://www.sec.gov/Archives/edgar/data/1762303/000119312520187776/d887854d8k.htm" TargetMode="External"/><Relationship Id="rId61" Type="http://schemas.openxmlformats.org/officeDocument/2006/relationships/hyperlink" Target="http://www.sec.gov/Archives/edgar/data/1762303/000119312520190182/d49750d8k.htm" TargetMode="External"/><Relationship Id="rId62" Type="http://schemas.openxmlformats.org/officeDocument/2006/relationships/hyperlink" Target="http://www.sec.gov/Archives/edgar/data/1762303/000119312520191428/d74553d8k.htm" TargetMode="External"/><Relationship Id="rId63" Type="http://schemas.openxmlformats.org/officeDocument/2006/relationships/hyperlink" Target="http://www.sec.gov/Archives/edgar/data/1762303/000119312520208825/d872824d8k.htm" TargetMode="External"/><Relationship Id="rId64" Type="http://schemas.openxmlformats.org/officeDocument/2006/relationships/hyperlink" Target="http://www.sec.gov/Archives/edgar/data/1762303/000119312520234104/d29517d8k.htm" TargetMode="External"/><Relationship Id="rId65" Type="http://schemas.openxmlformats.org/officeDocument/2006/relationships/hyperlink" Target="http://www.sec.gov/Archives/edgar/data/1762303/000119312520291190/d17517d8k.htm" TargetMode="External"/><Relationship Id="rId66" Type="http://schemas.openxmlformats.org/officeDocument/2006/relationships/hyperlink" Target="http://www.sec.gov/Archives/edgar/data/1762303/000119312520308071/d50549d8k.htm" TargetMode="External"/><Relationship Id="rId67" Type="http://schemas.openxmlformats.org/officeDocument/2006/relationships/hyperlink" Target="http://www.sec.gov/Archives/edgar/data/1762303/000119312520308333/d60911d8k.htm" TargetMode="External"/><Relationship Id="rId87" Type="http://schemas.openxmlformats.org/officeDocument/2006/relationships/hyperlink" Target="http://www.sec.gov/Archives/edgar/data/1762303/000119312520235745/d931852d8k.htm" TargetMode="External"/><Relationship Id="rId88" Type="http://schemas.openxmlformats.org/officeDocument/2006/relationships/hyperlink" Target="http://www.sec.gov/Archives/edgar/data/1762303/000119312520242792/d59000d8k.htm" TargetMode="External"/><Relationship Id="rId89" Type="http://schemas.openxmlformats.org/officeDocument/2006/relationships/hyperlink" Target="http://www.sec.gov/Archives/edgar/data/1762303/000119312520183429/d75062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2021-02-24T15:24:37Z</dcterms:created>
  <dcterms:modified xsi:type="dcterms:W3CDTF">2021-02-24T15:24:37Z</dcterms:modified>
</cp:coreProperties>
</file>