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15" w:after="283"/>
        <w:jc w:val="center"/>
        <w:rPr>
          <w:rFonts w:ascii="Times New Roman" w:hAnsi="Times New Roman"/>
          <w:sz w:val="20"/>
        </w:rPr>
      </w:pPr>
      <w:bookmarkStart w:id="0" w:name="rcel-20260514.htm"/>
      <w:bookmarkStart w:id="1" w:name="ksrcel20260514"/>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14,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AVITA Medical,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001-39059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85-1021707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28159 Avenue Stanford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220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Valencia,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91355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661</w:t>
            </w:r>
            <w:r>
              <w:rPr>
                <w:rFonts w:ascii="Times New Roman" w:hAnsi="Times New Roman"/>
                <w:color w:val="000000"/>
                <w:sz w:val="20"/>
              </w:rPr>
              <w:t xml:space="preserve"> </w:t>
            </w:r>
            <w:r>
              <w:rPr>
                <w:rFonts w:ascii="Times New Roman" w:hAnsi="Times New Roman"/>
                <w:b/>
                <w:color w:val="000000"/>
                <w:sz w:val="20"/>
              </w:rPr>
              <w:t>367-9170</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RCEL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May 14, 2026, the Company issued a press release announcing its financial results for the first quarter ended March 31, 2026. A copy of the press release is furnished as Exhibit 99.1 to this Current Report on Form 8-K.</w:t>
      </w:r>
    </w:p>
    <w:p>
      <w:pPr>
        <w:pStyle w:val="TextBody"/>
        <w:bidi w:val="0"/>
        <w:jc w:val="left"/>
        <w:rPr>
          <w:rFonts w:ascii="Times New Roman" w:hAnsi="Times New Roman"/>
          <w:color w:val="000000"/>
          <w:sz w:val="20"/>
        </w:rPr>
      </w:pPr>
      <w:r>
        <w:rPr>
          <w:rFonts w:ascii="Times New Roman" w:hAnsi="Times New Roman"/>
          <w:color w:val="000000"/>
          <w:sz w:val="20"/>
        </w:rPr>
        <w:t>The information furnished in this Item 2.02, including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873" w:type="dxa"/>
        <w:jc w:val="left"/>
        <w:tblInd w:w="0" w:type="dxa"/>
        <w:tblLayout w:type="fixed"/>
        <w:tblCellMar>
          <w:top w:w="28" w:type="dxa"/>
          <w:left w:w="28" w:type="dxa"/>
          <w:bottom w:w="28" w:type="dxa"/>
          <w:right w:w="28" w:type="dxa"/>
        </w:tblCellMar>
      </w:tblPr>
      <w:tblGrid>
        <w:gridCol w:w="1126"/>
        <w:gridCol w:w="146"/>
        <w:gridCol w:w="660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 No.</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w:t>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rcel-ex99_1.htm">
              <w:r>
                <w:rPr>
                  <w:rStyle w:val="InternetLink"/>
                  <w:rFonts w:ascii="Times New Roman" w:hAnsi="Times New Roman"/>
                  <w:color w:val="0000FF"/>
                  <w:sz w:val="20"/>
                  <w:u w:val="single"/>
                </w:rPr>
                <w:t>Press release, dated May 14, 2026, issued by AVITA Medical, Inc.</w:t>
              </w:r>
            </w:hyperlink>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eading2"/>
        <w:bidi w:val="0"/>
        <w:spacing w:before="360" w:after="12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264" w:type="dxa"/>
        <w:jc w:val="left"/>
        <w:tblInd w:w="0" w:type="dxa"/>
        <w:tblLayout w:type="fixed"/>
        <w:tblCellMar>
          <w:top w:w="28" w:type="dxa"/>
          <w:left w:w="28" w:type="dxa"/>
          <w:bottom w:w="28" w:type="dxa"/>
          <w:right w:w="28" w:type="dxa"/>
        </w:tblCellMar>
      </w:tblPr>
      <w:tblGrid>
        <w:gridCol w:w="556"/>
        <w:gridCol w:w="1246"/>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 xml:space="preserve">AVITA Medical, Inc.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14,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David O’Toole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David O’Toole</w:t>
              <w:b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rcel-ex99_1.htm"/>
      <w:bookmarkStart w:id="3" w:name="ksrcelex99_1"/>
      <w:bookmarkEnd w:id="2"/>
      <w:bookmarkEnd w:id="3"/>
      <w:r>
        <w:rPr>
          <w:rFonts w:ascii="Times New Roman" w:hAnsi="Times New Roman"/>
          <w:b/>
          <w:color w:val="000000"/>
          <w:sz w:val="20"/>
        </w:rPr>
        <w:t>Exhibit 99.1</w:t>
      </w:r>
      <w:r>
        <w:br w:type="page"/>
      </w:r>
    </w:p>
    <w:p>
      <w:pPr>
        <w:pStyle w:val="TextBody"/>
        <w:bidi w:val="0"/>
        <w:jc w:val="left"/>
        <w:rPr/>
      </w:pPr>
      <w:r>
        <w:rPr/>
        <w:drawing>
          <wp:inline distT="0" distB="0" distL="0" distR="0">
            <wp:extent cx="885825" cy="1057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85825" cy="1057275"/>
                    </a:xfrm>
                    <a:prstGeom prst="rect">
                      <a:avLst/>
                    </a:prstGeom>
                  </pic:spPr>
                </pic:pic>
              </a:graphicData>
            </a:graphic>
          </wp:inline>
        </w:drawing>
      </w:r>
    </w:p>
    <w:p>
      <w:pPr>
        <w:pStyle w:val="TextBody"/>
        <w:bidi w:val="0"/>
        <w:jc w:val="center"/>
        <w:rPr>
          <w:rFonts w:ascii="Times New Roman" w:hAnsi="Times New Roman"/>
          <w:b/>
          <w:color w:val="000000"/>
          <w:sz w:val="36"/>
        </w:rPr>
      </w:pPr>
      <w:r>
        <w:rPr>
          <w:rFonts w:ascii="Times New Roman" w:hAnsi="Times New Roman"/>
          <w:b/>
          <w:color w:val="000000"/>
          <w:sz w:val="36"/>
        </w:rPr>
        <w:t>AVITA Medical Reports First Quarter 2026 Financial Results</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rPr>
        <w:t xml:space="preserve">VALENCIA, Calif., May 14, 2026 </w:t>
      </w:r>
      <w:r>
        <w:rPr>
          <w:rFonts w:ascii="Times New Roman" w:hAnsi="Times New Roman"/>
          <w:color w:val="000000"/>
          <w:sz w:val="20"/>
        </w:rPr>
        <w:t>(GLOBE NEWSWIRE) — AVITA Medical</w:t>
      </w:r>
      <w:r>
        <w:rPr>
          <w:rFonts w:ascii="Times New Roman" w:hAnsi="Times New Roman"/>
          <w:color w:val="000000"/>
          <w:sz w:val="13"/>
        </w:rPr>
        <w:t>®</w:t>
      </w:r>
      <w:r>
        <w:rPr>
          <w:rFonts w:ascii="Times New Roman" w:hAnsi="Times New Roman"/>
          <w:color w:val="000000"/>
          <w:sz w:val="20"/>
        </w:rPr>
        <w:t>, Inc. (NASDAQ: RCEL, ASX: AVH), a leading therapeutic acute wound care company delivering transformative solutions (“AVITA Medical,” or the “Company”), today reported financial results for the first quarter ended March 31, 2026.</w:t>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First Quarter 2026 Financial Highlights and Recent Business Updates</w:t>
      </w:r>
    </w:p>
    <w:p>
      <w:pPr>
        <w:pStyle w:val="TextBody"/>
        <w:bidi w:val="0"/>
        <w:spacing w:before="0" w:after="60"/>
        <w:jc w:val="left"/>
        <w:rPr>
          <w:color w:val="000000"/>
        </w:rPr>
      </w:pPr>
      <w:r>
        <w:rPr>
          <w:color w:val="000000"/>
        </w:rPr>
        <w:t>•</w:t>
      </w:r>
    </w:p>
    <w:p>
      <w:pPr>
        <w:pStyle w:val="TextBody"/>
        <w:bidi w:val="0"/>
        <w:spacing w:before="0" w:after="60"/>
        <w:jc w:val="left"/>
        <w:rPr/>
      </w:pPr>
      <w:r>
        <w:rPr>
          <w:rFonts w:ascii="Times New Roman" w:hAnsi="Times New Roman"/>
          <w:color w:val="000000"/>
          <w:sz w:val="20"/>
        </w:rPr>
        <w:t>Total revenue of approximately $19.3 million, up 4% year-over-year and approximately 10% sequentially, driven by contributions from Cohealyx</w:t>
      </w:r>
      <w:r>
        <w:rPr>
          <w:rFonts w:ascii="Times New Roman" w:hAnsi="Times New Roman"/>
          <w:color w:val="000000"/>
          <w:sz w:val="13"/>
        </w:rPr>
        <w:t>®</w:t>
      </w:r>
      <w:r>
        <w:rPr>
          <w:color w:val="000000"/>
        </w:rPr>
        <w:t xml:space="preserve"> </w:t>
      </w:r>
      <w:r>
        <w:rPr>
          <w:rFonts w:ascii="Times New Roman" w:hAnsi="Times New Roman"/>
          <w:color w:val="000000"/>
          <w:sz w:val="20"/>
        </w:rPr>
        <w:t>and improved RECELL</w:t>
      </w:r>
      <w:r>
        <w:rPr>
          <w:rFonts w:ascii="Times New Roman" w:hAnsi="Times New Roman"/>
          <w:color w:val="000000"/>
          <w:sz w:val="13"/>
        </w:rPr>
        <w:t>®</w:t>
      </w:r>
      <w:r>
        <w:rPr>
          <w:color w:val="000000"/>
        </w:rPr>
        <w:t xml:space="preserve"> </w:t>
      </w:r>
      <w:r>
        <w:rPr>
          <w:rFonts w:ascii="Times New Roman" w:hAnsi="Times New Roman"/>
          <w:color w:val="000000"/>
          <w:sz w:val="20"/>
        </w:rPr>
        <w:t xml:space="preserve">utilization as reimbursement dynamics normalize </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Appointment of Cary Vance as President and Chief Executive Officer following a comprehensive search process led by a special committee of the Board of Directors, reflecting confidence in the Company’s strategic direction and operational progress; Jan Stern Reed appointed as independent Chair of the Board</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Gross profit margin of 81.7%, reflecting impact of product mix and certain inventory adjustments</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Operating expenses decreased 11% year-over-year to $24.5 million, reflecting a lower and more disciplined cost base established in 2025</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Net cash use of approximately $9.9 million in the quarter, reflecting one-time items and the timing of revenue and collections; cash use expected to decrease significantly in the second quarter</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Net loss of $10.6 million, or a loss of $0.35 per basic and diluted share, compared to $13.9 million, or a loss of $0.53 per basic and diluted share, in the first quarter of 2025</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 xml:space="preserve">Entered into a 10-year BARDA agreement valued at up to $25.5 million to support U.S. burn emergency preparedness, providing recurring readiness revenue </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Announced positive interim Cohealyx I data demonstrating a ~20-day reduction in mean time to skin grafting readiness (13.6 vs. 33.2 days; p&lt;0.001), supporting its potential to drive improved clinical outcomes and broader adoption</w:t>
      </w:r>
    </w:p>
    <w:p>
      <w:pPr>
        <w:pStyle w:val="TextBody"/>
        <w:bidi w:val="0"/>
        <w:spacing w:before="0" w:after="60"/>
        <w:jc w:val="left"/>
        <w:rPr>
          <w:color w:val="000000"/>
        </w:rPr>
      </w:pPr>
      <w:r>
        <w:rPr>
          <w:color w:val="000000"/>
        </w:rPr>
        <w:t>•</w:t>
      </w:r>
    </w:p>
    <w:p>
      <w:pPr>
        <w:pStyle w:val="TextBody"/>
        <w:bidi w:val="0"/>
        <w:spacing w:before="0" w:after="60"/>
        <w:jc w:val="left"/>
        <w:rPr/>
      </w:pPr>
      <w:r>
        <w:rPr>
          <w:rFonts w:ascii="Times New Roman" w:hAnsi="Times New Roman"/>
          <w:color w:val="000000"/>
          <w:sz w:val="20"/>
        </w:rPr>
        <w:t>Received regulatory clearance for RECELL GO</w:t>
      </w:r>
      <w:r>
        <w:rPr>
          <w:rFonts w:ascii="Times New Roman" w:hAnsi="Times New Roman"/>
          <w:color w:val="000000"/>
          <w:sz w:val="13"/>
        </w:rPr>
        <w:t>®</w:t>
      </w:r>
      <w:r>
        <w:rPr>
          <w:color w:val="000000"/>
        </w:rPr>
        <w:t xml:space="preserve"> </w:t>
      </w:r>
      <w:r>
        <w:rPr>
          <w:rFonts w:ascii="Times New Roman" w:hAnsi="Times New Roman"/>
          <w:color w:val="000000"/>
          <w:sz w:val="20"/>
        </w:rPr>
        <w:t>in Australia and New Zealand, supporting commercialization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Cary Vance, President and Chief Executive Officer of AVITA Medical, commented: </w:t>
      </w:r>
    </w:p>
    <w:p>
      <w:pPr>
        <w:pStyle w:val="TextBody"/>
        <w:bidi w:val="0"/>
        <w:jc w:val="left"/>
        <w:rPr/>
      </w:pPr>
      <w:r>
        <w:rPr>
          <w:color w:val="000000"/>
        </w:rPr>
        <w:t>“</w:t>
      </w:r>
      <w:r>
        <w:rPr>
          <w:rFonts w:ascii="Times New Roman" w:hAnsi="Times New Roman"/>
          <w:color w:val="000000"/>
          <w:sz w:val="20"/>
        </w:rPr>
        <w:t>Since November, we’ve stabilized the business, improved how we operate, and delivered a solid start to 2026. With sequential revenue growth and improving ordering patterns across the portfolio, we are focused on delivering sustained performance as we move through the year. At April’s American Burn Association annual meeting, it was exciting to see how our products, RECELL, Cohealyx and PermeaDerm</w:t>
      </w:r>
      <w:r>
        <w:rPr>
          <w:rFonts w:ascii="Times New Roman" w:hAnsi="Times New Roman"/>
          <w:color w:val="000000"/>
          <w:sz w:val="13"/>
        </w:rPr>
        <w:t>®</w:t>
      </w:r>
      <w:r>
        <w:rPr>
          <w:rFonts w:ascii="Times New Roman" w:hAnsi="Times New Roman"/>
          <w:color w:val="000000"/>
          <w:sz w:val="20"/>
        </w:rPr>
        <w:t>, are delivering meaningful outcomes for clinicians and their patients. I am incredibly proud and excited to lead AVITA as we continue to build towards the future of wound care.”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David O'Toole, Chief Financial Officer, commented: </w:t>
      </w:r>
    </w:p>
    <w:p>
      <w:pPr>
        <w:pStyle w:val="TextBody"/>
        <w:bidi w:val="0"/>
        <w:jc w:val="left"/>
        <w:rPr/>
      </w:pPr>
      <w:r>
        <w:rPr>
          <w:color w:val="000000"/>
        </w:rPr>
        <w:t>“</w:t>
      </w:r>
      <w:r>
        <w:rPr>
          <w:rFonts w:ascii="Times New Roman" w:hAnsi="Times New Roman"/>
          <w:color w:val="000000"/>
          <w:sz w:val="20"/>
        </w:rPr>
        <w:t xml:space="preserve">First quarter results reflect continued progress against the cost optimization initiatives implemented in 2025, with operating expenses down meaningfully year-over-year. We are also operating well within the framework of our recently refinanced credit facility, with terms aligned to our current revenue trajectory and providing increased flexibility as we execute.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expected, net cash use was higher in the first quarter, driven by seasonal compensation and other one-time payments, and further elevated by the timing of revenue and collections. Cash receipts lag revenue, and with a greater proportion of product sales occurring later in the first quarter, the contribution from collections within the period was reduced, and our cash use for the first quarter was negatively impacted.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we move into the second quarter, these timing dynamics have reversed. Seasonal and one-time items are completed, and collections from strong late-first quarter revenue and early-second quarter sales activity are driving higher cash receipts. Combined with ongoing cost discipline, this gives us confidence in a significant decrease in cash use in the second quarter.”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Financial Guidance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AVITA Medical is reaffirming its full-year 2026 guidance, reflecting confidence in continued execution and improving commercial momentum: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Full year 2026 revenue expected in the range of $80 to $85 million, representing growth of approximately 12% to 19% compared to 2025 revenue.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First Quarter Financial Results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Total revenue was approximately $19.3 million in the three months ended March 31, 2026, representing an increase of $0.7 million, or 4%, compared to $18.5 million in the prior-year period. The increase was driven by contributions from Cohealyx, RECELL GO mini</w:t>
      </w:r>
      <w:r>
        <w:rPr>
          <w:rFonts w:ascii="Times New Roman" w:hAnsi="Times New Roman"/>
          <w:color w:val="000000"/>
          <w:sz w:val="13"/>
        </w:rPr>
        <w:t>®</w:t>
      </w:r>
      <w:r>
        <w:rPr>
          <w:rFonts w:ascii="Times New Roman" w:hAnsi="Times New Roman"/>
          <w:color w:val="000000"/>
          <w:sz w:val="20"/>
        </w:rPr>
        <w:t xml:space="preserve"> in trauma and smaller wounds, and continued normalization in RECELL utilization following the resolution of prior reimbursement headwinds.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2026, all seven Medicare Administrative Contractors (MACs) have published payment rates for clinician use of RECELL, supporting broader and more consistent utilization.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Gross profit margin was 81.7%, compared to 84.7% in the prior-year period, reflecting product mix and inventory-related adjustments. RECELL demand remained solid during the quarter and the change in overall margin reflects the Company’s deliberate expansion of its product portfolio, with Cohealyx and PermeaDerm. The Company shares the average sales price for Cohealyx at 50% and for PermeaDerm at 60%, which inevitably results in an overall decrease in gross margin percentage. The product mix is expected to continue to impact the overall gross margin percentage while increasing the gross profit and, given that expenses associated with this revenue do not increase significantly, operating profit on a quarterly basis. RECELL-only gross margin was 85.0% for the quarter.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operating expenses were approximately $24.5 million, compared to $27.5 million in the prior-year period, representing a decrease of $3.0 million, or 11%. The reduction reflects continued execution against cost optimization initiatives and sales force reduction implemented in 2025, which resulted in a $2.0 million decline in sales and marketing expenses driven by lower salaries, benefits, stock-based compensation, and commissions. General and administrative expenses decreased by $0.3 million, while research and development expenses decreased by $0.7 million, primarily due to lower personnel-related and program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cash use for the quarter was approximately $9.9 million. The increase reflects the timing of annual compensation and other one-time items, as well as the timing of revenue and collections within the period. Cash receipts lag revenue, and with a greater proportion of sales activity occurring later in the first quarter, cash use was negatively impacted.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ended the quarter with approximately $14.3 million in cash and marketable securities, compared to $18.2 million at the start of the quarter.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loss was $10.6 million, or a loss of $0.35 per basic and diluted share, compared to a net loss of $13.9 million, or a loss of $0.53 per basic and diluted share, in the same period in 2025.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Webcast and Conference Call Information</w:t>
      </w:r>
    </w:p>
    <w:p>
      <w:pPr>
        <w:pStyle w:val="TextBody"/>
        <w:bidi w:val="0"/>
        <w:jc w:val="left"/>
        <w:rPr>
          <w:rFonts w:ascii="Times New Roman" w:hAnsi="Times New Roman"/>
          <w:color w:val="000000"/>
          <w:sz w:val="20"/>
        </w:rPr>
      </w:pPr>
      <w:r>
        <w:rPr>
          <w:rFonts w:ascii="Times New Roman" w:hAnsi="Times New Roman"/>
          <w:color w:val="000000"/>
          <w:sz w:val="20"/>
        </w:rPr>
        <w:t xml:space="preserve">AVITA Medical will host a conference call on Thursday, May 14, 2026, at 1:30 p.m. Pacific Standard Time (Friday, May 15, 2026, at 6:30 a.m. Australian Eastern Standard Time) to discuss its first quarter 2026 financial results and recent business highlights. To listen to the conference call webcast, please register and join using the following link: https://edge.media-server.com/mmc/p/t54pdcd4. To participate in the live earnings conference call, please register in advance to receive dial-in details and a personal PIN using the following link: https://register-conf.media-server.com/register/BI27b7d18fc52c43599f75b727d38f8883. For those unable to participate in the live broadcast, a replay will be available on the Events page of the Company’s investor relations website at: https://ir.avitamedical.com/events-and-presentations. </w:t>
      </w:r>
    </w:p>
    <w:p>
      <w:pPr>
        <w:pStyle w:val="TextBody"/>
        <w:bidi w:val="0"/>
        <w:jc w:val="both"/>
        <w:rPr/>
      </w:pPr>
      <w:r>
        <w:rPr/>
        <w:t> </w:t>
      </w:r>
    </w:p>
    <w:p>
      <w:pPr>
        <w:pStyle w:val="TextBody"/>
        <w:bidi w:val="0"/>
        <w:jc w:val="right"/>
        <w:rPr>
          <w:rFonts w:ascii="Times New Roman" w:hAnsi="Times New Roman"/>
          <w:color w:val="000000"/>
          <w:sz w:val="18"/>
        </w:rPr>
      </w:pPr>
      <w:r>
        <w:rPr>
          <w:rFonts w:ascii="Times New Roman" w:hAnsi="Times New Roman"/>
          <w:color w:val="000000"/>
          <w:sz w:val="18"/>
        </w:rPr>
        <w:t>Page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AVITA Medical,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AVITA Medical</w:t>
      </w:r>
      <w:r>
        <w:rPr>
          <w:rFonts w:ascii="Times New Roman" w:hAnsi="Times New Roman"/>
          <w:color w:val="000000"/>
          <w:sz w:val="13"/>
        </w:rPr>
        <w:t>®</w:t>
      </w:r>
      <w:r>
        <w:rPr>
          <w:rFonts w:ascii="Times New Roman" w:hAnsi="Times New Roman"/>
          <w:color w:val="000000"/>
          <w:sz w:val="20"/>
        </w:rPr>
        <w:t xml:space="preserve"> is a leading therapeutic acute wound care company delivering transformative solutions. Our technologies are designed to optimize wound healing, effectively accelerating the time to patient recovery. At the forefront of our platform is RECELL</w:t>
      </w:r>
      <w:r>
        <w:rPr>
          <w:rFonts w:ascii="Times New Roman" w:hAnsi="Times New Roman"/>
          <w:color w:val="000000"/>
          <w:sz w:val="13"/>
        </w:rPr>
        <w:t>®</w:t>
      </w:r>
      <w:r>
        <w:rPr>
          <w:rFonts w:ascii="Times New Roman" w:hAnsi="Times New Roman"/>
          <w:color w:val="000000"/>
          <w:sz w:val="20"/>
        </w:rPr>
        <w:t>, approved by the FDA for the treatment of thermal burn and trauma wounds. RECELL harnesses the healing properties of a patient’s own skin to create Spray-On Skin, offering an innovative solution for improved clinical outcomes at the point-of-care. In the U.S., AVITA Medical also holds the exclusive rights to market, sell, and distribute Cohealyx</w:t>
      </w:r>
      <w:r>
        <w:rPr>
          <w:rFonts w:ascii="Times New Roman" w:hAnsi="Times New Roman"/>
          <w:color w:val="000000"/>
          <w:sz w:val="13"/>
        </w:rPr>
        <w:t>®</w:t>
      </w:r>
      <w:r>
        <w:rPr>
          <w:rFonts w:ascii="Times New Roman" w:hAnsi="Times New Roman"/>
          <w:color w:val="000000"/>
          <w:sz w:val="20"/>
        </w:rPr>
        <w:t>, an AVITA Medical-branded collagen-based dermal matrix, and the exclusive rights to manufacture, market, sell, and distribute PermeaDerm</w:t>
      </w:r>
      <w:r>
        <w:rPr>
          <w:rFonts w:ascii="Times New Roman" w:hAnsi="Times New Roman"/>
          <w:color w:val="000000"/>
          <w:sz w:val="13"/>
        </w:rPr>
        <w:t>®</w:t>
      </w:r>
      <w:r>
        <w:rPr>
          <w:rFonts w:ascii="Times New Roman" w:hAnsi="Times New Roman"/>
          <w:color w:val="000000"/>
          <w:sz w:val="20"/>
        </w:rPr>
        <w:t>, a biosynthetic wound matrix.</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international markets, RECELL is approved to promote skin healing in a wide range of applications, including thermal burn and trauma wounds. RECELL and RECELL GO</w:t>
      </w:r>
      <w:r>
        <w:rPr>
          <w:rFonts w:ascii="Times New Roman" w:hAnsi="Times New Roman"/>
          <w:color w:val="000000"/>
          <w:sz w:val="13"/>
        </w:rPr>
        <w:t>®</w:t>
      </w:r>
      <w:r>
        <w:rPr>
          <w:rFonts w:ascii="Times New Roman" w:hAnsi="Times New Roman"/>
          <w:color w:val="000000"/>
          <w:sz w:val="20"/>
        </w:rPr>
        <w:t xml:space="preserve"> are CE-marked in Europe, have TGA certification in Australia, and Medsafe WAND listing in New Zealand; RECELL is PMDA-approved in Japan.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learn more, visit www.avitamedical.com.</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rPr>
        <w:t>CAUTIONARY NOTE REGARDING FORWARD-LOOKING STATEMENTS</w:t>
        <w:br/>
      </w:r>
      <w:r>
        <w:rPr>
          <w:rFonts w:ascii="Times New Roman" w:hAnsi="Times New Roman"/>
          <w:color w:val="000000"/>
          <w:sz w:val="20"/>
        </w:rPr>
        <w:br/>
      </w:r>
      <w:r>
        <w:rPr>
          <w:rFonts w:ascii="Times New Roman" w:hAnsi="Times New Roman"/>
          <w:color w:val="404040"/>
          <w:sz w:val="20"/>
        </w:rPr>
        <w:t>Th</w:t>
      </w:r>
      <w:r>
        <w:rPr>
          <w:rFonts w:ascii="Times New Roman" w:hAnsi="Times New Roman"/>
          <w:color w:val="000000"/>
          <w:sz w:val="20"/>
        </w:rPr>
        <w:t xml:space="preserve">is press release may contain forward-looking statements within the meaning of the Private Securities Litigation Reform Act of 1995. Such forward-looking statements are subject to significant risks and uncertainties that could cause actual results to differ materially from those expressed or implied by such statements. Forward-looking statements generally may be identified by the use of words such as “anticipate,” “approximately,” “continue,” “could,” “expect,” “future,” “guidance,” “may,” “will,” and similar words or expressions, and the use of future dates. Forward-looking statements include, but are not limited to, statements relating to the timing and realization of regulatory approvals of our products; anticipated market share growth and revenue generation; physician acceptance, endorsement, and use of our products (including the impact of government reimbursement payment rates on such use); failure to achieve the anticipated benefits from approval of our products; the effect of regulatory actions; product liability claims; risks associated with international operations and expansion; and other business effects, including the effects of industry, as well as other economic or political conditions outside of the Company’s control. These statements are made as of the date of this earnings release, and the Company undertakes no obligation to publicly update or revise any of these statements, except as required by law. For additional information and other important factors that may cause actual results to differ materially from forward-looking statements, please see the “Risk Factors” section of the Company’s latest Annual Report on Form 10-K and other publicly available filings for a discussion of these and other risks and uncertainties.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Investor &amp; Media Contact: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Ben Atkins</w:t>
      </w:r>
    </w:p>
    <w:p>
      <w:pPr>
        <w:pStyle w:val="TextBody"/>
        <w:bidi w:val="0"/>
        <w:jc w:val="left"/>
        <w:rPr>
          <w:rFonts w:ascii="Times New Roman" w:hAnsi="Times New Roman"/>
          <w:color w:val="000000"/>
          <w:sz w:val="20"/>
        </w:rPr>
      </w:pPr>
      <w:r>
        <w:rPr>
          <w:rFonts w:ascii="Times New Roman" w:hAnsi="Times New Roman"/>
          <w:color w:val="000000"/>
          <w:sz w:val="20"/>
        </w:rPr>
        <w:t xml:space="preserve">Phone +1-805 341 1571 </w:t>
      </w:r>
    </w:p>
    <w:p>
      <w:pPr>
        <w:pStyle w:val="TextBody"/>
        <w:bidi w:val="0"/>
        <w:jc w:val="left"/>
        <w:rPr>
          <w:rFonts w:ascii="Times New Roman" w:hAnsi="Times New Roman"/>
          <w:color w:val="000000"/>
          <w:sz w:val="20"/>
        </w:rPr>
      </w:pPr>
      <w:r>
        <w:rPr>
          <w:rFonts w:ascii="Times New Roman" w:hAnsi="Times New Roman"/>
          <w:color w:val="000000"/>
          <w:sz w:val="20"/>
        </w:rPr>
        <w:t>investor@avitamedical.com</w:t>
      </w:r>
    </w:p>
    <w:p>
      <w:pPr>
        <w:pStyle w:val="TextBody"/>
        <w:bidi w:val="0"/>
        <w:jc w:val="left"/>
        <w:rPr>
          <w:rFonts w:ascii="Times New Roman" w:hAnsi="Times New Roman"/>
          <w:color w:val="000000"/>
          <w:sz w:val="20"/>
        </w:rPr>
      </w:pPr>
      <w:r>
        <w:rPr>
          <w:rFonts w:ascii="Times New Roman" w:hAnsi="Times New Roman"/>
          <w:color w:val="000000"/>
          <w:sz w:val="20"/>
        </w:rPr>
        <w:t>media@avitamedical.com</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Authorized for release by the Chief Financial Officer of AVITA Medical, Inc.</w:t>
      </w:r>
    </w:p>
    <w:p>
      <w:pPr>
        <w:pStyle w:val="TextBody"/>
        <w:bidi w:val="0"/>
        <w:jc w:val="left"/>
        <w:rPr/>
      </w:pPr>
      <w:r>
        <w:rPr/>
        <w:t> </w:t>
      </w:r>
    </w:p>
    <w:p>
      <w:pPr>
        <w:pStyle w:val="TextBody"/>
        <w:bidi w:val="0"/>
        <w:spacing w:before="0" w:after="200"/>
        <w:jc w:val="left"/>
        <w:rPr>
          <w:rFonts w:ascii="Times New Roman" w:hAnsi="Times New Roman"/>
          <w:sz w:val="20"/>
        </w:rPr>
      </w:pPr>
      <w:r>
        <w:rPr>
          <w:rFonts w:ascii="Times New Roman" w:hAnsi="Times New Roman"/>
          <w:color w:val="000000"/>
          <w:sz w:val="20"/>
        </w:rPr>
        <w:t>©2026 AVITA Medical. AVITA Medical</w:t>
      </w:r>
      <w:r>
        <w:rPr>
          <w:rFonts w:ascii="Times New Roman" w:hAnsi="Times New Roman"/>
          <w:color w:val="000000"/>
          <w:sz w:val="13"/>
        </w:rPr>
        <w:t>®</w:t>
      </w:r>
      <w:r>
        <w:rPr>
          <w:rFonts w:ascii="Times New Roman" w:hAnsi="Times New Roman"/>
          <w:color w:val="000000"/>
          <w:sz w:val="20"/>
        </w:rPr>
        <w:t>, Cohealyx</w:t>
      </w:r>
      <w:r>
        <w:rPr>
          <w:rFonts w:ascii="Times New Roman" w:hAnsi="Times New Roman"/>
          <w:color w:val="000000"/>
          <w:sz w:val="13"/>
        </w:rPr>
        <w:t>®</w:t>
      </w:r>
      <w:r>
        <w:rPr>
          <w:rFonts w:ascii="Times New Roman" w:hAnsi="Times New Roman"/>
          <w:color w:val="000000"/>
          <w:sz w:val="20"/>
        </w:rPr>
        <w:t>, RECELL</w:t>
      </w:r>
      <w:r>
        <w:rPr>
          <w:rFonts w:ascii="Times New Roman" w:hAnsi="Times New Roman"/>
          <w:color w:val="000000"/>
          <w:sz w:val="13"/>
        </w:rPr>
        <w:t>®</w:t>
      </w:r>
      <w:r>
        <w:rPr>
          <w:rFonts w:ascii="Times New Roman" w:hAnsi="Times New Roman"/>
          <w:color w:val="000000"/>
          <w:sz w:val="20"/>
        </w:rPr>
        <w:t>, RECELL GO</w:t>
      </w:r>
      <w:r>
        <w:rPr>
          <w:rFonts w:ascii="Times New Roman" w:hAnsi="Times New Roman"/>
          <w:color w:val="000000"/>
          <w:sz w:val="13"/>
        </w:rPr>
        <w:t>®</w:t>
      </w:r>
      <w:r>
        <w:rPr>
          <w:rFonts w:ascii="Times New Roman" w:hAnsi="Times New Roman"/>
          <w:color w:val="000000"/>
          <w:sz w:val="20"/>
        </w:rPr>
        <w:t>, and Spray-On Skin</w:t>
      </w:r>
      <w:r>
        <w:rPr>
          <w:rFonts w:ascii="Times New Roman" w:hAnsi="Times New Roman"/>
          <w:color w:val="000000"/>
          <w:sz w:val="13"/>
        </w:rPr>
        <w:t>TM</w:t>
      </w:r>
      <w:r>
        <w:rPr>
          <w:rFonts w:ascii="Times New Roman" w:hAnsi="Times New Roman"/>
          <w:color w:val="000000"/>
          <w:sz w:val="20"/>
        </w:rPr>
        <w:t xml:space="preserve"> are trademarks of AVITA Medical. PermeaDerm</w:t>
      </w:r>
      <w:r>
        <w:rPr>
          <w:rFonts w:ascii="Times New Roman" w:hAnsi="Times New Roman"/>
          <w:color w:val="000000"/>
          <w:sz w:val="13"/>
        </w:rPr>
        <w:t>®</w:t>
      </w:r>
      <w:r>
        <w:rPr>
          <w:rFonts w:ascii="Times New Roman" w:hAnsi="Times New Roman"/>
          <w:color w:val="000000"/>
          <w:sz w:val="20"/>
        </w:rPr>
        <w:t xml:space="preserve"> is a registered trademark owned by Stedical Scientific, Inc. All other trademarks are the properties of their respective owners.</w:t>
      </w:r>
    </w:p>
    <w:p>
      <w:pPr>
        <w:pStyle w:val="TextBody"/>
        <w:bidi w:val="0"/>
        <w:jc w:val="right"/>
        <w:rPr>
          <w:rFonts w:ascii="Times New Roman" w:hAnsi="Times New Roman"/>
          <w:color w:val="000000"/>
          <w:sz w:val="18"/>
        </w:rPr>
      </w:pPr>
      <w:r>
        <w:rPr>
          <w:rFonts w:ascii="Times New Roman" w:hAnsi="Times New Roman"/>
          <w:color w:val="000000"/>
          <w:sz w:val="18"/>
        </w:rPr>
        <w:t>Page 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AVITA MEDICAL,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272"/>
        <w:gridCol w:w="146"/>
        <w:gridCol w:w="281"/>
        <w:gridCol w:w="1121"/>
        <w:gridCol w:w="166"/>
        <w:gridCol w:w="146"/>
        <w:gridCol w:w="333"/>
        <w:gridCol w:w="1327"/>
        <w:gridCol w:w="413"/>
      </w:tblGrid>
      <w:tr>
        <w:trPr/>
        <w:tc>
          <w:tcPr>
            <w:tcW w:w="6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62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Corporate-owned life insurance (“COLI”)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56,392</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wages and fringe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non-qualified deferred compensation (“NQDC”)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Non-qualified deferred compensation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liability,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73,042</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Company common stock held by the non-qualified deferred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394,408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(408,401</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56,392</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rFonts w:ascii="Times New Roman" w:hAnsi="Times New Roman"/>
          <w:color w:val="000000"/>
          <w:sz w:val="18"/>
        </w:rPr>
      </w:pPr>
      <w:r>
        <w:rPr>
          <w:rFonts w:ascii="Times New Roman" w:hAnsi="Times New Roman"/>
          <w:color w:val="000000"/>
          <w:sz w:val="18"/>
        </w:rPr>
        <w:t>Page 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AVITA MEDICAL,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6405" w:type="dxa"/>
        <w:jc w:val="left"/>
        <w:tblInd w:w="0" w:type="dxa"/>
        <w:tblLayout w:type="fixed"/>
        <w:tblCellMar>
          <w:top w:w="28" w:type="dxa"/>
          <w:left w:w="28" w:type="dxa"/>
          <w:bottom w:w="28" w:type="dxa"/>
          <w:right w:w="28" w:type="dxa"/>
        </w:tblCellMar>
      </w:tblPr>
      <w:tblGrid>
        <w:gridCol w:w="2956"/>
        <w:gridCol w:w="146"/>
        <w:gridCol w:w="218"/>
        <w:gridCol w:w="1072"/>
        <w:gridCol w:w="166"/>
        <w:gridCol w:w="146"/>
        <w:gridCol w:w="218"/>
        <w:gridCol w:w="1072"/>
        <w:gridCol w:w="4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30,540,872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26,253,565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jc w:val="right"/>
        <w:rPr/>
      </w:pPr>
      <w:r>
        <w:rPr/>
        <w:t> </w:t>
      </w:r>
    </w:p>
    <w:p>
      <w:pPr>
        <w:pStyle w:val="TextBody"/>
        <w:bidi w:val="0"/>
        <w:jc w:val="right"/>
        <w:rPr>
          <w:rFonts w:ascii="Times New Roman" w:hAnsi="Times New Roman"/>
          <w:color w:val="000000"/>
          <w:sz w:val="18"/>
        </w:rPr>
      </w:pPr>
      <w:r>
        <w:rPr>
          <w:rFonts w:ascii="Times New Roman" w:hAnsi="Times New Roman"/>
          <w:color w:val="000000"/>
          <w:sz w:val="18"/>
        </w:rPr>
        <w:t>Page 5</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2516</Words>
  <Characters>14462</Characters>
  <CharactersWithSpaces>17087</CharactersWithSpaces>
  <Paragraphs>749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