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22351d8k.htm"/>
      <w:bookmarkStart w:id="1" w:name="ksd52235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15,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AVITA Medical,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001-39059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85-1021707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04"/>
        <w:gridCol w:w="60"/>
        <w:gridCol w:w="4841"/>
      </w:tblGrid>
      <w:tr>
        <w:trPr/>
        <w:tc>
          <w:tcPr>
            <w:tcW w:w="5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1" w:type="dxa"/>
            <w:tcBorders/>
            <w:vAlign w:val="center"/>
          </w:tcPr>
          <w:p>
            <w:pPr>
              <w:pStyle w:val="TableContents"/>
              <w:bidi w:val="0"/>
              <w:spacing w:before="0" w:after="283"/>
              <w:jc w:val="left"/>
              <w:rPr>
                <w:sz w:val="4"/>
                <w:szCs w:val="4"/>
              </w:rPr>
            </w:pPr>
            <w:r>
              <w:rPr>
                <w:sz w:val="4"/>
                <w:szCs w:val="4"/>
              </w:rPr>
            </w:r>
          </w:p>
        </w:tc>
      </w:tr>
      <w:tr>
        <w:trPr/>
        <w:tc>
          <w:tcPr>
            <w:tcW w:w="5304" w:type="dxa"/>
            <w:tcBorders/>
            <w:vAlign w:val="center"/>
          </w:tcPr>
          <w:p>
            <w:pPr>
              <w:pStyle w:val="TableContents"/>
              <w:bidi w:val="0"/>
              <w:spacing w:before="0" w:after="283"/>
              <w:jc w:val="center"/>
              <w:rPr>
                <w:b/>
              </w:rPr>
            </w:pPr>
            <w:r>
              <w:rPr>
                <w:b/>
              </w:rPr>
              <w:t>28159 Avenue Stanford, Suite 220, Valencia, CA 91355</w:t>
            </w:r>
          </w:p>
        </w:tc>
        <w:tc>
          <w:tcPr>
            <w:tcW w:w="60" w:type="dxa"/>
            <w:tcBorders/>
            <w:vAlign w:val="center"/>
          </w:tcPr>
          <w:p>
            <w:pPr>
              <w:pStyle w:val="TableContents"/>
              <w:bidi w:val="0"/>
              <w:spacing w:before="0" w:after="283"/>
              <w:jc w:val="left"/>
              <w:rPr/>
            </w:pPr>
            <w:r>
              <w:rPr/>
              <w:t> </w:t>
            </w:r>
          </w:p>
        </w:tc>
        <w:tc>
          <w:tcPr>
            <w:tcW w:w="4841" w:type="dxa"/>
            <w:tcBorders/>
            <w:vAlign w:val="center"/>
          </w:tcPr>
          <w:p>
            <w:pPr>
              <w:pStyle w:val="TableContents"/>
              <w:bidi w:val="0"/>
              <w:spacing w:before="0" w:after="283"/>
              <w:jc w:val="center"/>
              <w:rPr>
                <w:b/>
              </w:rPr>
            </w:pPr>
            <w:r>
              <w:rPr>
                <w:b/>
              </w:rPr>
              <w:t>661.367.9170</w:t>
            </w:r>
          </w:p>
        </w:tc>
      </w:tr>
      <w:tr>
        <w:trPr/>
        <w:tc>
          <w:tcPr>
            <w:tcW w:w="5304" w:type="dxa"/>
            <w:tcBorders/>
            <w:vAlign w:val="center"/>
          </w:tcPr>
          <w:p>
            <w:pPr>
              <w:pStyle w:val="TableContents"/>
              <w:bidi w:val="0"/>
              <w:spacing w:before="0" w:after="283"/>
              <w:jc w:val="center"/>
              <w:rPr>
                <w:b/>
              </w:rPr>
            </w:pPr>
            <w:r>
              <w:rPr>
                <w:b/>
              </w:rPr>
              <w:t>(Address of principal executive offices, including Zip Code)</w:t>
            </w:r>
          </w:p>
        </w:tc>
        <w:tc>
          <w:tcPr>
            <w:tcW w:w="60" w:type="dxa"/>
            <w:tcBorders/>
            <w:vAlign w:val="center"/>
          </w:tcPr>
          <w:p>
            <w:pPr>
              <w:pStyle w:val="TableContents"/>
              <w:bidi w:val="0"/>
              <w:spacing w:before="0" w:after="283"/>
              <w:jc w:val="left"/>
              <w:rPr/>
            </w:pPr>
            <w:r>
              <w:rPr/>
              <w:t> </w:t>
            </w:r>
          </w:p>
        </w:tc>
        <w:tc>
          <w:tcPr>
            <w:tcW w:w="4841" w:type="dxa"/>
            <w:tcBorders/>
            <w:vAlign w:val="center"/>
          </w:tcPr>
          <w:p>
            <w:pPr>
              <w:pStyle w:val="TableContents"/>
              <w:bidi w:val="0"/>
              <w:spacing w:before="0" w:after="283"/>
              <w:jc w:val="center"/>
              <w:rPr>
                <w:b/>
              </w:rPr>
            </w:pPr>
            <w:r>
              <w:rPr>
                <w:b/>
              </w:rPr>
              <w:t>(Registrant’s telephone number, including area code)</w:t>
            </w:r>
          </w:p>
        </w:tc>
      </w:tr>
    </w:tbl>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620"/>
        <w:gridCol w:w="60"/>
        <w:gridCol w:w="740"/>
        <w:gridCol w:w="60"/>
        <w:gridCol w:w="3050"/>
      </w:tblGrid>
      <w:tr>
        <w:trPr/>
        <w:tc>
          <w:tcPr>
            <w:tcW w:w="3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62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RCEL</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 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AVITA Medical, Inc. (the “Company”) entered into an Executive Employment Agreement (the “Agreement”) with David O’Toole with an effective date of June 15, 2023 (the “Effective Date”), pursuant to which Mr. O’Toole will serve as the Company’s Chief Financial Officer. Mr. O’Toole, age 64, has more than 30 years of experience in global corporate finance, capital markets, and accounting across biotech and life sciences companies. </w:t>
      </w:r>
    </w:p>
    <w:p>
      <w:pPr>
        <w:pStyle w:val="TextBody"/>
        <w:bidi w:val="0"/>
        <w:spacing w:before="240" w:after="0"/>
        <w:jc w:val="left"/>
        <w:rPr>
          <w:rFonts w:ascii="Times New Roman" w:hAnsi="Times New Roman"/>
          <w:sz w:val="20"/>
        </w:rPr>
      </w:pPr>
      <w:r>
        <w:rPr>
          <w:rFonts w:ascii="Times New Roman" w:hAnsi="Times New Roman"/>
          <w:sz w:val="20"/>
        </w:rPr>
        <w:t xml:space="preserve">Mr. O’Toole most recently served as CFO of Opiant Pharmaceuticals, a publicly traded biopharmaceutical company developing treatments for addiction and drug overdose, from September 2017 until its acquisition by Indivior PLC in March 2023. Prior to that, he served as CFO of Soleno Therapeutics, a public company focused on the development and commercialization of novel therapeutics for the treatment of rare diseases, beginning in July 2014. Prior to Soleno, Mr. O’Toole held the role of CFO for three publicly traded life sciences companies where he built and led high-performance teams. Prior to his CFO experience, Mr. O’Toole spent 24 years in public accounting, including 16 years with Deloitte &amp; Touche LLP. He holds a Bachelor of Science in accounting from the University of Arizona and is a Certified Public Accountant (non-active). </w:t>
      </w:r>
    </w:p>
    <w:p>
      <w:pPr>
        <w:pStyle w:val="TextBody"/>
        <w:bidi w:val="0"/>
        <w:spacing w:before="240" w:after="0"/>
        <w:jc w:val="left"/>
        <w:rPr>
          <w:rFonts w:ascii="Times New Roman" w:hAnsi="Times New Roman"/>
          <w:sz w:val="20"/>
        </w:rPr>
      </w:pPr>
      <w:r>
        <w:rPr>
          <w:rFonts w:ascii="Times New Roman" w:hAnsi="Times New Roman"/>
          <w:sz w:val="20"/>
        </w:rPr>
        <w:t xml:space="preserve">No family relationship exists between Mr. O’Toole and any of the Company’s directors or executive officers. There are no arrangements or understandings between Mr. O’Toole and any other person pursuant to which Mr. O’Toole was selected as an officer of the Company, nor are there any transactions to which the Company is or was a participant and in which Mr. O’Toole had or will have a direct or indirect material interest subject to disclosure under Item 404(a)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Employment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the Agreement with Mr. O’Toole, effective as of June 15, 2023 (the “Effective Date”), related to Mr. O’Toole’s service as the Chief Financial Officer. The Agreement has no specified term and will be on an at-will basis. </w:t>
      </w:r>
    </w:p>
    <w:p>
      <w:pPr>
        <w:pStyle w:val="TextBody"/>
        <w:bidi w:val="0"/>
        <w:spacing w:before="240" w:after="0"/>
        <w:jc w:val="left"/>
        <w:rPr>
          <w:rFonts w:ascii="Times New Roman" w:hAnsi="Times New Roman"/>
          <w:sz w:val="20"/>
        </w:rPr>
      </w:pPr>
      <w:r>
        <w:rPr>
          <w:rFonts w:ascii="Times New Roman" w:hAnsi="Times New Roman"/>
          <w:i/>
          <w:sz w:val="20"/>
        </w:rPr>
        <w:t>Base Salary</w:t>
      </w:r>
      <w:r>
        <w:rPr>
          <w:rFonts w:ascii="Times New Roman" w:hAnsi="Times New Roman"/>
          <w:sz w:val="20"/>
        </w:rPr>
        <w:t xml:space="preserve">. Mr. O’Toole will be paid an annual base salary of $450,000.00 per year, subject to applicable tax deductions and withholdings, beginning on the Effective Date and payable in regular installments in accordance with the customary payroll practices of the Company. Mr. O’Toole’s salary will be subject to annual review by the Company’s Board of Directors (the “Board”) and may be increased in the sole discretion of the Board. </w:t>
      </w:r>
    </w:p>
    <w:p>
      <w:pPr>
        <w:pStyle w:val="TextBody"/>
        <w:bidi w:val="0"/>
        <w:spacing w:before="240" w:after="0"/>
        <w:jc w:val="left"/>
        <w:rPr>
          <w:rFonts w:ascii="Times New Roman" w:hAnsi="Times New Roman"/>
          <w:sz w:val="20"/>
        </w:rPr>
      </w:pPr>
      <w:r>
        <w:rPr>
          <w:rFonts w:ascii="Times New Roman" w:hAnsi="Times New Roman"/>
          <w:i/>
          <w:sz w:val="20"/>
        </w:rPr>
        <w:t>Annual Performance Bonus</w:t>
      </w:r>
      <w:r>
        <w:rPr>
          <w:rFonts w:ascii="Times New Roman" w:hAnsi="Times New Roman"/>
          <w:sz w:val="20"/>
        </w:rPr>
        <w:t xml:space="preserve">. In addition to the base salary, Mr. O’Toole shall be eligible to receive an annual performance bonus based upon the Company’s performance and Mr. O’Toole’s performance for the preceding year as measured against certain performance targets as determined by the Board. The amount of the annual performance bonus shall be 40% of Mr. O’Toole’s base salary. For 2023, Mr. O’Toole will be eligible to receive an annual performance bonus of up to 40% of the pro-rata share of the base salary (excluding any other bonus or compensation) Mr. O’Toole earned in 2023. At the sole discretion of the Board, Mr. O’Toole may be entitled to an additional amount of up to 50% of the annual performance bonus based upon performance. For the annual performance bonus to be deemed earned, and in order to be eligible and entitled to receive any annual performance bonus payment, Mr. O’Toole must be employed by and not have given notice of resignation to the Company or have been given notice of termination by the Company at the time the annual performance bonus is determined and paid to Mr. O’Toole. </w:t>
      </w:r>
    </w:p>
    <w:p>
      <w:pPr>
        <w:pStyle w:val="TextBody"/>
        <w:bidi w:val="0"/>
        <w:spacing w:before="240" w:after="0"/>
        <w:jc w:val="left"/>
        <w:rPr>
          <w:rFonts w:ascii="Times New Roman" w:hAnsi="Times New Roman"/>
          <w:sz w:val="20"/>
        </w:rPr>
      </w:pPr>
      <w:r>
        <w:rPr>
          <w:rFonts w:ascii="Times New Roman" w:hAnsi="Times New Roman"/>
          <w:i/>
          <w:sz w:val="20"/>
        </w:rPr>
        <w:t>Equity</w:t>
      </w:r>
      <w:r>
        <w:rPr>
          <w:rFonts w:ascii="Times New Roman" w:hAnsi="Times New Roman"/>
          <w:sz w:val="20"/>
        </w:rPr>
        <w:t xml:space="preserve">. Subject to approval of the Board, Mr. O’Toole shall be eligible to receive 150,000 options which will vest in three equal annual installments beginning on the completion of Mr. O’Toole’s first year of service, issued under the Company’s 2020 Omnibus Incentive Plan within thirty (30) days of the Effective Date. </w:t>
      </w:r>
    </w:p>
    <w:p>
      <w:pPr>
        <w:pStyle w:val="TextBody"/>
        <w:bidi w:val="0"/>
        <w:spacing w:before="240" w:after="0"/>
        <w:jc w:val="left"/>
        <w:rPr>
          <w:rFonts w:ascii="Times New Roman" w:hAnsi="Times New Roman"/>
          <w:sz w:val="20"/>
        </w:rPr>
      </w:pPr>
      <w:r>
        <w:rPr>
          <w:rFonts w:ascii="Times New Roman" w:hAnsi="Times New Roman"/>
          <w:i/>
          <w:sz w:val="20"/>
        </w:rPr>
        <w:t>Termination</w:t>
      </w:r>
      <w:r>
        <w:rPr>
          <w:rFonts w:ascii="Times New Roman" w:hAnsi="Times New Roman"/>
          <w:sz w:val="20"/>
        </w:rPr>
        <w:t xml:space="preserve">. In the event that the Company terminates Mr. O’Toole’s employment for “Cause” (as defined in the Agreement) or Mr. O’Toole resigns without “Good Reason” (as defined in the Agreement), Mr. O’Toole will be entitled to receive his unpaid base salary earned through his last day of employment, accrued but unused vacation pay, and vested benefits through and including his last day of employment.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terminates Mr. O’Toole without Cause or he resigns with Good Reason, the Company will pay him 12 month’s of his annual base salary in effect at such time and provide health benefits for 12 months following termination. Upon such termination or resignation, Mr. O’Toole’s unvested stock options will vest and be exercisable for three months. </w:t>
      </w:r>
    </w:p>
    <w:p>
      <w:pPr>
        <w:pStyle w:val="TextBody"/>
        <w:bidi w:val="0"/>
        <w:spacing w:before="240" w:after="0"/>
        <w:jc w:val="left"/>
        <w:rPr>
          <w:rFonts w:ascii="Times New Roman" w:hAnsi="Times New Roman"/>
          <w:sz w:val="20"/>
        </w:rPr>
      </w:pPr>
      <w:r>
        <w:rPr>
          <w:rFonts w:ascii="Times New Roman" w:hAnsi="Times New Roman"/>
          <w:sz w:val="20"/>
        </w:rPr>
        <w:t xml:space="preserve">The Agreement includes certain restrictive covenants, including covenants related to not competing with the Company and not soliciting employees or customers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material terms of the Agreement does not purport to be complete and is subject to, and is qualified in its entirety by, reference to the full text of such agreement, a copy of which will be filed as an exhibits to the Company’s Quarterly Report on Form 10-Q for the quarter ended June 30, 2023. </w:t>
      </w:r>
      <w:r>
        <w:br w:type="page"/>
      </w:r>
    </w:p>
    <w:p>
      <w:pPr>
        <w:pStyle w:val="HorizontalLine"/>
        <w:bidi w:val="0"/>
        <w:jc w:val="left"/>
        <w:rPr/>
      </w:pPr>
      <w:r>
        <w:rPr/>
      </w:r>
    </w:p>
    <w:tbl>
      <w:tblPr>
        <w:tblW w:w="3265" w:type="dxa"/>
        <w:jc w:val="left"/>
        <w:tblInd w:w="0" w:type="dxa"/>
        <w:tblLayout w:type="fixed"/>
        <w:tblCellMar>
          <w:top w:w="0" w:type="dxa"/>
          <w:left w:w="0" w:type="dxa"/>
          <w:bottom w:w="0" w:type="dxa"/>
          <w:right w:w="0" w:type="dxa"/>
        </w:tblCellMar>
      </w:tblPr>
      <w:tblGrid>
        <w:gridCol w:w="980"/>
        <w:gridCol w:w="2285"/>
      </w:tblGrid>
      <w:tr>
        <w:trPr/>
        <w:tc>
          <w:tcPr>
            <w:tcW w:w="98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15, 2023, the Company issued a press release announcing the appointment of Mr. O’Toole as Chief Financial Officer, a copy of which is furnished herewith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Item 7.01 and Exhibit 99.1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522351dex991.htm">
              <w:r>
                <w:rPr>
                  <w:rStyle w:val="InternetLink"/>
                </w:rPr>
                <w:t xml:space="preserve">Press Release of AVITA Medical, Inc. dated June_15, 2023.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June 15, 2023 </w:t>
      </w:r>
    </w:p>
    <w:p>
      <w:pPr>
        <w:pStyle w:val="TextBody"/>
        <w:bidi w:val="0"/>
        <w:spacing w:before="0" w:after="0"/>
        <w:jc w:val="left"/>
        <w:rPr/>
      </w:pPr>
      <w:r>
        <w:rPr/>
        <w:t> </w:t>
      </w:r>
    </w:p>
    <w:tbl>
      <w:tblPr>
        <w:tblW w:w="2718" w:type="dxa"/>
        <w:jc w:val="left"/>
        <w:tblInd w:w="0" w:type="dxa"/>
        <w:tblLayout w:type="fixed"/>
        <w:tblCellMar>
          <w:top w:w="0" w:type="dxa"/>
          <w:left w:w="0" w:type="dxa"/>
          <w:bottom w:w="0" w:type="dxa"/>
          <w:right w:w="0" w:type="dxa"/>
        </w:tblCellMar>
      </w:tblPr>
      <w:tblGrid>
        <w:gridCol w:w="769"/>
        <w:gridCol w:w="69"/>
        <w:gridCol w:w="1880"/>
      </w:tblGrid>
      <w:tr>
        <w:trPr/>
        <w:tc>
          <w:tcPr>
            <w:tcW w:w="7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18" w:type="dxa"/>
            <w:gridSpan w:val="3"/>
            <w:tcBorders/>
            <w:vAlign w:val="center"/>
          </w:tcPr>
          <w:p>
            <w:pPr>
              <w:pStyle w:val="TableContents"/>
              <w:bidi w:val="0"/>
              <w:spacing w:before="0" w:after="283"/>
              <w:jc w:val="left"/>
              <w:rPr>
                <w:b/>
              </w:rPr>
            </w:pPr>
            <w:r>
              <w:rPr>
                <w:b/>
              </w:rPr>
              <w:t>AVITA MEDICAL, INC.</w:t>
            </w:r>
          </w:p>
        </w:tc>
      </w:tr>
      <w:tr>
        <w:trPr/>
        <w:tc>
          <w:tcPr>
            <w:tcW w:w="769" w:type="dxa"/>
            <w:tcBorders/>
            <w:vAlign w:val="center"/>
          </w:tcPr>
          <w:p>
            <w:pPr>
              <w:pStyle w:val="TableContents"/>
              <w:bidi w:val="0"/>
              <w:spacing w:before="0" w:after="283"/>
              <w:jc w:val="left"/>
              <w:rPr>
                <w:sz w:val="4"/>
                <w:szCs w:val="4"/>
              </w:rPr>
            </w:pPr>
            <w:r>
              <w:rPr>
                <w:sz w:val="4"/>
                <w:szCs w:val="4"/>
              </w:rPr>
            </w:r>
          </w:p>
        </w:tc>
        <w:tc>
          <w:tcPr>
            <w:tcW w:w="1949"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188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Donna Shiroma</w:t>
            </w:r>
          </w:p>
        </w:tc>
      </w:tr>
      <w:tr>
        <w:trPr/>
        <w:tc>
          <w:tcPr>
            <w:tcW w:w="769"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Donna Shiroma</w:t>
            </w:r>
          </w:p>
        </w:tc>
      </w:tr>
      <w:tr>
        <w:trPr/>
        <w:tc>
          <w:tcPr>
            <w:tcW w:w="769"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522351dex991.htm"/>
      <w:bookmarkStart w:id="3" w:name="ksd522351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0287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457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AVITA Medical Announces Appointment of David OToole as Chief Financial Officer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left"/>
        <w:rPr>
          <w:rFonts w:ascii="Times New Roman" w:hAnsi="Times New Roman"/>
          <w:sz w:val="20"/>
        </w:rPr>
      </w:pPr>
      <w:r>
        <w:rPr>
          <w:rFonts w:ascii="Times New Roman" w:hAnsi="Times New Roman"/>
          <w:b/>
          <w:sz w:val="20"/>
        </w:rPr>
        <w:t>VALENCIA, Calif., June</w:t>
      </w:r>
      <w:r>
        <w:rPr>
          <w:rFonts w:ascii="Times New Roman" w:hAnsi="Times New Roman"/>
          <w:sz w:val="20"/>
        </w:rPr>
        <w:t> </w:t>
      </w:r>
      <w:r>
        <w:rPr>
          <w:rFonts w:ascii="Times New Roman" w:hAnsi="Times New Roman"/>
          <w:b/>
          <w:sz w:val="20"/>
        </w:rPr>
        <w:t>15, 2023 and MELBOURNE, Australia, June</w:t>
      </w:r>
      <w:r>
        <w:rPr>
          <w:rFonts w:ascii="Times New Roman" w:hAnsi="Times New Roman"/>
          <w:sz w:val="20"/>
        </w:rPr>
        <w:t> </w:t>
      </w:r>
      <w:r>
        <w:rPr>
          <w:rFonts w:ascii="Times New Roman" w:hAnsi="Times New Roman"/>
          <w:b/>
          <w:sz w:val="20"/>
        </w:rPr>
        <w:t xml:space="preserve">16, 2023 (GLOBE NEWSWIRE) </w:t>
      </w:r>
      <w:r>
        <w:rPr>
          <w:rFonts w:ascii="Times New Roman" w:hAnsi="Times New Roman"/>
          <w:sz w:val="20"/>
        </w:rPr>
        <w:t xml:space="preserve"> AVITA Medical, Inc. (NASDAQ: RCEL, ASX: AVH), a regenerative medicine company leading the development and commercialization of first-in-class devices and autologous cellular therapies for skin restoration, today announced the appointment of David OToole as its new Chief Financial Officer, effective June 15, 2023. </w:t>
      </w:r>
    </w:p>
    <w:p>
      <w:pPr>
        <w:pStyle w:val="TextBody"/>
        <w:bidi w:val="0"/>
        <w:spacing w:before="240" w:after="0"/>
        <w:jc w:val="left"/>
        <w:rPr>
          <w:rFonts w:ascii="Times New Roman" w:hAnsi="Times New Roman"/>
          <w:sz w:val="20"/>
        </w:rPr>
      </w:pPr>
      <w:r>
        <w:rPr>
          <w:rFonts w:ascii="Times New Roman" w:hAnsi="Times New Roman"/>
          <w:sz w:val="20"/>
        </w:rPr>
        <w:t xml:space="preserve">OToole is an accomplished financial executive with more than 30 years of experience in global corporate finance, capital markets, and accounting across biotech and life sciences companies. He has a demonstrated track record of developing and executing successful growth strategies in a number of public companies. OToole will play a critical role in executing the companys strategic growth initiatives and in leading the financial organization. </w:t>
      </w:r>
    </w:p>
    <w:p>
      <w:pPr>
        <w:pStyle w:val="TextBody"/>
        <w:bidi w:val="0"/>
        <w:spacing w:before="240" w:after="0"/>
        <w:jc w:val="left"/>
        <w:rPr>
          <w:rFonts w:ascii="Times New Roman" w:hAnsi="Times New Roman"/>
          <w:sz w:val="20"/>
        </w:rPr>
      </w:pPr>
      <w:r>
        <w:rPr>
          <w:rFonts w:ascii="Times New Roman" w:hAnsi="Times New Roman"/>
          <w:sz w:val="20"/>
        </w:rPr>
        <w:t xml:space="preserve">We are thrilled to welcome David as the new CFO of AVITA Medical, said Jim Corbett, Chief Executive Officer of AVITA Medical. David brings significant capital markets experience that will strengthen our market presence and his extensive financial background within public companies will be instrumental as we commercialize the AVITA Medical platform. </w:t>
      </w:r>
    </w:p>
    <w:p>
      <w:pPr>
        <w:pStyle w:val="TextBody"/>
        <w:bidi w:val="0"/>
        <w:spacing w:before="240" w:after="0"/>
        <w:jc w:val="left"/>
        <w:rPr>
          <w:rFonts w:ascii="Times New Roman" w:hAnsi="Times New Roman"/>
          <w:sz w:val="20"/>
        </w:rPr>
      </w:pPr>
      <w:r>
        <w:rPr>
          <w:rFonts w:ascii="Times New Roman" w:hAnsi="Times New Roman"/>
          <w:sz w:val="20"/>
        </w:rPr>
        <w:t xml:space="preserve">OToole most recently served as CFO of Opiant Pharmaceuticals, a biopharmaceutical company developing treatments for addiction and drug overdose, which was acquired by Indivior PLC in March of 2023. Prior to that, he served as CFO of Soleno Therapeutics, a company focused on the development and commercialization of novel therapeutics for the treatment of rare diseases. Prior to Soleno, OToole held the role of CFO for three publicly traded life sciences companies where he built and led high-performance teams. Prior to his CFO experience, OToole spent 24 years in public accounting, including 16 years with Deloitte &amp; Touche. He holds a Bachelor of Science in accounting from the University of Arizona and is a Certified Public Accountant (non-active). </w:t>
      </w:r>
    </w:p>
    <w:p>
      <w:pPr>
        <w:pStyle w:val="TextBody"/>
        <w:bidi w:val="0"/>
        <w:spacing w:before="240" w:after="0"/>
        <w:jc w:val="left"/>
        <w:rPr>
          <w:rFonts w:ascii="Times New Roman" w:hAnsi="Times New Roman"/>
          <w:sz w:val="20"/>
        </w:rPr>
      </w:pPr>
      <w:r>
        <w:rPr>
          <w:rFonts w:ascii="Times New Roman" w:hAnsi="Times New Roman"/>
          <w:sz w:val="20"/>
        </w:rPr>
        <w:t xml:space="preserve">Authorized for release by the Chief Executive Officer of AVITA Medical, Inc. </w:t>
      </w:r>
    </w:p>
    <w:p>
      <w:pPr>
        <w:pStyle w:val="TextBody"/>
        <w:bidi w:val="0"/>
        <w:spacing w:before="360" w:after="0"/>
        <w:jc w:val="left"/>
        <w:rPr>
          <w:rFonts w:ascii="Times New Roman" w:hAnsi="Times New Roman"/>
          <w:b/>
          <w:sz w:val="20"/>
        </w:rPr>
      </w:pPr>
      <w:r>
        <w:rPr>
          <w:rFonts w:ascii="Times New Roman" w:hAnsi="Times New Roman"/>
          <w:b/>
          <w:sz w:val="20"/>
        </w:rPr>
        <w:t xml:space="preserve">ABOUT AVITA MEDICAL, INC. </w:t>
      </w:r>
    </w:p>
    <w:p>
      <w:pPr>
        <w:pStyle w:val="TextBody"/>
        <w:bidi w:val="0"/>
        <w:spacing w:before="120" w:after="0"/>
        <w:jc w:val="left"/>
        <w:rPr>
          <w:rFonts w:ascii="Times New Roman" w:hAnsi="Times New Roman"/>
          <w:sz w:val="20"/>
        </w:rPr>
      </w:pPr>
      <w:r>
        <w:rPr>
          <w:rFonts w:ascii="Times New Roman" w:hAnsi="Times New Roman"/>
          <w:sz w:val="20"/>
        </w:rPr>
        <w:t xml:space="preserve">AVITA Medical® is a regenerative medicine company leading the development and commercialization of devices and autologous cellular therapies for skin restoration. The RECELL® System technology platform, approved by the FDA for the treatment of thermal burn wounds and full-thickness skin defects, harnesses the regenerative properties of a patients own skin to create Spray-On Skin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repigmentation of stable vitiligo lesions.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and full-thickness skin defects after traumatic avulsion (e.g. degloving) or surgical excision (excision (e.g., necrotizing soft tissue infection) or resection (e.g., skin cancer), in patients 15 years of age and older. In February 2022, the FDA reviewed and approved the PMA supplement for RECELL Autologous Cell Harvesting Device, an enhanced RECELL System aimed at providing clinicians a more efficient user experience and simplified workflow. </w:t>
      </w:r>
    </w:p>
    <w:p>
      <w:pPr>
        <w:pStyle w:val="TextBody"/>
        <w:bidi w:val="0"/>
        <w:spacing w:before="240" w:after="0"/>
        <w:jc w:val="left"/>
        <w:rPr>
          <w:rFonts w:ascii="Times New Roman" w:hAnsi="Times New Roman"/>
          <w:sz w:val="20"/>
        </w:rPr>
      </w:pPr>
      <w:r>
        <w:rPr>
          <w:rFonts w:ascii="Times New Roman" w:hAnsi="Times New Roman"/>
          <w:sz w:val="20"/>
        </w:rPr>
        <w:t>The RECELL System is used to prepare Spray-On Skin Cells using a small amount of a patients own skin, providing a new way to treat severe wounds, while significantly reducing the amount of donor skin required. The RECELL System is designed to be used at the point of care alone or in combination with autografts depending on the depth of the burn injury or in combination with meshed autographs for full-thickness skin defects. Healthcare professionals should read the INSTRUCTIONS FOR USE - RECELL Autologous Cell Harvesting Device (</w:t>
      </w:r>
      <w:r>
        <w:rPr>
          <w:rFonts w:ascii="Times New Roman" w:hAnsi="Times New Roman"/>
          <w:sz w:val="20"/>
          <w:u w:val="single"/>
        </w:rPr>
        <w:t>https://recellsystem.com</w:t>
      </w:r>
      <w:r>
        <w:rPr>
          <w:rFonts w:ascii="Times New Roman" w:hAnsi="Times New Roman"/>
          <w:sz w:val="20"/>
        </w:rPr>
        <w:t xml:space="preserve">) for a full description of indications for use and important safety information including contraindications, warnings, and precautions. </w:t>
      </w:r>
    </w:p>
    <w:p>
      <w:pPr>
        <w:pStyle w:val="TextBody"/>
        <w:bidi w:val="0"/>
        <w:spacing w:before="240" w:after="0"/>
        <w:jc w:val="left"/>
        <w:rPr>
          <w:rFonts w:ascii="Times New Roman" w:hAnsi="Times New Roman"/>
          <w:sz w:val="20"/>
        </w:rPr>
      </w:pPr>
      <w:r>
        <w:rPr>
          <w:rFonts w:ascii="Times New Roman" w:hAnsi="Times New Roman"/>
          <w:sz w:val="20"/>
        </w:rPr>
        <w:t xml:space="preserve">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 </w:t>
      </w:r>
    </w:p>
    <w:p>
      <w:pPr>
        <w:pStyle w:val="TextBody"/>
        <w:bidi w:val="0"/>
        <w:spacing w:before="240" w:after="0"/>
        <w:jc w:val="left"/>
        <w:rPr>
          <w:rFonts w:ascii="Times New Roman" w:hAnsi="Times New Roman"/>
          <w:sz w:val="20"/>
        </w:rPr>
      </w:pPr>
      <w:r>
        <w:rPr>
          <w:rFonts w:ascii="Times New Roman" w:hAnsi="Times New Roman"/>
          <w:sz w:val="20"/>
        </w:rPr>
        <w:t xml:space="preserve">To learn more, visit </w:t>
      </w:r>
      <w:r>
        <w:rPr>
          <w:rFonts w:ascii="Times New Roman" w:hAnsi="Times New Roman"/>
          <w:sz w:val="20"/>
          <w:u w:val="single"/>
        </w:rPr>
        <w:t>www.avitamedical.com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statements.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FURTHER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Investors &amp; Media</w:t>
            </w:r>
          </w:p>
          <w:p>
            <w:pPr>
              <w:pStyle w:val="TableContents"/>
              <w:bidi w:val="0"/>
              <w:spacing w:before="0" w:after="0"/>
              <w:jc w:val="left"/>
              <w:rPr>
                <w:rFonts w:ascii="Times New Roman" w:hAnsi="Times New Roman"/>
                <w:b/>
                <w:sz w:val="20"/>
              </w:rPr>
            </w:pPr>
            <w:r>
              <w:rPr>
                <w:rFonts w:ascii="Times New Roman" w:hAnsi="Times New Roman"/>
                <w:b/>
                <w:sz w:val="20"/>
              </w:rPr>
              <w:t>AVITA Medical, Inc.</w:t>
            </w:r>
          </w:p>
          <w:p>
            <w:pPr>
              <w:pStyle w:val="TableContents"/>
              <w:bidi w:val="0"/>
              <w:spacing w:before="0" w:after="0"/>
              <w:jc w:val="left"/>
              <w:rPr>
                <w:rFonts w:ascii="Times New Roman" w:hAnsi="Times New Roman"/>
                <w:sz w:val="20"/>
              </w:rPr>
            </w:pPr>
            <w:r>
              <w:rPr>
                <w:rFonts w:ascii="Times New Roman" w:hAnsi="Times New Roman"/>
                <w:sz w:val="20"/>
              </w:rPr>
              <w:t>Jessica Ekeberg</w:t>
            </w:r>
          </w:p>
          <w:p>
            <w:pPr>
              <w:pStyle w:val="TableContents"/>
              <w:bidi w:val="0"/>
              <w:spacing w:before="0" w:after="0"/>
              <w:jc w:val="left"/>
              <w:rPr>
                <w:rFonts w:ascii="Times New Roman" w:hAnsi="Times New Roman"/>
                <w:sz w:val="20"/>
              </w:rPr>
            </w:pPr>
            <w:r>
              <w:rPr>
                <w:rFonts w:ascii="Times New Roman" w:hAnsi="Times New Roman"/>
                <w:sz w:val="20"/>
              </w:rPr>
              <w:t>Phone +1-661-904-9269</w:t>
            </w:r>
          </w:p>
          <w:p>
            <w:pPr>
              <w:pStyle w:val="TableContents"/>
              <w:bidi w:val="0"/>
              <w:spacing w:before="0" w:after="0"/>
              <w:jc w:val="left"/>
              <w:rPr>
                <w:rFonts w:ascii="Times New Roman" w:hAnsi="Times New Roman"/>
                <w:sz w:val="20"/>
                <w:u w:val="single"/>
              </w:rPr>
            </w:pPr>
            <w:r>
              <w:rPr>
                <w:rFonts w:ascii="Times New Roman" w:hAnsi="Times New Roman"/>
                <w:sz w:val="20"/>
                <w:u w:val="single"/>
              </w:rPr>
              <w:t>investor@avitamedical.com</w:t>
            </w:r>
          </w:p>
          <w:p>
            <w:pPr>
              <w:pStyle w:val="TableContents"/>
              <w:bidi w:val="0"/>
              <w:spacing w:before="0" w:after="20"/>
              <w:jc w:val="left"/>
              <w:rPr>
                <w:rFonts w:ascii="Times New Roman" w:hAnsi="Times New Roman"/>
                <w:sz w:val="20"/>
                <w:u w:val="single"/>
              </w:rPr>
            </w:pPr>
            <w:r>
              <w:rPr>
                <w:rFonts w:ascii="Times New Roman" w:hAnsi="Times New Roman"/>
                <w:sz w:val="20"/>
                <w:u w:val="single"/>
              </w:rPr>
              <w:t>media@avitamedical.com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2383</Words>
  <Characters>12956</Characters>
  <CharactersWithSpaces>15261</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