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333-271276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the Prospectus dated April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397000" cy="1671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1671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Warrants to Purchase an Aggregate of 145,180 Shares of Common Stock</w:t>
      </w:r>
    </w:p>
    <w:p>
      <w:pPr>
        <w:spacing w:after="0" w:line="233"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warrants to purchase an aggregate of 145,180 shares of common stock with an exercise price of $0.01 per share (the “Warrants”) directly to two investors in consideration of entering into the Fourth Amendment to the Company’s Credit Agreement with the investors and certain of their affiliates and certain services performed in connection therewith. The Warrants are exercisable immediately as of the date of issuance and expire ten years from the date of issuance. The Warrants will not be listed on any securities exchange. We will not receive any proceeds from the issuance of the Warrants, but may receive nominal proceeds upon exercise of the Warrants to the extent the Warrants are exercised for cash. We are not paying any commissions or fees with respect to the Warrants or the underlying shares of common stock (the “Warrant Shares”).</w:t>
      </w:r>
    </w:p>
    <w:p>
      <w:pPr>
        <w:spacing w:after="0" w:line="189"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Stock Market LLC under the symbol “RCEL.” Our CHESS Depositary Interests (“CDIs”) are listed on the Australian Securities Exchange (“ASX”) under the symbol “AVH” with five CDIs being equivalent to one share of our common stock. On February 12, 2025, the last reported sale price for our common stock on Nasdaq was $8.61 per share and the last reported sale price of our CDIs on the ASX was AU$2.78 per CDI.</w:t>
      </w:r>
    </w:p>
    <w:p>
      <w:pPr>
        <w:spacing w:after="0" w:line="180"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defined in the Jumpstart Our Business Startups Act of 2012 and, as such, are subject to certain reduced public company reporting requirements. See “The Company—Implications of Being an Emerging Growth Company” in the accompanying prospectus.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Warrants is expected to be made on or about February 14, 2025.</w:t>
      </w:r>
    </w:p>
    <w:p>
      <w:pPr>
        <w:spacing w:after="0" w:line="221"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an investment in our securities involve significant risks. Please read carefully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S-8 of this prospectus supplement and in the documents incorporated by reference into this prospectus supplement.</w:t>
      </w:r>
    </w:p>
    <w:p>
      <w:pPr>
        <w:spacing w:after="0" w:line="155" w:lineRule="exact"/>
        <w:rPr>
          <w:sz w:val="24"/>
          <w:szCs w:val="24"/>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 SUPPLEMENT</w:t>
            </w:r>
          </w:p>
        </w:tc>
        <w:tc>
          <w:tcPr>
            <w:tcW w:w="6440" w:type="dxa"/>
            <w:vAlign w:val="bottom"/>
            <w:gridSpan w:val="5"/>
            <w:vMerge w:val="restart"/>
          </w:tcPr>
          <w:p>
            <w:pPr>
              <w:spacing w:after="0"/>
              <w:rPr>
                <w:sz w:val="15"/>
                <w:szCs w:val="15"/>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FF"/>
            </w:tcBorders>
            <w:gridSpan w:val="8"/>
            <w:vMerge w:val="continue"/>
          </w:tcPr>
          <w:p>
            <w:pPr>
              <w:spacing w:after="0"/>
              <w:rPr>
                <w:sz w:val="14"/>
                <w:szCs w:val="14"/>
                <w:color w:val="auto"/>
              </w:rPr>
            </w:pPr>
          </w:p>
        </w:tc>
        <w:tc>
          <w:tcPr>
            <w:tcW w:w="6440" w:type="dxa"/>
            <w:vAlign w:val="bottom"/>
            <w:gridSpan w:val="5"/>
            <w:vMerge w:val="continue"/>
          </w:tcPr>
          <w:p>
            <w:pPr>
              <w:spacing w:after="0"/>
              <w:rPr>
                <w:sz w:val="14"/>
                <w:szCs w:val="14"/>
                <w:color w:val="auto"/>
              </w:rPr>
            </w:pPr>
          </w:p>
        </w:tc>
        <w:tc>
          <w:tcPr>
            <w:tcW w:w="124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4480" w:type="dxa"/>
            <w:vAlign w:val="bottom"/>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98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PROSPECTUS SUPPLEMENT SUMMARY</w:t>
            </w: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580" w:type="dxa"/>
            <w:vAlign w:val="bottom"/>
            <w:gridSpan w:val="6"/>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8280" w:type="dxa"/>
            <w:vAlign w:val="bottom"/>
            <w:gridSpan w:val="8"/>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8300" w:type="dxa"/>
            <w:vAlign w:val="bottom"/>
            <w:gridSpan w:val="9"/>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TO BE REGISTERED</w:t>
            </w:r>
          </w:p>
        </w:tc>
        <w:tc>
          <w:tcPr>
            <w:tcW w:w="5660" w:type="dxa"/>
            <w:vAlign w:val="bottom"/>
            <w:gridSpan w:val="3"/>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7820" w:type="dxa"/>
            <w:vAlign w:val="bottom"/>
            <w:gridSpan w:val="7"/>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8400" w:type="dxa"/>
            <w:vAlign w:val="bottom"/>
            <w:gridSpan w:val="10"/>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98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040" w:type="dxa"/>
            <w:vAlign w:val="bottom"/>
            <w:gridSpan w:val="4"/>
          </w:tcPr>
          <w:p>
            <w:pPr>
              <w:spacing w:after="0"/>
              <w:rPr>
                <w:sz w:val="17"/>
                <w:szCs w:val="17"/>
                <w:color w:val="auto"/>
              </w:rPr>
            </w:pP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98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981" w:right="4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April 25, 2023, including the documents incorporated by reference therein and included as part of our registration statement on Form S-3 (333-271276),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relating to this offering. We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of Certain Information by Reference” in this prospectus supplement.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to “AVITA,” “we,” “our,” “us” and “the Company” refer, collectively, to AVITA Medical, Inc., a Delaware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herein and therein, contain forward-looking statements within the meaning of Section 27A of the Securities Act and Section 21E of the Exchange Act. The words “anticipate,” “believe,” “ensure,” “expect,” “if,” “intend,” “estimate,” “probable,” “project,” “forecasts,” “predict,” “outlook,” “aim,” “will,” “could,” “should,” “would,” “may,” “likely” and similar expressions, and the negative thereof, are intended to identify forward-looking statements. These forward-looking statements include, but are not limited to, statements about:</w:t>
      </w:r>
    </w:p>
    <w:p>
      <w:pPr>
        <w:spacing w:after="0" w:line="75"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expectations regarding future revenue, or future growth in revenue, profit, or gross and/or operating margins;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conditions;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production capacity;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our intellectual property rights, including our expectations regarding the future scope of such rights;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regulatory approvals and comply with applicable regulations;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or outcome of pre-clinical or clinical (human) studies;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management restructuring activities;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maintain partnerships relating to collaborations, strategic arrangements, and licensing arrangements;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(and related integration activities);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fail to uphold their contractual duties or meet expected deadlines;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 party payors;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growth or product initiatives;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and marketing organizations to address existing and new markets that we intend to target;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 of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scale our manufacturing operations to meet the demand for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including management;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90"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debt covenants, which may result in the acceleration of our debt obligations or the need for renegotiations with our lenders, tax and interest rates;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on the U.S. and global economies, respectively;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cybersecurity breach, terrorist attack or other geopolitical instability, pandemic or epidemic, or natural disaster; and</w:t>
      </w:r>
    </w:p>
    <w:p>
      <w:pPr>
        <w:spacing w:after="0" w:line="10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working capital, costs, productivity, business process, rationalization, investment (including rates), consulting, operational, financial, and capital projects and/or initiatives.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522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522970"/>
                    </a:xfrm>
                    <a:prstGeom prst="rect">
                      <a:avLst/>
                    </a:prstGeom>
                    <a:noFill/>
                  </pic:spPr>
                </pic:pic>
              </a:graphicData>
            </a:graphic>
          </wp:anchor>
        </w:drawing>
        <w:t>PROSPECTUS SUPPLEMENT SUMMARY</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2024, as well as our consolidated financial statements and the related notes and the other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AVITA Medical, Inc.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a leading therapeutic acute wound care company delivering transformative solutions. Our technologies are designed to optimize skin restoration procedures, effectively accelerating patient healing and recovery. Our solutions improve the healing outcomes for patients with traumatic injuries and surgical repairs, addressing critical healing needs that arise from unpredictable and life-changing events. At the forefront of our portfolio is our patented and proprietary RECELL® System (</w:t>
      </w:r>
      <w:r>
        <w:rPr>
          <w:rFonts w:ascii="Times New Roman" w:cs="Times New Roman" w:eastAsia="Times New Roman" w:hAnsi="Times New Roman"/>
          <w:sz w:val="18"/>
          <w:szCs w:val="18"/>
          <w:b w:val="1"/>
          <w:bCs w:val="1"/>
          <w:color w:val="auto"/>
        </w:rPr>
        <w:t>“RECELL System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8"/>
          <w:szCs w:val="18"/>
          <w:color w:val="auto"/>
        </w:rPr>
        <w:t>”), approved by the U.S. Food &amp;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for the treatment of thermal burn wounds and full-thickness skin defects. RECELL harnesses a patient’s own skin to create an autologous skin cell suspension, Spray-On Skin™Cells, delivering a transformative solution at the point of care. This breakthrough technology serves as the catalyst for a new treatment paradigm enabling improved clinical outcomes. In the United States, we also hold the rights to market, sell, and distribute PermeaDerm®, a biosynthetic wound matrix, under the terms of an exclusive multi-year distribution agreement (the “</w:t>
      </w:r>
      <w:r>
        <w:rPr>
          <w:rFonts w:ascii="Times New Roman" w:cs="Times New Roman" w:eastAsia="Times New Roman" w:hAnsi="Times New Roman"/>
          <w:sz w:val="18"/>
          <w:szCs w:val="18"/>
          <w:b w:val="1"/>
          <w:bCs w:val="1"/>
          <w:color w:val="auto"/>
        </w:rPr>
        <w:t>Stedical Agreement</w:t>
      </w:r>
      <w:r>
        <w:rPr>
          <w:rFonts w:ascii="Times New Roman" w:cs="Times New Roman" w:eastAsia="Times New Roman" w:hAnsi="Times New Roman"/>
          <w:sz w:val="18"/>
          <w:szCs w:val="18"/>
          <w:color w:val="auto"/>
        </w:rPr>
        <w:t>”) with Stedical Scientific, Inc. (“</w:t>
      </w:r>
      <w:r>
        <w:rPr>
          <w:rFonts w:ascii="Times New Roman" w:cs="Times New Roman" w:eastAsia="Times New Roman" w:hAnsi="Times New Roman"/>
          <w:sz w:val="18"/>
          <w:szCs w:val="18"/>
          <w:b w:val="1"/>
          <w:bCs w:val="1"/>
          <w:color w:val="auto"/>
        </w:rPr>
        <w:t>Stedical</w:t>
      </w:r>
      <w:r>
        <w:rPr>
          <w:rFonts w:ascii="Times New Roman" w:cs="Times New Roman" w:eastAsia="Times New Roman" w:hAnsi="Times New Roman"/>
          <w:sz w:val="18"/>
          <w:szCs w:val="18"/>
          <w:color w:val="auto"/>
        </w:rPr>
        <w:t>”). We also entered into an exclusive multi-year development and distribution agreement with Collagen Matrix, Inc. dba Regenity Biosciences (“</w:t>
      </w:r>
      <w:r>
        <w:rPr>
          <w:rFonts w:ascii="Times New Roman" w:cs="Times New Roman" w:eastAsia="Times New Roman" w:hAnsi="Times New Roman"/>
          <w:sz w:val="18"/>
          <w:szCs w:val="18"/>
          <w:b w:val="1"/>
          <w:bCs w:val="1"/>
          <w:color w:val="auto"/>
        </w:rPr>
        <w:t>Regenity</w:t>
      </w:r>
      <w:r>
        <w:rPr>
          <w:rFonts w:ascii="Times New Roman" w:cs="Times New Roman" w:eastAsia="Times New Roman" w:hAnsi="Times New Roman"/>
          <w:sz w:val="18"/>
          <w:szCs w:val="18"/>
          <w:color w:val="auto"/>
        </w:rPr>
        <w:t>”). Regenity will manufacture and supply Cohealyx™, an AVITA Medical-branded, FDA-cleared, collagen-based dermal matrix. Under the agreement, we will hold the exclusive rights to market, sell, and distribute Cohealyx in the U.S., with potential expansion into the European Union, Australia, and Japan.</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single-use RECELL Autologous Cell Harvesting Device (“</w:t>
      </w:r>
      <w:r>
        <w:rPr>
          <w:rFonts w:ascii="Times New Roman" w:cs="Times New Roman" w:eastAsia="Times New Roman" w:hAnsi="Times New Roman"/>
          <w:sz w:val="18"/>
          <w:szCs w:val="18"/>
          <w:b w:val="1"/>
          <w:bCs w:val="1"/>
          <w:color w:val="auto"/>
        </w:rPr>
        <w:t>RECELL Ease-of-Use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 EOU</w:t>
      </w:r>
      <w:r>
        <w:rPr>
          <w:rFonts w:ascii="Times New Roman" w:cs="Times New Roman" w:eastAsia="Times New Roman" w:hAnsi="Times New Roman"/>
          <w:sz w:val="18"/>
          <w:szCs w:val="18"/>
          <w:color w:val="auto"/>
        </w:rPr>
        <w:t>”) is approved by the FDA for the treatment of thermal burn wounds and full-thickness skin defects. Our next-generation device, RECELL GO™ Autologous Cell Harvesting Device (“</w:t>
      </w:r>
      <w:r>
        <w:rPr>
          <w:rFonts w:ascii="Times New Roman" w:cs="Times New Roman" w:eastAsia="Times New Roman" w:hAnsi="Times New Roman"/>
          <w:sz w:val="18"/>
          <w:szCs w:val="18"/>
          <w:b w:val="1"/>
          <w:bCs w:val="1"/>
          <w:color w:val="auto"/>
        </w:rPr>
        <w:t>RECELL GO</w:t>
      </w:r>
      <w:r>
        <w:rPr>
          <w:rFonts w:ascii="Times New Roman" w:cs="Times New Roman" w:eastAsia="Times New Roman" w:hAnsi="Times New Roman"/>
          <w:sz w:val="18"/>
          <w:szCs w:val="18"/>
          <w:color w:val="auto"/>
        </w:rPr>
        <w:t>”), is FDA-approved to treat thermal burn wounds and full-thickness skin defects. RECELL GO introduces enhanced features that streamline the preparation of Spray-On Skin Cells and improves workflow efficiency in the operating room. It consists of two components: the RECELL GO Processing Device (the “</w:t>
      </w:r>
      <w:r>
        <w:rPr>
          <w:rFonts w:ascii="Times New Roman" w:cs="Times New Roman" w:eastAsia="Times New Roman" w:hAnsi="Times New Roman"/>
          <w:sz w:val="18"/>
          <w:szCs w:val="18"/>
          <w:b w:val="1"/>
          <w:bCs w:val="1"/>
          <w:color w:val="auto"/>
        </w:rPr>
        <w:t>RPD</w:t>
      </w:r>
      <w:r>
        <w:rPr>
          <w:rFonts w:ascii="Times New Roman" w:cs="Times New Roman" w:eastAsia="Times New Roman" w:hAnsi="Times New Roman"/>
          <w:sz w:val="18"/>
          <w:szCs w:val="18"/>
          <w:color w:val="auto"/>
        </w:rPr>
        <w:t>”) and the RECELL GO Preparation Kit (the “</w:t>
      </w:r>
      <w:r>
        <w:rPr>
          <w:rFonts w:ascii="Times New Roman" w:cs="Times New Roman" w:eastAsia="Times New Roman" w:hAnsi="Times New Roman"/>
          <w:sz w:val="18"/>
          <w:szCs w:val="18"/>
          <w:b w:val="1"/>
          <w:bCs w:val="1"/>
          <w:color w:val="auto"/>
        </w:rPr>
        <w:t>RPK</w:t>
      </w:r>
      <w:r>
        <w:rPr>
          <w:rFonts w:ascii="Times New Roman" w:cs="Times New Roman" w:eastAsia="Times New Roman" w:hAnsi="Times New Roman"/>
          <w:sz w:val="18"/>
          <w:szCs w:val="18"/>
          <w:color w:val="auto"/>
        </w:rPr>
        <w:t>”). The RPD is a multi-use, AC-powered device that controls the RPK. The RPK is a single-use cartridge that contains the RECELL Enzyme™. The RPD regulates the pressure applied to disaggregate the cells and precisely controls the incubation time of the RECELL Enzyme to optimize cell yield and promote cell viability.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10, 2024, we entered into an exclusive multi-year distribution agreement with Stedical to commercialize PermeaDerm® Biosynthetic Wound Matrix (“</w:t>
      </w:r>
      <w:r>
        <w:rPr>
          <w:rFonts w:ascii="Times New Roman" w:cs="Times New Roman" w:eastAsia="Times New Roman" w:hAnsi="Times New Roman"/>
          <w:sz w:val="18"/>
          <w:szCs w:val="18"/>
          <w:b w:val="1"/>
          <w:bCs w:val="1"/>
          <w:color w:val="auto"/>
        </w:rPr>
        <w:t>PermeaDerm</w:t>
      </w:r>
      <w:r>
        <w:rPr>
          <w:rFonts w:ascii="Times New Roman" w:cs="Times New Roman" w:eastAsia="Times New Roman" w:hAnsi="Times New Roman"/>
          <w:sz w:val="18"/>
          <w:szCs w:val="18"/>
          <w:color w:val="auto"/>
        </w:rPr>
        <w:t>”) in the United States. PermeaDerm is cleared by the FDA as a transparent matrix for use in the treatment of a variety of wound types until healing is achieved. Under the terms of the Stedical Agreement, we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16, 2024, we amended our contract with the Biomedical Advanced Research and Development Authority (“</w:t>
      </w:r>
      <w:r>
        <w:rPr>
          <w:rFonts w:ascii="Times New Roman" w:cs="Times New Roman" w:eastAsia="Times New Roman" w:hAnsi="Times New Roman"/>
          <w:sz w:val="18"/>
          <w:szCs w:val="18"/>
          <w:b w:val="1"/>
          <w:bCs w:val="1"/>
          <w:color w:val="auto"/>
        </w:rPr>
        <w:t>BARDA</w:t>
      </w:r>
      <w:r>
        <w:rPr>
          <w:rFonts w:ascii="Times New Roman" w:cs="Times New Roman" w:eastAsia="Times New Roman" w:hAnsi="Times New Roman"/>
          <w:sz w:val="18"/>
          <w:szCs w:val="18"/>
          <w:color w:val="auto"/>
        </w:rPr>
        <w:t>”), under the Assistant Secretary for Preparedness and Response, within the U.S. Department of Health and Human Services, dated September 29, 2015, to extend the term through September 28, 2025. Under the modified contract, BARDA will have access to our RECELL inventory in the event of a national emergency. In the case of a national emergency, BARDA will pay for RECELL devices at a reduced price for the first 1,000 units and will then pay retail price for any additional units. No additional inventory build will be required as part of this modification as we have sufficient inventory in stock to fulfill this requirement. BARDA will pay us approximately $333,000 in maintenance fees over the term of the contract to ensure its first right of access to our RECELL inventory.</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On May 29, 2024, the FDA approved our premarket approval (“</w:t>
      </w:r>
      <w:r>
        <w:rPr>
          <w:rFonts w:ascii="Times New Roman" w:cs="Times New Roman" w:eastAsia="Times New Roman" w:hAnsi="Times New Roman"/>
          <w:sz w:val="18"/>
          <w:szCs w:val="18"/>
          <w:b w:val="1"/>
          <w:bCs w:val="1"/>
          <w:color w:val="auto"/>
        </w:rPr>
        <w:t>PMA</w:t>
      </w:r>
      <w:r>
        <w:rPr>
          <w:rFonts w:ascii="Times New Roman" w:cs="Times New Roman" w:eastAsia="Times New Roman" w:hAnsi="Times New Roman"/>
          <w:sz w:val="18"/>
          <w:szCs w:val="18"/>
          <w:color w:val="auto"/>
        </w:rPr>
        <w:t>”) supplement for RECELL GO, our next generation autologous cell harvesting device, to treat thermal burn wounds and full-thickness skin defects. Following this approval, we shipped the first RECELL GO order on May 30, 2024, to accommodate the first case for its use on May 31, 2024.</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June 28, 2024, we submitted a PMA supplement for RECELL GO mini, which is designed to address small wounds up to 480 cm2. This version retains the same multi-use processing units as RECELL GO but features a smaller cartridge designed for the smaller</w:t>
      </w: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481965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995" w:right="479" w:bottom="1440" w:gutter="0" w:footer="0" w:header="0"/>
        </w:sectPr>
      </w:pPr>
    </w:p>
    <w:bookmarkStart w:id="5" w:name="page6"/>
    <w:bookmarkEnd w:id="5"/>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77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779770"/>
                    </a:xfrm>
                    <a:prstGeom prst="rect">
                      <a:avLst/>
                    </a:prstGeom>
                    <a:noFill/>
                  </pic:spPr>
                </pic:pic>
              </a:graphicData>
            </a:graphic>
          </wp:anchor>
        </w:drawing>
        <w:t>donor skin samples needed for smaller wounds. This submission maintains the FDA Breakthrough Device designation from predecessor devices, providing a prioritized 180-day review period.</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July 31, 2024, we entered into an exclusive multi-year development and distribution agreement with Regenity to market, sell, and distribute Cohealyx, an AVITA-Medical branded collagen-based dermal matrix in the U.S., with the potential to commercialize the product in the European Union, Japan, and Australia.</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November 12, 2024, we entered into a partnership with Revolution Surgical Pty Ltd, to market and distribute the RECELL System in Australia and New Zealand.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19, 2024, the FDA granted 510(k) clearance for Cohealyx. We plan to develop clinical data for Cohealyx in early 2025 to build on preclinical success and support the product’s full commercial launch. The post-market clinical study will assess Cohealyx’s performance in real-world settings, focusing on clinical efficacy and cost savings in the treatment of full-thickness wounds and burns. In the U.S., we expect to launch full commercialization efforts in the beginning of the second quarter of 2025.</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December 23, 2024, the FDA approved RECELL GO mini. We expect RECELL GO mini to serve as a growth driver within the broader RECELL GO platform, further advancing our strategy to expand our impact on patient care. Launch will begin with trauma and burn centers that currently treat smaller wounds during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connection with the issuance of the Warrants, the Company is entering into the Fourth Amendment (the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to the Credit Agreement (as amended from time to time, including by the Fourth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the Company, as borrower, and ORCO IV LLC and ORBIMED ROYALTY &amp; CREDIT OPPORTUNITIES IV OFFSHORE, LP, as Lenders, and ORCO IV LLC, as administrative agent for the Lenders, each an affiliate of OrbiMed Advisors, LLC (“</w:t>
      </w:r>
      <w:r>
        <w:rPr>
          <w:rFonts w:ascii="Times New Roman" w:cs="Times New Roman" w:eastAsia="Times New Roman" w:hAnsi="Times New Roman"/>
          <w:sz w:val="18"/>
          <w:szCs w:val="18"/>
          <w:b w:val="1"/>
          <w:bCs w:val="1"/>
          <w:color w:val="auto"/>
        </w:rPr>
        <w:t>OrbiMed</w:t>
      </w:r>
      <w:r>
        <w:rPr>
          <w:rFonts w:ascii="Times New Roman" w:cs="Times New Roman" w:eastAsia="Times New Roman" w:hAnsi="Times New Roman"/>
          <w:sz w:val="18"/>
          <w:szCs w:val="18"/>
          <w:color w:val="auto"/>
        </w:rPr>
        <w:t>”). The Fourth Amendment amends the Credit Agreement to reduce certain revenue covenants (i.e., revenue thresholds in respect of amortization requirements) of the Company for certain fiscal quarters in 2025 and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999" w:right="4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574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574030"/>
                    </a:xfrm>
                    <a:prstGeom prst="rect">
                      <a:avLst/>
                    </a:prstGeom>
                    <a:noFill/>
                  </pic:spPr>
                </pic:pic>
              </a:graphicData>
            </a:graphic>
          </wp:anchor>
        </w:drawing>
        <w:t>The Offering</w:t>
      </w:r>
    </w:p>
    <w:p>
      <w:pPr>
        <w:spacing w:after="0" w:line="227" w:lineRule="exact"/>
        <w:rPr>
          <w:sz w:val="20"/>
          <w:szCs w:val="20"/>
          <w:color w:val="auto"/>
        </w:rPr>
      </w:pPr>
    </w:p>
    <w:p>
      <w:pPr>
        <w:ind w:left="140" w:right="3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prospectus. For a more complete description of the terms of the warrants and the underlying common stock, see “Description of Common Stock We May Offer” in the accompanying prospectus and "Description of Securities to be Registered"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to purchase an aggregate of 145,180 shares of common stock are being issued in this offering (the</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The Warrants may be exercised at any time on or after the date of issuance until the tenth</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anniversary of the issuance of the Warrants. The Warrants shall have a per share exercise price of $0.01. There</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no established public trading market for the Warrants, and we do not expect a market to develop. In</w:t>
            </w:r>
          </w:p>
        </w:tc>
      </w:tr>
      <w:tr>
        <w:trPr>
          <w:trHeight w:val="234"/>
        </w:trPr>
        <w:tc>
          <w:tcPr>
            <w:tcW w:w="302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 we do not intend to apply to list the Warrants on any securities exchange.</w:t>
            </w:r>
          </w:p>
        </w:tc>
      </w:tr>
      <w:tr>
        <w:trPr>
          <w:trHeight w:val="41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will only receive nominal proceeds from the issuance of the Warrants if and when the holders of the</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exercise the Warrants and if the Warrants are exercised for cash. To the extent that any portion of</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Warrant is exercised on a “cashless basis,” the amount of cash we would receive from the exercise of the</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will decrease, or we may not receive any cash proceeds at all. We do not expect to rely on the cash</w:t>
            </w:r>
          </w:p>
        </w:tc>
      </w:tr>
      <w:tr>
        <w:trPr>
          <w:trHeight w:val="234"/>
        </w:trPr>
        <w:tc>
          <w:tcPr>
            <w:tcW w:w="302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the Warrants to fund our operations.</w:t>
            </w:r>
          </w:p>
        </w:tc>
      </w:tr>
      <w:tr>
        <w:trPr>
          <w:trHeight w:val="41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 in our securities involves certain risks. See “Risk Factors” beginning on page S-8 of this prospectus</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 and the risk factors set forth in our Annual Report on Form 10-K for the year ended December 31,</w:t>
            </w:r>
          </w:p>
        </w:tc>
      </w:tr>
      <w:tr>
        <w:trPr>
          <w:trHeight w:val="216"/>
        </w:trPr>
        <w:tc>
          <w:tcPr>
            <w:tcW w:w="302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 and any subsequently filed Quarterly Reports on Form 10-Q, which are incorporated by reference into</w:t>
            </w:r>
          </w:p>
        </w:tc>
      </w:tr>
      <w:tr>
        <w:trPr>
          <w:trHeight w:val="234"/>
        </w:trPr>
        <w:tc>
          <w:tcPr>
            <w:tcW w:w="302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41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“RCEL”</w:t>
            </w:r>
          </w:p>
        </w:tc>
      </w:tr>
      <w:tr>
        <w:trPr>
          <w:trHeight w:val="238"/>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Trading Symbol for Common Stock</w:t>
            </w:r>
          </w:p>
        </w:tc>
        <w:tc>
          <w:tcPr>
            <w:tcW w:w="8220" w:type="dxa"/>
            <w:vAlign w:val="bottom"/>
          </w:tcPr>
          <w:p>
            <w:pPr>
              <w:spacing w:after="0"/>
              <w:rPr>
                <w:sz w:val="20"/>
                <w:szCs w:val="20"/>
                <w:color w:val="auto"/>
              </w:rPr>
            </w:pPr>
          </w:p>
        </w:tc>
      </w:tr>
      <w:tr>
        <w:trPr>
          <w:trHeight w:val="41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Australian Securities Exchange</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“AVH”</w:t>
            </w:r>
          </w:p>
        </w:tc>
      </w:tr>
      <w:tr>
        <w:trPr>
          <w:trHeight w:val="238"/>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Trading Symbol for CDIs</w:t>
            </w:r>
          </w:p>
        </w:tc>
        <w:tc>
          <w:tcPr>
            <w:tcW w:w="8220" w:type="dxa"/>
            <w:vAlign w:val="bottom"/>
          </w:tcPr>
          <w:p>
            <w:pPr>
              <w:spacing w:after="0"/>
              <w:rPr>
                <w:sz w:val="20"/>
                <w:szCs w:val="20"/>
                <w:color w:val="auto"/>
              </w:rPr>
            </w:pPr>
          </w:p>
        </w:tc>
      </w:tr>
      <w:tr>
        <w:trPr>
          <w:trHeight w:val="945"/>
        </w:trPr>
        <w:tc>
          <w:tcPr>
            <w:tcW w:w="3020" w:type="dxa"/>
            <w:vAlign w:val="bottom"/>
          </w:tcPr>
          <w:p>
            <w:pPr>
              <w:spacing w:after="0"/>
              <w:rPr>
                <w:sz w:val="24"/>
                <w:szCs w:val="24"/>
                <w:color w:val="auto"/>
              </w:rPr>
            </w:pPr>
          </w:p>
        </w:tc>
        <w:tc>
          <w:tcPr>
            <w:tcW w:w="82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S-7</w:t>
            </w:r>
          </w:p>
        </w:tc>
      </w:tr>
      <w:tr>
        <w:trPr>
          <w:trHeight w:val="776"/>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risk factors, as well as the risk factors set forth in our Annual Report on Form 10-K for the year ended December 31, 2024, as updated by our subsequent filings under the Securities Exchange Act of 1934, as amended, which are incorporated by reference into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are subject to a number of restrictive covenants relating to our indebtedness, which may restrict our business and financing activities.</w:t>
      </w:r>
    </w:p>
    <w:p>
      <w:pPr>
        <w:spacing w:after="0" w:line="15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Pursuant to the Credit Agreement, we incurred $40.0 million of indebtedness secured by substantially all of our assets.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interest depends on our future performance, which is subject to interest rate risk, as well as economic, financial, competitive, and other factors beyond our control. We are exposed to risks related to a potential rising interest rate environment for the debt, which could cause our borrowing costs to rise and impact our liquidity. Our business may not generate cash flow from operations in the future sufficient to service our debt in cash while simultaneously making necessary capital expenditures. In addition, if the Company’s net revenue does not equal or exceed a certain amount for upcoming fiscal periods as set forth in the Credit Agreement, then the Company will be required to repay 5% of the outstanding principal amount of its indebtedness (along with interest accrued on that principal amount if not already paid) in equal quarterly installments, in addition to paying both a repayment fee and a prepayment fee with each quarterly installment.</w:t>
      </w:r>
    </w:p>
    <w:p>
      <w:pPr>
        <w:spacing w:after="0" w:line="18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such activities, may only be available to the Company on undesirable terms, which could result in a default on our debt obligations.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The Company has previously entered into waivers and amendments to the Credit Agreement with OrbiMed in relation to its ability to maintain compliance with the financial covenants contained therein. We may be unsuccessful in obtaining other waivers or amendments to restrictions and covenants in certain agreements with our customers or counterparties. If the Company were unable to obtain any such necessary additional amendments or waivers in the future, this could lead to an event of default and its lenders could require the Company to repay its outstanding debt. Any breach by the Company of covenants and restrictions in such agreements could result in a default under the Credit Agreement, which could result in an acceleration of the repayment of our indebtedness.</w:t>
      </w:r>
    </w:p>
    <w:p>
      <w:pPr>
        <w:spacing w:after="0" w:line="1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sectors have often experienced fluctuations that have been unrelated or disproportionate to their operating results.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540"/>
        <w:spacing w:after="0" w:line="282" w:lineRule="auto"/>
        <w:rPr>
          <w:sz w:val="20"/>
          <w:szCs w:val="20"/>
          <w:color w:val="auto"/>
        </w:rPr>
      </w:pPr>
      <w:r>
        <w:rPr>
          <w:rFonts w:ascii="Times New Roman" w:cs="Times New Roman" w:eastAsia="Times New Roman" w:hAnsi="Times New Roman"/>
          <w:sz w:val="18"/>
          <w:szCs w:val="18"/>
          <w:color w:val="auto"/>
        </w:rPr>
        <w:t>Some specific factors that could negatively affect the price of our common stock and CDIs or result in fluctuations in their price and trading volume include:</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one or more patients experiencing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analysts about us or our competitors in the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by us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including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or audits by regulators into the operations of our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initiated by our competitors or clients;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common stock or CDIs by us, our directors, executive management team or our stockholders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medical device stocks;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 limiting 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prices for our product or for our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for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and regulations affecting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Warrants are being issued to affiliates of OrbiMed in consideration of the Fourth Amendment to the Company’s Credit Agreement and consequently, we will not receive any proceeds from the issuance of the Warrants pursuant to this prospectus. We will only receive nominal proceeds upon exercise of the Warrants to the extent the Warrants are exercised for cash. To the extent that any portions of the Warrants are exercised on a “cashless basis,” the amount of cash we would receive from the exercise of the Warrants will decrease, or we may not receive any cash proceeds at all. We do not expect to rely on the cash exercise of the Warrants to fund our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For a description of the common stock underlying the Warrants, please see “Description of Common Stock We May Offer” in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terms and provisions of the Warrants being offered pursuant to this prospectus supplement are summarized below. The form of Warrants to be issued will be filed as an exhibit to a Current Report on Form 8-K with the SEC in connection with this offering.</w:t>
      </w:r>
    </w:p>
    <w:p>
      <w:pPr>
        <w:spacing w:after="0" w:line="158"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Warrants will have an exercise price of $0.01 per share of our common stock. The Warrants are exercisable on or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issuance and will terminate on the tenth anniversary of the date of issuance.</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Upon the holders’ exercise of the Warrants, we will issue the shares of common stock within five business days of our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exercise and payment of the aggregate exercise price. The holders of the Warrants may exercise the Warrants to purchase shares of our common stock on or before the termination date by delivering an exercise notice, appropriately completed and duly signed, and payment of the exercise price for the number of shares for which such Warrant is being exercised in cash or by instructing the Company to withhold a number of shares underlying such Warrant with an aggregate fair market value equal to the exercise price.</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Automatic Cashless Exercise</w:t>
      </w:r>
      <w:r>
        <w:rPr>
          <w:rFonts w:ascii="Times New Roman" w:cs="Times New Roman" w:eastAsia="Times New Roman" w:hAnsi="Times New Roman"/>
          <w:sz w:val="18"/>
          <w:szCs w:val="18"/>
          <w:color w:val="auto"/>
        </w:rPr>
        <w:t>. To the extent the Warrants have not been exercised in full prior to the earlier of (i) the occurrence of the expiration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and (ii) the date on which a sale of the Company is consummated, any portions of the Warrants that remains unexercised on such date will be deemed to have been exercised automatically pursuant to a cashless exercise, in whole (and not in part), on the business day immediately preceding such date; provided, that such an automatic cashless exercise will not occur if the per share fair market value of a Warrant share is less than the exercise price per Warrant share.</w:t>
      </w:r>
    </w:p>
    <w:p>
      <w:pPr>
        <w:spacing w:after="0" w:line="183" w:lineRule="exact"/>
        <w:rPr>
          <w:sz w:val="20"/>
          <w:szCs w:val="20"/>
          <w:color w:val="auto"/>
        </w:rPr>
      </w:pPr>
    </w:p>
    <w:p>
      <w:pPr>
        <w:ind w:right="2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Adjustments upon Reorganizations, Reclassifications, etc</w:t>
      </w:r>
      <w:r>
        <w:rPr>
          <w:rFonts w:ascii="Times New Roman" w:cs="Times New Roman" w:eastAsia="Times New Roman" w:hAnsi="Times New Roman"/>
          <w:sz w:val="18"/>
          <w:szCs w:val="18"/>
          <w:color w:val="auto"/>
        </w:rPr>
        <w:t>. The exercise price and number of shares of common stock issuable upon exercise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appropriate adjustment in the event of stock dividends, stock splits, reorganizations or similar events affecting our common stock and the exercise price.</w:t>
      </w:r>
    </w:p>
    <w:p>
      <w:pPr>
        <w:spacing w:after="0" w:line="173"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The exercise price of the Warrants is subject to adjustment in the event that the Company issues or sells its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a price per share that is less than the then current exercise price, in which case the exercise price will be reduced to a price determined by multiplying the then-current exercise price by a fraction, the numerator of which will be the sum of (i) the number of shares of common stock deemed outstanding immediately prior to such issuance or sale multiplied by the exercise price then in effect, plus (ii) the consideration, if any, received by the Company upon such issuance or sale, and the denominator of which shall be the product of (a) the total number of shares of common stock deemed outstanding immediately after such issuance or sale multiplied by (b) the exercise price then in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Warrants may be offered for sale, sold, transferred or assigned without our consent.</w:t>
      </w:r>
    </w:p>
    <w:p>
      <w:pPr>
        <w:spacing w:after="0" w:line="225"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public trading market for the Warrants, and we do not expect a market to develop. We do not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list the Warrants on any securities exchange. Without an active market, the liquidity of the Warrants will be limited.</w:t>
      </w:r>
    </w:p>
    <w:p>
      <w:pPr>
        <w:spacing w:after="0" w:line="158" w:lineRule="exact"/>
        <w:rPr>
          <w:sz w:val="20"/>
          <w:szCs w:val="20"/>
          <w:color w:val="auto"/>
        </w:rPr>
      </w:pPr>
    </w:p>
    <w:p>
      <w:pPr>
        <w:ind w:right="20" w:firstLine="630"/>
        <w:spacing w:after="0" w:line="277" w:lineRule="auto"/>
        <w:rPr>
          <w:sz w:val="20"/>
          <w:szCs w:val="20"/>
          <w:color w:val="auto"/>
        </w:rPr>
      </w:pPr>
      <w:r>
        <w:rPr>
          <w:rFonts w:ascii="Times New Roman" w:cs="Times New Roman" w:eastAsia="Times New Roman" w:hAnsi="Times New Roman"/>
          <w:sz w:val="17"/>
          <w:szCs w:val="17"/>
          <w:i w:val="1"/>
          <w:iCs w:val="1"/>
          <w:color w:val="auto"/>
        </w:rPr>
        <w:t>Rights as a Stockholder</w:t>
      </w:r>
      <w:r>
        <w:rPr>
          <w:rFonts w:ascii="Times New Roman" w:cs="Times New Roman" w:eastAsia="Times New Roman" w:hAnsi="Times New Roman"/>
          <w:sz w:val="17"/>
          <w:szCs w:val="17"/>
          <w:color w:val="auto"/>
        </w:rPr>
        <w:t>. Except as described below or by virtue of the holders’ ownership of our common shares, the holders of the Warrants do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have the rights or privileges of a holder of our common shares, including any voting rights, until the holders exercise their respective Warrants. However, if the Company declares or pays a dividend or distribution on its common shares, the Company will provide sufficient advance notice of such dividend or distribution to enable the holders of the Warrants to determine whether to exercise the Warrants, and take all steps necessary or desirable to deliver the shares underlying the Warrants within two business days of receiving the exercise certificate and payment of the exercise price from the holders.</w:t>
      </w:r>
    </w:p>
    <w:p>
      <w:pPr>
        <w:spacing w:after="0" w:line="168"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Limits on Exercise</w:t>
      </w:r>
      <w:r>
        <w:rPr>
          <w:rFonts w:ascii="Times New Roman" w:cs="Times New Roman" w:eastAsia="Times New Roman" w:hAnsi="Times New Roman"/>
          <w:sz w:val="18"/>
          <w:szCs w:val="18"/>
          <w:color w:val="auto"/>
        </w:rPr>
        <w:t>. The exercisability or exchangeability of the Warrants may be limited in certain circumstances if, after giving effect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or exchange, the holders or any of their respective affiliates would beneficially own (as determined pursuant to Section 13(d) of the Exchange Act) more than 9.99% of our total common stock issued and outstanding.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Company is entering into a Fourth Amendment (the “Fourth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Credit Agreement (as amended from time to time, including by the Fourth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the Company, as borrower, and ORCO IV LLC and ORBIMED ROYALTY &amp; CREDIT OPPORTUNITIES IV OFFSHORE, LP, as Lenders, and ORCO IV LLC, as administrative agent for the Lenders, each an affiliate of OrbiMed Advisors, LLC (“</w:t>
      </w:r>
      <w:r>
        <w:rPr>
          <w:rFonts w:ascii="Times New Roman" w:cs="Times New Roman" w:eastAsia="Times New Roman" w:hAnsi="Times New Roman"/>
          <w:sz w:val="18"/>
          <w:szCs w:val="18"/>
          <w:b w:val="1"/>
          <w:bCs w:val="1"/>
          <w:color w:val="auto"/>
        </w:rPr>
        <w:t>OrbiMed</w:t>
      </w:r>
      <w:r>
        <w:rPr>
          <w:rFonts w:ascii="Times New Roman" w:cs="Times New Roman" w:eastAsia="Times New Roman" w:hAnsi="Times New Roman"/>
          <w:sz w:val="18"/>
          <w:szCs w:val="18"/>
          <w:color w:val="auto"/>
        </w:rPr>
        <w:t>”). The Warrants are being issued to affiliates of OrbiMed as consideration for entering into the Fourth Amendment and for certain services performed in connection therewith. The Fourth Amendment contains limited representations and warranties customary for transactions of this type. These representations and warranties were made solely for purposes of the Fourth Amendment and should not be relied upon by any other of our investors, nor should any investor rely upon any descriptions thereof as characterizations of the actual state of facts or condition. Our stockholders are not third party beneficiaries under the Credit Agreement or the Fourth Amendment. The exercise price for the Warrants was determined as a result of negotiations with the investor based on current market factors.</w:t>
      </w:r>
    </w:p>
    <w:p>
      <w:pPr>
        <w:spacing w:after="0" w:line="192"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The offer of the Warrants and the underlying shares of common stock under the Credit Agreement are registered pursuant to our shelf registration statement on Form S-3 (File Number 333-271276) and as to which this prospectus supplement relates.</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Fourth Amendment and the Credit Agreement is only a summary, does not purport to be complete and is qualified in its entirety by reference to (i) the Credit Agreement, a copy of which was attached as Exhibit 10.1 to our Current Report on Form 8-K filed with the SEC on October 18, 2023; (ii) the Waiver and First Amendment to the Credit Agreement, a copy of which was attached as Exhibit 10.34 to our Annual Report on Form 10-K for the fiscal year ended December 31, 2023, which was filed with the SEC on February 22, 2024; (iii) the Second Amendment to the Credit Agreement, a copy of which was attached as Exhibit 10.48 to our Annual Report on Form 10-K for the fiscal year ended December 31, 2024, which was filed with the SEC on February 13, 2025; (iv) the Third Amendment to the Credit Agreement, a copy of which was attached as Exhibit 10.49 to our Annual Report on Form 10-K for the fiscal year ended December 31, 2024, which was filed with the SEC on February 13, 2025; and (v) the Fourth Amendment, a copy of which was attached as Exhibit 10.1 to our Current Report on Form 8-K filed with the SEC on February 13, 2025.</w:t>
      </w:r>
    </w:p>
    <w:p>
      <w:pPr>
        <w:spacing w:after="0" w:line="188"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distributed to OrbiMed and its affiliates in connection with our offer and sale of the securities to such investors. We currently anticipate that closing of the sale of the Warrants to purchase 145,180 shares of our common stock pursuant to this prospectus supplement will take place on or about February 14, 2025, subject to certain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ASX Listing Rules</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ASX Listing Rules may impose limits on the number of shares that we can issue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Transfer Agent</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K&amp;L Gates LLP, Charlotte, North Carolina.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www.avitamedical.com. The information set forth on, or accessible through, our website is not part of this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spacing w:after="0" w:line="18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6">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13, 2025;</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27">
        <w:r>
          <w:rPr>
            <w:rFonts w:ascii="Times New Roman" w:cs="Times New Roman" w:eastAsia="Times New Roman" w:hAnsi="Times New Roman"/>
            <w:sz w:val="18"/>
            <w:szCs w:val="18"/>
            <w:u w:val="single" w:color="auto"/>
            <w:color w:val="0000FF"/>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13, 2025;</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capital stock contained in </w:t>
      </w:r>
      <w:hyperlink r:id="rId28">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21, 2022 filed February 23, 2023, including any amendment or reports filed for the purpose of updating this description; and</w:t>
      </w: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or 15(d) of the Exchange Act prior to the termination of this offering (other than information furnished under Item 2.02 or Item 7.01 of any Form 8-K which information is not deemed filed under the Exchange Act).</w:t>
      </w:r>
    </w:p>
    <w:p>
      <w:pPr>
        <w:spacing w:after="0" w:line="186" w:lineRule="exact"/>
        <w:rPr>
          <w:rFonts w:ascii="Times New Roman" w:cs="Times New Roman" w:eastAsia="Times New Roman" w:hAnsi="Times New Roman"/>
          <w:sz w:val="18"/>
          <w:szCs w:val="18"/>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w:t>
      </w:r>
    </w:p>
    <w:p>
      <w:pPr>
        <w:spacing w:after="0" w:line="176" w:lineRule="exact"/>
        <w:rPr>
          <w:rFonts w:ascii="Times New Roman" w:cs="Times New Roman" w:eastAsia="Times New Roman" w:hAnsi="Times New Roman"/>
          <w:sz w:val="18"/>
          <w:szCs w:val="18"/>
          <w:color w:val="auto"/>
        </w:rPr>
      </w:pPr>
    </w:p>
    <w:p>
      <w:pPr>
        <w:ind w:left="48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7" w:lineRule="exact"/>
        <w:rPr>
          <w:rFonts w:ascii="Times New Roman" w:cs="Times New Roman" w:eastAsia="Times New Roman" w:hAnsi="Times New Roman"/>
          <w:sz w:val="18"/>
          <w:szCs w:val="18"/>
          <w:color w:val="auto"/>
        </w:rPr>
      </w:pPr>
    </w:p>
    <w:p>
      <w:pPr>
        <w:ind w:left="4740"/>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rFonts w:ascii="Times New Roman" w:cs="Times New Roman" w:eastAsia="Times New Roman" w:hAnsi="Times New Roman"/>
          <w:sz w:val="18"/>
          <w:szCs w:val="18"/>
          <w:color w:val="auto"/>
        </w:rPr>
      </w:pPr>
    </w:p>
    <w:p>
      <w:pPr>
        <w:ind w:left="4860"/>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 w:lineRule="exact"/>
        <w:rPr>
          <w:rFonts w:ascii="Times New Roman" w:cs="Times New Roman" w:eastAsia="Times New Roman" w:hAnsi="Times New Roman"/>
          <w:sz w:val="18"/>
          <w:szCs w:val="18"/>
          <w:color w:val="auto"/>
        </w:rPr>
      </w:pPr>
    </w:p>
    <w:p>
      <w:pPr>
        <w:ind w:left="5060"/>
        <w:spacing w:after="0"/>
        <w:rPr>
          <w:sz w:val="20"/>
          <w:szCs w:val="20"/>
          <w:color w:val="auto"/>
        </w:rPr>
      </w:pPr>
      <w:r>
        <w:rPr>
          <w:rFonts w:ascii="Times New Roman" w:cs="Times New Roman" w:eastAsia="Times New Roman" w:hAnsi="Times New Roman"/>
          <w:sz w:val="18"/>
          <w:szCs w:val="18"/>
          <w:color w:val="auto"/>
        </w:rPr>
        <w:t>(661) 367-9170</w:t>
      </w:r>
    </w:p>
    <w:p>
      <w:pPr>
        <w:spacing w:after="0" w:line="9" w:lineRule="exact"/>
        <w:rPr>
          <w:rFonts w:ascii="Times New Roman" w:cs="Times New Roman" w:eastAsia="Times New Roman" w:hAnsi="Times New Roman"/>
          <w:sz w:val="18"/>
          <w:szCs w:val="18"/>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Nicole Kelsey, Chief Legal and Compliance Officer &amp; Corporate Secretary</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198755</wp:posOffset>
            </wp:positionV>
            <wp:extent cx="160274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6027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w:t>
      </w:r>
    </w:p>
    <w:p>
      <w:pPr>
        <w:spacing w:after="0" w:line="15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45"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Our common stock trades on The Nasdaq Stock Market LLC under the symbol “RCEL.” On Apri1 12, 2023, the last reported sale price for our common stock was $15.81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b w:val="1"/>
          <w:bCs w:val="1"/>
          <w:color w:val="auto"/>
        </w:rPr>
        <w:t>See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beginning on page 3 of this prospectus, together with risk factors contained in any applicable prospectus supplement, for factors you should consider before buying any of our securities.</w:t>
      </w:r>
    </w:p>
    <w:p>
      <w:pPr>
        <w:spacing w:after="0" w:line="133"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25, 2023.</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60" w:type="dxa"/>
            <w:vAlign w:val="bottom"/>
            <w:gridSpan w:val="3"/>
          </w:tcPr>
          <w:p>
            <w:pPr>
              <w:jc w:val="right"/>
              <w:ind w:right="5200"/>
              <w:spacing w:after="0"/>
              <w:rPr>
                <w:sz w:val="20"/>
                <w:szCs w:val="20"/>
                <w:color w:val="auto"/>
              </w:rPr>
            </w:pPr>
            <w:r>
              <w:rPr>
                <w:rFonts w:ascii="Times New Roman" w:cs="Times New Roman" w:eastAsia="Times New Roman" w:hAnsi="Times New Roman"/>
                <w:sz w:val="16"/>
                <w:szCs w:val="16"/>
                <w:b w:val="1"/>
                <w:bCs w:val="1"/>
                <w:color w:val="auto"/>
              </w:rPr>
              <w:t>TABLE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60" w:type="dxa"/>
            <w:vAlign w:val="bottom"/>
            <w:gridSpan w:val="3"/>
          </w:tcPr>
          <w:p>
            <w:pPr>
              <w:jc w:val="right"/>
              <w:ind w:right="5140"/>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76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0000FF"/>
              </w:rPr>
              <w:t>ABOUT THIS PROSPECTUS</w:t>
            </w:r>
          </w:p>
        </w:tc>
        <w:tc>
          <w:tcPr>
            <w:tcW w:w="570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gridSpan w:val="19"/>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700" w:type="dxa"/>
            <w:vAlign w:val="bottom"/>
            <w:tcBorders>
              <w:bottom w:val="single" w:sz="8" w:color="0000FF"/>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FORWARD-LOOKING STATEMENTS</w:t>
            </w:r>
          </w:p>
        </w:tc>
        <w:tc>
          <w:tcPr>
            <w:tcW w:w="2060" w:type="dxa"/>
            <w:vAlign w:val="bottom"/>
            <w:gridSpan w:val="3"/>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USE OF PROCEEDS</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DESCRIPTION OF COMMON STOCK WE MAY OFFER</w:t>
            </w:r>
          </w:p>
        </w:tc>
        <w:tc>
          <w:tcPr>
            <w:tcW w:w="840" w:type="dxa"/>
            <w:vAlign w:val="bottom"/>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Common Stock</w:t>
            </w:r>
          </w:p>
        </w:tc>
        <w:tc>
          <w:tcPr>
            <w:tcW w:w="3720" w:type="dxa"/>
            <w:vAlign w:val="bottom"/>
            <w:gridSpan w:val="15"/>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w w:val="99"/>
              </w:rPr>
              <w:t>Preferred Stock</w:t>
            </w:r>
          </w:p>
        </w:tc>
        <w:tc>
          <w:tcPr>
            <w:tcW w:w="3740" w:type="dxa"/>
            <w:vAlign w:val="bottom"/>
            <w:gridSpan w:val="16"/>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0000FF"/>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Limitation of Liability; Indemnification</w:t>
            </w:r>
          </w:p>
        </w:tc>
        <w:tc>
          <w:tcPr>
            <w:tcW w:w="2180" w:type="dxa"/>
            <w:vAlign w:val="bottom"/>
            <w:gridSpan w:val="4"/>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Securities Exchange Listings</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00" w:type="dxa"/>
            <w:vAlign w:val="bottom"/>
            <w:tcBorders>
              <w:bottom w:val="single" w:sz="8" w:color="0000FF"/>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FF"/>
              </w:rPr>
              <w:t>Transfer Agent and Registrar</w:t>
            </w:r>
          </w:p>
        </w:tc>
        <w:tc>
          <w:tcPr>
            <w:tcW w:w="2860" w:type="dxa"/>
            <w:vAlign w:val="bottom"/>
            <w:gridSpan w:val="8"/>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tcBorders>
              <w:bottom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DESCRIPTION OF WARRANTS</w:t>
            </w:r>
          </w:p>
        </w:tc>
        <w:tc>
          <w:tcPr>
            <w:tcW w:w="2500" w:type="dxa"/>
            <w:vAlign w:val="bottom"/>
            <w:gridSpan w:val="6"/>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Exercise of Warrants</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Modifications</w:t>
            </w:r>
          </w:p>
        </w:tc>
        <w:tc>
          <w:tcPr>
            <w:tcW w:w="460" w:type="dxa"/>
            <w:vAlign w:val="bottom"/>
            <w:tcBorders>
              <w:top w:val="single" w:sz="8" w:color="0000FF"/>
            </w:tcBorders>
            <w:gridSpan w:val="5"/>
          </w:tcPr>
          <w:p>
            <w:pPr>
              <w:spacing w:after="0"/>
              <w:rPr>
                <w:sz w:val="15"/>
                <w:szCs w:val="15"/>
                <w:color w:val="auto"/>
              </w:rPr>
            </w:pPr>
          </w:p>
        </w:tc>
        <w:tc>
          <w:tcPr>
            <w:tcW w:w="3340" w:type="dxa"/>
            <w:vAlign w:val="bottom"/>
            <w:gridSpan w:val="12"/>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Enforceability of Rights</w:t>
            </w:r>
          </w:p>
        </w:tc>
        <w:tc>
          <w:tcPr>
            <w:tcW w:w="3160" w:type="dxa"/>
            <w:vAlign w:val="bottom"/>
            <w:gridSpan w:val="11"/>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Borders>
              <w:bottom w:val="single" w:sz="8" w:color="0000FF"/>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DESCRIPTION OF UNITS</w:t>
            </w:r>
          </w:p>
        </w:tc>
        <w:tc>
          <w:tcPr>
            <w:tcW w:w="2940" w:type="dxa"/>
            <w:vAlign w:val="bottom"/>
            <w:gridSpan w:val="10"/>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CHESS DEPOSITARY INTERESTS</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top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PLAN OF DISTRIBUTION</w:t>
            </w:r>
          </w:p>
        </w:tc>
        <w:tc>
          <w:tcPr>
            <w:tcW w:w="2320" w:type="dxa"/>
            <w:vAlign w:val="bottom"/>
            <w:gridSpan w:val="5"/>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tcBorders>
              <w:top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LEGAL MATTERS</w:t>
            </w:r>
          </w:p>
        </w:tc>
        <w:tc>
          <w:tcPr>
            <w:tcW w:w="2880" w:type="dxa"/>
            <w:vAlign w:val="bottom"/>
            <w:gridSpan w:val="9"/>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EXPERTS</w:t>
            </w:r>
          </w:p>
        </w:tc>
        <w:tc>
          <w:tcPr>
            <w:tcW w:w="580" w:type="dxa"/>
            <w:vAlign w:val="bottom"/>
            <w:tcBorders>
              <w:top w:val="single" w:sz="8" w:color="0000FF"/>
            </w:tcBorders>
            <w:gridSpan w:val="5"/>
          </w:tcPr>
          <w:p>
            <w:pPr>
              <w:spacing w:after="0"/>
              <w:rPr>
                <w:sz w:val="15"/>
                <w:szCs w:val="15"/>
                <w:color w:val="auto"/>
              </w:rPr>
            </w:pPr>
          </w:p>
        </w:tc>
        <w:tc>
          <w:tcPr>
            <w:tcW w:w="3440" w:type="dxa"/>
            <w:vAlign w:val="bottom"/>
            <w:gridSpan w:val="13"/>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WHERE YOU CAN FIND MORE INFORMATION</w:t>
            </w:r>
          </w:p>
        </w:tc>
        <w:tc>
          <w:tcPr>
            <w:tcW w:w="1300" w:type="dxa"/>
            <w:vAlign w:val="bottom"/>
            <w:gridSpan w:val="2"/>
          </w:tcPr>
          <w:p>
            <w:pPr>
              <w:spacing w:after="0"/>
              <w:rPr>
                <w:sz w:val="15"/>
                <w:szCs w:val="15"/>
                <w:color w:val="auto"/>
              </w:rPr>
            </w:pP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Borders>
              <w:bottom w:val="single" w:sz="8" w:color="0000FF"/>
            </w:tcBorders>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INCORPORATION OF CERTAIN INFORMATION BY REFERENCE</w:t>
            </w:r>
          </w:p>
        </w:tc>
        <w:tc>
          <w:tcPr>
            <w:tcW w:w="6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10"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Unless the context requires otherwise or unless otherwise noted, all references in this prospectus or any prospectus supplement to “AVITA Medical” and to the “Company,” “we,” “us” or “our” are to AVITA Medical, Inc. and its subsidiaries.</w:t>
      </w:r>
    </w:p>
    <w:p>
      <w:pPr>
        <w:spacing w:after="0" w:line="12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w:t>
      </w:r>
    </w:p>
    <w:p>
      <w:pPr>
        <w:spacing w:after="0" w:line="14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6"/>
          <w:szCs w:val="16"/>
          <w:color w:val="auto"/>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365"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2022. These documents are available through the SEC’s Electronic Data Gathering and Analysis Retrieval System at http://www.sec.gov.</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08"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6"/>
          <w:szCs w:val="16"/>
          <w:color w:val="auto"/>
        </w:rPr>
        <w:t>AVITA Medical, Inc. and its subsidiaries (including AVITA Medical Pty Limited (“</w:t>
      </w:r>
      <w:r>
        <w:rPr>
          <w:rFonts w:ascii="Times New Roman" w:cs="Times New Roman" w:eastAsia="Times New Roman" w:hAnsi="Times New Roman"/>
          <w:sz w:val="16"/>
          <w:szCs w:val="16"/>
          <w:b w:val="1"/>
          <w:bCs w:val="1"/>
          <w:color w:val="auto"/>
        </w:rPr>
        <w:t>AVITA Australia</w:t>
      </w:r>
      <w:r>
        <w:rPr>
          <w:rFonts w:ascii="Times New Roman" w:cs="Times New Roman" w:eastAsia="Times New Roman" w:hAnsi="Times New Roman"/>
          <w:sz w:val="16"/>
          <w:szCs w:val="16"/>
          <w:color w:val="auto"/>
        </w:rPr>
        <w:t>”) (collectively, “</w:t>
      </w:r>
      <w:r>
        <w:rPr>
          <w:rFonts w:ascii="Times New Roman" w:cs="Times New Roman" w:eastAsia="Times New Roman" w:hAnsi="Times New Roman"/>
          <w:sz w:val="16"/>
          <w:szCs w:val="16"/>
          <w:b w:val="1"/>
          <w:bCs w:val="1"/>
          <w:color w:val="auto"/>
        </w:rPr>
        <w:t>AVITA Medical</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a regenerative medicine company leading the development and commercialization of devices and autologous cellular therapies for skin restoration. Our patented and proprietary RECELL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System (“</w:t>
      </w:r>
      <w:r>
        <w:rPr>
          <w:rFonts w:ascii="Times New Roman" w:cs="Times New Roman" w:eastAsia="Times New Roman" w:hAnsi="Times New Roman"/>
          <w:sz w:val="16"/>
          <w:szCs w:val="16"/>
          <w:b w:val="1"/>
          <w:bCs w:val="1"/>
          <w:color w:val="auto"/>
        </w:rPr>
        <w:t>RECELL System</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RECELL</w:t>
      </w:r>
      <w:r>
        <w:rPr>
          <w:rFonts w:ascii="Times New Roman" w:cs="Times New Roman" w:eastAsia="Times New Roman" w:hAnsi="Times New Roman"/>
          <w:sz w:val="16"/>
          <w:szCs w:val="16"/>
          <w:color w:val="auto"/>
        </w:rPr>
        <w:t>”) technology platform harnesses the regenerative properties of a patient’s own skin to create Spray-On Skin™ Cells, an autologous skin cell suspension that is sprayed onto the patient to regenerate natural healthy skin.</w:t>
      </w:r>
    </w:p>
    <w:p>
      <w:pPr>
        <w:spacing w:after="0" w:line="15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w:t>
      </w:r>
    </w:p>
    <w:p>
      <w:pPr>
        <w:spacing w:after="0" w:line="194"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6"/>
          <w:szCs w:val="16"/>
          <w:color w:val="auto"/>
        </w:rPr>
        <w:t>As of the date of this prospectus, we are an “emerging growth company,” as defined in the Jumpstart Our Business Startups Act of 2012 (“</w:t>
      </w:r>
      <w:r>
        <w:rPr>
          <w:rFonts w:ascii="Times New Roman" w:cs="Times New Roman" w:eastAsia="Times New Roman" w:hAnsi="Times New Roman"/>
          <w:sz w:val="16"/>
          <w:szCs w:val="16"/>
          <w:b w:val="1"/>
          <w:bCs w:val="1"/>
          <w:color w:val="auto"/>
        </w:rPr>
        <w:t>JOBS Act</w:t>
      </w:r>
      <w:r>
        <w:rPr>
          <w:rFonts w:ascii="Times New Roman" w:cs="Times New Roman" w:eastAsia="Times New Roman" w:hAnsi="Times New Roman"/>
          <w:sz w:val="16"/>
          <w:szCs w:val="16"/>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151" w:lineRule="exact"/>
        <w:rPr>
          <w:sz w:val="20"/>
          <w:szCs w:val="20"/>
          <w:color w:val="auto"/>
        </w:rPr>
      </w:pPr>
    </w:p>
    <w:p>
      <w:pPr>
        <w:ind w:right="180" w:firstLine="509"/>
        <w:spacing w:after="0" w:line="298"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6" w:name="page17"/>
    <w:bookmarkEnd w:id="16"/>
    <w:p>
      <w:pPr>
        <w:spacing w:after="0" w:line="281" w:lineRule="auto"/>
        <w:rPr>
          <w:sz w:val="20"/>
          <w:szCs w:val="20"/>
          <w:color w:val="auto"/>
        </w:rPr>
      </w:pPr>
      <w:r>
        <w:rPr>
          <w:rFonts w:ascii="Times New Roman" w:cs="Times New Roman" w:eastAsia="Times New Roman" w:hAnsi="Times New Roman"/>
          <w:sz w:val="16"/>
          <w:szCs w:val="16"/>
          <w:color w:val="auto"/>
        </w:rPr>
        <w:t>Statement on August 27, 2020, will be December 31, 2025, (ii) the last day of the fiscal year in which we have total annual gross revenue of at least $1.235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0"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w:t>
      </w:r>
    </w:p>
    <w:p>
      <w:pPr>
        <w:spacing w:after="0" w:line="137"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6"/>
          <w:szCs w:val="16"/>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6" w:lineRule="exact"/>
        <w:rPr>
          <w:sz w:val="20"/>
          <w:szCs w:val="20"/>
          <w:color w:val="auto"/>
        </w:rPr>
      </w:pPr>
    </w:p>
    <w:p>
      <w:pPr>
        <w:ind w:right="420" w:firstLine="509"/>
        <w:spacing w:after="0" w:line="298" w:lineRule="auto"/>
        <w:rPr>
          <w:sz w:val="20"/>
          <w:szCs w:val="20"/>
          <w:color w:val="auto"/>
        </w:rPr>
      </w:pPr>
      <w:r>
        <w:rPr>
          <w:rFonts w:ascii="Times New Roman" w:cs="Times New Roman" w:eastAsia="Times New Roman" w:hAnsi="Times New Roman"/>
          <w:sz w:val="16"/>
          <w:szCs w:val="16"/>
          <w:color w:val="auto"/>
        </w:rPr>
        <w:t>Unless specified otherwise in the applicable prospectus supplement, we expect to use the net proceeds we receive from the sale of the securities offered by this prospectus for general corporate purposes, which may include, among other things:</w:t>
      </w:r>
    </w:p>
    <w:p>
      <w:pPr>
        <w:spacing w:after="0" w:line="5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repayment of debt;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and redemptions of securities.</w:t>
      </w:r>
    </w:p>
    <w:p>
      <w:pPr>
        <w:spacing w:after="0" w:line="194" w:lineRule="exact"/>
        <w:rPr>
          <w:sz w:val="20"/>
          <w:szCs w:val="20"/>
          <w:color w:val="auto"/>
        </w:rPr>
      </w:pPr>
    </w:p>
    <w:p>
      <w:pPr>
        <w:ind w:right="60" w:firstLine="509"/>
        <w:spacing w:after="0" w:line="298" w:lineRule="auto"/>
        <w:rPr>
          <w:sz w:val="20"/>
          <w:szCs w:val="20"/>
          <w:color w:val="auto"/>
        </w:rPr>
      </w:pPr>
      <w:r>
        <w:rPr>
          <w:rFonts w:ascii="Times New Roman" w:cs="Times New Roman" w:eastAsia="Times New Roman" w:hAnsi="Times New Roman"/>
          <w:sz w:val="16"/>
          <w:szCs w:val="16"/>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 term indebtedness.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COMMON STOCK WE MAY OFFER</w:t>
      </w:r>
    </w:p>
    <w:p>
      <w:pPr>
        <w:spacing w:after="0" w:line="196" w:lineRule="exact"/>
        <w:rPr>
          <w:sz w:val="20"/>
          <w:szCs w:val="20"/>
          <w:color w:val="auto"/>
        </w:rPr>
      </w:pPr>
    </w:p>
    <w:p>
      <w:pPr>
        <w:jc w:val="both"/>
        <w:ind w:right="100" w:firstLine="509"/>
        <w:spacing w:after="0" w:line="275" w:lineRule="auto"/>
        <w:rPr>
          <w:sz w:val="20"/>
          <w:szCs w:val="20"/>
          <w:color w:val="auto"/>
        </w:rPr>
      </w:pPr>
      <w:r>
        <w:rPr>
          <w:rFonts w:ascii="Times New Roman" w:cs="Times New Roman" w:eastAsia="Times New Roman" w:hAnsi="Times New Roman"/>
          <w:sz w:val="16"/>
          <w:szCs w:val="16"/>
          <w:color w:val="auto"/>
        </w:rPr>
        <w:t>We are a Delaware corporation. The rights of our stockholders are governed by the Delaware General Corporation Law, or the DGCL, and our amended certificate of incorporation (the “</w:t>
      </w:r>
      <w:r>
        <w:rPr>
          <w:rFonts w:ascii="Times New Roman" w:cs="Times New Roman" w:eastAsia="Times New Roman" w:hAnsi="Times New Roman"/>
          <w:sz w:val="16"/>
          <w:szCs w:val="16"/>
          <w:b w:val="1"/>
          <w:bCs w:val="1"/>
          <w:color w:val="auto"/>
        </w:rPr>
        <w:t>Certificate</w:t>
      </w:r>
      <w:r>
        <w:rPr>
          <w:rFonts w:ascii="Times New Roman" w:cs="Times New Roman" w:eastAsia="Times New Roman" w:hAnsi="Times New Roman"/>
          <w:sz w:val="16"/>
          <w:szCs w:val="16"/>
          <w:color w:val="auto"/>
        </w:rPr>
        <w:t>”) and our amended and restated bylaws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31"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6"/>
          <w:szCs w:val="16"/>
          <w:color w:val="auto"/>
        </w:rPr>
        <w:t>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3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3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7" w:name="page18"/>
    <w:bookmarkEnd w:id="17"/>
    <w:p>
      <w:pPr>
        <w:ind w:right="220"/>
        <w:spacing w:after="0" w:line="298" w:lineRule="auto"/>
        <w:rPr>
          <w:sz w:val="20"/>
          <w:szCs w:val="20"/>
          <w:color w:val="auto"/>
        </w:rPr>
      </w:pPr>
      <w:r>
        <w:rPr>
          <w:rFonts w:ascii="Times New Roman" w:cs="Times New Roman" w:eastAsia="Times New Roman" w:hAnsi="Times New Roman"/>
          <w:sz w:val="16"/>
          <w:szCs w:val="16"/>
          <w:color w:val="auto"/>
        </w:rPr>
        <w:t>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13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6"/>
          <w:szCs w:val="16"/>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and Preferences</w:t>
      </w:r>
    </w:p>
    <w:p>
      <w:pPr>
        <w:spacing w:after="0" w:line="13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Fully Paid and Non-assessable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All outstanding shares of our common stock are fully paid and non-assessable.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Stockholder Meetings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Certificate and Bylaws provide that annual stockholder meetings will be held at a date, place (if any) and time, as exclusively selected by our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extent permitted under applicable law, we may but are not obligated to conduct meetings by remote communications, including by webcast.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3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6"/>
          <w:szCs w:val="16"/>
          <w:color w:val="auto"/>
        </w:rPr>
        <w:t>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Provisions of the Certificate and Bylaws and DGCL</w:t>
      </w:r>
    </w:p>
    <w:p>
      <w:pPr>
        <w:spacing w:after="0" w:line="131"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6"/>
          <w:szCs w:val="16"/>
          <w:color w:val="auto"/>
        </w:rPr>
        <w:t>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w:t>
      </w:r>
    </w:p>
    <w:p>
      <w:pPr>
        <w:spacing w:after="0" w:line="15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Delaware Anti-Takeover Statute</w:t>
      </w:r>
    </w:p>
    <w:p>
      <w:pPr>
        <w:spacing w:after="0" w:line="12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6"/>
          <w:szCs w:val="16"/>
          <w:color w:val="auto"/>
        </w:rPr>
        <w:t>However, the above provisions of Section 203 do not apply if:</w:t>
      </w:r>
    </w:p>
    <w:p>
      <w:pPr>
        <w:spacing w:after="0" w:line="12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approves the transaction that made the stockholder an interested stockholder or the business combination before the date of that transaction;</w:t>
      </w:r>
    </w:p>
    <w:p>
      <w:pPr>
        <w:spacing w:after="0" w:line="126" w:lineRule="exact"/>
        <w:rPr>
          <w:rFonts w:ascii="Times New Roman" w:cs="Times New Roman" w:eastAsia="Times New Roman" w:hAnsi="Times New Roman"/>
          <w:sz w:val="16"/>
          <w:szCs w:val="16"/>
          <w:color w:val="auto"/>
        </w:rPr>
      </w:pPr>
    </w:p>
    <w:p>
      <w:pPr>
        <w:ind w:left="1020" w:right="40" w:hanging="503"/>
        <w:spacing w:after="0" w:line="298"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56" w:lineRule="exact"/>
        <w:rPr>
          <w:rFonts w:ascii="Times New Roman" w:cs="Times New Roman" w:eastAsia="Times New Roman" w:hAnsi="Times New Roman"/>
          <w:sz w:val="16"/>
          <w:szCs w:val="16"/>
          <w:color w:val="auto"/>
        </w:rPr>
      </w:pPr>
    </w:p>
    <w:p>
      <w:pPr>
        <w:ind w:left="1020" w:right="400" w:hanging="503"/>
        <w:spacing w:after="0" w:line="298"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2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Special Stockholder Meetings</w:t>
      </w:r>
    </w:p>
    <w:p>
      <w:pPr>
        <w:spacing w:after="0" w:line="129"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Bylaws establish advance notice procedures with respect to stockholder proposals and the nomination of candidates for election as directors.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Composition of our Board of Directors; Election and Removal of Directors; Filling Vacancies</w:t>
      </w:r>
    </w:p>
    <w:p>
      <w:pPr>
        <w:spacing w:after="0" w:line="129"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w:t>
      </w:r>
    </w:p>
    <w:p>
      <w:pPr>
        <w:spacing w:after="0" w:line="124"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3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of the Certificate and Bylaws</w:t>
      </w:r>
    </w:p>
    <w:p>
      <w:pPr>
        <w:spacing w:after="0" w:line="129" w:lineRule="exact"/>
        <w:rPr>
          <w:sz w:val="20"/>
          <w:szCs w:val="20"/>
          <w:color w:val="auto"/>
        </w:rPr>
      </w:pPr>
    </w:p>
    <w:p>
      <w:pPr>
        <w:ind w:right="180" w:firstLine="509"/>
        <w:spacing w:after="0" w:line="298" w:lineRule="auto"/>
        <w:rPr>
          <w:sz w:val="20"/>
          <w:szCs w:val="20"/>
          <w:color w:val="auto"/>
        </w:rPr>
      </w:pPr>
      <w:r>
        <w:rPr>
          <w:rFonts w:ascii="Times New Roman" w:cs="Times New Roman" w:eastAsia="Times New Roman" w:hAnsi="Times New Roman"/>
          <w:sz w:val="16"/>
          <w:szCs w:val="16"/>
          <w:color w:val="auto"/>
        </w:rPr>
        <w:t>The Certificate may be amended in any manner permitted under the DGCL and the Bylaws may be amended by the holders of at a majority of the voting power of the then outstanding voting stock or by our board of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Limitations of Liability and Indemnification Matters</w:t>
      </w:r>
    </w:p>
    <w:p>
      <w:pPr>
        <w:spacing w:after="0" w:line="129" w:lineRule="exact"/>
        <w:rPr>
          <w:sz w:val="20"/>
          <w:szCs w:val="20"/>
          <w:color w:val="auto"/>
        </w:rPr>
      </w:pPr>
    </w:p>
    <w:p>
      <w:pPr>
        <w:jc w:val="both"/>
        <w:ind w:right="40" w:firstLine="509"/>
        <w:spacing w:after="0" w:line="275" w:lineRule="auto"/>
        <w:rPr>
          <w:sz w:val="20"/>
          <w:szCs w:val="20"/>
          <w:color w:val="auto"/>
        </w:rPr>
      </w:pPr>
      <w:r>
        <w:rPr>
          <w:rFonts w:ascii="Times New Roman" w:cs="Times New Roman" w:eastAsia="Times New Roman" w:hAnsi="Times New Roman"/>
          <w:sz w:val="16"/>
          <w:szCs w:val="16"/>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4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Exchange Listings</w:t>
      </w:r>
    </w:p>
    <w:p>
      <w:pPr>
        <w:spacing w:after="0" w:line="131"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Shares of our common stock are listed on The Nasdaq Stock Market LLC under the symbol “RCEL.” Our Chess Depositary Interests (“CDIs”) are quoted on the Australian Securities Exchange Ltd (“ASX”) under the ticker code, “AVH”. One share of common stock on Nasdaq is equivalent to five CDIs on the ASX.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Agent and Registrar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 and its address is 250 Royall St., Canton, Massachusetts 02021.</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9" w:name="page20"/>
    <w:bookmarkEnd w:id="19"/>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DESCRIPTION OF PREFERRED STOCK WE MAY OFFER</w:t>
      </w:r>
    </w:p>
    <w:p>
      <w:pPr>
        <w:spacing w:after="0" w:line="196"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6"/>
          <w:szCs w:val="16"/>
          <w:color w:val="auto"/>
        </w:rPr>
        <w:t>We may offer shares of our preferred stock from time to time, in one or more series of preferred stock. Pursuant to our Certificate, we have the authority to issue 10,000,000 shares of preferred stock, $0.0001 par value. As of April 12, 2023,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5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certificate of designation and prospectus supplement relating to any series of preferred stock we are offering will include specific terms relating to the offering.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terms will include some or all of the following:</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of the series of preferred stock;</w:t>
      </w:r>
    </w:p>
    <w:p>
      <w:pPr>
        <w:spacing w:after="0" w:line="126" w:lineRule="exact"/>
        <w:rPr>
          <w:rFonts w:ascii="Times New Roman" w:cs="Times New Roman" w:eastAsia="Times New Roman" w:hAnsi="Times New Roman"/>
          <w:sz w:val="16"/>
          <w:szCs w:val="16"/>
          <w:color w:val="auto"/>
        </w:rPr>
      </w:pPr>
    </w:p>
    <w:p>
      <w:pPr>
        <w:ind w:left="1020" w:right="280" w:hanging="503"/>
        <w:spacing w:after="0" w:line="298"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 if any, or the method of calculating and paying the dividend, the date from which dividends will accrue and whether dividends will be cumulative;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liquidation preference;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optional redemption provisions;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sinking fund or other provisions that would obligate us to redeem or purchase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for the conversion or exchange of the preferred stock for other securities of us or any other entity;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voting rights;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preferences and relative, participating, optional or other special rights or any qualifications, limitations, or restrictions on the rights of the shares.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Any shares of preferred stock we issue will, at the time of issuance, be fully paid and non-assessable.</w:t>
      </w: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DESCRIPTION OF WARRANTS WE MAY OFFER</w:t>
      </w:r>
    </w:p>
    <w:p>
      <w:pPr>
        <w:spacing w:after="0" w:line="196"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5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37"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warrants that we are offering will include specific terms relating to the offering. These terms will include some or all of the following:</w:t>
      </w:r>
    </w:p>
    <w:p>
      <w:pPr>
        <w:spacing w:after="0" w:line="5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warrants offered;</w:t>
      </w:r>
    </w:p>
    <w:p>
      <w:pPr>
        <w:spacing w:after="0" w:line="12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number and terms of the common stock or preferred stock purchasable upon exercise of the warrants, and procedures by which those numbers may be adjusted;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or periods during which the warrants are exercisable;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any securities with which the warrants are issued;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warrants are issued as a unit with another security, the date on and after which the warrants and the other security will be separately transferable;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exercise price is not payable in U.S. dollars, the foreign currency, currency unit or composite currency in which the exercise price is denominated;</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6" w:right="419" w:bottom="1440" w:gutter="0" w:footer="0" w:header="0"/>
        </w:sectPr>
      </w:pPr>
    </w:p>
    <w:bookmarkStart w:id="20" w:name="page21"/>
    <w:bookmarkEnd w:id="20"/>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minimum or maximum amount of warrants that may be exercised at any one time;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procedures and limitations relating to the transferability, exchange or exercise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Exercise of Warrants</w:t>
      </w:r>
    </w:p>
    <w:p>
      <w:pPr>
        <w:spacing w:after="0" w:line="12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59" w:lineRule="exact"/>
        <w:rPr>
          <w:sz w:val="20"/>
          <w:szCs w:val="20"/>
          <w:color w:val="auto"/>
        </w:rPr>
      </w:pPr>
    </w:p>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Holders may exercise warrants at any time up to the close of business on the expiration date provided in the applicable prospectus supplement. After the close of business on the expiration date, unexercised warrants are void.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Prior to the exercise of their warrants, holders of warrants will not have any of the rights of holders of the securities subject to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Modifications</w:t>
      </w:r>
    </w:p>
    <w:p>
      <w:pPr>
        <w:spacing w:after="0" w:line="129"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24"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5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shorten the period of time during which the warrants may be exercised;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materially and adversely affect the exercise rights of the holders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Enforceability of Rights</w:t>
      </w:r>
    </w:p>
    <w:p>
      <w:pPr>
        <w:spacing w:after="0" w:line="129"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6"/>
          <w:szCs w:val="16"/>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UNITS WE MAY OFFER</w:t>
      </w:r>
    </w:p>
    <w:p>
      <w:pPr>
        <w:spacing w:after="0" w:line="196"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56" w:lineRule="exact"/>
        <w:rPr>
          <w:sz w:val="20"/>
          <w:szCs w:val="20"/>
          <w:color w:val="auto"/>
        </w:rPr>
      </w:pPr>
    </w:p>
    <w:p>
      <w:pPr>
        <w:ind w:right="400" w:firstLine="509"/>
        <w:spacing w:after="0" w:line="298" w:lineRule="auto"/>
        <w:rPr>
          <w:sz w:val="20"/>
          <w:szCs w:val="20"/>
          <w:color w:val="auto"/>
        </w:rPr>
      </w:pPr>
      <w:r>
        <w:rPr>
          <w:rFonts w:ascii="Times New Roman" w:cs="Times New Roman" w:eastAsia="Times New Roman" w:hAnsi="Times New Roman"/>
          <w:sz w:val="16"/>
          <w:szCs w:val="16"/>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24" w:lineRule="exact"/>
        <w:rPr>
          <w:sz w:val="20"/>
          <w:szCs w:val="20"/>
          <w:color w:val="auto"/>
        </w:rPr>
      </w:pPr>
    </w:p>
    <w:p>
      <w:pPr>
        <w:ind w:right="620"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units we are offering will include specific terms relating to the offering. These terms will include some or all of the following:</w:t>
      </w:r>
    </w:p>
    <w:p>
      <w:pPr>
        <w:spacing w:after="0" w:line="56" w:lineRule="exact"/>
        <w:rPr>
          <w:sz w:val="20"/>
          <w:szCs w:val="20"/>
          <w:color w:val="auto"/>
        </w:rPr>
      </w:pPr>
    </w:p>
    <w:p>
      <w:pPr>
        <w:ind w:left="1020" w:right="140" w:hanging="503"/>
        <w:spacing w:after="0" w:line="298"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the units and the securities comprising the units, including whether and under what circumstances those securities may be held or transferred separately;</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the issuance, payment, settlement, transfer or exchange of the units or of the securities comprising the units;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units will be issued in fully registered or global form.</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CHESS DEPOSITARY INTERESTS</w:t>
      </w:r>
    </w:p>
    <w:p>
      <w:pPr>
        <w:spacing w:after="0" w:line="196"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6"/>
          <w:szCs w:val="16"/>
          <w:color w:val="auto"/>
        </w:rPr>
        <w:t>Our CDIs are quoted on the ASX under the ticker code, “AVH”. One share of common stock on Nasdaq is equivalent to five CDIs on the ASX.</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10"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24"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56" w:lineRule="exact"/>
        <w:rPr>
          <w:sz w:val="20"/>
          <w:szCs w:val="20"/>
          <w:color w:val="auto"/>
        </w:rPr>
      </w:pPr>
    </w:p>
    <w:p>
      <w:pPr>
        <w:ind w:left="1020" w:right="60" w:hanging="503"/>
        <w:spacing w:after="0" w:line="298"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on The Nasdaq Stock Market LLC or the ASX in accordance with the rules of the ASX (including through at-the-market offerings) or any other organized market where the securities may be traded;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over-the-counter market;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broker-dealers, who may act as agents or principals;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one or more underwriters on a firm commitment or best-efforts basis;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“at-the-market offerings” within the meaning of Rule 415 of the Securities Act;</w:t>
      </w:r>
    </w:p>
    <w:p>
      <w:pPr>
        <w:spacing w:after="0" w:line="126" w:lineRule="exact"/>
        <w:rPr>
          <w:rFonts w:ascii="Times New Roman" w:cs="Times New Roman" w:eastAsia="Times New Roman" w:hAnsi="Times New Roman"/>
          <w:sz w:val="16"/>
          <w:szCs w:val="16"/>
          <w:color w:val="auto"/>
        </w:rPr>
      </w:pPr>
    </w:p>
    <w:p>
      <w:pPr>
        <w:ind w:left="1020" w:right="220" w:hanging="503"/>
        <w:spacing w:after="0" w:line="298"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block trade in which a broker-dealer will attempt to sell a block of securities as agent but may position and resell a portion of the block as principal to facilitate the transaction;</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offerings of securities exchangeable, convertible or exercisable for the securities;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one or more purchasers;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combination of the above.</w:t>
      </w:r>
    </w:p>
    <w:p>
      <w:pPr>
        <w:spacing w:after="0" w:line="194"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At any time a particular offer of securities covered by this prospectus is made, a revised prospectus or prospectus supplement, if required, will be distributed which will set forth:</w:t>
      </w:r>
    </w:p>
    <w:p>
      <w:pPr>
        <w:spacing w:after="0" w:line="5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or names of any underwriters, broker-dealers or agents;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of the securities and the proceeds to be received by us from the sale;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concessions and other items constituting underwriters’ or agents’ compensation;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public offering price;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or concessions allowed or re-allowed or paid to dealers;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additional risk factors applicable to the securities that we propose to sell;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exchange on which the securities may be listed.</w:t>
      </w:r>
    </w:p>
    <w:p>
      <w:pPr>
        <w:spacing w:after="0" w:line="208"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24"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4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6"/>
          <w:szCs w:val="16"/>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50"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6"/>
          <w:szCs w:val="16"/>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2" w:name="page23"/>
    <w:bookmarkEnd w:id="22"/>
    <w:p>
      <w:pPr>
        <w:ind w:right="60"/>
        <w:spacing w:after="0" w:line="269" w:lineRule="auto"/>
        <w:rPr>
          <w:sz w:val="20"/>
          <w:szCs w:val="20"/>
          <w:color w:val="auto"/>
        </w:rPr>
      </w:pPr>
      <w:r>
        <w:rPr>
          <w:rFonts w:ascii="Times New Roman" w:cs="Times New Roman" w:eastAsia="Times New Roman" w:hAnsi="Times New Roman"/>
          <w:sz w:val="16"/>
          <w:szCs w:val="16"/>
          <w:color w:val="auto"/>
        </w:rPr>
        <w:t>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49"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4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5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6"/>
          <w:szCs w:val="16"/>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44"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340" w:firstLine="509"/>
        <w:spacing w:after="0" w:line="281" w:lineRule="auto"/>
        <w:rPr>
          <w:sz w:val="20"/>
          <w:szCs w:val="20"/>
          <w:color w:val="auto"/>
        </w:rPr>
      </w:pPr>
      <w:r>
        <w:rPr>
          <w:rFonts w:ascii="Times New Roman" w:cs="Times New Roman" w:eastAsia="Times New Roman" w:hAnsi="Times New Roman"/>
          <w:sz w:val="16"/>
          <w:szCs w:val="16"/>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6" w:lineRule="exact"/>
        <w:rPr>
          <w:sz w:val="20"/>
          <w:szCs w:val="20"/>
          <w:color w:val="auto"/>
        </w:rPr>
      </w:pPr>
    </w:p>
    <w:p>
      <w:pPr>
        <w:ind w:right="140" w:firstLine="509"/>
        <w:spacing w:after="0" w:line="298" w:lineRule="auto"/>
        <w:rPr>
          <w:sz w:val="20"/>
          <w:szCs w:val="20"/>
          <w:color w:val="auto"/>
        </w:rPr>
      </w:pPr>
      <w:r>
        <w:rPr>
          <w:rFonts w:ascii="Times New Roman" w:cs="Times New Roman" w:eastAsia="Times New Roman" w:hAnsi="Times New Roman"/>
          <w:sz w:val="16"/>
          <w:szCs w:val="16"/>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6"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6"/>
          <w:szCs w:val="16"/>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3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In addition, we file annual, quarterly and current reports, proxy statements and other information with the SEC under the Exchange Act. You can read our SEC filings, including the registration statement, at the SEC’s website at www.sec.gov, which contains reports, proxy and information statements and other information regarding issuers that file electronically with the SEC.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OF CERTAIN INFORMATION BY REFERENCE</w:t>
      </w:r>
    </w:p>
    <w:p>
      <w:pPr>
        <w:spacing w:after="0" w:line="19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50"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5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44">
        <w:r>
          <w:rPr>
            <w:rFonts w:ascii="Times New Roman" w:cs="Times New Roman" w:eastAsia="Times New Roman" w:hAnsi="Times New Roman"/>
            <w:sz w:val="16"/>
            <w:szCs w:val="16"/>
            <w:u w:val="single" w:color="auto"/>
            <w:color w:val="0000FF"/>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2022 as filed with the SEC on February 23, 2023;</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dated </w:t>
      </w:r>
      <w:hyperlink r:id="rId45">
        <w:r>
          <w:rPr>
            <w:rFonts w:ascii="Times New Roman" w:cs="Times New Roman" w:eastAsia="Times New Roman" w:hAnsi="Times New Roman"/>
            <w:sz w:val="16"/>
            <w:szCs w:val="16"/>
            <w:u w:val="single" w:color="auto"/>
            <w:color w:val="0000FF"/>
          </w:rPr>
          <w:t>January 20, 2023</w:t>
        </w:r>
      </w:hyperlink>
      <w:r>
        <w:rPr>
          <w:rFonts w:ascii="Times New Roman" w:cs="Times New Roman" w:eastAsia="Times New Roman" w:hAnsi="Times New Roman"/>
          <w:sz w:val="16"/>
          <w:szCs w:val="16"/>
          <w:color w:val="auto"/>
        </w:rPr>
        <w:t xml:space="preserve">, </w:t>
      </w:r>
      <w:hyperlink r:id="rId46">
        <w:r>
          <w:rPr>
            <w:rFonts w:ascii="Times New Roman" w:cs="Times New Roman" w:eastAsia="Times New Roman" w:hAnsi="Times New Roman"/>
            <w:sz w:val="16"/>
            <w:szCs w:val="16"/>
            <w:u w:val="single" w:color="auto"/>
            <w:color w:val="0000FF"/>
          </w:rPr>
          <w:t>March 21, 2023</w:t>
        </w:r>
      </w:hyperlink>
      <w:r>
        <w:rPr>
          <w:rFonts w:ascii="Times New Roman" w:cs="Times New Roman" w:eastAsia="Times New Roman" w:hAnsi="Times New Roman"/>
          <w:sz w:val="16"/>
          <w:szCs w:val="16"/>
          <w:color w:val="auto"/>
        </w:rPr>
        <w:t xml:space="preserve">, </w:t>
      </w:r>
      <w:hyperlink r:id="rId47">
        <w:r>
          <w:rPr>
            <w:rFonts w:ascii="Times New Roman" w:cs="Times New Roman" w:eastAsia="Times New Roman" w:hAnsi="Times New Roman"/>
            <w:sz w:val="16"/>
            <w:szCs w:val="16"/>
            <w:u w:val="single" w:color="auto"/>
            <w:color w:val="0000FF"/>
          </w:rPr>
          <w:t>March 22, 2023,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48">
        <w:r>
          <w:rPr>
            <w:rFonts w:ascii="Times New Roman" w:cs="Times New Roman" w:eastAsia="Times New Roman" w:hAnsi="Times New Roman"/>
            <w:sz w:val="16"/>
            <w:szCs w:val="16"/>
            <w:u w:val="single" w:color="auto"/>
            <w:color w:val="0000FF"/>
          </w:rPr>
          <w:t>March 27, 2023;</w:t>
        </w:r>
      </w:hyperlink>
    </w:p>
    <w:p>
      <w:pPr>
        <w:spacing w:after="0" w:line="230"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3" w:name="page24"/>
    <w:bookmarkEnd w:id="23"/>
    <w:p>
      <w:pPr>
        <w:ind w:left="1020" w:right="320" w:hanging="503"/>
        <w:spacing w:after="0" w:line="298"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description of our common stock contained in </w:t>
      </w:r>
      <w:hyperlink r:id="rId28">
        <w:r>
          <w:rPr>
            <w:rFonts w:ascii="Times New Roman" w:cs="Times New Roman" w:eastAsia="Times New Roman" w:hAnsi="Times New Roman"/>
            <w:sz w:val="16"/>
            <w:szCs w:val="16"/>
            <w:u w:val="single" w:color="auto"/>
            <w:color w:val="0000FF"/>
          </w:rPr>
          <w:t>Exhibit 4.1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our Annual Report on Form 10-K filed February 23, 2022, including any Amendment or reports filed for the purpose of updating this description; and</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50"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AVITA Medical, Inc.</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28159 Avenue Stanford</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Suite 220</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Valencia, CA 91355</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(661) 367-9170</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Attn: Donna Shiroma, General Counsel</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24" w:name="page25"/>
    <w:bookmarkEnd w:id="24"/>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Warrants to Purchase an Aggregate of 145,180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467995</wp:posOffset>
            </wp:positionV>
            <wp:extent cx="2023110" cy="2426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023110" cy="242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-162560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13,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jpe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jpe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26" Type="http://schemas.openxmlformats.org/officeDocument/2006/relationships/hyperlink" Target="https://www.sec.gov/ix?doc=/Archives/edgar/data/0001762303/000095017025020026/rcel-20241231.htm" TargetMode="External"/><Relationship Id="rId27" Type="http://schemas.openxmlformats.org/officeDocument/2006/relationships/hyperlink" Target="https://www.sec.gov/ix?doc=/Archives/edgar/data/0001762303/000095017025019862/rcel-20250213.htm" TargetMode="External"/><Relationship Id="rId28" Type="http://schemas.openxmlformats.org/officeDocument/2006/relationships/hyperlink" Target="https://www.sec.gov/Archives/edgar/data/1762303/000156459023002302/rcel-ex41_1810.htm" TargetMode="External"/><Relationship Id="rId44" Type="http://schemas.openxmlformats.org/officeDocument/2006/relationships/hyperlink" Target="https://www.sec.gov/ix?doc=/Archives/edgar/data/1762303/000156459023002302/rcel-10k_20221231.htm" TargetMode="External"/><Relationship Id="rId45" Type="http://schemas.openxmlformats.org/officeDocument/2006/relationships/hyperlink" Target="https://www.sec.gov/ix?doc=/Archives/edgar/data/1762303/000119312523011170/d416307d8k.htm" TargetMode="External"/><Relationship Id="rId46" Type="http://schemas.openxmlformats.org/officeDocument/2006/relationships/hyperlink" Target="https://www.sec.gov/ix?doc=/Archives/edgar/data/1762303/000119312523075191/d467079d8k.htm" TargetMode="External"/><Relationship Id="rId47" Type="http://schemas.openxmlformats.org/officeDocument/2006/relationships/hyperlink" Target="https://www.sec.gov/ix?doc=/Archives/edgar/data/1762303/000119312523076835/d804540d8k.htm" TargetMode="External"/><Relationship Id="rId48" Type="http://schemas.openxmlformats.org/officeDocument/2006/relationships/hyperlink" Target="https://www.sec.gov/ix?doc=/Archives/edgar/data/1762303/000119312523080474/d4687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2025-02-14T08:05:11Z</dcterms:created>
  <dcterms:modified xsi:type="dcterms:W3CDTF">2025-02-14T08:05:11Z</dcterms:modified>
</cp:coreProperties>
</file>