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1760" w:type="dxa"/>
            <w:vAlign w:val="bottom"/>
            <w:gridSpan w:val="2"/>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Panaccio Lou</w:t>
              </w:r>
            </w:hyperlink>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7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7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320"/>
              <w:spacing w:after="0"/>
              <w:rPr>
                <w:sz w:val="20"/>
                <w:szCs w:val="20"/>
                <w:color w:val="auto"/>
              </w:rPr>
            </w:pPr>
            <w:r>
              <w:rPr>
                <w:rFonts w:ascii="Arial" w:cs="Arial" w:eastAsia="Arial" w:hAnsi="Arial"/>
                <w:sz w:val="15"/>
                <w:szCs w:val="15"/>
                <w:color w:val="auto"/>
              </w:rPr>
              <w:t>(First)</w:t>
            </w:r>
          </w:p>
        </w:tc>
        <w:tc>
          <w:tcPr>
            <w:tcW w:w="1060" w:type="dxa"/>
            <w:vAlign w:val="bottom"/>
          </w:tcPr>
          <w:p>
            <w:pPr>
              <w:ind w:left="3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100" w:type="dxa"/>
            <w:vAlign w:val="bottom"/>
            <w:gridSpan w:val="4"/>
          </w:tcPr>
          <w:p>
            <w:pPr>
              <w:ind w:left="40"/>
              <w:spacing w:after="0"/>
              <w:rPr>
                <w:sz w:val="20"/>
                <w:szCs w:val="20"/>
                <w:color w:val="auto"/>
              </w:rPr>
            </w:pPr>
            <w:r>
              <w:rPr>
                <w:rFonts w:ascii="Arial" w:cs="Arial" w:eastAsia="Arial" w:hAnsi="Arial"/>
                <w:sz w:val="20"/>
                <w:szCs w:val="20"/>
                <w:color w:val="0000FF"/>
                <w:w w:val="98"/>
              </w:rPr>
              <w:t>C/O AVITA THERAPUETICS,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28159 AVENUE STANFORD,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Avita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RCEL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center"/>
              <w:ind w:right="237"/>
              <w:spacing w:after="0"/>
              <w:rPr>
                <w:sz w:val="20"/>
                <w:szCs w:val="20"/>
                <w:color w:val="auto"/>
              </w:rPr>
            </w:pPr>
            <w:r>
              <w:rPr>
                <w:rFonts w:ascii="Arial" w:cs="Arial" w:eastAsia="Arial" w:hAnsi="Arial"/>
                <w:sz w:val="20"/>
                <w:szCs w:val="20"/>
                <w:color w:val="0000FF"/>
              </w:rPr>
              <w:t>14,092</w:t>
            </w:r>
            <w:r>
              <w:rPr>
                <w:rFonts w:ascii="Arial" w:cs="Arial" w:eastAsia="Arial" w:hAnsi="Arial"/>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center"/>
              <w:ind w:right="277"/>
              <w:spacing w:after="0"/>
              <w:rPr>
                <w:sz w:val="20"/>
                <w:szCs w:val="20"/>
                <w:color w:val="auto"/>
              </w:rPr>
            </w:pPr>
            <w:r>
              <w:rPr>
                <w:rFonts w:ascii="Arial" w:cs="Arial" w:eastAsia="Arial" w:hAnsi="Arial"/>
                <w:sz w:val="20"/>
                <w:szCs w:val="20"/>
                <w:color w:val="0000FF"/>
              </w:rPr>
              <w:t>5,972</w:t>
            </w:r>
            <w:r>
              <w:rPr>
                <w:rFonts w:ascii="Arial" w:cs="Arial" w:eastAsia="Arial" w:hAnsi="Arial"/>
                <w:sz w:val="25"/>
                <w:szCs w:val="25"/>
                <w:color w:val="008000"/>
                <w:vertAlign w:val="superscript"/>
              </w:rPr>
              <w:t>(2)</w:t>
            </w:r>
          </w:p>
        </w:tc>
        <w:tc>
          <w:tcPr>
            <w:tcW w:w="1040" w:type="dxa"/>
            <w:vAlign w:val="bottom"/>
            <w:tcBorders>
              <w:bottom w:val="single" w:sz="8" w:color="2C2C2C"/>
            </w:tcBorders>
            <w:gridSpan w:val="2"/>
          </w:tcPr>
          <w:p>
            <w:pPr>
              <w:ind w:left="920"/>
              <w:spacing w:after="0"/>
              <w:rPr>
                <w:sz w:val="20"/>
                <w:szCs w:val="20"/>
                <w:color w:val="auto"/>
              </w:rPr>
            </w:pPr>
            <w:r>
              <w:rPr>
                <w:rFonts w:ascii="Arial" w:cs="Arial" w:eastAsia="Arial" w:hAnsi="Arial"/>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Arial" w:cs="Arial" w:eastAsia="Arial" w:hAnsi="Arial"/>
                <w:sz w:val="20"/>
                <w:szCs w:val="20"/>
                <w:color w:val="0000FF"/>
                <w:w w:val="94"/>
              </w:rPr>
              <w:t>See footnote</w:t>
            </w:r>
            <w:r>
              <w:rPr>
                <w:rFonts w:ascii="Arial" w:cs="Arial" w:eastAsia="Arial" w:hAnsi="Arial"/>
                <w:sz w:val="25"/>
                <w:szCs w:val="25"/>
                <w:color w:val="008000"/>
                <w:w w:val="94"/>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4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Reflects 70,460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70,460 CDIs, which translate into 14,092 of the shares of Common Stock set forth above.</w:t>
      </w:r>
    </w:p>
    <w:p>
      <w:pPr>
        <w:spacing w:after="0" w:line="36"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Reporting Person holds 29,860 CDIs, which translate into 5,972 of the shares of Common Stock set forth above.</w:t>
      </w:r>
    </w:p>
    <w:p>
      <w:pPr>
        <w:spacing w:after="0" w:line="52" w:lineRule="exact"/>
        <w:rPr>
          <w:rFonts w:ascii="Arial" w:cs="Arial" w:eastAsia="Arial" w:hAnsi="Arial"/>
          <w:sz w:val="15"/>
          <w:szCs w:val="15"/>
          <w:color w:val="008000"/>
        </w:rPr>
      </w:pPr>
    </w:p>
    <w:p>
      <w:pPr>
        <w:jc w:val="both"/>
        <w:ind w:left="40" w:right="74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CDIs are held by The Panaccio Superannuation Fund (the "Fund"). The Reporting Person is a director of Tercus Pty Ltd ("Tercus"), trustee of the Fund, and is a beneficiary of the Fund. The Reporting Person may be deemed to have shared voting and dispositive power over the CDIs held by the Fund but disclaims such beneficial ownership, except to the extent of his pecuniary interest therein.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42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June 20,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Lou Panaccio</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Lou Panaccio</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6237"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2020-07-10T15:26:02Z</dcterms:created>
  <dcterms:modified xsi:type="dcterms:W3CDTF">2020-07-10T15:26:02Z</dcterms:modified>
</cp:coreProperties>
</file>