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82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829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Panaccio Lou</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40"/>
        <w:spacing w:after="0" w:line="283"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VALENCIA</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91355</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AVITA Medical,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top w:val="single" w:sz="8" w:color="0000EE"/>
              <w:bottom w:val="single" w:sz="8" w:color="2C2C2C"/>
            </w:tcBorders>
          </w:tcPr>
          <w:p>
            <w:pPr>
              <w:spacing w:after="0"/>
              <w:rPr>
                <w:sz w:val="10"/>
                <w:szCs w:val="10"/>
                <w:color w:val="auto"/>
              </w:rPr>
            </w:pPr>
          </w:p>
        </w:tc>
        <w:tc>
          <w:tcPr>
            <w:tcW w:w="1620" w:type="dxa"/>
            <w:vAlign w:val="bottom"/>
            <w:tcBorders>
              <w:top w:val="single" w:sz="8" w:color="0000EE"/>
              <w:bottom w:val="single" w:sz="8" w:color="2C2C2C"/>
            </w:tcBorders>
          </w:tcPr>
          <w:p>
            <w:pPr>
              <w:spacing w:after="0"/>
              <w:rPr>
                <w:sz w:val="10"/>
                <w:szCs w:val="10"/>
                <w:color w:val="auto"/>
              </w:rPr>
            </w:pPr>
          </w:p>
        </w:tc>
        <w:tc>
          <w:tcPr>
            <w:tcW w:w="20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06/05/2024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9,200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jc w:val="center"/>
              <w:ind w:right="201"/>
              <w:spacing w:after="0" w:line="312" w:lineRule="exact"/>
              <w:rPr>
                <w:sz w:val="20"/>
                <w:szCs w:val="20"/>
                <w:color w:val="auto"/>
              </w:rPr>
            </w:pPr>
            <w:r>
              <w:rPr>
                <w:rFonts w:ascii="Times New Roman" w:cs="Times New Roman" w:eastAsia="Times New Roman" w:hAnsi="Times New Roman"/>
                <w:sz w:val="33"/>
                <w:szCs w:val="33"/>
                <w:color w:val="0000FF"/>
                <w:vertAlign w:val="subscript"/>
              </w:rPr>
              <w:t>46,406</w:t>
            </w:r>
            <w:r>
              <w:rPr>
                <w:rFonts w:ascii="Times New Roman" w:cs="Times New Roman" w:eastAsia="Times New Roman" w:hAnsi="Times New Roman"/>
                <w:sz w:val="11"/>
                <w:szCs w:val="11"/>
                <w:color w:val="008000"/>
              </w:rPr>
              <w:t>(2)(3)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gridSpan w:val="3"/>
            <w:vMerge w:val="restart"/>
          </w:tcPr>
          <w:p>
            <w:pPr>
              <w:jc w:val="center"/>
              <w:ind w:right="301"/>
              <w:spacing w:after="0"/>
              <w:rPr>
                <w:sz w:val="20"/>
                <w:szCs w:val="20"/>
                <w:color w:val="auto"/>
              </w:rPr>
            </w:pPr>
            <w:r>
              <w:rPr>
                <w:rFonts w:ascii="Times New Roman" w:cs="Times New Roman" w:eastAsia="Times New Roman" w:hAnsi="Times New Roman"/>
                <w:sz w:val="17"/>
                <w:szCs w:val="17"/>
                <w:color w:val="0000FF"/>
              </w:rPr>
              <w:t>5,972</w:t>
            </w:r>
            <w:r>
              <w:rPr>
                <w:rFonts w:ascii="Times New Roman" w:cs="Times New Roman" w:eastAsia="Times New Roman" w:hAnsi="Times New Roman"/>
                <w:sz w:val="21"/>
                <w:szCs w:val="21"/>
                <w:color w:val="008000"/>
                <w:vertAlign w:val="superscript"/>
              </w:rPr>
              <w:t>(4)</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06/05/2024</w:t>
            </w:r>
          </w:p>
        </w:tc>
        <w:tc>
          <w:tcPr>
            <w:tcW w:w="110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3,943</w:t>
            </w:r>
          </w:p>
        </w:tc>
        <w:tc>
          <w:tcPr>
            <w:tcW w:w="3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06/05/2025</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06/05/2034</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3,943</w:t>
            </w: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3,943</w:t>
            </w:r>
          </w:p>
        </w:tc>
        <w:tc>
          <w:tcPr>
            <w:tcW w:w="280" w:type="dxa"/>
            <w:vAlign w:val="bottom"/>
          </w:tcPr>
          <w:p>
            <w:pPr>
              <w:spacing w:after="0"/>
              <w:rPr>
                <w:sz w:val="12"/>
                <w:szCs w:val="12"/>
                <w:color w:val="auto"/>
              </w:rPr>
            </w:pP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each representing a contingent right to be issued one share of Common Stock, that are subject to time-based vesting criteria. These RSUs vest on the date 12 months following the grant date.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70,460 of the Issuer's CDIs. The Reporting Person holds 70,460 CDIs, which translate into 14,092 of the shares of Common Stock set forth above.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29,860 CDIs, which translate into the 5,972 shares of Common Stock set forth above.</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CDIs are held by The Panaccio Superannuation Fund (the "Fund"). The Reporting Person is a director of Tercus Pty Ltd, trustee of the Fund, and is a beneficiary of the Fund. The Reporting Person may be deemed to have shared voting and dispositive power over the CDIs held by the Fund but disclaims such beneficial ownership, except to the extent of his pecuniary interest therein.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Donna Shiroma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06/06/2024</w:t>
            </w:r>
          </w:p>
        </w:tc>
      </w:tr>
      <w:tr>
        <w:trPr>
          <w:trHeight w:val="20"/>
        </w:trPr>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237"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2024-06-06T19:55:32Z</dcterms:created>
  <dcterms:modified xsi:type="dcterms:W3CDTF">2024-06-06T19:55:32Z</dcterms:modified>
</cp:coreProperties>
</file>