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20-F/A</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40" w:right="140" w:hanging="436"/>
        <w:spacing w:after="0" w:line="237" w:lineRule="auto"/>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June 30, 2019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0" w:right="40" w:hanging="436"/>
        <w:spacing w:after="0" w:line="256" w:lineRule="auto"/>
        <w:tabs>
          <w:tab w:leader="none" w:pos="44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480"/>
        <w:spacing w:after="0"/>
        <w:tabs>
          <w:tab w:leader="none" w:pos="6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3721100</wp:posOffset>
            </wp:positionH>
            <wp:positionV relativeFrom="paragraph">
              <wp:posOffset>-7620</wp:posOffset>
            </wp:positionV>
            <wp:extent cx="10668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80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40" w:right="380" w:hanging="436"/>
        <w:spacing w:after="0" w:line="256" w:lineRule="auto"/>
        <w:tabs>
          <w:tab w:leader="none" w:pos="44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001-39059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429260</wp:posOffset>
            </wp:positionV>
            <wp:extent cx="126936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69365"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Avita Medical Limited</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 and 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Australia</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Level 7, 330 Collins Street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Melbourne VIC 3000 Australia</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Tel: +61 (0) 3 8689 9997</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Fax: +61 (0) 8 9474 7742</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w:t>
      </w:r>
    </w:p>
    <w:p>
      <w:pPr>
        <w:sectPr>
          <w:pgSz w:w="11900" w:h="16838" w:orient="portrait"/>
          <w:cols w:equalWidth="0" w:num="1">
            <w:col w:w="10980"/>
          </w:cols>
          <w:pgMar w:left="440" w:top="368" w:right="4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3047365</wp:posOffset>
            </wp:positionH>
            <wp:positionV relativeFrom="page">
              <wp:posOffset>311785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t>Securities registered or to be registered pursuant to Section 12(b) of the Act.</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vMerge w:val="continue"/>
          </w:tcPr>
          <w:p>
            <w:pPr>
              <w:spacing w:after="0"/>
              <w:rPr>
                <w:sz w:val="12"/>
                <w:szCs w:val="12"/>
                <w:color w:val="auto"/>
              </w:rPr>
            </w:pP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or to be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American Depositary Shares (each</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representing 20 Ordinary Shares)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rPr>
              <w:t>LLC</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number of ordinary shares, as of June 30, 2019 is 1,871,299,575</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number of American Depositary Shares, as of June 30, 2019 is 25,518,358</w:t>
      </w:r>
    </w:p>
    <w:p>
      <w:pPr>
        <w:spacing w:after="0" w:line="178" w:lineRule="exact"/>
        <w:rPr>
          <w:sz w:val="20"/>
          <w:szCs w:val="20"/>
          <w:color w:val="auto"/>
        </w:rPr>
      </w:pPr>
    </w:p>
    <w:p>
      <w:pPr>
        <w:spacing w:after="0" w:line="207" w:lineRule="exact"/>
        <w:tabs>
          <w:tab w:leader="none" w:pos="8600" w:val="left"/>
          <w:tab w:leader="none" w:pos="93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an emerging growth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 of “large accelerated filer, “accelerated filer,” and “emerging growth company” in Rule 12b-2 of the Exchange Act.</w:t>
      </w:r>
    </w:p>
    <w:p>
      <w:pPr>
        <w:sectPr>
          <w:pgSz w:w="11900" w:h="16838" w:orient="portrait"/>
          <w:cols w:equalWidth="0" w:num="1">
            <w:col w:w="11040"/>
          </w:cols>
          <w:pgMar w:left="440" w:top="702" w:right="41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6">
            <w:col w:w="1620" w:space="720"/>
            <w:col w:w="1700" w:space="720"/>
            <w:col w:w="1220" w:space="100"/>
            <w:col w:w="1600" w:space="720"/>
            <w:col w:w="1680" w:space="720"/>
            <w:col w:w="240"/>
          </w:cols>
          <w:pgMar w:left="440" w:top="702" w:right="419" w:bottom="1440" w:gutter="0" w:footer="0" w:header="0"/>
          <w:type w:val="continuous"/>
        </w:sectPr>
      </w:pPr>
    </w:p>
    <w:p>
      <w:pPr>
        <w:spacing w:after="0" w:line="33" w:lineRule="exact"/>
        <w:rPr>
          <w:sz w:val="20"/>
          <w:szCs w:val="20"/>
          <w:color w:val="auto"/>
        </w:rPr>
      </w:pPr>
    </w:p>
    <w:p>
      <w:pPr>
        <w:ind w:left="84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2">
            <w:col w:w="10440" w:space="360"/>
            <w:col w:w="240"/>
          </w:cols>
          <w:pgMar w:left="440" w:top="702" w:right="419" w:bottom="1440" w:gutter="0" w:footer="0" w:header="0"/>
          <w:type w:val="continuous"/>
        </w:sectPr>
      </w:pPr>
    </w:p>
    <w:p>
      <w:pPr>
        <w:spacing w:after="0" w:line="48" w:lineRule="exact"/>
        <w:rPr>
          <w:sz w:val="20"/>
          <w:szCs w:val="20"/>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040"/>
          </w:cols>
          <w:pgMar w:left="440" w:top="702" w:right="419" w:bottom="1440" w:gutter="0" w:footer="0" w:header="0"/>
          <w:type w:val="continuous"/>
        </w:sectPr>
      </w:pPr>
    </w:p>
    <w:p>
      <w:pPr>
        <w:spacing w:after="0" w:line="22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0"/>
          <w:szCs w:val="20"/>
          <w:color w:val="auto"/>
        </w:rPr>
      </w:pPr>
    </w:p>
    <w:p>
      <w:pPr>
        <w:sectPr>
          <w:pgSz w:w="11900" w:h="16838" w:orient="portrait"/>
          <w:cols w:equalWidth="0" w:num="4">
            <w:col w:w="1980" w:space="720"/>
            <w:col w:w="6940" w:space="720"/>
            <w:col w:w="420" w:space="80"/>
            <w:col w:w="180"/>
          </w:cols>
          <w:pgMar w:left="440" w:top="702" w:right="419" w:bottom="1440" w:gutter="0" w:footer="0" w:header="0"/>
          <w:type w:val="continuous"/>
        </w:sectPr>
      </w:pPr>
    </w:p>
    <w:p>
      <w:pPr>
        <w:ind w:left="2700"/>
        <w:spacing w:after="0"/>
        <w:rPr>
          <w:sz w:val="20"/>
          <w:szCs w:val="20"/>
          <w:color w:val="auto"/>
        </w:rPr>
      </w:pPr>
      <w:r>
        <w:rPr>
          <w:rFonts w:ascii="Arial" w:cs="Arial" w:eastAsia="Arial" w:hAnsi="Arial"/>
          <w:sz w:val="16"/>
          <w:szCs w:val="16"/>
          <w:color w:val="auto"/>
        </w:rPr>
        <w:t>by the International Accounting Standards Board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0"/>
          <w:szCs w:val="20"/>
          <w:color w:val="auto"/>
        </w:rPr>
      </w:pPr>
    </w:p>
    <w:p>
      <w:pPr>
        <w:sectPr>
          <w:pgSz w:w="11900" w:h="16838" w:orient="portrait"/>
          <w:cols w:equalWidth="0" w:num="2">
            <w:col w:w="7140" w:space="720"/>
            <w:col w:w="3180"/>
          </w:cols>
          <w:pgMar w:left="440" w:top="702" w:right="419" w:bottom="1440" w:gutter="0" w:footer="0" w:header="0"/>
          <w:type w:val="continuous"/>
        </w:sectPr>
      </w:pPr>
    </w:p>
    <w:p>
      <w:pPr>
        <w:spacing w:after="0" w:line="14" w:lineRule="exact"/>
        <w:rPr>
          <w:sz w:val="20"/>
          <w:szCs w:val="20"/>
          <w:color w:val="auto"/>
        </w:rPr>
      </w:pPr>
    </w:p>
    <w:p>
      <w:pPr>
        <w:ind w:right="340"/>
        <w:spacing w:after="0" w:line="233"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 </w:t>
      </w:r>
      <w:r>
        <w:rPr>
          <w:rFonts w:ascii="MS PGothic" w:cs="MS PGothic" w:eastAsia="MS PGothic" w:hAnsi="MS PGothic"/>
          <w:sz w:val="18"/>
          <w:szCs w:val="18"/>
          <w:color w:val="auto"/>
        </w:rPr>
        <w:t>☐</w:t>
      </w:r>
    </w:p>
    <w:p>
      <w:pPr>
        <w:spacing w:after="0" w:line="183" w:lineRule="exact"/>
        <w:rPr>
          <w:sz w:val="20"/>
          <w:szCs w:val="20"/>
          <w:color w:val="auto"/>
        </w:rPr>
      </w:pPr>
    </w:p>
    <w:p>
      <w:pPr>
        <w:ind w:right="1380"/>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702" w:right="41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Amendment No. 1 to the Annual Report on Form 20-F of Avita Medical Limited (the “Company”) amends the Company’s Annual Report on Form 20-F for the year ended June 30, 2019 (the “Original 20-F”), which was filed with the Securities and Exchange Commission on October 31, 2019.</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filing this Amendment No. 1 solely to furnish Exhibit 101, which was not included in the Original 20-F. Exhibit 101 includes information about the Company in Extensible Business Reporting Language (XBRL). Except as described above, this Amendment No. 1 does not amend any information set forth in the Original 20-F, and the Company has not updated disclosures included therein to reflect any events that occurred subsequent to October 31, 2019.</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5520" w:type="dxa"/>
            <w:vAlign w:val="bottom"/>
          </w:tcPr>
          <w:p>
            <w:pPr>
              <w:ind w:left="4260"/>
              <w:spacing w:after="0"/>
              <w:rPr>
                <w:sz w:val="20"/>
                <w:szCs w:val="20"/>
                <w:color w:val="auto"/>
              </w:rPr>
            </w:pPr>
            <w:r>
              <w:rPr>
                <w:rFonts w:ascii="Arial" w:cs="Arial" w:eastAsia="Arial" w:hAnsi="Arial"/>
                <w:sz w:val="18"/>
                <w:szCs w:val="18"/>
                <w:b w:val="1"/>
                <w:bCs w:val="1"/>
                <w:color w:val="auto"/>
              </w:rPr>
              <w:t>PART III</w:t>
            </w:r>
          </w:p>
        </w:tc>
      </w:tr>
      <w:tr>
        <w:trPr>
          <w:trHeight w:val="432"/>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ITEM 19. EXHIBITS</w:t>
            </w:r>
          </w:p>
        </w:tc>
      </w:tr>
      <w:tr>
        <w:trPr>
          <w:trHeight w:val="407"/>
        </w:trPr>
        <w:tc>
          <w:tcPr>
            <w:tcW w:w="900" w:type="dxa"/>
            <w:vAlign w:val="bottom"/>
          </w:tcPr>
          <w:p>
            <w:pPr>
              <w:ind w:left="160"/>
              <w:spacing w:after="0"/>
              <w:rPr>
                <w:sz w:val="20"/>
                <w:szCs w:val="20"/>
                <w:color w:val="auto"/>
              </w:rPr>
            </w:pPr>
            <w:r>
              <w:rPr>
                <w:rFonts w:ascii="Arial" w:cs="Arial" w:eastAsia="Arial" w:hAnsi="Arial"/>
                <w:sz w:val="14"/>
                <w:szCs w:val="14"/>
                <w:b w:val="1"/>
                <w:bCs w:val="1"/>
                <w:color w:val="auto"/>
              </w:rPr>
              <w:t>Exhibit</w:t>
            </w:r>
          </w:p>
        </w:tc>
        <w:tc>
          <w:tcPr>
            <w:tcW w:w="5520" w:type="dxa"/>
            <w:vAlign w:val="bottom"/>
          </w:tcPr>
          <w:p>
            <w:pPr>
              <w:ind w:left="4820"/>
              <w:spacing w:after="0"/>
              <w:rPr>
                <w:sz w:val="20"/>
                <w:szCs w:val="20"/>
                <w:color w:val="auto"/>
              </w:rPr>
            </w:pPr>
            <w:r>
              <w:rPr>
                <w:rFonts w:ascii="Arial" w:cs="Arial" w:eastAsia="Arial" w:hAnsi="Arial"/>
                <w:sz w:val="14"/>
                <w:szCs w:val="14"/>
                <w:b w:val="1"/>
                <w:bCs w:val="1"/>
                <w:color w:val="auto"/>
                <w:w w:val="88"/>
              </w:rPr>
              <w:t>Description</w:t>
            </w:r>
          </w:p>
        </w:tc>
      </w:tr>
      <w:tr>
        <w:trPr>
          <w:trHeight w:val="309"/>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52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520" w:type="dxa"/>
            <w:vAlign w:val="bottom"/>
          </w:tcPr>
          <w:p>
            <w:pPr>
              <w:ind w:left="22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520" w:type="dxa"/>
            <w:vAlign w:val="bottom"/>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520" w:type="dxa"/>
            <w:vAlign w:val="bottom"/>
          </w:tcPr>
          <w:p>
            <w:pPr>
              <w:ind w:left="2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520" w:type="dxa"/>
            <w:vAlign w:val="bottom"/>
          </w:tcPr>
          <w:p>
            <w:pPr>
              <w:ind w:left="22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520" w:type="dxa"/>
            <w:vAlign w:val="bottom"/>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r>
    </w:tbl>
    <w:p>
      <w:pPr>
        <w:sectPr>
          <w:pgSz w:w="11900" w:h="16838" w:orient="portrait"/>
          <w:cols w:equalWidth="0" w:num="1">
            <w:col w:w="10960"/>
          </w:cols>
          <w:pgMar w:left="440" w:top="270" w:right="499" w:bottom="1440" w:gutter="0" w:footer="0" w:header="0"/>
        </w:sectPr>
      </w:pPr>
    </w:p>
    <w:bookmarkStart w:id="3" w:name="page4"/>
    <w:bookmarkEnd w:id="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Medical Limited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Michael Perry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Michael Perry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-130810</wp:posOffset>
            </wp:positionV>
            <wp:extent cx="27959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19, 2019</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2019-11-28T03:11:42Z</dcterms:created>
  <dcterms:modified xsi:type="dcterms:W3CDTF">2019-11-28T03:11:42Z</dcterms:modified>
</cp:coreProperties>
</file>