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O'Toole David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00"/>
        <w:spacing w:after="0" w:line="320" w:lineRule="auto"/>
        <w:rPr>
          <w:sz w:val="20"/>
          <w:szCs w:val="20"/>
          <w:color w:val="auto"/>
        </w:rPr>
      </w:pPr>
      <w:r>
        <w:rPr>
          <w:rFonts w:ascii="Times New Roman" w:cs="Times New Roman" w:eastAsia="Times New Roman" w:hAnsi="Times New Roman"/>
          <w:sz w:val="17"/>
          <w:szCs w:val="17"/>
          <w:color w:val="0000FF"/>
        </w:rPr>
        <w:t>28159 AVENUE STANFORD SUITE 220 - AVITA MEDICAL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AVITA Medical,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RCEL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CFO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VALENCIA</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91355</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05/29/2026</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5,000</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3.0515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150,927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under the AVITA Medical, Inc. Employee Share Purchase Plan ("ESPP") for the ESPP purchase period beginning on December 1, 2025 and ended on May 31, 2026 in transactions that were exempt under both Rule 16b-3(d) and Rule 16b-3(c). In accordance with the terms of the ESPP, these shares were purchased at a price equal to 85% of the closing price of the Issuer's common stock on December 1, 2025 (the purchase date of the offering period).</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O'Toole</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06/01/2026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1140" TargetMode="External"/><Relationship Id="rId14"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2026-06-01T16:32:48Z</dcterms:created>
  <dcterms:modified xsi:type="dcterms:W3CDTF">2026-06-01T16:32:48Z</dcterms:modified>
</cp:coreProperties>
</file>