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1"/>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ind w:left="1280"/>
              <w:spacing w:after="0"/>
              <w:rPr>
                <w:sz w:val="20"/>
                <w:szCs w:val="20"/>
                <w:color w:val="auto"/>
              </w:rPr>
            </w:pPr>
            <w:r>
              <w:rPr>
                <w:rFonts w:ascii="Arial" w:cs="Arial" w:eastAsia="Arial" w:hAnsi="Arial"/>
                <w:sz w:val="18"/>
                <w:szCs w:val="18"/>
                <w:b w:val="1"/>
                <w:bCs w:val="1"/>
                <w:color w:val="auto"/>
              </w:rPr>
              <w:t>001-39059</w:t>
            </w:r>
          </w:p>
        </w:tc>
        <w:tc>
          <w:tcPr>
            <w:tcW w:w="4060" w:type="dxa"/>
            <w:vAlign w:val="bottom"/>
          </w:tcPr>
          <w:p>
            <w:pPr>
              <w:jc w:val="right"/>
              <w:ind w:right="1121"/>
              <w:spacing w:after="0"/>
              <w:rPr>
                <w:sz w:val="20"/>
                <w:szCs w:val="20"/>
                <w:color w:val="auto"/>
              </w:rPr>
            </w:pPr>
            <w:r>
              <w:rPr>
                <w:rFonts w:ascii="Arial" w:cs="Arial" w:eastAsia="Arial" w:hAnsi="Arial"/>
                <w:sz w:val="18"/>
                <w:szCs w:val="18"/>
                <w:b w:val="1"/>
                <w:bCs w:val="1"/>
                <w:color w:val="auto"/>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88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1"/>
              <w:spacing w:after="0"/>
              <w:rPr>
                <w:sz w:val="20"/>
                <w:szCs w:val="20"/>
                <w:color w:val="auto"/>
              </w:rPr>
            </w:pPr>
            <w:r>
              <w:rPr>
                <w:rFonts w:ascii="Arial" w:cs="Arial" w:eastAsia="Arial" w:hAnsi="Arial"/>
                <w:sz w:val="14"/>
                <w:szCs w:val="14"/>
                <w:b w:val="1"/>
                <w:bCs w:val="1"/>
                <w:color w:val="auto"/>
                <w:w w:val="94"/>
              </w:rPr>
              <w:t>of incorporation)</w:t>
            </w:r>
          </w:p>
        </w:tc>
        <w:tc>
          <w:tcPr>
            <w:tcW w:w="288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780" w:type="dxa"/>
            <w:vAlign w:val="bottom"/>
            <w:gridSpan w:val="2"/>
          </w:tcPr>
          <w:p>
            <w:pPr>
              <w:jc w:val="center"/>
              <w:ind w:right="402"/>
              <w:spacing w:after="0"/>
              <w:rPr>
                <w:sz w:val="20"/>
                <w:szCs w:val="20"/>
                <w:color w:val="auto"/>
              </w:rPr>
            </w:pPr>
            <w:r>
              <w:rPr>
                <w:rFonts w:ascii="Arial" w:cs="Arial" w:eastAsia="Arial" w:hAnsi="Arial"/>
                <w:sz w:val="18"/>
                <w:szCs w:val="18"/>
                <w:b w:val="1"/>
                <w:bCs w:val="1"/>
                <w:color w:val="auto"/>
                <w:w w:val="90"/>
              </w:rPr>
              <w:t>28159 Avenue Stanford, Suite 220, Valencia, CA 91355</w:t>
            </w:r>
          </w:p>
        </w:tc>
        <w:tc>
          <w:tcPr>
            <w:tcW w:w="4060" w:type="dxa"/>
            <w:vAlign w:val="bottom"/>
          </w:tcPr>
          <w:p>
            <w:pPr>
              <w:jc w:val="right"/>
              <w:ind w:right="1061"/>
              <w:spacing w:after="0"/>
              <w:rPr>
                <w:sz w:val="20"/>
                <w:szCs w:val="20"/>
                <w:color w:val="auto"/>
              </w:rPr>
            </w:pPr>
            <w:r>
              <w:rPr>
                <w:rFonts w:ascii="Arial" w:cs="Arial" w:eastAsia="Arial" w:hAnsi="Arial"/>
                <w:sz w:val="18"/>
                <w:szCs w:val="18"/>
                <w:b w:val="1"/>
                <w:bCs w:val="1"/>
                <w:color w:val="auto"/>
              </w:rPr>
              <w:t>661.367.9170</w:t>
            </w:r>
          </w:p>
        </w:tc>
      </w:tr>
      <w:tr>
        <w:trPr>
          <w:trHeight w:val="186"/>
        </w:trPr>
        <w:tc>
          <w:tcPr>
            <w:tcW w:w="578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On August 12, 2021, Avita Medical, Inc. (the “Company”), issued a press release announcing an earnings call scheduled for August 26, 2021 to discuss fiscal fourth quarter 2021 financial results and certain other business updates. A copy of the press release is furnished herewith as Exhibit 99.1 to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On August 16, 2021, the Company issued a press release announcing that the U.S. Food and Drug Administration (FDA) has approved the Company’s request to amend its pivotal clinical trial evaluating the safety and effectiveness of the RECELL</w:t>
      </w:r>
      <w:r>
        <w:rPr>
          <w:rFonts w:ascii="Arial" w:cs="Arial" w:eastAsia="Arial" w:hAnsi="Arial"/>
          <w:sz w:val="14"/>
          <w:szCs w:val="14"/>
          <w:color w:val="auto"/>
        </w:rPr>
        <w:t>®</w:t>
      </w:r>
      <w:r>
        <w:rPr>
          <w:rFonts w:ascii="Arial" w:cs="Arial" w:eastAsia="Arial" w:hAnsi="Arial"/>
          <w:sz w:val="17"/>
          <w:szCs w:val="17"/>
          <w:color w:val="auto"/>
        </w:rPr>
        <w:t xml:space="preserve"> System for the repigmentation of stable vitiligo lesions to a streamlined single-arm trial design. A copy of the press release is furnished herewith as Exhibit 99.2 to this report.</w:t>
      </w:r>
    </w:p>
    <w:p>
      <w:pPr>
        <w:spacing w:after="0" w:line="16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information disclosed under Item 8.01, and in Exhibits 99.1 and 99.2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810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No.</w:t>
            </w:r>
          </w:p>
        </w:tc>
        <w:tc>
          <w:tcPr>
            <w:tcW w:w="660" w:type="dxa"/>
            <w:vAlign w:val="bottom"/>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8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gridSpan w:val="2"/>
          </w:tcPr>
          <w:p>
            <w:pPr>
              <w:spacing w:after="0"/>
              <w:rPr>
                <w:sz w:val="20"/>
                <w:szCs w:val="20"/>
                <w:color w:val="auto"/>
              </w:rPr>
            </w:pPr>
            <w:r>
              <w:rPr>
                <w:rFonts w:ascii="Arial" w:cs="Arial" w:eastAsia="Arial" w:hAnsi="Arial"/>
                <w:sz w:val="18"/>
                <w:szCs w:val="18"/>
                <w:color w:val="auto"/>
              </w:rPr>
              <w:t>99.1</w:t>
            </w:r>
          </w:p>
        </w:tc>
        <w:tc>
          <w:tcPr>
            <w:tcW w:w="946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AVITA Medical to Announce Fiscal Fourth Quarter 2021 Financial Results</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2"/>
          </w:tcPr>
          <w:p>
            <w:pPr>
              <w:spacing w:after="0"/>
              <w:rPr>
                <w:sz w:val="20"/>
                <w:szCs w:val="20"/>
                <w:color w:val="auto"/>
              </w:rPr>
            </w:pPr>
            <w:r>
              <w:rPr>
                <w:rFonts w:ascii="Arial" w:cs="Arial" w:eastAsia="Arial" w:hAnsi="Arial"/>
                <w:sz w:val="18"/>
                <w:szCs w:val="18"/>
                <w:color w:val="auto"/>
              </w:rPr>
              <w:t>99.2</w:t>
            </w:r>
          </w:p>
        </w:tc>
        <w:tc>
          <w:tcPr>
            <w:tcW w:w="7920" w:type="dxa"/>
            <w:vAlign w:val="bottom"/>
            <w:gridSpan w:val="4"/>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FDA Approves IDE Amendment to a Single-Arm Design for AVITA Medical’s Pivotal Study of the RECELL</w:t>
              </w:r>
            </w:hyperlink>
          </w:p>
        </w:tc>
        <w:tc>
          <w:tcPr>
            <w:tcW w:w="120" w:type="dxa"/>
            <w:vAlign w:val="bottom"/>
            <w:tcBorders>
              <w:bottom w:val="single" w:sz="8" w:color="0000EE"/>
            </w:tcBorders>
          </w:tcPr>
          <w:p>
            <w:pPr>
              <w:jc w:val="right"/>
              <w:spacing w:after="0"/>
              <w:rPr>
                <w:rFonts w:ascii="Arial" w:cs="Arial" w:eastAsia="Arial" w:hAnsi="Arial"/>
                <w:sz w:val="15"/>
                <w:szCs w:val="15"/>
                <w:color w:val="0000EE"/>
                <w:w w:val="89"/>
              </w:rPr>
            </w:pPr>
            <w:hyperlink w:anchor="page5">
              <w:r>
                <w:rPr>
                  <w:rFonts w:ascii="Arial" w:cs="Arial" w:eastAsia="Arial" w:hAnsi="Arial"/>
                  <w:sz w:val="15"/>
                  <w:szCs w:val="15"/>
                  <w:color w:val="0000EE"/>
                  <w:w w:val="89"/>
                </w:rPr>
                <w:t>®</w:t>
              </w:r>
            </w:hyperlink>
          </w:p>
        </w:tc>
        <w:tc>
          <w:tcPr>
            <w:tcW w:w="1420" w:type="dxa"/>
            <w:vAlign w:val="bottom"/>
          </w:tcPr>
          <w:p>
            <w:pPr>
              <w:ind w:left="40"/>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System for Vitiligo</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7200" w:type="dxa"/>
            <w:vAlign w:val="bottom"/>
            <w:tcBorders>
              <w:bottom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60" w:type="dxa"/>
            <w:vAlign w:val="bottom"/>
            <w:gridSpan w:val="6"/>
          </w:tcPr>
          <w:p>
            <w:pPr>
              <w:spacing w:after="0" w:line="183" w:lineRule="exact"/>
              <w:rPr>
                <w:rFonts w:ascii="Arial" w:cs="Arial" w:eastAsia="Arial" w:hAnsi="Arial"/>
                <w:sz w:val="18"/>
                <w:szCs w:val="18"/>
                <w:color w:val="0000EE"/>
              </w:rPr>
            </w:pPr>
            <w:hyperlink w:anchor="page5">
              <w:r>
                <w:rPr>
                  <w:rFonts w:ascii="Arial" w:cs="Arial" w:eastAsia="Arial" w:hAnsi="Arial"/>
                  <w:sz w:val="18"/>
                  <w:szCs w:val="18"/>
                  <w:color w:val="0000EE"/>
                </w:rPr>
                <w:t>Treatment</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171450</wp:posOffset>
            </wp:positionV>
            <wp:extent cx="133731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3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5260"/>
        <w:spacing w:after="0" w:line="377" w:lineRule="auto"/>
        <w:rPr>
          <w:sz w:val="20"/>
          <w:szCs w:val="20"/>
          <w:color w:val="auto"/>
        </w:rPr>
      </w:pPr>
      <w:r>
        <w:rPr>
          <w:rFonts w:ascii="Arial" w:cs="Arial" w:eastAsia="Arial" w:hAnsi="Arial"/>
          <w:sz w:val="18"/>
          <w:szCs w:val="18"/>
          <w:b w:val="1"/>
          <w:bCs w:val="1"/>
          <w:color w:val="auto"/>
        </w:rPr>
        <w:t xml:space="preserve">AVITA Medical to Announce Fiscal Fourth Quarter 2021 Financial Results </w:t>
      </w:r>
      <w:r>
        <w:rPr>
          <w:rFonts w:ascii="Arial" w:cs="Arial" w:eastAsia="Arial" w:hAnsi="Arial"/>
          <w:sz w:val="18"/>
          <w:szCs w:val="18"/>
          <w:color w:val="auto"/>
        </w:rPr>
        <w:t>August 12, 2021</w:t>
      </w:r>
    </w:p>
    <w:p>
      <w:pPr>
        <w:spacing w:after="0" w:line="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VALENCIA, Calif., and MELBOURNE, Australia, Aug. 12, 2021 (GLOBE NEWSWIRE) — AVITA Medical, Inc. (NASDAQ: RCEL, ASX: AVH), a regenerative medicine company that is developing and commercializing a technology platform that enables point-of-care autologous skin restoration for multiple unmet needs, announced today it plans to release its fiscal fourth quarter 2021 financial results after the market closes on Thursday, August 26, 2021. In conjunction with such release, the Company plans to host a conference call and webcast on August 26 at 1:30 p.m. Pacific Time / 4:30 p.m. Eastern Time (being 6:30 a.m. Australian Eastern Standard Time on Friday, August 27) to discuss its financial results and recent highlights.</w:t>
      </w:r>
    </w:p>
    <w:p>
      <w:pPr>
        <w:spacing w:after="0" w:line="5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Interested parties may access the live call via telephone by dialing (833) 614-1538 for domestic callers or (706) 634-6548 for international callers, using conference ID: 3858364. The live webinar of the call may be accessed by visiting the Events section of the Company’s website at </w:t>
      </w:r>
      <w:r>
        <w:rPr>
          <w:rFonts w:ascii="Arial" w:cs="Arial" w:eastAsia="Arial" w:hAnsi="Arial"/>
          <w:sz w:val="18"/>
          <w:szCs w:val="18"/>
          <w:u w:val="single" w:color="auto"/>
          <w:color w:val="auto"/>
        </w:rPr>
        <w:t>ir.avitamedical.com</w:t>
      </w:r>
      <w:r>
        <w:rPr>
          <w:rFonts w:ascii="Arial" w:cs="Arial" w:eastAsia="Arial" w:hAnsi="Arial"/>
          <w:sz w:val="18"/>
          <w:szCs w:val="18"/>
          <w:color w:val="auto"/>
        </w:rPr>
        <w:t>. A replay of the webinar will be available on the Company’s website shortly after the conclusion of the call.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Financial Officer of AVITA Medical,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 </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8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 xml:space="preserve">AVITA Medical’s first U.S. product, the RECELL </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8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CAUTIONARY NOTE REGARDING FORWARD-LOOKING STATEMENTS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1020"/>
          </w:cols>
          <w:pgMar w:left="440" w:top="121" w:right="439" w:bottom="521"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135" w:lineRule="exact"/>
        <w:rPr>
          <w:sz w:val="20"/>
          <w:szCs w:val="20"/>
          <w:color w:val="auto"/>
        </w:rPr>
      </w:pPr>
    </w:p>
    <w:p>
      <w:pPr>
        <w:sectPr>
          <w:pgSz w:w="11900" w:h="16838" w:orient="portrait"/>
          <w:cols w:equalWidth="0" w:num="2">
            <w:col w:w="5020" w:space="720"/>
            <w:col w:w="5280"/>
          </w:cols>
          <w:pgMar w:left="440" w:top="121" w:right="439" w:bottom="521" w:gutter="0" w:footer="0" w:header="0"/>
          <w:type w:val="continuous"/>
        </w:sectPr>
      </w:pPr>
    </w:p>
    <w:p>
      <w:pPr>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+61 (0)3 9620 3333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Mobile +61 (0)411 402 737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rudim@monsoon.com.au</w:t>
      </w:r>
    </w:p>
    <w:p>
      <w:pPr>
        <w:sectPr>
          <w:pgSz w:w="11900" w:h="16838" w:orient="portrait"/>
          <w:cols w:equalWidth="0" w:num="1">
            <w:col w:w="11020"/>
          </w:cols>
          <w:pgMar w:left="440" w:top="121" w:right="439" w:bottom="521"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171450</wp:posOffset>
            </wp:positionV>
            <wp:extent cx="133731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3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40"/>
        <w:spacing w:after="0" w:line="385" w:lineRule="auto"/>
        <w:rPr>
          <w:sz w:val="20"/>
          <w:szCs w:val="20"/>
          <w:color w:val="auto"/>
        </w:rPr>
      </w:pPr>
      <w:r>
        <w:rPr>
          <w:rFonts w:ascii="Arial" w:cs="Arial" w:eastAsia="Arial" w:hAnsi="Arial"/>
          <w:sz w:val="18"/>
          <w:szCs w:val="18"/>
          <w:b w:val="1"/>
          <w:bCs w:val="1"/>
          <w:color w:val="auto"/>
        </w:rPr>
        <w:t>FDA Approves IDE Amendment to a Single-Arm Design for AVITA Medical’s Pivotal Study of the RECELL</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System for Vitiligo Treatment </w:t>
      </w:r>
      <w:r>
        <w:rPr>
          <w:rFonts w:ascii="Arial" w:cs="Arial" w:eastAsia="Arial" w:hAnsi="Arial"/>
          <w:sz w:val="18"/>
          <w:szCs w:val="18"/>
          <w:color w:val="auto"/>
        </w:rPr>
        <w:t>August 16, 2021</w:t>
      </w:r>
    </w:p>
    <w:p>
      <w:pPr>
        <w:spacing w:after="0" w:line="1"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New single-arm design to evaluate 23 subjects at 15 clinical sites, versus previously approved 3-arm study of 84 subjects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1:20 expansion ratio to be used is the best-case scenario for patients as it requires the least amount of donor skin</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VALENCIA, Calif. and MELBOURNE, Australia, Aug. 16, 2021 (GLOBE NEWSWIRE) — AVITA Medical, Inc. (NASDAQ: RCEL, ASX: AVH), a regenerative medicine company that is developing and commercializing a technology platform that enables point-of-care autologous skin restoration for multiple unmet needs, announced today that the U.S. Food and Drug Administration (FDA) has approved the company’s request to amend its pivotal clinical trial evaluating the safety and effectiveness of the RECELL</w:t>
      </w:r>
      <w:r>
        <w:rPr>
          <w:rFonts w:ascii="Arial" w:cs="Arial" w:eastAsia="Arial" w:hAnsi="Arial"/>
          <w:sz w:val="15"/>
          <w:szCs w:val="15"/>
          <w:color w:val="auto"/>
        </w:rPr>
        <w:t>®</w:t>
      </w:r>
      <w:r>
        <w:rPr>
          <w:rFonts w:ascii="Arial" w:cs="Arial" w:eastAsia="Arial" w:hAnsi="Arial"/>
          <w:sz w:val="18"/>
          <w:szCs w:val="18"/>
          <w:color w:val="auto"/>
        </w:rPr>
        <w:t xml:space="preserve"> System for the repigmentation of stable vitiligo lesions to a streamlined single-arm trial design. The Company’s strategic decision to pursue a single cell suspension formulation (1:20 expansion ratio) is based on data from other research efforts that suggest the improbability of meaningful clinical performance differences amongst the three cell suspensions in the initial pivotal clinical trial design.</w:t>
      </w:r>
    </w:p>
    <w:p>
      <w:pPr>
        <w:spacing w:after="0" w:line="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simplified study design and reduced number of study subjects reflects confidence both in the exceptional safety profile of RECELL and in the anticipated high incidence of repigmentation with RECELL treatment, as we have seen in 11 peer-reviewed publications and in the treatment of more than 1,000 patients outside the U.S.,” said Dr. Mike Perry, Chief Executive Officer of AVITA Medical. “The design change allows this program to progress in a timely and cost-effective manner toward bringing a novel therapeutic option to an underserved population. Our ongoing multi-media outreach and clinical and advocacy group referral programs are generating significant interest in the trial. The program is on track, and we continue to believe we could be in a position to enter the U.S. market with the vitiligo indication, following successful completion of the clinical trial, as early as the second half of calendar year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Pivotal Trial Design</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multi-center pivotal study includes 15 clinical sites to assess the safety and effectiveness of the RECELL System in treatment of depigmented vitiligo lesions in patients whose vitiligo is stable, meaning they have not had new vitiligo lesions or lesions that have expanded for at least one year. The primary effectiveness evaluation is based on a comparison of the incidence of successful repigmentation with RECELL versus that of a standard of care control. Long-term durability data (assessing sustained repigmentation over 52 weeks) will be collected.</w:t>
      </w:r>
    </w:p>
    <w:p>
      <w:pPr>
        <w:spacing w:after="0" w:line="6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Each site is required to complete a run-in treatment as part of study initiation. Subjects treated in the earlier version of the pivotal clinical trial will be counted as part of the run-in cohort. After run-in, 23 subjects will be treated and evaluated in the final pivotal cohort. As with the previous design, an interim analysis will be conducted on 24-week data for approximately half of the subjects to evaluate sufficiency of the sample size, with a possible increase to sample size as needed (up to 46 subjects).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Vitiligo</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Vitiligo is a disease resulting in loss of color, or pigmentation, in patches of skin, negatively impacting the quality of life for those living with the condition.(i) Vitiligo affects approximately 6.5 million people in the United States(ii), rivalling the prevalence of psoriasis.(iiii) There is currently no cure for vitiligo, nor a universally accepted method for limiting the spread of the disease. Although many treatments are being used for the management of vitiligo, they are often temporary with a high rate of recurrence.</w:t>
      </w:r>
      <w:r>
        <w:rPr>
          <w:rFonts w:ascii="Arial" w:cs="Arial" w:eastAsia="Arial" w:hAnsi="Arial"/>
          <w:sz w:val="15"/>
          <w:szCs w:val="15"/>
          <w:color w:val="auto"/>
        </w:rPr>
        <w:t>(iv)</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Financial Officer of AVITA Medical,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 </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8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 xml:space="preserve">AVITA Medical’s first U.S. product, the RECELL </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8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6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41"/>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Phone +1 615 414 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+1 415 202 5678</w:t>
            </w:r>
          </w:p>
        </w:tc>
      </w:tr>
      <w:tr>
        <w:trPr>
          <w:trHeight w:val="190"/>
        </w:trPr>
        <w:tc>
          <w:tcPr>
            <w:tcW w:w="2220" w:type="dxa"/>
            <w:vAlign w:val="bottom"/>
            <w:gridSpan w:val="2"/>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340"/>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O.U.S Media</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r>
      <w:tr>
        <w:trPr>
          <w:trHeight w:val="220"/>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Monsoon Communications</w:t>
            </w:r>
          </w:p>
        </w:tc>
        <w:tc>
          <w:tcPr>
            <w:tcW w:w="15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Rudi Michelson</w:t>
            </w:r>
          </w:p>
        </w:tc>
        <w:tc>
          <w:tcPr>
            <w:tcW w:w="15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Phone +61 (0)3 9620 3333</w:t>
            </w:r>
          </w:p>
        </w:tc>
        <w:tc>
          <w:tcPr>
            <w:tcW w:w="15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Mobile +61 (0)411 402 737</w:t>
            </w:r>
          </w:p>
        </w:tc>
        <w:tc>
          <w:tcPr>
            <w:tcW w:w="15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190"/>
        </w:trPr>
        <w:tc>
          <w:tcPr>
            <w:tcW w:w="4220" w:type="dxa"/>
            <w:vAlign w:val="bottom"/>
            <w:gridSpan w:val="3"/>
          </w:tcPr>
          <w:p>
            <w:pPr>
              <w:spacing w:after="0" w:line="190" w:lineRule="exact"/>
              <w:rPr>
                <w:sz w:val="20"/>
                <w:szCs w:val="20"/>
                <w:color w:val="auto"/>
              </w:rPr>
            </w:pPr>
            <w:r>
              <w:rPr>
                <w:rFonts w:ascii="Arial" w:cs="Arial" w:eastAsia="Arial" w:hAnsi="Arial"/>
                <w:sz w:val="18"/>
                <w:szCs w:val="18"/>
                <w:color w:val="auto"/>
              </w:rPr>
              <w:t>rudim@monsoon.com.au</w:t>
            </w:r>
          </w:p>
        </w:tc>
        <w:tc>
          <w:tcPr>
            <w:tcW w:w="152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69"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Willingness-to-pay and quality of life in patients with vitiligo. Radtke, et al. BJD. 2009</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Advances in Vitiligo: An Update on Medical and Surgical Treatments. A. Dillon, et al. J Clin Aesth Derm. 2017</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National Psoriasis Foundation – Statistics, </w:t>
      </w:r>
      <w:r>
        <w:rPr>
          <w:rFonts w:ascii="Arial" w:cs="Arial" w:eastAsia="Arial" w:hAnsi="Arial"/>
          <w:sz w:val="18"/>
          <w:szCs w:val="18"/>
          <w:u w:val="single" w:color="auto"/>
          <w:color w:val="auto"/>
        </w:rPr>
        <w:t>https://www.psoriasis.org/content/statistics Accessed 12/28/19</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Vitiligo Research Foundation – Treatment Guidelines. https://vrfoundation.org/treatment_guidelines Accessed 12/28/19</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2021-08-17T15:35:23Z</dcterms:created>
  <dcterms:modified xsi:type="dcterms:W3CDTF">2021-08-17T15:35:23Z</dcterms:modified>
</cp:coreProperties>
</file>