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Crowe Suzanne</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120"/>
        <w:spacing w:after="0" w:line="294" w:lineRule="auto"/>
        <w:rPr>
          <w:sz w:val="20"/>
          <w:szCs w:val="20"/>
          <w:color w:val="auto"/>
        </w:rPr>
      </w:pPr>
      <w:r>
        <w:rPr>
          <w:rFonts w:ascii="Times New Roman" w:cs="Times New Roman" w:eastAsia="Times New Roman" w:hAnsi="Times New Roman"/>
          <w:sz w:val="17"/>
          <w:szCs w:val="17"/>
          <w:color w:val="0000FF"/>
        </w:rPr>
        <w:t>C/O AVITA MEDICAL 28159 AVENUE STANFORD</w:t>
      </w:r>
    </w:p>
    <w:p>
      <w:pPr>
        <w:spacing w:after="0" w:line="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SUITE 220</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80" w:type="dxa"/>
            <w:vAlign w:val="bottom"/>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37"/>
        </w:trPr>
        <w:tc>
          <w:tcPr>
            <w:tcW w:w="108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VALENCIA</w:t>
            </w:r>
          </w:p>
        </w:tc>
        <w:tc>
          <w:tcPr>
            <w:tcW w:w="92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CA</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91355</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AVITA Medical,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RCEL</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94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680" w:type="dxa"/>
            <w:vAlign w:val="bottom"/>
            <w:tcBorders>
              <w:bottom w:val="single" w:sz="8" w:color="0000EE"/>
            </w:tcBorders>
          </w:tcPr>
          <w:p>
            <w:pPr>
              <w:spacing w:after="0"/>
              <w:rPr>
                <w:sz w:val="3"/>
                <w:szCs w:val="3"/>
                <w:color w:val="auto"/>
              </w:rPr>
            </w:pPr>
          </w:p>
        </w:tc>
        <w:tc>
          <w:tcPr>
            <w:tcW w:w="19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1680" w:type="dxa"/>
            <w:vAlign w:val="bottom"/>
            <w:tcBorders>
              <w:bottom w:val="single" w:sz="8" w:color="2C2C2C"/>
            </w:tcBorders>
          </w:tcPr>
          <w:p>
            <w:pPr>
              <w:spacing w:after="0"/>
              <w:rPr>
                <w:sz w:val="15"/>
                <w:szCs w:val="15"/>
                <w:color w:val="auto"/>
              </w:rPr>
            </w:pPr>
          </w:p>
        </w:tc>
        <w:tc>
          <w:tcPr>
            <w:tcW w:w="1940" w:type="dxa"/>
            <w:vAlign w:val="bottom"/>
            <w:tcBorders>
              <w:bottom w:val="single" w:sz="8" w:color="2C2C2C"/>
            </w:tcBorders>
          </w:tcPr>
          <w:p>
            <w:pPr>
              <w:spacing w:after="0"/>
              <w:rPr>
                <w:sz w:val="15"/>
                <w:szCs w:val="15"/>
                <w:color w:val="auto"/>
              </w:rPr>
            </w:pPr>
          </w:p>
        </w:tc>
        <w:tc>
          <w:tcPr>
            <w:tcW w:w="200" w:type="dxa"/>
            <w:vAlign w:val="bottom"/>
          </w:tcPr>
          <w:p>
            <w:pPr>
              <w:spacing w:after="0"/>
              <w:rPr>
                <w:sz w:val="15"/>
                <w:szCs w:val="15"/>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85"/>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6"/>
                <w:szCs w:val="16"/>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18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12/09/2024</w:t>
            </w:r>
          </w:p>
        </w:tc>
        <w:tc>
          <w:tcPr>
            <w:tcW w:w="1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1"/>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200" w:lineRule="exact"/>
        <w:rPr>
          <w:sz w:val="24"/>
          <w:szCs w:val="24"/>
          <w:color w:val="auto"/>
        </w:rPr>
      </w:pPr>
    </w:p>
    <w:p>
      <w:pPr>
        <w:sectPr>
          <w:pgSz w:w="11900" w:h="16838" w:orient="portrait"/>
          <w:cols w:equalWidth="0" w:num="2">
            <w:col w:w="3120" w:space="720"/>
            <w:col w:w="7240"/>
          </w:cols>
          <w:pgMar w:left="460" w:top="219" w:right="359" w:bottom="1440" w:gutter="0" w:footer="0" w:header="0"/>
          <w:type w:val="continuous"/>
        </w:sectPr>
      </w:pPr>
    </w:p>
    <w:p>
      <w:pPr>
        <w:spacing w:after="0" w:line="6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95"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2"/>
                <w:szCs w:val="12"/>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(A) or</w:t>
            </w:r>
          </w:p>
        </w:tc>
        <w:tc>
          <w:tcPr>
            <w:tcW w:w="64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12/09/2024</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486</w:t>
            </w:r>
            <w:r>
              <w:rPr>
                <w:rFonts w:ascii="Times New Roman" w:cs="Times New Roman" w:eastAsia="Times New Roman" w:hAnsi="Times New Roman"/>
                <w:sz w:val="22"/>
                <w:szCs w:val="22"/>
                <w:color w:val="008000"/>
                <w:vertAlign w:val="superscript"/>
              </w:rPr>
              <w:t>(1)</w:t>
            </w:r>
          </w:p>
        </w:tc>
        <w:tc>
          <w:tcPr>
            <w:tcW w:w="4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84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13.15</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ind w:left="200"/>
              <w:spacing w:after="0"/>
              <w:rPr>
                <w:sz w:val="20"/>
                <w:szCs w:val="20"/>
                <w:color w:val="auto"/>
              </w:rPr>
            </w:pPr>
            <w:r>
              <w:rPr>
                <w:rFonts w:ascii="Times New Roman" w:cs="Times New Roman" w:eastAsia="Times New Roman" w:hAnsi="Times New Roman"/>
                <w:sz w:val="17"/>
                <w:szCs w:val="17"/>
                <w:color w:val="0000FF"/>
              </w:rPr>
              <w:t>36,912</w:t>
            </w:r>
            <w:r>
              <w:rPr>
                <w:rFonts w:ascii="Times New Roman" w:cs="Times New Roman" w:eastAsia="Times New Roman" w:hAnsi="Times New Roman"/>
                <w:sz w:val="22"/>
                <w:szCs w:val="22"/>
                <w:color w:val="008000"/>
                <w:vertAlign w:val="superscript"/>
              </w:rPr>
              <w:t>(3)(4)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4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2,430 of the Issuer's CHESS Depositary Interests ("CDIs"). CDIs are units of beneficial ownership in shares of common stock of the Issuer that are publicly traded on the Australian Securities Exchange (the "ASX") and held by CHESS Depositary Nominees Pty, Limited, a subsidiary of ASX Limited, the company that operates the ASX. Five CDIs are equivalent to one share of the Issuer's common stock and have all the rights and privileges of common stock.</w:t>
      </w:r>
    </w:p>
    <w:p>
      <w:pPr>
        <w:spacing w:after="0" w:line="20" w:lineRule="exact"/>
        <w:rPr>
          <w:rFonts w:ascii="Times New Roman" w:cs="Times New Roman" w:eastAsia="Times New Roman" w:hAnsi="Times New Roman"/>
          <w:sz w:val="13"/>
          <w:szCs w:val="13"/>
          <w:color w:val="008000"/>
        </w:rPr>
      </w:pPr>
    </w:p>
    <w:p>
      <w:pPr>
        <w:ind w:left="40" w:right="42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purchase price was converted from A$4.11, using the exchange rate as in effect on the date of the transaction, and reflects the 5:1 consolidation ratio applied in converting CDIs to shares of the Issuer's common stock.</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22,990 of the Issuer's CDIs. The Reporting Person's 22,990 CDIs translate into 4,598 of the shares of Common Stock set forth above.</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unvested RSUs.</w:t>
      </w:r>
    </w:p>
    <w:p>
      <w:pPr>
        <w:spacing w:after="0" w:line="6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Nicole Kelsey, by power of</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01/29/2025</w:t>
            </w:r>
          </w:p>
        </w:tc>
        <w:tc>
          <w:tcPr>
            <w:tcW w:w="0" w:type="dxa"/>
            <w:vAlign w:val="bottom"/>
          </w:tcPr>
          <w:p>
            <w:pPr>
              <w:spacing w:after="0"/>
              <w:rPr>
                <w:sz w:val="1"/>
                <w:szCs w:val="1"/>
                <w:color w:val="auto"/>
              </w:rPr>
            </w:pPr>
          </w:p>
        </w:tc>
      </w:tr>
      <w:tr>
        <w:trPr>
          <w:trHeight w:val="87"/>
        </w:trPr>
        <w:tc>
          <w:tcPr>
            <w:tcW w:w="58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w:t>
            </w:r>
          </w:p>
        </w:tc>
        <w:tc>
          <w:tcPr>
            <w:tcW w:w="1320" w:type="dxa"/>
            <w:vAlign w:val="bottom"/>
            <w:tcBorders>
              <w:top w:val="single" w:sz="8" w:color="auto"/>
            </w:tcBorders>
            <w:vMerge w:val="restart"/>
          </w:tcPr>
          <w:p>
            <w:pPr>
              <w:spacing w:after="0"/>
              <w:rPr>
                <w:sz w:val="7"/>
                <w:szCs w:val="7"/>
                <w:color w:val="auto"/>
              </w:rPr>
            </w:pPr>
          </w:p>
        </w:tc>
        <w:tc>
          <w:tcPr>
            <w:tcW w:w="18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580" w:type="dxa"/>
            <w:vAlign w:val="bottom"/>
            <w:tcBorders>
              <w:top w:val="single" w:sz="8" w:color="auto"/>
              <w:bottom w:val="single" w:sz="8" w:color="auto"/>
            </w:tcBorders>
            <w:vMerge w:val="continue"/>
          </w:tcPr>
          <w:p>
            <w:pPr>
              <w:spacing w:after="0"/>
              <w:rPr>
                <w:sz w:val="7"/>
                <w:szCs w:val="7"/>
                <w:color w:val="auto"/>
              </w:rPr>
            </w:pPr>
          </w:p>
        </w:tc>
        <w:tc>
          <w:tcPr>
            <w:tcW w:w="1320" w:type="dxa"/>
            <w:vAlign w:val="bottom"/>
            <w:tcBorders>
              <w:top w:val="single" w:sz="8" w:color="auto"/>
            </w:tcBorders>
            <w:vMerge w:val="continue"/>
          </w:tcPr>
          <w:p>
            <w:pPr>
              <w:spacing w:after="0"/>
              <w:rPr>
                <w:sz w:val="7"/>
                <w:szCs w:val="7"/>
                <w:color w:val="auto"/>
              </w:rPr>
            </w:pPr>
          </w:p>
        </w:tc>
        <w:tc>
          <w:tcPr>
            <w:tcW w:w="1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16242" TargetMode="External"/><Relationship Id="rId14" Type="http://schemas.openxmlformats.org/officeDocument/2006/relationships/hyperlink" Target="http://www.sec.gov/cgi-bin/browse-edgar?action=getcompany&amp;CIK=000176230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2025-01-29T16:01:27Z</dcterms:created>
  <dcterms:modified xsi:type="dcterms:W3CDTF">2025-01-29T16:01:27Z</dcterms:modified>
</cp:coreProperties>
</file>