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 As confidentially submitted to the Securities and Exchange Commission on July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4"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3893185</wp:posOffset>
            </wp:positionH>
            <wp:positionV relativeFrom="paragraph">
              <wp:posOffset>-2540</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6"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98"/>
        </w:trPr>
        <w:tc>
          <w:tcPr>
            <w:tcW w:w="1900" w:type="dxa"/>
            <w:vAlign w:val="bottom"/>
          </w:tcPr>
          <w:p>
            <w:pPr>
              <w:ind w:left="1500"/>
              <w:spacing w:after="0"/>
              <w:rPr>
                <w:sz w:val="20"/>
                <w:szCs w:val="20"/>
                <w:color w:val="auto"/>
              </w:rPr>
            </w:pPr>
            <w:r>
              <w:rPr>
                <w:rFonts w:ascii="Arial" w:cs="Arial" w:eastAsia="Arial" w:hAnsi="Arial"/>
                <w:sz w:val="14"/>
                <w:szCs w:val="14"/>
                <w:b w:val="1"/>
                <w:bCs w:val="1"/>
                <w:color w:val="auto"/>
              </w:rPr>
              <w:t>OR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-137795</wp:posOffset>
            </wp:positionV>
            <wp:extent cx="3657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760" cy="8890"/>
                    </a:xfrm>
                    <a:prstGeom prst="rect">
                      <a:avLst/>
                    </a:prstGeom>
                    <a:noFill/>
                  </pic:spPr>
                </pic:pic>
              </a:graphicData>
            </a:graphic>
          </wp:anchor>
        </w:drawing>
      </w: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4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Commission file number [</w:t>
      </w:r>
      <w:r>
        <w:rPr>
          <w:rFonts w:ascii="Arial" w:cs="Arial" w:eastAsia="Arial" w:hAnsi="Arial"/>
          <w:sz w:val="14"/>
          <w:szCs w:val="14"/>
          <w:color w:val="auto"/>
        </w:rPr>
        <w:t>●</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231140</wp:posOffset>
            </wp:positionV>
            <wp:extent cx="120904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Avita Medical Limited</w:t>
      </w:r>
    </w:p>
    <w:p>
      <w:pPr>
        <w:spacing w:after="0" w:line="14"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180"/>
        <w:spacing w:after="0"/>
        <w:rPr>
          <w:sz w:val="20"/>
          <w:szCs w:val="20"/>
          <w:color w:val="auto"/>
        </w:rPr>
      </w:pPr>
      <w:r>
        <w:rPr>
          <w:rFonts w:ascii="Arial" w:cs="Arial" w:eastAsia="Arial" w:hAnsi="Arial"/>
          <w:sz w:val="14"/>
          <w:szCs w:val="14"/>
          <w:b w:val="1"/>
          <w:bCs w:val="1"/>
          <w:color w:val="auto"/>
        </w:rPr>
        <w:t>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56515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Australia</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Level 7, 330 Collins Street</w:t>
      </w:r>
    </w:p>
    <w:p>
      <w:pPr>
        <w:jc w:val="center"/>
        <w:ind w:right="-179"/>
        <w:spacing w:after="0" w:line="226" w:lineRule="auto"/>
        <w:rPr>
          <w:sz w:val="20"/>
          <w:szCs w:val="20"/>
          <w:color w:val="auto"/>
        </w:rPr>
      </w:pPr>
      <w:r>
        <w:rPr>
          <w:rFonts w:ascii="Arial" w:cs="Arial" w:eastAsia="Arial" w:hAnsi="Arial"/>
          <w:sz w:val="14"/>
          <w:szCs w:val="14"/>
          <w:b w:val="1"/>
          <w:bCs w:val="1"/>
          <w:color w:val="auto"/>
        </w:rPr>
        <w:t>Melbourne VIC 3000 Australia</w:t>
      </w:r>
    </w:p>
    <w:p>
      <w:pPr>
        <w:jc w:val="center"/>
        <w:ind w:right="-179"/>
        <w:spacing w:after="0" w:line="222" w:lineRule="auto"/>
        <w:rPr>
          <w:sz w:val="20"/>
          <w:szCs w:val="20"/>
          <w:color w:val="auto"/>
        </w:rPr>
      </w:pPr>
      <w:r>
        <w:rPr>
          <w:rFonts w:ascii="Arial" w:cs="Arial" w:eastAsia="Arial" w:hAnsi="Arial"/>
          <w:sz w:val="14"/>
          <w:szCs w:val="14"/>
          <w:b w:val="1"/>
          <w:bCs w:val="1"/>
          <w:color w:val="auto"/>
        </w:rPr>
        <w:t>Tel: +61 (0) 3 8689 9997</w:t>
      </w:r>
    </w:p>
    <w:p>
      <w:pPr>
        <w:jc w:val="center"/>
        <w:ind w:right="-179"/>
        <w:spacing w:after="0"/>
        <w:rPr>
          <w:sz w:val="20"/>
          <w:szCs w:val="20"/>
          <w:color w:val="auto"/>
        </w:rPr>
      </w:pPr>
      <w:r>
        <w:rPr>
          <w:rFonts w:ascii="Arial" w:cs="Arial" w:eastAsia="Arial" w:hAnsi="Arial"/>
          <w:sz w:val="14"/>
          <w:szCs w:val="14"/>
          <w:b w:val="1"/>
          <w:bCs w:val="1"/>
          <w:color w:val="auto"/>
        </w:rPr>
        <w:t>Fax: +61 (0) 8 9474 7742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7"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4820" w:type="dxa"/>
            <w:vAlign w:val="bottom"/>
            <w:gridSpan w:val="5"/>
          </w:tcPr>
          <w:p>
            <w:pPr>
              <w:ind w:left="120"/>
              <w:spacing w:after="0"/>
              <w:rPr>
                <w:sz w:val="20"/>
                <w:szCs w:val="20"/>
                <w:color w:val="auto"/>
              </w:rPr>
            </w:pPr>
            <w:r>
              <w:rPr>
                <w:rFonts w:ascii="Arial" w:cs="Arial" w:eastAsia="Arial" w:hAnsi="Arial"/>
                <w:sz w:val="14"/>
                <w:szCs w:val="14"/>
                <w:b w:val="1"/>
                <w:bCs w:val="1"/>
                <w:color w:val="auto"/>
                <w:w w:val="91"/>
              </w:rPr>
              <w:t>Securities registered or to be registered pursuant to Section 12(b) of the Act.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vMerge w:val="restart"/>
          </w:tcPr>
          <w:p>
            <w:pPr>
              <w:jc w:val="center"/>
              <w:ind w:left="610"/>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gridSpan w:val="3"/>
          </w:tcPr>
          <w:p>
            <w:pPr>
              <w:jc w:val="center"/>
              <w:ind w:right="500"/>
              <w:spacing w:after="0" w:line="151" w:lineRule="exact"/>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30"/>
              <w:spacing w:after="0" w:line="151" w:lineRule="exact"/>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0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Symbol(s)</w:t>
            </w:r>
          </w:p>
        </w:tc>
        <w:tc>
          <w:tcPr>
            <w:tcW w:w="3160" w:type="dxa"/>
            <w:vAlign w:val="bottom"/>
          </w:tcPr>
          <w:p>
            <w:pPr>
              <w:jc w:val="center"/>
              <w:ind w:right="330"/>
              <w:spacing w:after="0"/>
              <w:rPr>
                <w:sz w:val="20"/>
                <w:szCs w:val="20"/>
                <w:color w:val="auto"/>
              </w:rPr>
            </w:pPr>
            <w:r>
              <w:rPr>
                <w:rFonts w:ascii="Arial" w:cs="Arial" w:eastAsia="Arial" w:hAnsi="Arial"/>
                <w:sz w:val="14"/>
                <w:szCs w:val="14"/>
                <w:b w:val="1"/>
                <w:bCs w:val="1"/>
                <w:color w:val="auto"/>
                <w:w w:val="91"/>
              </w:rPr>
              <w:t>or to be registered</w:t>
            </w:r>
          </w:p>
        </w:tc>
        <w:tc>
          <w:tcPr>
            <w:tcW w:w="0" w:type="dxa"/>
            <w:vAlign w:val="bottom"/>
          </w:tcPr>
          <w:p>
            <w:pPr>
              <w:spacing w:after="0"/>
              <w:rPr>
                <w:sz w:val="1"/>
                <w:szCs w:val="1"/>
                <w:color w:val="auto"/>
              </w:rPr>
            </w:pPr>
          </w:p>
        </w:tc>
      </w:tr>
      <w:tr>
        <w:trPr>
          <w:trHeight w:val="119"/>
        </w:trPr>
        <w:tc>
          <w:tcPr>
            <w:tcW w:w="3040" w:type="dxa"/>
            <w:vAlign w:val="bottom"/>
            <w:tcBorders>
              <w:top w:val="single" w:sz="8" w:color="auto"/>
            </w:tcBorders>
          </w:tcPr>
          <w:p>
            <w:pPr>
              <w:jc w:val="center"/>
              <w:ind w:left="610"/>
              <w:spacing w:after="0" w:line="119" w:lineRule="exact"/>
              <w:rPr>
                <w:sz w:val="20"/>
                <w:szCs w:val="20"/>
                <w:color w:val="auto"/>
              </w:rPr>
            </w:pPr>
            <w:r>
              <w:rPr>
                <w:rFonts w:ascii="Arial" w:cs="Arial" w:eastAsia="Arial" w:hAnsi="Arial"/>
                <w:sz w:val="13"/>
                <w:szCs w:val="13"/>
                <w:b w:val="1"/>
                <w:bCs w:val="1"/>
                <w:color w:val="auto"/>
                <w:w w:val="98"/>
              </w:rPr>
              <w:t>American Depositary Shares (each</w:t>
            </w: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CELS</w:t>
            </w: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tcPr>
          <w:p>
            <w:pPr>
              <w:jc w:val="center"/>
              <w:ind w:right="330"/>
              <w:spacing w:after="0" w:line="119" w:lineRule="exact"/>
              <w:rPr>
                <w:sz w:val="20"/>
                <w:szCs w:val="20"/>
                <w:color w:val="auto"/>
              </w:rPr>
            </w:pPr>
            <w:r>
              <w:rPr>
                <w:rFonts w:ascii="Arial" w:cs="Arial" w:eastAsia="Arial" w:hAnsi="Arial"/>
                <w:sz w:val="13"/>
                <w:szCs w:val="13"/>
                <w:b w:val="1"/>
                <w:bCs w:val="1"/>
                <w:color w:val="auto"/>
              </w:rPr>
              <w:t>The NASDAQ Capital Market</w:t>
            </w:r>
          </w:p>
        </w:tc>
        <w:tc>
          <w:tcPr>
            <w:tcW w:w="0" w:type="dxa"/>
            <w:vAlign w:val="bottom"/>
          </w:tcPr>
          <w:p>
            <w:pPr>
              <w:spacing w:after="0"/>
              <w:rPr>
                <w:sz w:val="1"/>
                <w:szCs w:val="1"/>
                <w:color w:val="auto"/>
              </w:rPr>
            </w:pPr>
          </w:p>
        </w:tc>
      </w:tr>
      <w:tr>
        <w:trPr>
          <w:trHeight w:val="186"/>
        </w:trPr>
        <w:tc>
          <w:tcPr>
            <w:tcW w:w="3040" w:type="dxa"/>
            <w:vAlign w:val="bottom"/>
          </w:tcPr>
          <w:p>
            <w:pPr>
              <w:jc w:val="center"/>
              <w:ind w:left="590"/>
              <w:spacing w:after="0"/>
              <w:rPr>
                <w:sz w:val="20"/>
                <w:szCs w:val="20"/>
                <w:color w:val="auto"/>
              </w:rPr>
            </w:pPr>
            <w:r>
              <w:rPr>
                <w:rFonts w:ascii="Arial" w:cs="Arial" w:eastAsia="Arial" w:hAnsi="Arial"/>
                <w:sz w:val="14"/>
                <w:szCs w:val="14"/>
                <w:b w:val="1"/>
                <w:bCs w:val="1"/>
                <w:color w:val="auto"/>
                <w:w w:val="93"/>
              </w:rPr>
              <w:t>representing [</w:t>
            </w:r>
            <w:r>
              <w:rPr>
                <w:rFonts w:ascii="Arial" w:cs="Arial" w:eastAsia="Arial" w:hAnsi="Arial"/>
                <w:sz w:val="14"/>
                <w:szCs w:val="14"/>
                <w:color w:val="auto"/>
                <w:w w:val="93"/>
              </w:rPr>
              <w:t>●</w:t>
            </w:r>
            <w:r>
              <w:rPr>
                <w:rFonts w:ascii="Arial" w:cs="Arial" w:eastAsia="Arial" w:hAnsi="Arial"/>
                <w:sz w:val="14"/>
                <w:szCs w:val="14"/>
                <w:b w:val="1"/>
                <w:bCs w:val="1"/>
                <w:color w:val="auto"/>
                <w:w w:val="93"/>
              </w:rPr>
              <w:t>] Ordinary Shares)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 None</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4"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The number of ordinary shares, as of May 23, 2019 is 1,865,849,575</w:t>
      </w:r>
    </w:p>
    <w:p>
      <w:pPr>
        <w:spacing w:after="0" w:line="28"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The number of American Depositary Shares, as of March 31, 2019 is 492,911,400</w:t>
      </w:r>
    </w:p>
    <w:p>
      <w:pPr>
        <w:spacing w:after="0" w:line="25" w:lineRule="exact"/>
        <w:rPr>
          <w:sz w:val="24"/>
          <w:szCs w:val="24"/>
          <w:color w:val="auto"/>
        </w:rPr>
      </w:pPr>
    </w:p>
    <w:p>
      <w:pPr>
        <w:ind w:left="200"/>
        <w:spacing w:after="0" w:line="161" w:lineRule="exact"/>
        <w:tabs>
          <w:tab w:leader="none" w:pos="7080" w:val="left"/>
          <w:tab w:leader="none" w:pos="764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200" w:right="66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200"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left="200" w:right="540"/>
        <w:spacing w:after="0" w:line="24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12b-2 of the Exchange Act. (Check one):</w:t>
      </w:r>
    </w:p>
    <w:p>
      <w:pPr>
        <w:spacing w:after="0" w:line="151" w:lineRule="exact"/>
        <w:rPr>
          <w:sz w:val="24"/>
          <w:szCs w:val="24"/>
          <w:color w:val="auto"/>
        </w:rPr>
      </w:pPr>
    </w:p>
    <w:p>
      <w:pPr>
        <w:ind w:left="640"/>
        <w:spacing w:after="0" w:line="161" w:lineRule="exact"/>
        <w:tabs>
          <w:tab w:leader="none" w:pos="2380" w:val="left"/>
          <w:tab w:leader="none" w:pos="6220" w:val="left"/>
          <w:tab w:leader="none" w:pos="83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65" w:lineRule="exact"/>
        <w:rPr>
          <w:sz w:val="24"/>
          <w:szCs w:val="24"/>
          <w:color w:val="auto"/>
        </w:rPr>
      </w:pPr>
    </w:p>
    <w:p>
      <w:pPr>
        <w:ind w:left="6220"/>
        <w:spacing w:after="0" w:line="161" w:lineRule="exact"/>
        <w:tabs>
          <w:tab w:leader="none" w:pos="83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46" w:lineRule="exact"/>
        <w:rPr>
          <w:sz w:val="24"/>
          <w:szCs w:val="24"/>
          <w:color w:val="auto"/>
        </w:rPr>
      </w:pPr>
    </w:p>
    <w:p>
      <w:pPr>
        <w:ind w:left="200" w:right="28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240" w:top="230" w:right="419" w:bottom="1440" w:gutter="0" w:footer="0" w:header="0"/>
        </w:sectPr>
      </w:pPr>
    </w:p>
    <w:p>
      <w:pPr>
        <w:spacing w:after="0" w:line="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12"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4400" w:type="dxa"/>
            <w:vAlign w:val="bottom"/>
          </w:tcPr>
          <w:p>
            <w:pPr>
              <w:jc w:val="center"/>
              <w:ind w:left="1268"/>
              <w:spacing w:after="0"/>
              <w:rPr>
                <w:sz w:val="20"/>
                <w:szCs w:val="20"/>
                <w:color w:val="auto"/>
              </w:rPr>
            </w:pPr>
            <w:r>
              <w:rPr>
                <w:rFonts w:ascii="Arial" w:cs="Arial" w:eastAsia="Arial" w:hAnsi="Arial"/>
                <w:sz w:val="14"/>
                <w:szCs w:val="14"/>
                <w:color w:val="auto"/>
                <w:w w:val="92"/>
              </w:rPr>
              <w:t>International Financial Reporting Standards as issued</w:t>
            </w:r>
          </w:p>
        </w:tc>
      </w:tr>
      <w:tr>
        <w:trPr>
          <w:trHeight w:val="226"/>
        </w:trPr>
        <w:tc>
          <w:tcPr>
            <w:tcW w:w="2200" w:type="dxa"/>
            <w:vAlign w:val="bottom"/>
          </w:tcPr>
          <w:p>
            <w:pPr>
              <w:spacing w:after="0"/>
              <w:rPr>
                <w:sz w:val="19"/>
                <w:szCs w:val="19"/>
                <w:color w:val="auto"/>
              </w:rPr>
            </w:pPr>
          </w:p>
        </w:tc>
        <w:tc>
          <w:tcPr>
            <w:tcW w:w="4400" w:type="dxa"/>
            <w:vAlign w:val="bottom"/>
          </w:tcPr>
          <w:p>
            <w:pPr>
              <w:jc w:val="center"/>
              <w:ind w:left="1268"/>
              <w:spacing w:after="0" w:line="161" w:lineRule="exact"/>
              <w:rPr>
                <w:sz w:val="20"/>
                <w:szCs w:val="20"/>
                <w:color w:val="auto"/>
              </w:rPr>
            </w:pPr>
            <w:r>
              <w:rPr>
                <w:rFonts w:ascii="Arial" w:cs="Arial" w:eastAsia="Arial" w:hAnsi="Arial"/>
                <w:sz w:val="14"/>
                <w:szCs w:val="14"/>
                <w:color w:val="auto"/>
                <w:w w:val="94"/>
              </w:rPr>
              <w:t xml:space="preserve">by the International Accounting Standards Board </w:t>
            </w:r>
            <w:r>
              <w:rPr>
                <w:rFonts w:ascii="MS PGothic" w:cs="MS PGothic" w:eastAsia="MS PGothic" w:hAnsi="MS PGothic"/>
                <w:sz w:val="14"/>
                <w:szCs w:val="14"/>
                <w:color w:val="auto"/>
                <w:w w:val="94"/>
              </w:rPr>
              <w:t>☒</w:t>
            </w:r>
          </w:p>
        </w:tc>
      </w:tr>
    </w:tbl>
    <w:p>
      <w:pPr>
        <w:spacing w:after="0" w:line="12" w:lineRule="exact"/>
        <w:rPr>
          <w:sz w:val="24"/>
          <w:szCs w:val="24"/>
          <w:color w:val="auto"/>
        </w:rPr>
      </w:pPr>
    </w:p>
    <w:p>
      <w:pPr>
        <w:ind w:left="200"/>
        <w:spacing w:after="0" w:line="207"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200"/>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161" w:lineRule="exact"/>
        <w:tabs>
          <w:tab w:leader="none" w:pos="780" w:val="left"/>
        </w:tabs>
        <w:rPr>
          <w:sz w:val="20"/>
          <w:szCs w:val="20"/>
          <w:color w:val="auto"/>
        </w:rPr>
      </w:pPr>
      <w:r>
        <w:rPr>
          <w:rFonts w:ascii="Arial" w:cs="Arial" w:eastAsia="Arial" w:hAnsi="Arial"/>
          <w:sz w:val="14"/>
          <w:szCs w:val="14"/>
          <w:color w:val="auto"/>
        </w:rPr>
        <w:t xml:space="preserve">Item 17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Item 18 </w:t>
      </w:r>
      <w:r>
        <w:rPr>
          <w:rFonts w:ascii="MS PGothic" w:cs="MS PGothic" w:eastAsia="MS PGothic" w:hAnsi="MS PGothic"/>
          <w:sz w:val="13"/>
          <w:szCs w:val="13"/>
          <w:color w:val="auto"/>
        </w:rPr>
        <w:t>☐</w:t>
      </w:r>
    </w:p>
    <w:p>
      <w:pPr>
        <w:sectPr>
          <w:pgSz w:w="11900" w:h="16838" w:orient="portrait"/>
          <w:cols w:equalWidth="0" w:num="2">
            <w:col w:w="9320" w:space="60"/>
            <w:col w:w="186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7"/>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Table of Contents</w:t>
              </w:r>
            </w:hyperlink>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19"/>
        </w:trPr>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gridSpan w:val="26"/>
          </w:tcPr>
          <w:p>
            <w:pPr>
              <w:jc w:val="center"/>
              <w:ind w:right="520"/>
              <w:spacing w:after="0"/>
              <w:rPr>
                <w:sz w:val="20"/>
                <w:szCs w:val="20"/>
                <w:color w:val="auto"/>
              </w:rPr>
            </w:pPr>
            <w:r>
              <w:rPr>
                <w:rFonts w:ascii="Arial" w:cs="Arial" w:eastAsia="Arial" w:hAnsi="Arial"/>
                <w:sz w:val="18"/>
                <w:szCs w:val="18"/>
                <w:color w:val="FF4338"/>
                <w:w w:val="91"/>
              </w:rPr>
              <w:t>This draft registration statement has not been publicly filed with the Securities and Exchange Commission and all</w:t>
            </w:r>
          </w:p>
        </w:tc>
        <w:tc>
          <w:tcPr>
            <w:tcW w:w="7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80" w:type="dxa"/>
            <w:vAlign w:val="bottom"/>
            <w:gridSpan w:val="15"/>
          </w:tcPr>
          <w:p>
            <w:pPr>
              <w:jc w:val="center"/>
              <w:ind w:right="2560"/>
              <w:spacing w:after="0"/>
              <w:rPr>
                <w:sz w:val="20"/>
                <w:szCs w:val="20"/>
                <w:color w:val="auto"/>
              </w:rPr>
            </w:pPr>
            <w:r>
              <w:rPr>
                <w:rFonts w:ascii="Arial" w:cs="Arial" w:eastAsia="Arial" w:hAnsi="Arial"/>
                <w:sz w:val="18"/>
                <w:szCs w:val="18"/>
                <w:color w:val="FF4338"/>
                <w:w w:val="93"/>
              </w:rPr>
              <w:t>information herein remains strictly confidential.</w:t>
            </w:r>
          </w:p>
        </w:tc>
        <w:tc>
          <w:tcPr>
            <w:tcW w:w="740" w:type="dxa"/>
            <w:vAlign w:val="bottom"/>
          </w:tcPr>
          <w:p>
            <w:pPr>
              <w:spacing w:after="0"/>
              <w:rPr>
                <w:sz w:val="20"/>
                <w:szCs w:val="20"/>
                <w:color w:val="auto"/>
              </w:rPr>
            </w:pPr>
          </w:p>
        </w:tc>
      </w:tr>
      <w:tr>
        <w:trPr>
          <w:trHeight w:val="365"/>
        </w:trPr>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2"/>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0180" w:type="dxa"/>
            <w:vAlign w:val="bottom"/>
            <w:gridSpan w:val="3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4"/>
              </w:rPr>
              <w:t>Item 1.</w:t>
            </w:r>
          </w:p>
        </w:tc>
        <w:tc>
          <w:tcPr>
            <w:tcW w:w="780" w:type="dxa"/>
            <w:vAlign w:val="bottom"/>
            <w:gridSpan w:val="5"/>
          </w:tcPr>
          <w:p>
            <w:pPr>
              <w:spacing w:after="0"/>
              <w:rPr>
                <w:sz w:val="17"/>
                <w:szCs w:val="17"/>
                <w:color w:val="auto"/>
              </w:rPr>
            </w:pPr>
          </w:p>
        </w:tc>
        <w:tc>
          <w:tcPr>
            <w:tcW w:w="40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Identity of Directors, Senior Management and Advisers</w:t>
              </w:r>
            </w:hyperlink>
          </w:p>
        </w:tc>
        <w:tc>
          <w:tcPr>
            <w:tcW w:w="486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598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2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Key Information</w:t>
              </w:r>
            </w:hyperlink>
          </w:p>
        </w:tc>
        <w:tc>
          <w:tcPr>
            <w:tcW w:w="7660" w:type="dxa"/>
            <w:vAlign w:val="bottom"/>
            <w:gridSpan w:val="2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2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Information on the Company</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4A.</w:t>
            </w:r>
          </w:p>
        </w:tc>
        <w:tc>
          <w:tcPr>
            <w:tcW w:w="208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Unresolved Staff Comments</w:t>
              </w:r>
            </w:hyperlink>
          </w:p>
        </w:tc>
        <w:tc>
          <w:tcPr>
            <w:tcW w:w="678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Operating and Financial Review and Prospects</w:t>
              </w:r>
            </w:hyperlink>
          </w:p>
        </w:tc>
        <w:tc>
          <w:tcPr>
            <w:tcW w:w="548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3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Directors, Senior Management and Employees</w:t>
              </w:r>
            </w:hyperlink>
          </w:p>
        </w:tc>
        <w:tc>
          <w:tcPr>
            <w:tcW w:w="5500" w:type="dxa"/>
            <w:vAlign w:val="bottom"/>
            <w:gridSpan w:val="1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86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Major Shareholders and Related Party Transactions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1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Financial Information</w:t>
              </w:r>
            </w:hyperlink>
          </w:p>
        </w:tc>
        <w:tc>
          <w:tcPr>
            <w:tcW w:w="2120" w:type="dxa"/>
            <w:vAlign w:val="bottom"/>
            <w:tcBorders>
              <w:top w:val="single" w:sz="8" w:color="0000EE"/>
            </w:tcBorders>
            <w:gridSpan w:val="13"/>
          </w:tcPr>
          <w:p>
            <w:pPr>
              <w:spacing w:after="0"/>
              <w:rPr>
                <w:sz w:val="17"/>
                <w:szCs w:val="17"/>
                <w:color w:val="auto"/>
              </w:rPr>
            </w:pPr>
          </w:p>
        </w:tc>
        <w:tc>
          <w:tcPr>
            <w:tcW w:w="516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886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The Offer and Listing</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886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Additional Information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8860" w:type="dxa"/>
            <w:vAlign w:val="bottom"/>
            <w:gridSpan w:val="2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44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Description of Securities Other than Equity Securities</w:t>
              </w:r>
            </w:hyperlink>
          </w:p>
        </w:tc>
        <w:tc>
          <w:tcPr>
            <w:tcW w:w="444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PART II</w:t>
              </w:r>
            </w:hyperlink>
          </w:p>
        </w:tc>
        <w:tc>
          <w:tcPr>
            <w:tcW w:w="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3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Defaults, Dividend Arrearages and Delinquencies</w:t>
              </w:r>
            </w:hyperlink>
          </w:p>
        </w:tc>
        <w:tc>
          <w:tcPr>
            <w:tcW w:w="528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6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Material Modifications to the Rights of Security Holders and Use of Proceeds</w:t>
              </w:r>
            </w:hyperlink>
          </w:p>
        </w:tc>
        <w:tc>
          <w:tcPr>
            <w:tcW w:w="32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886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1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Reserved</w:t>
              </w:r>
            </w:hyperlink>
          </w:p>
        </w:tc>
        <w:tc>
          <w:tcPr>
            <w:tcW w:w="710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16A.</w:t>
            </w:r>
          </w:p>
        </w:tc>
        <w:tc>
          <w:tcPr>
            <w:tcW w:w="886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Audit Committee Financial Expert</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16B.</w:t>
            </w:r>
          </w:p>
        </w:tc>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Code of Ethics</w:t>
              </w:r>
            </w:hyperlink>
          </w:p>
        </w:tc>
        <w:tc>
          <w:tcPr>
            <w:tcW w:w="638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Principal Accountant Fees and Services</w:t>
              </w:r>
            </w:hyperlink>
          </w:p>
        </w:tc>
        <w:tc>
          <w:tcPr>
            <w:tcW w:w="600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16D.</w:t>
            </w:r>
          </w:p>
        </w:tc>
        <w:tc>
          <w:tcPr>
            <w:tcW w:w="886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Exemptions from the Listing Standards for Audit Committees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16E.</w:t>
            </w:r>
          </w:p>
        </w:tc>
        <w:tc>
          <w:tcPr>
            <w:tcW w:w="886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Purchases of Equity Securities by the Issuer and Affiliated Purchasers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16F.</w:t>
            </w:r>
          </w:p>
        </w:tc>
        <w:tc>
          <w:tcPr>
            <w:tcW w:w="33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Change in Registrant’s Certifying Accountant</w:t>
              </w:r>
            </w:hyperlink>
          </w:p>
        </w:tc>
        <w:tc>
          <w:tcPr>
            <w:tcW w:w="1720" w:type="dxa"/>
            <w:vAlign w:val="bottom"/>
            <w:tcBorders>
              <w:top w:val="single" w:sz="8" w:color="0000EE"/>
            </w:tcBorders>
            <w:gridSpan w:val="9"/>
          </w:tcPr>
          <w:p>
            <w:pPr>
              <w:spacing w:after="0"/>
              <w:rPr>
                <w:sz w:val="17"/>
                <w:szCs w:val="17"/>
                <w:color w:val="auto"/>
              </w:rPr>
            </w:pPr>
          </w:p>
        </w:tc>
        <w:tc>
          <w:tcPr>
            <w:tcW w:w="384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16G.</w:t>
            </w:r>
          </w:p>
        </w:tc>
        <w:tc>
          <w:tcPr>
            <w:tcW w:w="886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Corporate Governance</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60" w:type="dxa"/>
            <w:vAlign w:val="bottom"/>
            <w:gridSpan w:val="1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16H.</w:t>
            </w:r>
          </w:p>
        </w:tc>
        <w:tc>
          <w:tcPr>
            <w:tcW w:w="8860" w:type="dxa"/>
            <w:vAlign w:val="bottom"/>
            <w:gridSpan w:val="27"/>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Mine Safety Disclosure</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PART III</w:t>
              </w:r>
            </w:hyperlink>
          </w:p>
        </w:tc>
        <w:tc>
          <w:tcPr>
            <w:tcW w:w="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00" w:type="dxa"/>
            <w:vAlign w:val="bottom"/>
          </w:tcPr>
          <w:p>
            <w:pPr>
              <w:spacing w:after="0"/>
              <w:rPr>
                <w:sz w:val="17"/>
                <w:szCs w:val="17"/>
                <w:color w:val="auto"/>
              </w:rPr>
            </w:pPr>
          </w:p>
        </w:tc>
        <w:tc>
          <w:tcPr>
            <w:tcW w:w="6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8"/>
              </w:rPr>
              <w:t>Item 17.</w:t>
            </w:r>
          </w:p>
        </w:tc>
        <w:tc>
          <w:tcPr>
            <w:tcW w:w="660" w:type="dxa"/>
            <w:vAlign w:val="bottom"/>
            <w:gridSpan w:val="3"/>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Financial Statements</w:t>
              </w:r>
            </w:hyperlink>
          </w:p>
        </w:tc>
        <w:tc>
          <w:tcPr>
            <w:tcW w:w="730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18.</w:t>
            </w: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Financial Statements</w:t>
              </w:r>
            </w:hyperlink>
          </w:p>
        </w:tc>
        <w:tc>
          <w:tcPr>
            <w:tcW w:w="7360" w:type="dxa"/>
            <w:vAlign w:val="bottom"/>
            <w:gridSpan w:val="2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auto"/>
              </w:rPr>
              <w:t>Item 19.</w:t>
            </w:r>
          </w:p>
        </w:tc>
        <w:tc>
          <w:tcPr>
            <w:tcW w:w="8860" w:type="dxa"/>
            <w:vAlign w:val="bottom"/>
            <w:gridSpan w:val="27"/>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Exhibits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2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240" w:top="446"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Avita Medical Limited was incorporated under the laws of the Commonwealth of Australia on December 21, 1992. The principal listing of our ordinary shares and to purchase our ordinary shares is the Australian Securities Exchange, or ASX. Our American Depositary Share (“ADS”) securities trade over the counter in the United States on the OTCQX market. We are filing this registration statement on Form 20-F in anticipation of the listing of our ADSs on the NASDAQ Capital Market under the symbol “CELS”. We have appointed Bank of New York Mellon to act as our American Depositary Share (“ADS”) registrar and transfer agent to register and deliver our ADS in the United States for the Nasdaq Stock Market. As used in this registration statement, the terms “we,” “us,” “our,” “Avita,” and the “Company” mean Avita Medical Limited and its subsidiaries, unless otherwise indicated.</w:t>
      </w:r>
    </w:p>
    <w:p>
      <w:pPr>
        <w:spacing w:after="0" w:line="16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Australian dollars and in accordance with the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United States of America, and all references to “Australian dollars” or “A$” are to the currency of Australia.</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Statements made in this registration statement on Form 20-F concerning the contents of any contract, agreement or other documents are summaries of such contracts, agreements or documents and are not complete descriptions of all of their terms. If we filed any of these documents as an exhibit to this registration statement or to any registration statement or annual report that we previously filed, you may read the document itself for a complete description of its terms.</w:t>
      </w:r>
    </w:p>
    <w:p>
      <w:pPr>
        <w:spacing w:after="0" w:line="18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Except for the historical information contained in this registration statement on Form 20-F, the statements contained in this registration statement on Form 20-F are “forward-looking statements” which reflect our current view with respect to future events and financial results. We urge you to consider that statements which use the terms “anticipate,” “believe,” “do not believe,” “expect,” “plan,” “intend,” “estimate,” and similar expressions are intended to identify forward-looking statements. We remind investors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expressed or implied by such forward-looking statements. Investors are cautioned not to place undue reliance on these forward-looking statements, which speak only as of the date hereof. Except as required by applicable law, including the securities laws of the United States, we undertake no obligation to publicly release any update or revision to any forward-looking statements to reflect new information, future events or circumstances, or otherwise after the date hereof. Please see the Risk Factors section that appears in “Item 3. Key Information – D. Risk Factors.”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right="4320"/>
        <w:spacing w:after="0" w:line="378" w:lineRule="auto"/>
        <w:rPr>
          <w:sz w:val="20"/>
          <w:szCs w:val="20"/>
          <w:color w:val="auto"/>
        </w:rPr>
      </w:pPr>
      <w:r>
        <w:rPr>
          <w:rFonts w:ascii="Arial" w:cs="Arial" w:eastAsia="Arial" w:hAnsi="Arial"/>
          <w:sz w:val="18"/>
          <w:szCs w:val="18"/>
          <w:b w:val="1"/>
          <w:bCs w:val="1"/>
          <w:color w:val="auto"/>
        </w:rPr>
        <w:t>ITEM 1. IDENTITY OF DIRECTORS, SENIOR MANAGEMENT AND ADVISERS A. Directors and Senior Management</w:t>
      </w:r>
    </w:p>
    <w:p>
      <w:pPr>
        <w:ind w:left="200" w:right="560" w:firstLine="441"/>
        <w:spacing w:after="0" w:line="342" w:lineRule="auto"/>
        <w:rPr>
          <w:sz w:val="20"/>
          <w:szCs w:val="20"/>
          <w:color w:val="auto"/>
        </w:rPr>
      </w:pPr>
      <w:r>
        <w:rPr>
          <w:rFonts w:ascii="Arial" w:cs="Arial" w:eastAsia="Arial" w:hAnsi="Arial"/>
          <w:sz w:val="16"/>
          <w:szCs w:val="16"/>
          <w:color w:val="auto"/>
        </w:rPr>
        <w:t>For the names, business addresses and functions of our directors and senior management, see “Item 6. Directors, Senior Management and Employees – A. Directors and Senior Management” and “Item 6. Directors, Senior Management and Employees – C. Board Practices.”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Advisers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principal legal adviser is K&amp;L Gates LLP, 925 Fourth Avenue, Suite 2900, Seattle, Washington 98104, United States of America and 25/525 Collins St,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Auditors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statutory auditor for Australia and U.S. reporting purposes is Grant Thornton Audit Pty Ltd Level 43 Central Park, 152-158 St Georges Terrace Perth, WA 6000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following table summarizes our historical consolidated financial data and should be read together with our consolidated financial statements, the notes to our consolidated financial statements and the sections titled “Selected consolidated financial data” and “Management’s discussion and analysis of financial condition and results of operations” contained elsewhere in this Registration Statement on Form 20-F.</w:t>
      </w:r>
    </w:p>
    <w:p>
      <w:pPr>
        <w:spacing w:after="0" w:line="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We derived the summary consolidated statements of profit or loss or other comprehensive income data and consolidated statements of financial position data for the fiscal years ended June 30, 2018, 2017 and 2016 from our audited consolidated financial statements included elsewhere in this Registration Statement on Form 20-F. We have derived the unaudited condensed consolidated statements of profit or loss or other comprehensive income for the half-year ended December 31, 2018 and 2017, and the unaudited condensed consolidated statement of financial position data as of December 31, 2018, from our unaudited condensed consolidated financial statements, included elsewhere in this Registration Statement. We have prepared the unaudited financial information on a basis consistent with our audited consolidated financial statements and have included, in our opinion, all adjustments, consisting only of normal recurring adjustments, that we consider necessary for a fair statement of the financial information set forth in those statements. The summary financial data included in this section are not intended to replace the financial statements and related notes included elsewhere in this Registration Statement. Our historical results are not necessarily indicative of our future performance, and our interim results are not necessarily indicative of the results to be expected for the full fiscal year.</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7"/>
              </w:rPr>
              <w:t>Years ended 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Half-year ended December 31,</w:t>
            </w:r>
          </w:p>
        </w:tc>
        <w:tc>
          <w:tcPr>
            <w:tcW w:w="0" w:type="dxa"/>
            <w:vAlign w:val="bottom"/>
          </w:tcPr>
          <w:p>
            <w:pPr>
              <w:spacing w:after="0"/>
              <w:rPr>
                <w:sz w:val="1"/>
                <w:szCs w:val="1"/>
                <w:color w:val="auto"/>
              </w:rPr>
            </w:pPr>
          </w:p>
        </w:tc>
      </w:tr>
      <w:tr>
        <w:trPr>
          <w:trHeight w:val="129"/>
        </w:trPr>
        <w:tc>
          <w:tcPr>
            <w:tcW w:w="39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Consolidated statements of profit or loss or other</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Sale of goods</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1,198,861</w:t>
            </w:r>
          </w:p>
        </w:tc>
        <w:tc>
          <w:tcPr>
            <w:tcW w:w="16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901,376</w:t>
            </w:r>
          </w:p>
        </w:tc>
        <w:tc>
          <w:tcPr>
            <w:tcW w:w="300" w:type="dxa"/>
            <w:vAlign w:val="bottom"/>
          </w:tcPr>
          <w:p>
            <w:pPr>
              <w:spacing w:after="0"/>
              <w:rPr>
                <w:sz w:val="17"/>
                <w:szCs w:val="17"/>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color w:val="auto"/>
                <w:w w:val="91"/>
              </w:rPr>
              <w:t>A$</w:t>
            </w:r>
          </w:p>
        </w:tc>
        <w:tc>
          <w:tcPr>
            <w:tcW w:w="780" w:type="dxa"/>
            <w:vAlign w:val="bottom"/>
          </w:tcPr>
          <w:p>
            <w:pPr>
              <w:jc w:val="right"/>
              <w:spacing w:after="0"/>
              <w:rPr>
                <w:sz w:val="20"/>
                <w:szCs w:val="20"/>
                <w:color w:val="auto"/>
              </w:rPr>
            </w:pPr>
            <w:r>
              <w:rPr>
                <w:rFonts w:ascii="Arial" w:cs="Arial" w:eastAsia="Arial" w:hAnsi="Arial"/>
                <w:sz w:val="16"/>
                <w:szCs w:val="16"/>
                <w:color w:val="auto"/>
              </w:rPr>
              <w:t>1,002,007</w:t>
            </w:r>
          </w:p>
        </w:tc>
        <w:tc>
          <w:tcPr>
            <w:tcW w:w="26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1,813,195</w:t>
            </w:r>
          </w:p>
        </w:tc>
        <w:tc>
          <w:tcPr>
            <w:tcW w:w="24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91"/>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607,761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(511,646)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(463,285)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(401,568)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(570,315)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(264,833)</w:t>
            </w: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687,215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438,091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600,439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1,242,880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BARDA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10,104,081</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6,886,236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2,424,357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5,009,137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3,856,716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344,734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10,172,698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7,230,970</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2,544,517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5,112,763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3,894,311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Operating costs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(8,936,441)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(5,201,761)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(5,042,189)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(6,931,241)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(2,815,698)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Product development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(12,606,127)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(11,161,970)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(6,018,184)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(7,080,042)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(5,058,518)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administrative expenses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(5,360,553)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(2,264,594)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(2,371,747)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(6,865,250)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(2,873,511)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Share-based payment expenses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(1,835,157)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(1,587,243)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(956,658)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(1,043,694)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(726,856)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costs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(26,586)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(12,754)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(14,807)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(13,253)</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Total operating costs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(28,764,864)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(20,228,322)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(14,388,799)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(21,935,034)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(11,487,836)</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benefit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(17,904,951)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(12,559,261)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(11,243,843)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305"/>
        </w:trPr>
        <w:tc>
          <w:tcPr>
            <w:tcW w:w="3960" w:type="dxa"/>
            <w:vAlign w:val="bottom"/>
            <w:gridSpan w:val="3"/>
          </w:tcPr>
          <w:p>
            <w:pPr>
              <w:spacing w:after="0"/>
              <w:rPr>
                <w:sz w:val="20"/>
                <w:szCs w:val="20"/>
                <w:color w:val="auto"/>
              </w:rPr>
            </w:pPr>
            <w:r>
              <w:rPr>
                <w:rFonts w:ascii="Arial" w:cs="Arial" w:eastAsia="Arial" w:hAnsi="Arial"/>
                <w:sz w:val="16"/>
                <w:szCs w:val="16"/>
                <w:color w:val="auto"/>
              </w:rPr>
              <w:t>Profit for the period from discontinued operations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2,493,947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1,385,796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1,048,237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gridSpan w:val="3"/>
          </w:tcPr>
          <w:p>
            <w:pPr>
              <w:spacing w:after="0"/>
              <w:rPr>
                <w:sz w:val="20"/>
                <w:szCs w:val="20"/>
                <w:color w:val="auto"/>
              </w:rPr>
            </w:pPr>
            <w:r>
              <w:rPr>
                <w:rFonts w:ascii="Arial" w:cs="Arial" w:eastAsia="Arial" w:hAnsi="Arial"/>
                <w:sz w:val="16"/>
                <w:szCs w:val="16"/>
                <w:color w:val="auto"/>
              </w:rPr>
              <w:t>Loss for the period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(16,519,155)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(11,511,024)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(7,778,015)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(15,579,391)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(7,250,597)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(83,293)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(169,100)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Fair value gain (loss) on available for sale financial 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(265,261)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265,261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960" w:type="dxa"/>
            <w:vAlign w:val="bottom"/>
            <w:gridSpan w:val="3"/>
          </w:tcPr>
          <w:p>
            <w:pPr>
              <w:spacing w:after="0"/>
              <w:rPr>
                <w:sz w:val="20"/>
                <w:szCs w:val="20"/>
                <w:color w:val="auto"/>
              </w:rPr>
            </w:pPr>
            <w:r>
              <w:rPr>
                <w:rFonts w:ascii="Arial" w:cs="Arial" w:eastAsia="Arial" w:hAnsi="Arial"/>
                <w:sz w:val="16"/>
                <w:szCs w:val="16"/>
                <w:color w:val="auto"/>
                <w:w w:val="98"/>
              </w:rPr>
              <w:t>Other comprehensive income (loss) for the period, net of</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tax</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563,279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(348,554)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1,374,144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(55,390)</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comprehensive loss for the period</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(15,955,876)</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u w:val="single" w:color="auto"/>
                <w:color w:val="auto"/>
                <w:w w:val="91"/>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0"/>
              </w:rPr>
              <w:t>(11,859,578)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(7,681,854)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(14,205,247)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(7,305,987)</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6"/>
                <w:szCs w:val="16"/>
                <w:color w:val="auto"/>
              </w:rPr>
              <w:t>Earnings per share</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9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loss per share from continuing</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operations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(1.77) cents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1"/>
              </w:rPr>
              <w:t>A$</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(1.72) cents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(1.56)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(1.59) cents</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A$</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(0.91) cents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Basic and diluted loss per share from discontinued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6"/>
                <w:szCs w:val="16"/>
                <w:u w:val="single" w:color="auto"/>
                <w:color w:val="auto"/>
                <w:w w:val="91"/>
              </w:rPr>
              <w:t>A</w:t>
            </w:r>
            <w:r>
              <w:rPr>
                <w:rFonts w:ascii="Arial" w:cs="Arial" w:eastAsia="Arial" w:hAnsi="Arial"/>
                <w:sz w:val="16"/>
                <w:szCs w:val="16"/>
                <w:color w:val="auto"/>
                <w:w w:val="9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(0.05) cents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June 30,</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40" w:type="dxa"/>
            <w:vAlign w:val="bottom"/>
            <w:gridSpan w:val="4"/>
          </w:tcPr>
          <w:p>
            <w:pPr>
              <w:ind w:left="60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29"/>
        </w:trPr>
        <w:tc>
          <w:tcPr>
            <w:tcW w:w="444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Borders>
              <w:top w:val="single" w:sz="8" w:color="auto"/>
            </w:tcBorders>
          </w:tcPr>
          <w:p>
            <w:pPr>
              <w:jc w:val="right"/>
              <w:ind w:right="263"/>
              <w:spacing w:after="0" w:line="129" w:lineRule="exact"/>
              <w:rPr>
                <w:sz w:val="20"/>
                <w:szCs w:val="20"/>
                <w:color w:val="auto"/>
              </w:rPr>
            </w:pPr>
            <w:r>
              <w:rPr>
                <w:rFonts w:ascii="Arial" w:cs="Arial" w:eastAsia="Arial" w:hAnsi="Arial"/>
                <w:sz w:val="14"/>
                <w:szCs w:val="14"/>
                <w:b w:val="1"/>
                <w:bCs w:val="1"/>
                <w:color w:val="auto"/>
              </w:rPr>
              <w:t>2018</w:t>
            </w:r>
          </w:p>
        </w:tc>
        <w:tc>
          <w:tcPr>
            <w:tcW w:w="1440" w:type="dxa"/>
            <w:vAlign w:val="bottom"/>
            <w:tcBorders>
              <w:top w:val="single" w:sz="8" w:color="auto"/>
            </w:tcBorders>
            <w:gridSpan w:val="2"/>
          </w:tcPr>
          <w:p>
            <w:pPr>
              <w:jc w:val="right"/>
              <w:ind w:right="199"/>
              <w:spacing w:after="0" w:line="129" w:lineRule="exact"/>
              <w:rPr>
                <w:sz w:val="20"/>
                <w:szCs w:val="20"/>
                <w:color w:val="auto"/>
              </w:rPr>
            </w:pPr>
            <w:r>
              <w:rPr>
                <w:rFonts w:ascii="Arial" w:cs="Arial" w:eastAsia="Arial" w:hAnsi="Arial"/>
                <w:sz w:val="14"/>
                <w:szCs w:val="14"/>
                <w:b w:val="1"/>
                <w:bCs w:val="1"/>
                <w:color w:val="auto"/>
              </w:rPr>
              <w:t>2017</w:t>
            </w:r>
          </w:p>
        </w:tc>
        <w:tc>
          <w:tcPr>
            <w:tcW w:w="1440" w:type="dxa"/>
            <w:vAlign w:val="bottom"/>
            <w:tcBorders>
              <w:top w:val="single" w:sz="8" w:color="auto"/>
            </w:tcBorders>
            <w:gridSpan w:val="2"/>
          </w:tcPr>
          <w:p>
            <w:pPr>
              <w:jc w:val="right"/>
              <w:ind w:right="199"/>
              <w:spacing w:after="0" w:line="129"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80"/>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Consolidated statements of financial position data:</w:t>
            </w:r>
          </w:p>
        </w:tc>
        <w:tc>
          <w:tcPr>
            <w:tcW w:w="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A$14,825,532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A$3,790,491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A$4,171,879</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A$</w:t>
            </w:r>
          </w:p>
        </w:tc>
        <w:tc>
          <w:tcPr>
            <w:tcW w:w="880" w:type="dxa"/>
            <w:vAlign w:val="bottom"/>
          </w:tcPr>
          <w:p>
            <w:pPr>
              <w:jc w:val="right"/>
              <w:spacing w:after="0"/>
              <w:rPr>
                <w:sz w:val="20"/>
                <w:szCs w:val="20"/>
                <w:color w:val="auto"/>
              </w:rPr>
            </w:pPr>
            <w:r>
              <w:rPr>
                <w:rFonts w:ascii="Arial" w:cs="Arial" w:eastAsia="Arial" w:hAnsi="Arial"/>
                <w:sz w:val="16"/>
                <w:szCs w:val="16"/>
                <w:color w:val="auto"/>
              </w:rPr>
              <w:t>30,342,360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22,274,431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7,280,541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8,508,418</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34,953,776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23,017,014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7,667,921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8,602,909</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36,347,382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3,883,117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2,546,089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1,750,392</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5,017,066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9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18,999,559</w:t>
            </w:r>
          </w:p>
        </w:tc>
        <w:tc>
          <w:tcPr>
            <w:tcW w:w="6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5,121,832</w:t>
            </w:r>
          </w:p>
        </w:tc>
        <w:tc>
          <w:tcPr>
            <w:tcW w:w="6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6,852,517</w:t>
            </w:r>
          </w:p>
        </w:tc>
        <w:tc>
          <w:tcPr>
            <w:tcW w:w="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31,247,284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Exchange Rate Information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publish our consolidated financial statements in Australian dollars. In this Registration Statement, references to dollars, “$” or “A$” are to Australian dollars currency and references to “U.S. dollars” or “US$” are to U.S. currency. Solely for informational purposes, this Registration Statement contains translations of certain Australian dollars into or from U.S. dollars at specified rates. These translations should not be construed as representations that the Australian dollars amounts actually represent such U.S. dollar amounts or could be converted into or from U.S. dollars at the rate indicated or at any other rate. Unless otherwise stated herein, the translations of Australian dollars into or from U.S. dollars have been made at A$1.00 to US$0.7399, the Buying Rate on June 30, 2018.</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following tables set forth, for the periods and dates indicated, certain information regarding the rates of exchange of A$1.00 into US$ based on rates published by the Reserve Bank of Australia (RBA). Each period end rate is the average ask price for the day. The average rate is the average of all the ask prices for the given time period. The high rate is the highest bid rate for the given time period. The low rate is the lowest bid rate for the given time period. We make no representation that any Australian dollar or U.S. dollar amounts could have been or could be, converted into U.S. dollars or Australian dollars, as the case may be, at any particular rate, the rates stated below, or at all.</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Australian dollar is convertible into U.S. dollars at freely floating rates. There are no legal restrictions on the flow of Australian dollars between Australia and the U.S.</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Year</w:t>
      </w:r>
    </w:p>
    <w:p>
      <w:pPr>
        <w:ind w:left="980"/>
        <w:spacing w:after="0"/>
        <w:tabs>
          <w:tab w:leader="none" w:pos="3320" w:val="left"/>
          <w:tab w:leader="none" w:pos="5460" w:val="left"/>
          <w:tab w:leader="none" w:pos="7940" w:val="left"/>
          <w:tab w:leader="none" w:pos="10080" w:val="left"/>
        </w:tabs>
        <w:rPr>
          <w:sz w:val="20"/>
          <w:szCs w:val="20"/>
          <w:color w:val="auto"/>
        </w:rPr>
      </w:pPr>
      <w:r>
        <w:rPr>
          <w:rFonts w:ascii="Arial" w:cs="Arial" w:eastAsia="Arial" w:hAnsi="Arial"/>
          <w:sz w:val="14"/>
          <w:szCs w:val="14"/>
          <w:color w:val="auto"/>
        </w:rPr>
        <w:t>Ended June 30,</w:t>
      </w:r>
      <w:r>
        <w:rPr>
          <w:sz w:val="20"/>
          <w:szCs w:val="20"/>
          <w:color w:val="auto"/>
        </w:rPr>
        <w:tab/>
      </w:r>
      <w:r>
        <w:rPr>
          <w:rFonts w:ascii="Arial" w:cs="Arial" w:eastAsia="Arial" w:hAnsi="Arial"/>
          <w:sz w:val="14"/>
          <w:szCs w:val="14"/>
          <w:color w:val="auto"/>
        </w:rPr>
        <w:t>At Period End</w:t>
      </w:r>
      <w:r>
        <w:rPr>
          <w:sz w:val="20"/>
          <w:szCs w:val="20"/>
          <w:color w:val="auto"/>
        </w:rPr>
        <w:tab/>
      </w:r>
      <w:r>
        <w:rPr>
          <w:rFonts w:ascii="Arial" w:cs="Arial" w:eastAsia="Arial" w:hAnsi="Arial"/>
          <w:sz w:val="14"/>
          <w:szCs w:val="14"/>
          <w:color w:val="auto"/>
        </w:rPr>
        <w:t>Average Ratio</w:t>
      </w:r>
      <w:r>
        <w:rPr>
          <w:sz w:val="20"/>
          <w:szCs w:val="20"/>
          <w:color w:val="auto"/>
        </w:rPr>
        <w:tab/>
      </w:r>
      <w:r>
        <w:rPr>
          <w:rFonts w:ascii="Arial" w:cs="Arial" w:eastAsia="Arial" w:hAnsi="Arial"/>
          <w:sz w:val="14"/>
          <w:szCs w:val="14"/>
          <w:color w:val="auto"/>
        </w:rPr>
        <w:t>High</w:t>
      </w:r>
      <w:r>
        <w:rPr>
          <w:sz w:val="20"/>
          <w:szCs w:val="20"/>
          <w:color w:val="auto"/>
        </w:rPr>
        <w:tab/>
      </w:r>
      <w:r>
        <w:rPr>
          <w:rFonts w:ascii="Arial" w:cs="Arial" w:eastAsia="Arial" w:hAnsi="Arial"/>
          <w:sz w:val="14"/>
          <w:szCs w:val="14"/>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5080</wp:posOffset>
            </wp:positionV>
            <wp:extent cx="26498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400" w:type="dxa"/>
            <w:vAlign w:val="bottom"/>
            <w:tcBorders>
              <w:top w:val="single" w:sz="8" w:color="auto"/>
            </w:tcBorders>
          </w:tcPr>
          <w:p>
            <w:pPr>
              <w:jc w:val="right"/>
              <w:ind w:right="930"/>
              <w:spacing w:after="0" w:line="195" w:lineRule="exact"/>
              <w:rPr>
                <w:sz w:val="20"/>
                <w:szCs w:val="20"/>
                <w:color w:val="auto"/>
              </w:rPr>
            </w:pPr>
            <w:r>
              <w:rPr>
                <w:rFonts w:ascii="Arial" w:cs="Arial" w:eastAsia="Arial" w:hAnsi="Arial"/>
                <w:sz w:val="18"/>
                <w:szCs w:val="18"/>
                <w:color w:val="auto"/>
              </w:rPr>
              <w:t>2014</w:t>
            </w:r>
          </w:p>
        </w:tc>
        <w:tc>
          <w:tcPr>
            <w:tcW w:w="160" w:type="dxa"/>
            <w:vAlign w:val="bottom"/>
          </w:tcPr>
          <w:p>
            <w:pPr>
              <w:spacing w:after="0"/>
              <w:rPr>
                <w:sz w:val="16"/>
                <w:szCs w:val="16"/>
                <w:color w:val="auto"/>
              </w:rPr>
            </w:pPr>
          </w:p>
        </w:tc>
        <w:tc>
          <w:tcPr>
            <w:tcW w:w="1960" w:type="dxa"/>
            <w:vAlign w:val="bottom"/>
            <w:tcBorders>
              <w:top w:val="single" w:sz="8" w:color="auto"/>
            </w:tcBorders>
          </w:tcPr>
          <w:p>
            <w:pPr>
              <w:ind w:left="620"/>
              <w:spacing w:after="0" w:line="195" w:lineRule="exact"/>
              <w:rPr>
                <w:sz w:val="20"/>
                <w:szCs w:val="20"/>
                <w:color w:val="auto"/>
              </w:rPr>
            </w:pPr>
            <w:r>
              <w:rPr>
                <w:rFonts w:ascii="Arial" w:cs="Arial" w:eastAsia="Arial" w:hAnsi="Arial"/>
                <w:sz w:val="18"/>
                <w:szCs w:val="18"/>
                <w:color w:val="auto"/>
              </w:rPr>
              <w:t>A$0.9420</w:t>
            </w:r>
          </w:p>
        </w:tc>
        <w:tc>
          <w:tcPr>
            <w:tcW w:w="120" w:type="dxa"/>
            <w:vAlign w:val="bottom"/>
          </w:tcPr>
          <w:p>
            <w:pPr>
              <w:spacing w:after="0"/>
              <w:rPr>
                <w:sz w:val="16"/>
                <w:szCs w:val="16"/>
                <w:color w:val="auto"/>
              </w:rPr>
            </w:pPr>
          </w:p>
        </w:tc>
        <w:tc>
          <w:tcPr>
            <w:tcW w:w="208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A$0.9187</w:t>
            </w:r>
          </w:p>
        </w:tc>
      </w:tr>
      <w:tr>
        <w:trPr>
          <w:trHeight w:val="216"/>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2080" w:type="dxa"/>
            <w:vAlign w:val="bottom"/>
            <w:gridSpan w:val="2"/>
          </w:tcPr>
          <w:p>
            <w:pPr>
              <w:ind w:left="620"/>
              <w:spacing w:after="0"/>
              <w:rPr>
                <w:sz w:val="20"/>
                <w:szCs w:val="20"/>
                <w:color w:val="auto"/>
              </w:rPr>
            </w:pPr>
            <w:r>
              <w:rPr>
                <w:rFonts w:ascii="Arial" w:cs="Arial" w:eastAsia="Arial" w:hAnsi="Arial"/>
                <w:sz w:val="18"/>
                <w:szCs w:val="18"/>
                <w:color w:val="auto"/>
              </w:rPr>
              <w:t>A$0.7680</w:t>
            </w:r>
          </w:p>
        </w:tc>
        <w:tc>
          <w:tcPr>
            <w:tcW w:w="2080" w:type="dxa"/>
            <w:vAlign w:val="bottom"/>
          </w:tcPr>
          <w:p>
            <w:pPr>
              <w:ind w:left="680"/>
              <w:spacing w:after="0"/>
              <w:rPr>
                <w:sz w:val="20"/>
                <w:szCs w:val="20"/>
                <w:color w:val="auto"/>
              </w:rPr>
            </w:pPr>
            <w:r>
              <w:rPr>
                <w:rFonts w:ascii="Arial" w:cs="Arial" w:eastAsia="Arial" w:hAnsi="Arial"/>
                <w:sz w:val="18"/>
                <w:szCs w:val="18"/>
                <w:color w:val="auto"/>
              </w:rPr>
              <w:t>A$0.8382</w:t>
            </w:r>
          </w:p>
        </w:tc>
      </w:tr>
      <w:tr>
        <w:trPr>
          <w:trHeight w:val="216"/>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2080" w:type="dxa"/>
            <w:vAlign w:val="bottom"/>
            <w:gridSpan w:val="2"/>
          </w:tcPr>
          <w:p>
            <w:pPr>
              <w:ind w:left="620"/>
              <w:spacing w:after="0"/>
              <w:rPr>
                <w:sz w:val="20"/>
                <w:szCs w:val="20"/>
                <w:color w:val="auto"/>
              </w:rPr>
            </w:pPr>
            <w:r>
              <w:rPr>
                <w:rFonts w:ascii="Arial" w:cs="Arial" w:eastAsia="Arial" w:hAnsi="Arial"/>
                <w:sz w:val="18"/>
                <w:szCs w:val="18"/>
                <w:color w:val="auto"/>
              </w:rPr>
              <w:t>A$0.7426</w:t>
            </w:r>
          </w:p>
        </w:tc>
        <w:tc>
          <w:tcPr>
            <w:tcW w:w="2080" w:type="dxa"/>
            <w:vAlign w:val="bottom"/>
          </w:tcPr>
          <w:p>
            <w:pPr>
              <w:ind w:left="680"/>
              <w:spacing w:after="0"/>
              <w:rPr>
                <w:sz w:val="20"/>
                <w:szCs w:val="20"/>
                <w:color w:val="auto"/>
              </w:rPr>
            </w:pPr>
            <w:r>
              <w:rPr>
                <w:rFonts w:ascii="Arial" w:cs="Arial" w:eastAsia="Arial" w:hAnsi="Arial"/>
                <w:sz w:val="18"/>
                <w:szCs w:val="18"/>
                <w:color w:val="auto"/>
              </w:rPr>
              <w:t>A$0.7283</w:t>
            </w:r>
          </w:p>
        </w:tc>
      </w:tr>
      <w:tr>
        <w:trPr>
          <w:trHeight w:val="216"/>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2080" w:type="dxa"/>
            <w:vAlign w:val="bottom"/>
            <w:gridSpan w:val="2"/>
          </w:tcPr>
          <w:p>
            <w:pPr>
              <w:ind w:left="620"/>
              <w:spacing w:after="0"/>
              <w:rPr>
                <w:sz w:val="20"/>
                <w:szCs w:val="20"/>
                <w:color w:val="auto"/>
              </w:rPr>
            </w:pPr>
            <w:r>
              <w:rPr>
                <w:rFonts w:ascii="Arial" w:cs="Arial" w:eastAsia="Arial" w:hAnsi="Arial"/>
                <w:sz w:val="18"/>
                <w:szCs w:val="18"/>
                <w:color w:val="auto"/>
              </w:rPr>
              <w:t>A$0.7692</w:t>
            </w:r>
          </w:p>
        </w:tc>
        <w:tc>
          <w:tcPr>
            <w:tcW w:w="2080" w:type="dxa"/>
            <w:vAlign w:val="bottom"/>
          </w:tcPr>
          <w:p>
            <w:pPr>
              <w:ind w:left="680"/>
              <w:spacing w:after="0"/>
              <w:rPr>
                <w:sz w:val="20"/>
                <w:szCs w:val="20"/>
                <w:color w:val="auto"/>
              </w:rPr>
            </w:pPr>
            <w:r>
              <w:rPr>
                <w:rFonts w:ascii="Arial" w:cs="Arial" w:eastAsia="Arial" w:hAnsi="Arial"/>
                <w:sz w:val="18"/>
                <w:szCs w:val="18"/>
                <w:color w:val="auto"/>
              </w:rPr>
              <w:t>A$0.7545</w:t>
            </w:r>
          </w:p>
        </w:tc>
      </w:tr>
      <w:tr>
        <w:trPr>
          <w:trHeight w:val="230"/>
        </w:trPr>
        <w:tc>
          <w:tcPr>
            <w:tcW w:w="2400" w:type="dxa"/>
            <w:vAlign w:val="bottom"/>
          </w:tcPr>
          <w:p>
            <w:pPr>
              <w:jc w:val="right"/>
              <w:ind w:right="9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2080" w:type="dxa"/>
            <w:vAlign w:val="bottom"/>
            <w:gridSpan w:val="2"/>
          </w:tcPr>
          <w:p>
            <w:pPr>
              <w:ind w:left="620"/>
              <w:spacing w:after="0"/>
              <w:rPr>
                <w:sz w:val="20"/>
                <w:szCs w:val="20"/>
                <w:color w:val="auto"/>
              </w:rPr>
            </w:pPr>
            <w:r>
              <w:rPr>
                <w:rFonts w:ascii="Arial" w:cs="Arial" w:eastAsia="Arial" w:hAnsi="Arial"/>
                <w:sz w:val="18"/>
                <w:szCs w:val="18"/>
                <w:color w:val="auto"/>
              </w:rPr>
              <w:t>A$0.7399</w:t>
            </w:r>
          </w:p>
        </w:tc>
        <w:tc>
          <w:tcPr>
            <w:tcW w:w="2080" w:type="dxa"/>
            <w:vAlign w:val="bottom"/>
          </w:tcPr>
          <w:p>
            <w:pPr>
              <w:ind w:left="680"/>
              <w:spacing w:after="0"/>
              <w:rPr>
                <w:sz w:val="20"/>
                <w:szCs w:val="20"/>
                <w:color w:val="auto"/>
              </w:rPr>
            </w:pPr>
            <w:r>
              <w:rPr>
                <w:rFonts w:ascii="Arial" w:cs="Arial" w:eastAsia="Arial" w:hAnsi="Arial"/>
                <w:sz w:val="18"/>
                <w:szCs w:val="18"/>
                <w:color w:val="auto"/>
              </w:rPr>
              <w:t>A$0.7753</w:t>
            </w:r>
          </w:p>
        </w:tc>
      </w:tr>
    </w:tbl>
    <w:p>
      <w:pPr>
        <w:spacing w:after="0" w:line="20" w:lineRule="exact"/>
        <w:rPr>
          <w:sz w:val="20"/>
          <w:szCs w:val="20"/>
          <w:color w:val="auto"/>
        </w:rPr>
      </w:pPr>
      <w:r>
        <w:rPr>
          <w:sz w:val="20"/>
          <w:szCs w:val="20"/>
          <w:color w:val="auto"/>
        </w:rPr>
        <w:br w:type="column"/>
      </w:r>
    </w:p>
    <w:p>
      <w:pPr>
        <w:spacing w:after="0"/>
        <w:tabs>
          <w:tab w:leader="none" w:pos="2120" w:val="left"/>
        </w:tabs>
        <w:rPr>
          <w:sz w:val="20"/>
          <w:szCs w:val="20"/>
          <w:color w:val="auto"/>
        </w:rPr>
      </w:pPr>
      <w:r>
        <w:rPr>
          <w:rFonts w:ascii="Arial" w:cs="Arial" w:eastAsia="Arial" w:hAnsi="Arial"/>
          <w:sz w:val="18"/>
          <w:szCs w:val="18"/>
          <w:color w:val="auto"/>
        </w:rPr>
        <w:t>A$0.9672</w:t>
      </w:r>
      <w:r>
        <w:rPr>
          <w:sz w:val="20"/>
          <w:szCs w:val="20"/>
          <w:color w:val="auto"/>
        </w:rPr>
        <w:tab/>
      </w:r>
      <w:r>
        <w:rPr>
          <w:rFonts w:ascii="Arial" w:cs="Arial" w:eastAsia="Arial" w:hAnsi="Arial"/>
          <w:sz w:val="16"/>
          <w:szCs w:val="16"/>
          <w:color w:val="auto"/>
        </w:rPr>
        <w:t>A$0.8716</w:t>
      </w:r>
    </w:p>
    <w:p>
      <w:pPr>
        <w:spacing w:after="0" w:line="23"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A$0.9452</w:t>
      </w:r>
      <w:r>
        <w:rPr>
          <w:sz w:val="20"/>
          <w:szCs w:val="20"/>
          <w:color w:val="auto"/>
        </w:rPr>
        <w:tab/>
      </w:r>
      <w:r>
        <w:rPr>
          <w:rFonts w:ascii="Arial" w:cs="Arial" w:eastAsia="Arial" w:hAnsi="Arial"/>
          <w:sz w:val="16"/>
          <w:szCs w:val="16"/>
          <w:color w:val="auto"/>
        </w:rPr>
        <w:t>A$0.7590</w:t>
      </w:r>
    </w:p>
    <w:p>
      <w:pPr>
        <w:spacing w:after="0" w:line="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A$0.7812</w:t>
      </w:r>
      <w:r>
        <w:rPr>
          <w:sz w:val="20"/>
          <w:szCs w:val="20"/>
          <w:color w:val="auto"/>
        </w:rPr>
        <w:tab/>
      </w:r>
      <w:r>
        <w:rPr>
          <w:rFonts w:ascii="Arial" w:cs="Arial" w:eastAsia="Arial" w:hAnsi="Arial"/>
          <w:sz w:val="16"/>
          <w:szCs w:val="16"/>
          <w:color w:val="auto"/>
        </w:rPr>
        <w:t>A$0.6867</w:t>
      </w:r>
    </w:p>
    <w:p>
      <w:pPr>
        <w:spacing w:after="0" w:line="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A$0.7724</w:t>
      </w:r>
      <w:r>
        <w:rPr>
          <w:sz w:val="20"/>
          <w:szCs w:val="20"/>
          <w:color w:val="auto"/>
        </w:rPr>
        <w:tab/>
      </w:r>
      <w:r>
        <w:rPr>
          <w:rFonts w:ascii="Arial" w:cs="Arial" w:eastAsia="Arial" w:hAnsi="Arial"/>
          <w:sz w:val="16"/>
          <w:szCs w:val="16"/>
          <w:color w:val="auto"/>
        </w:rPr>
        <w:t>A$0.7202</w:t>
      </w:r>
    </w:p>
    <w:p>
      <w:pPr>
        <w:spacing w:after="0" w:line="9"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A$0.8105</w:t>
      </w:r>
      <w:r>
        <w:rPr>
          <w:sz w:val="20"/>
          <w:szCs w:val="20"/>
          <w:color w:val="auto"/>
        </w:rPr>
        <w:tab/>
      </w:r>
      <w:r>
        <w:rPr>
          <w:rFonts w:ascii="Arial" w:cs="Arial" w:eastAsia="Arial" w:hAnsi="Arial"/>
          <w:sz w:val="16"/>
          <w:szCs w:val="16"/>
          <w:color w:val="auto"/>
        </w:rPr>
        <w:t>A$0.7355</w:t>
      </w:r>
    </w:p>
    <w:p>
      <w:pPr>
        <w:spacing w:after="0" w:line="209" w:lineRule="exact"/>
        <w:rPr>
          <w:sz w:val="20"/>
          <w:szCs w:val="20"/>
          <w:color w:val="auto"/>
        </w:rPr>
      </w:pPr>
    </w:p>
    <w:p>
      <w:pPr>
        <w:sectPr>
          <w:pgSz w:w="11900" w:h="16838" w:orient="portrait"/>
          <w:cols w:equalWidth="0" w:num="2">
            <w:col w:w="7020" w:space="720"/>
            <w:col w:w="3500"/>
          </w:cols>
          <w:pgMar w:left="240" w:top="459" w:right="419" w:bottom="1440" w:gutter="0" w:footer="0" w:header="0"/>
          <w:type w:val="continuous"/>
        </w:sectPr>
      </w:pP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720" w:type="dxa"/>
            <w:vAlign w:val="bottom"/>
            <w:gridSpan w:val="3"/>
          </w:tcPr>
          <w:p>
            <w:pPr>
              <w:spacing w:after="0"/>
              <w:rPr>
                <w:sz w:val="20"/>
                <w:szCs w:val="20"/>
                <w:color w:val="auto"/>
              </w:rPr>
            </w:pPr>
            <w:r>
              <w:rPr>
                <w:rFonts w:ascii="Arial" w:cs="Arial" w:eastAsia="Arial" w:hAnsi="Arial"/>
                <w:sz w:val="14"/>
                <w:szCs w:val="14"/>
                <w:color w:val="auto"/>
              </w:rPr>
              <w:t>Month</w:t>
            </w:r>
          </w:p>
        </w:tc>
        <w:tc>
          <w:tcPr>
            <w:tcW w:w="3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7"/>
              </w:rPr>
              <w:t>High</w:t>
            </w:r>
          </w:p>
        </w:tc>
        <w:tc>
          <w:tcPr>
            <w:tcW w:w="80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Low</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2018</w:t>
            </w:r>
          </w:p>
        </w:tc>
        <w:tc>
          <w:tcPr>
            <w:tcW w:w="33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A$0.7467</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A$0.7360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4080" w:type="dxa"/>
            <w:vAlign w:val="bottom"/>
            <w:gridSpan w:val="2"/>
          </w:tcPr>
          <w:p>
            <w:pPr>
              <w:jc w:val="center"/>
              <w:ind w:left="3230"/>
              <w:spacing w:after="0"/>
              <w:rPr>
                <w:sz w:val="20"/>
                <w:szCs w:val="20"/>
                <w:color w:val="auto"/>
              </w:rPr>
            </w:pPr>
            <w:r>
              <w:rPr>
                <w:rFonts w:ascii="Arial" w:cs="Arial" w:eastAsia="Arial" w:hAnsi="Arial"/>
                <w:sz w:val="18"/>
                <w:szCs w:val="18"/>
                <w:color w:val="auto"/>
                <w:w w:val="93"/>
              </w:rPr>
              <w:t>A$0.7441</w:t>
            </w:r>
          </w:p>
        </w:tc>
        <w:tc>
          <w:tcPr>
            <w:tcW w:w="15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A$0.7213</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4080" w:type="dxa"/>
            <w:vAlign w:val="bottom"/>
            <w:gridSpan w:val="2"/>
            <w:shd w:val="clear" w:color="auto" w:fill="CCEEFF"/>
          </w:tcPr>
          <w:p>
            <w:pPr>
              <w:jc w:val="center"/>
              <w:ind w:left="3230"/>
              <w:spacing w:after="0"/>
              <w:rPr>
                <w:sz w:val="20"/>
                <w:szCs w:val="20"/>
                <w:color w:val="auto"/>
              </w:rPr>
            </w:pPr>
            <w:r>
              <w:rPr>
                <w:rFonts w:ascii="Arial" w:cs="Arial" w:eastAsia="Arial" w:hAnsi="Arial"/>
                <w:sz w:val="18"/>
                <w:szCs w:val="18"/>
                <w:color w:val="auto"/>
                <w:w w:val="93"/>
              </w:rPr>
              <w:t>A$0.7296</w:t>
            </w:r>
          </w:p>
        </w:tc>
        <w:tc>
          <w:tcPr>
            <w:tcW w:w="15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3"/>
              </w:rPr>
              <w:t>A$0.7103</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4080" w:type="dxa"/>
            <w:vAlign w:val="bottom"/>
            <w:gridSpan w:val="2"/>
          </w:tcPr>
          <w:p>
            <w:pPr>
              <w:jc w:val="center"/>
              <w:ind w:left="3230"/>
              <w:spacing w:after="0"/>
              <w:rPr>
                <w:sz w:val="20"/>
                <w:szCs w:val="20"/>
                <w:color w:val="auto"/>
              </w:rPr>
            </w:pPr>
            <w:r>
              <w:rPr>
                <w:rFonts w:ascii="Arial" w:cs="Arial" w:eastAsia="Arial" w:hAnsi="Arial"/>
                <w:sz w:val="18"/>
                <w:szCs w:val="18"/>
                <w:color w:val="auto"/>
                <w:w w:val="93"/>
              </w:rPr>
              <w:t>A$0.7200</w:t>
            </w:r>
          </w:p>
        </w:tc>
        <w:tc>
          <w:tcPr>
            <w:tcW w:w="15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A$0.7034</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4080" w:type="dxa"/>
            <w:vAlign w:val="bottom"/>
            <w:gridSpan w:val="2"/>
            <w:shd w:val="clear" w:color="auto" w:fill="CCEEFF"/>
          </w:tcPr>
          <w:p>
            <w:pPr>
              <w:jc w:val="center"/>
              <w:ind w:left="3230"/>
              <w:spacing w:after="0"/>
              <w:rPr>
                <w:sz w:val="20"/>
                <w:szCs w:val="20"/>
                <w:color w:val="auto"/>
              </w:rPr>
            </w:pPr>
            <w:r>
              <w:rPr>
                <w:rFonts w:ascii="Arial" w:cs="Arial" w:eastAsia="Arial" w:hAnsi="Arial"/>
                <w:sz w:val="18"/>
                <w:szCs w:val="18"/>
                <w:color w:val="auto"/>
                <w:w w:val="93"/>
              </w:rPr>
              <w:t>A$0.7316</w:t>
            </w:r>
          </w:p>
        </w:tc>
        <w:tc>
          <w:tcPr>
            <w:tcW w:w="15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3"/>
              </w:rPr>
              <w:t>A$0.7130</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4080" w:type="dxa"/>
            <w:vAlign w:val="bottom"/>
            <w:gridSpan w:val="2"/>
          </w:tcPr>
          <w:p>
            <w:pPr>
              <w:jc w:val="center"/>
              <w:ind w:left="3230"/>
              <w:spacing w:after="0"/>
              <w:rPr>
                <w:sz w:val="20"/>
                <w:szCs w:val="20"/>
                <w:color w:val="auto"/>
              </w:rPr>
            </w:pPr>
            <w:r>
              <w:rPr>
                <w:rFonts w:ascii="Arial" w:cs="Arial" w:eastAsia="Arial" w:hAnsi="Arial"/>
                <w:sz w:val="18"/>
                <w:szCs w:val="18"/>
                <w:color w:val="auto"/>
                <w:w w:val="93"/>
              </w:rPr>
              <w:t>A$0.7375</w:t>
            </w:r>
          </w:p>
        </w:tc>
        <w:tc>
          <w:tcPr>
            <w:tcW w:w="15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A$0.7051</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4080" w:type="dxa"/>
            <w:vAlign w:val="bottom"/>
            <w:gridSpan w:val="2"/>
            <w:shd w:val="clear" w:color="auto" w:fill="CCEEFF"/>
          </w:tcPr>
          <w:p>
            <w:pPr>
              <w:jc w:val="center"/>
              <w:ind w:left="3230"/>
              <w:spacing w:after="0"/>
              <w:rPr>
                <w:sz w:val="20"/>
                <w:szCs w:val="20"/>
                <w:color w:val="auto"/>
              </w:rPr>
            </w:pPr>
            <w:r>
              <w:rPr>
                <w:rFonts w:ascii="Arial" w:cs="Arial" w:eastAsia="Arial" w:hAnsi="Arial"/>
                <w:sz w:val="18"/>
                <w:szCs w:val="18"/>
                <w:color w:val="auto"/>
                <w:w w:val="93"/>
              </w:rPr>
              <w:t>A$0.7268</w:t>
            </w:r>
          </w:p>
        </w:tc>
        <w:tc>
          <w:tcPr>
            <w:tcW w:w="15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3"/>
              </w:rPr>
              <w:t>A$0.6945</w:t>
            </w: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4080" w:type="dxa"/>
            <w:vAlign w:val="bottom"/>
            <w:gridSpan w:val="2"/>
          </w:tcPr>
          <w:p>
            <w:pPr>
              <w:jc w:val="center"/>
              <w:ind w:left="3230"/>
              <w:spacing w:after="0"/>
              <w:rPr>
                <w:sz w:val="20"/>
                <w:szCs w:val="20"/>
                <w:color w:val="auto"/>
              </w:rPr>
            </w:pPr>
            <w:r>
              <w:rPr>
                <w:rFonts w:ascii="Arial" w:cs="Arial" w:eastAsia="Arial" w:hAnsi="Arial"/>
                <w:sz w:val="18"/>
                <w:szCs w:val="18"/>
                <w:color w:val="auto"/>
                <w:w w:val="93"/>
              </w:rPr>
              <w:t>A$0.7260</w:t>
            </w:r>
          </w:p>
        </w:tc>
        <w:tc>
          <w:tcPr>
            <w:tcW w:w="15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A$0.7072</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w:t>
            </w:r>
          </w:p>
        </w:tc>
        <w:tc>
          <w:tcPr>
            <w:tcW w:w="4080" w:type="dxa"/>
            <w:vAlign w:val="bottom"/>
            <w:gridSpan w:val="2"/>
            <w:shd w:val="clear" w:color="auto" w:fill="CCEEFF"/>
          </w:tcPr>
          <w:p>
            <w:pPr>
              <w:jc w:val="center"/>
              <w:ind w:left="3230"/>
              <w:spacing w:after="0"/>
              <w:rPr>
                <w:sz w:val="20"/>
                <w:szCs w:val="20"/>
                <w:color w:val="auto"/>
              </w:rPr>
            </w:pPr>
            <w:r>
              <w:rPr>
                <w:rFonts w:ascii="Arial" w:cs="Arial" w:eastAsia="Arial" w:hAnsi="Arial"/>
                <w:sz w:val="18"/>
                <w:szCs w:val="18"/>
                <w:color w:val="auto"/>
                <w:w w:val="93"/>
              </w:rPr>
              <w:t>A$0.7145</w:t>
            </w:r>
          </w:p>
        </w:tc>
        <w:tc>
          <w:tcPr>
            <w:tcW w:w="158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3"/>
              </w:rPr>
              <w:t>A$0.7009</w:t>
            </w:r>
          </w:p>
        </w:tc>
      </w:tr>
      <w:tr>
        <w:trPr>
          <w:trHeight w:val="230"/>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April 2019</w:t>
            </w:r>
          </w:p>
        </w:tc>
        <w:tc>
          <w:tcPr>
            <w:tcW w:w="4080" w:type="dxa"/>
            <w:vAlign w:val="bottom"/>
            <w:gridSpan w:val="2"/>
          </w:tcPr>
          <w:p>
            <w:pPr>
              <w:jc w:val="center"/>
              <w:ind w:left="3230"/>
              <w:spacing w:after="0"/>
              <w:rPr>
                <w:sz w:val="20"/>
                <w:szCs w:val="20"/>
                <w:color w:val="auto"/>
              </w:rPr>
            </w:pPr>
            <w:r>
              <w:rPr>
                <w:rFonts w:ascii="Arial" w:cs="Arial" w:eastAsia="Arial" w:hAnsi="Arial"/>
                <w:sz w:val="18"/>
                <w:szCs w:val="18"/>
                <w:color w:val="auto"/>
                <w:w w:val="93"/>
              </w:rPr>
              <w:t>A$0.7200</w:t>
            </w:r>
          </w:p>
        </w:tc>
        <w:tc>
          <w:tcPr>
            <w:tcW w:w="15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A$0.7025</w:t>
            </w: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340" w:type="dxa"/>
            <w:vAlign w:val="bottom"/>
          </w:tcPr>
          <w:p>
            <w:pPr>
              <w:jc w:val="right"/>
              <w:ind w:right="161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table below sets forth our total indebtedness and shows our capitalization as of June 30, 2018. You should read this table in conjunction with our consolidated financial statements included in this Registration Statement on Form 20-F, together with the accompanying notes and the other information appearing under the heading “Item 5. Operating and Financial Review and Prospects”.</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June 30, 2018</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560" w:type="dxa"/>
            <w:vAlign w:val="bottom"/>
            <w:gridSpan w:val="4"/>
          </w:tcPr>
          <w:p>
            <w:pPr>
              <w:ind w:left="2040"/>
              <w:spacing w:after="0"/>
              <w:rPr>
                <w:sz w:val="20"/>
                <w:szCs w:val="20"/>
                <w:color w:val="auto"/>
              </w:rPr>
            </w:pPr>
            <w:r>
              <w:rPr>
                <w:rFonts w:ascii="Arial" w:cs="Arial" w:eastAsia="Arial" w:hAnsi="Arial"/>
                <w:sz w:val="14"/>
                <w:szCs w:val="14"/>
                <w:b w:val="1"/>
                <w:bCs w:val="1"/>
                <w:color w:val="auto"/>
              </w:rPr>
              <w:t>(In Australian Dollars)</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162,801,028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Accumulated losses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(148,592,879)</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0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18,999,559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business faces significant risks. You should carefully consider all of the information set forth in this registration statement, including the following risk factors. Our business, results of operations, and financial condition could be materially and adversely affected by any of these risks, and in such event, the trading price of our ordinary shares, which underlie our ADSs, would likely decline and you might lose all or part of your investment. This registration statement also contains forward-looking statements that involve risks and uncertainties and our results could materially differ from those anticipated in these forward-looking statements. See “Special Note Regarding Forward-Looking Statements” at the beginning of Item 5.</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experienced significant losses, expect losses to continue for the foreseeable future and may never achieve or maintain profitability.</w:t>
      </w:r>
    </w:p>
    <w:p>
      <w:pPr>
        <w:spacing w:after="0" w:line="14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we have begun full scale marketing and sales of our RECELL System in the U.S. and other jurisdictions, such sales have been limited to date and we have not yet obtained profitability. We had a total comprehensive loss of A$16,519,155, A$11,511,024 and A$7,778,015 for our fiscal years ended June 30, 2018, 2017 and 2016, respectively. We have incurred a cumulative deficit of A$148,592,879 through June 30, 2018. We anticipate that we may continue to incur losses at least until margins from U.S. sales of the RECELL System are adequate to fund operating expenses. We may not be able to successfully achieve or sustain profitability. Successful transition to profitable operations is dependent upon achieving a level of revenues adequate to support our cost structure.</w:t>
      </w:r>
    </w:p>
    <w:p>
      <w:pPr>
        <w:spacing w:after="0" w:line="30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be unsuccessful in obtaining additional approvals for our RECELL System for the treatment of pediatric burns, trauma wounds and skin conditions such as vitiligo.</w:t>
      </w:r>
    </w:p>
    <w:p>
      <w:pPr>
        <w:spacing w:after="0" w:line="62"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Although our Premarket Approval (PMA) application for the RECELL System was approved by the U.S. Food and Drug Administration (FDA) for use the treatment of acute thermal burn wounds in patients 18 years and older in September 2018, it has not been approved for additional indications such as pediatric burns or trauma wounds, or for the treatment of vitiligo. We plan to expand into each of these indications and will need to</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apply for a supplement to our PMA approval with the FDA in connection with each proposed additional indication. While clinical trials for such uses are presently underway or planned, there can be no assurance that we will ever receive approval by the FDA for the use of our RECELL System for such additional applications. Such a failure of approval would have a material negative effect to our future prospects.</w:t>
      </w:r>
    </w:p>
    <w:p>
      <w:pPr>
        <w:spacing w:after="0" w:line="28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dependent on our contract with the U.S. Biomedical Advanced Research and Development Authority (BARDA), and if we do not continue to receive funding under this contract, we may need to obtain alternative sources of funding.</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have a contract with BARDA valued currently at US$50.4 million (approximately A$68.1 million) related to funding for the development of the RECELL System and future use of the product to assist disaster preparedness and response in the U.S. for mass casualties involving burn victims. As of December 31, 2018, we had received cumulative payments of US$17.18 million (A$22.6 million) under the BARDA contract. Under the contract BARDA has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a provision for the future procurement of the RECELL System by BARDA under a vendor-managed inventory system to bolster disaster preparedness. There can be no assurances that BARDA will not terminate the contract and changes in government agenda and annual budgets may result in changing priorities and funding mandates at BARDA. Any reduction or delay in BARDA funding may force us to seek alternative funding, which may not be available on non-dilutive terms, terms favorable to us or at all, or cease our development programs related to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Development and commercialization of any products requires successful completion of the regulatory approval process and may suffer delays or fail.</w:t>
      </w:r>
    </w:p>
    <w:p>
      <w:pPr>
        <w:spacing w:after="0" w:line="15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the U.S., as well as other jurisdictions, we have been and will be required to apply for and receive regulatory authorization before we can market our products. Although our RECELL System has been approved for use in the treatment of acute thermal burn wounds in patients 18 years and older in the U.S., we will have to apply for a supplement to our PMA approval to market the product for use in the treatment of pediatric burns, trauma injuries and vitiligo. In China and Australia, the RECELL System is approved use for the treatment of burns, acute wounds, scars and vitiligo. In Europe the product has been approved for the treatment of burns, chronic wounds, scars and vitiligo. We will require additional approvals from regulatory authorities within these countries to market the product for the treatment of other indications, and from any other jurisdictions in which we seek to market the product. This process can be time consuming and complicated and may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8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U.S. or elsewhere. If we are slow or unable to adapt to new or changed requirements, or if we are not able to maintain</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regulatory compliance, we may lose any marketing approval that we may have obtained, and we may not achieve or sustain profitability.</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29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of pediatric burns, trauma injuries and/or vitiligo, comparable regulatory authorities in foreign jurisdictions must also approve the manufacturing, marketing and promotion of the product candidate in those countries if not currently approved today.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medical device must be approved for reimbursement before it can be approved for sale in that jurisdiction. In some cases, the price that we intend to charge for our products is also subject to approval.</w:t>
      </w:r>
    </w:p>
    <w:p>
      <w:pPr>
        <w:spacing w:after="0" w:line="29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any further clinical studies necessary to support any regulatory applications for additional commercial applications of our technology.</w:t>
      </w:r>
    </w:p>
    <w:p>
      <w:pPr>
        <w:spacing w:after="0" w:line="6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8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 failure can occur at any stage of testing. Events that may prevent successful or timely commencement, enrollment or completion of clinical development include:</w:t>
      </w:r>
    </w:p>
    <w:p>
      <w:pPr>
        <w:spacing w:after="0" w:line="76"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raising, or inability to raise, sufficient capital to fund the planned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trial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trial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identify, recruit and train suitable clinical investigators;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add new clinical trial sites;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for the performance of the trials with prospective clinical research organizations and clinical trial sites;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clinical sites and patients (i.e., subjects) to participate in clinical trials;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for any reason, including negative clinical results, safety concerns or as a result of an inspection of manufacturing or clinical operations or trial sites;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any relevant parties to adhere to clinical trial requirements;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right="4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 or applicable regulatory guidelines in other countries;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caused by clinical trial sites not completing a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demonstrate adequate effectiveness;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that are associated with the product candidates that are viewed to outweigh its potential benefits;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regulatory agencies in the interpretation of the data from our clinical trials.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29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may be unsuccessful in commercializing our RECELL System, or other future products, due to unfavorable pricing regulations or third-party coverage and reimbursement policies.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U.S. can also vary widely from one health system or hospital to the next. In some foreign jurisdictions, including the European Union,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pacing w:after="0" w:line="289"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shareholders or place restrictions on our operations. If additional financing is not available, we may have to postpone, reduce or cease operations.</w:t>
      </w:r>
    </w:p>
    <w:p>
      <w:pPr>
        <w:spacing w:after="0" w:line="5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shareholders may be reduced, and the market price of our ordinary shares which underlie our ADSs could fall due to an increased number of shares available for sale in</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289" w:lineRule="exact"/>
        <w:rPr>
          <w:sz w:val="20"/>
          <w:szCs w:val="20"/>
          <w:color w:val="auto"/>
        </w:rPr>
      </w:pPr>
    </w:p>
    <w:p>
      <w:pPr>
        <w:ind w:left="200" w:right="220"/>
        <w:spacing w:after="0" w:line="375" w:lineRule="auto"/>
        <w:rPr>
          <w:sz w:val="20"/>
          <w:szCs w:val="20"/>
          <w:color w:val="auto"/>
        </w:rPr>
      </w:pPr>
      <w:r>
        <w:rPr>
          <w:rFonts w:ascii="Arial" w:cs="Arial" w:eastAsia="Arial" w:hAnsi="Arial"/>
          <w:sz w:val="15"/>
          <w:szCs w:val="15"/>
          <w:b w:val="1"/>
          <w:bCs w:val="1"/>
          <w:i w:val="1"/>
          <w:iCs w:val="1"/>
          <w:color w:val="auto"/>
        </w:rPr>
        <w:t>We have limited experience manufacturing our products in large-scale commercial quantities and we may face manufacturing risks that may adversely affect our ability to manufacture products and could reduce our gross margins and negatively affect our business and operating results.</w:t>
      </w:r>
    </w:p>
    <w:p>
      <w:pPr>
        <w:spacing w:after="0" w:line="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certain third-party manufacturers for production of some of the components used in the RECELL System. If our facility, or the facilities of our third-party contract manufacturers, suffers damage, or a force majeure event, this could materially impact our ability to operate.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also subject to other risks relating to our manufacturing capabilities, including:</w:t>
      </w:r>
    </w:p>
    <w:p>
      <w:pPr>
        <w:spacing w:after="0" w:line="131" w:lineRule="exact"/>
        <w:rPr>
          <w:sz w:val="20"/>
          <w:szCs w:val="20"/>
          <w:color w:val="auto"/>
        </w:rPr>
      </w:pPr>
    </w:p>
    <w:p>
      <w:pPr>
        <w:ind w:left="1060" w:right="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reliability of components, sub-assemblies and materials that we source from third-party suppliers, who are required to meet our quality specifications, some of whom are our single-source suppliers for the products they supply;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secure raw materials, components and materials in a timely manner, in sufficient quantities or on commercially reasonable terms;</w:t>
      </w:r>
    </w:p>
    <w:p>
      <w:pPr>
        <w:spacing w:after="0" w:line="153" w:lineRule="exact"/>
        <w:rPr>
          <w:rFonts w:ascii="Arial" w:cs="Arial" w:eastAsia="Arial" w:hAnsi="Arial"/>
          <w:sz w:val="16"/>
          <w:szCs w:val="16"/>
          <w:color w:val="auto"/>
        </w:rPr>
      </w:pPr>
    </w:p>
    <w:p>
      <w:pPr>
        <w:ind w:left="1060" w:right="11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secure raw materials, components and materials of sufficient quality to meet the exacting needs of medical device manufacturing;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maintain compliance with quality system requirements or pass regulatory quality inspections;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increase production capacity or volumes to meet demand; and</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design or modify production processes to enable us to produce future products efficiently or implement changes in current products in response to design or regulatory requirements.</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These risks could be exacerbated by our limited experience as an entity with large-scale commercial manufacturing. 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Product recalls or inventory losses caused by unforeseen events may adversely affect our operating results and financial condition.</w:t>
      </w:r>
    </w:p>
    <w:p>
      <w:pPr>
        <w:spacing w:after="0" w:line="1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could be disrupted.</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87"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of our RECELL System to such areas as pediatric burns, trauma injuries and vitiligo;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for additional indications;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of our marketing and sales infrastructure.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failure to manage future growth effectively could have a material adverse effect on our business and results of operations.</w:t>
      </w:r>
    </w:p>
    <w:p>
      <w:pPr>
        <w:spacing w:after="0" w:line="33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6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respects from U.S. GAAP.</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Currently we report our financial statements under IFRS. There have been and there may in the future be certain significant differences between IFRS and Generally Accepted Accounting Principles in the United States (“U.S. GAAP”), including differences related to revenue recognition, intangible assets, share-based compensation expense, income tax and earnings per share, and in the timing, frequency and format of annual and periodic financial statements.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Industry and Intellectual Property</w:t>
      </w:r>
    </w:p>
    <w:p>
      <w:pPr>
        <w:spacing w:after="0" w:line="121"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could be subject to product liability lawsuits, which could result in costly and time-consuming litigation and significant liabilities.</w:t>
      </w:r>
    </w:p>
    <w:p>
      <w:pPr>
        <w:spacing w:after="0" w:line="1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exposes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274"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success will be heavily dependent on our ability to obtain and maintain meaningful patent protection for our technologies and products throughout the world. Patent law relating to the scope of claims in the technology fields in which we will operate is still evolving. The amount of ongoing protection for our proprietary rights therefor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Furthermore, the patent protections we have been granted may not be broad enough to prevent competitors from producing products similar to ours. In addition, the laws of various foreign countries in which we plan to compete, such as China, may not protect our intellectual property to the same extent as do the laws of the U.S. If we fail to obtain adequate patent protection for our proprietary technology, our ability to be commercially competitive will be materially impaired.</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find it difficult to protect our intellectual property rights throughout the world.</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1"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The laws of some countries do not protect intellectual property rights to the same extent as the laws of the U.S.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28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If we choose to go to court to stop someone else from using the inventions claimed in our patents or our licensed patents, that individual or company has the right to ask the court to rule that these patents are invalid and/or should not be enforced against that third party. These lawsuits are expensive and would distract our key personnel,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28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6"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28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Any suits filed against us by third-parties alleging we infringe their intellectual property rights could harm our business and operating results as well as our reputation.</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is considerable patent and other intellectual property activity in the industry in which we operate. We may be unaware of intellectual property rights of others that may cover some or all of our technology. Additionally, notwithstanding our receipt of a patent, a third-party may nevertheless challenge the validity of one or more claims included in the patent, which may require significant expenditure of funds, as well as time and effort by key personnel, to defend our claims.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For example, in March 2010, the Patient Protection and Affordable Care Act, as amended by the Health Care and</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Education Reconciliation Act, or the Health Care Reform Law, was passed, which substantially changed the way health care is financed by both governmental and private insurers, and significantly impacts the U.S. healthcare industry. The Health Care Reform Law, among other things, (i) subjects biologic products to potential competition by lower-cost biosimilars, (ii) addresses a new methodology by which rebates owed by manufacturers under the Medicaid Drug Rebate Program are calculated for drugs that are inhaled, infused, instilled, implanted, or injected, (iii) increases the minimum Medicaid rebates owed by manufacturers under the Medicaid Drug Rebate Program and extends the rebate program to individuals enrolled in Medicaid managed care organizations, (iv) establishes annual fees and taxes on manufacturers of certain branded prescription drugs, and (v) promotes a new Medicare Part D coverage gap discount program.</w:t>
      </w:r>
    </w:p>
    <w:p>
      <w:pPr>
        <w:spacing w:after="0" w:line="18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other legislative changes have been proposed and adopted in the U.S.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On January 2, 2013, President Obama signed into law the American Taxpayer Relief Act of 2012, or the ATRA, which, among other things, delayed for another two months the budget cuts mandated by these sequestration provisions of the Budget Control Act of 2011. On March 1, 2013, the President signed an executive order implementing sequestration, and on April 1, 2013, the 2% Medicare payment reductions went into effect. Additional state and federal healthcare reform measures may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operations are subject to anti-corruption laws, including Australian bribery laws and the U.S. Foreign Corrupt Practices Act. (FCPA) and other anti-corruption laws that apply in countries where we do business.</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Likewise, any investigation of any potential violations of these laws by respective government bodies could also have an adverse impact on our reputation, our business, results of operations and financial condition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1" w:lineRule="exact"/>
        <w:rPr>
          <w:sz w:val="20"/>
          <w:szCs w:val="20"/>
          <w:color w:val="auto"/>
        </w:rPr>
      </w:pPr>
    </w:p>
    <w:p>
      <w:pPr>
        <w:ind w:left="200" w:right="620"/>
        <w:spacing w:after="0" w:line="342" w:lineRule="auto"/>
        <w:rPr>
          <w:sz w:val="20"/>
          <w:szCs w:val="20"/>
          <w:color w:val="auto"/>
        </w:rPr>
      </w:pPr>
      <w:r>
        <w:rPr>
          <w:rFonts w:ascii="Arial" w:cs="Arial" w:eastAsia="Arial" w:hAnsi="Arial"/>
          <w:sz w:val="16"/>
          <w:szCs w:val="16"/>
          <w:b w:val="1"/>
          <w:bCs w:val="1"/>
          <w:i w:val="1"/>
          <w:iCs w:val="1"/>
          <w:color w:val="auto"/>
        </w:rPr>
        <w:t>We have never paid a dividend on our ordinary shares and do not intend to do so in the foreseeable future, and consequently, investors’ only opportunity to realize a return on their investment in our company is through the appreciation in the price of our ordinary shares.</w:t>
      </w:r>
    </w:p>
    <w:p>
      <w:pPr>
        <w:spacing w:after="0" w:line="16"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do not anticipate paying cash dividends on our ordinary shares in the foreseeable future and intend to retain all earnings, if any, for our operations. If we decided to pay dividends at some future time, we may not have sufficient funds legally available to do so. Even if funds are legally available for distribution, we may be</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unable to pay any dividends to our shareholders because of limitations imposed by our credit agreements or a lack of liquidity. Accordingly, our shareholders may have to sell some or all of their ordinary shares in order to generate cash flow from their investment. Our shareholders may not receive a gain on their investment when they sell their ordinary shares and may lose some or all of their investment. Any determination to pay dividends in the future on our ordinary shares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266"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b w:val="1"/>
          <w:bCs w:val="1"/>
          <w:i w:val="1"/>
          <w:iCs w:val="1"/>
          <w:color w:val="auto"/>
        </w:rPr>
        <w:t>As long as we remain subject to the rules of the Australian Stock Exchange and if we list on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p>
      <w:pPr>
        <w:spacing w:after="0" w:line="39"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Our ability to access equity capital is currently limited by ASX Listing Rule 7.1 (and ASX Listing Rule 7.1A, if shareholder approval for ASX Listing Rule 7.1A additional capacity is obtained annually),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exceeds 15% (plus an additional 10%, if ASX Listing Rule 7.1A approval is obtained) of the number of securities in the same class on issue at the commencement of that 12-month period.</w:t>
      </w:r>
    </w:p>
    <w:p>
      <w:pPr>
        <w:spacing w:after="0" w:line="17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equity issuances will be limited by Rule 7.1 (and 7.1A, if applicable) as long as we continue to be listed on the ASX and this constraint may prevent us from raising the full amount of equity capital needed for operations without prior shareholder approval. There are also restraints on a single shareholder holding more than 20% of the issued share capital. See Risk Relating to Takeovers below.</w:t>
      </w:r>
    </w:p>
    <w:p>
      <w:pPr>
        <w:spacing w:after="0" w:line="18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If we are successful in listing on NASDAQ (which approval is further discussed in Item 9.C under the heading “Markets”), we will be subject to NASDAQ Listing Rule 5635(d), commonly referred to as the NASDAQ 20% Rule, which requires shareholder approval of a transaction other than a public offering involving the sale, issuance, or potential issuance by a company of ordinary shares (or securities convertible into or exercisable for ordinary shares) equal to 20% or more of the ordinary shares, or 20% or more of the voting power outstanding before the issuance for less than the greater of book or market value of the shares. While less restrictive than ASX Listing Rule 7.1 (unless ASX Listing Rule 7.1A approval is obtained, in which case it is more restrictive), the operation of the NASDAQ 20% rule could limit our ability to raise capital through issuance of shares or convertible securities without jeopardizing our listing status. If we were to violate the NASDAQ 20% rule, assuming we obtain initial listing approval, our company would be subject to delisting from NASDAQ and share prices and trading volumes would likely suffer.</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no assurance that our NASDAQ listing application will be approved and that it will be successful.</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Although our ADSs are currently quoted on the OTCQX, we intend to be listed on the NASDAQ Capital Market in the first half of 2019. There is no assurance that our NASDAQ listing application will be approved or that an active public market for our ADSs will further develop or be sustained (which approval is further discussed in Item 9.C under the heading “Markets”).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Further, if an active public market in the U.S. for the ADSs does not further develop, the market price and liquidity of the ADSs may be materially and adversely affected. While we have applied for the listing of the ADSs on the NASDAQ Capital Market, a liquid public market in the U.S. for the ADSs may not further develop or be sustained after the transition from the OTCQX market to the NASDAQ Capital Market. In the past, following periods of volatility in the market price of a company’s securities, shareholders often instituted securities class action litigation against that company. If we were involved in a class action suit, it could divert the attention of senior management and, if adversely determined, could have a material adverse effect on our results of operations and financial condition.</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ordinary shares and ADSs may be volatile and may be affected by variability in our company’s performance from period to period and economic conditions beyond management’s control.</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price of our ordinary shares and ADSs may be highly volatile and could be subject to wide fluctuations. This means that our shareholders could experience a decrease in the value of their ordinary shares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ordinary shares and ADSs may fluctuate and cause significant price variations to occur. If the market price of our ordinary shares declines significantly, our shareholders may be unable to resell our ordinary shares at or above their purchase price, if at all. There can be no assurance that the market price of our ordinary shares will not fluctuate or significantly decline in the future.</w:t>
      </w:r>
    </w:p>
    <w:p>
      <w:pPr>
        <w:spacing w:after="0" w:line="18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Some specific factors that could negatively affect the price of our ordinary shares or result in fluctuations in their price and trading volume include:</w:t>
      </w:r>
    </w:p>
    <w:p>
      <w:pPr>
        <w:spacing w:after="0" w:line="7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 investigations or audits by regulators into the operations of our company; or proceedings initiated by our competitors or clients;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or perceived potential sales of the ADSs or ordinary shares by us, our directors, senior management or our shareholders in the future;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raise additional capital, limiting our ability to continue as a going concern;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requirements of being a public company in the U.S. may strain our resources and divert management’s attention.</w:t>
      </w:r>
    </w:p>
    <w:p>
      <w:pPr>
        <w:spacing w:after="0" w:line="11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U.S. Securities Exchange Act of 1934, as amended (the “Exchange Act”), the U.S. Sarbanes-Oxley Act of 2002 (the “Sarbanes-Oxley Act”), the Dodd-Frank Act, the listing standards of the NASDAQ Capital Market as applicable to a foreign private issuer, which are different in some material respects from those required for a U.S. public company, as well as the reporting requirements under the ASX. We expect that the requirements of these rules and regulations will increase our legal, accounting and financial compliance costs, make some activities more difficult, time consuming and costly, and place significant strain on our personnel, systems and resources. As a result of disclosure of information in this filing or future filings required of a public company, our business and financial condition will become more visible, which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275"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b w:val="1"/>
          <w:bCs w:val="1"/>
          <w:i w:val="1"/>
          <w:iCs w:val="1"/>
          <w:color w:val="auto"/>
        </w:rPr>
        <w:t>As a foreign private issuer, if and after our shares are listed on the NASDAQ Capital Market, we will be permitted and intend to follow certain home-country corporate governance practices in lieu of certain NASDAQ requirements applicable to U.S. issuers, affording less protection to holders of our ordinary shares.</w:t>
      </w:r>
    </w:p>
    <w:p>
      <w:pPr>
        <w:spacing w:after="0" w:line="73"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As a foreign private issuer, if and after our ADSs are listed on the NASDAQ Capital Market, we will be permitted to follow certain home-country corporate governance practices in lieu of certain NASDAQ requirements. We intend to avail ourselves of all such exemptions available to us, including without limitation, the following:</w:t>
      </w:r>
    </w:p>
    <w:p>
      <w:pPr>
        <w:spacing w:after="0" w:line="87" w:lineRule="exact"/>
        <w:rPr>
          <w:sz w:val="20"/>
          <w:szCs w:val="20"/>
          <w:color w:val="auto"/>
        </w:rPr>
      </w:pPr>
    </w:p>
    <w:p>
      <w:pPr>
        <w:ind w:left="1060" w:right="8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incorporated in Australia and listed on the ASX, we expect to follow our home country practice with respect to the composition of our Board and committees;</w:t>
      </w:r>
    </w:p>
    <w:p>
      <w:pPr>
        <w:spacing w:after="0" w:line="75" w:lineRule="exact"/>
        <w:rPr>
          <w:rFonts w:ascii="Arial" w:cs="Arial" w:eastAsia="Arial" w:hAnsi="Arial"/>
          <w:sz w:val="18"/>
          <w:szCs w:val="18"/>
          <w:color w:val="auto"/>
        </w:rPr>
      </w:pPr>
    </w:p>
    <w:p>
      <w:pPr>
        <w:ind w:left="1060" w:right="100" w:hanging="316"/>
        <w:spacing w:after="0" w:line="279"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Unlike the NASDAQ requirements, the corporate governance practice and requirements in Australia do not require us to have a majority of our board of directors to be independent, but if we do not do so, the Company is required to disclose annually to all shareholders which corporate governance recommendations (such as having a majority of our board of directors to be independent) have not been adhered to, why they have not been and what has been done in place of compliance with those recommendations;</w:t>
      </w:r>
    </w:p>
    <w:p>
      <w:pPr>
        <w:spacing w:after="0" w:line="76" w:lineRule="exact"/>
        <w:rPr>
          <w:rFonts w:ascii="Arial" w:cs="Arial" w:eastAsia="Arial" w:hAnsi="Arial"/>
          <w:sz w:val="17"/>
          <w:szCs w:val="17"/>
          <w:color w:val="auto"/>
        </w:rPr>
      </w:pPr>
    </w:p>
    <w:p>
      <w:pPr>
        <w:jc w:val="both"/>
        <w:ind w:left="1060" w:right="260" w:hanging="316"/>
        <w:spacing w:after="0" w:line="31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Board is not required under home country regulations to hold regular executive sessions (but is free to do so at any time) where only independent directors are present (but any director with a personal interest in the outcome of an item being voted on is excluded from the deliberation and/or voting, unless the Board determines otherwise) and we do not intend to do so if our listing on NASDAQ is approved.</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Such Australian home-country practices may afford less protection to holders of our ordinary shares than would be available to our shareholders if we were incorporated in the U.S., governed by U.S. law and subject to all applicable NASDAQ regulations. As required for foreign private issuers, each NASDAQ requirement with which we do not intend to comply, if and after our ordinary shares are listed on the NASDAQ Capital Market, is listed below under Item 6.C, together with a description of our applicable home-country practice. Please refer also to Item 9.C under the heading “Markets” for further discussion about the status of our NASDAQ listing application.</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under the rules and regulations of the SEC and are thus exempt from a number of rules under the Exchange Act and will be permitted to file less information with the SEC than a company incorporated in the U.S.</w:t>
      </w:r>
    </w:p>
    <w:p>
      <w:pPr>
        <w:spacing w:after="0" w:line="62"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As a “foreign private issuer” under the Exchange Act, we are exempt from certain rules under the Exchange Act and will not be required to file periodic reports and financial statements with the SEC as frequently or as promptly as U.S. companies whose securities are registered under the Exchange Act, or to comply with Regulation FD, which restricts the selective disclosure of material nonpublic information. In addition, we will be exempt from certain disclosure and procedural requirements applicable to proxy solicitations under Section 14 of the Exchange Act. Our officers, directors and principal shareholders are exempt from the reporting and “short-swing” profit recovery provisions of Section 16 of the Exchange Act. Accordingly, there may be less publicly available information concerning us than there is for a company domiciled in the U.S., and such information may not be provided as promptly as it is currently provided by companies domiciled in the U.S. If we lose our status as a foreign private issuer, we will no longer be exempt from such rules and, among other things, will be required to file periodic reports and financial statements with the SEC as if we were a company incorporated in the U.S. The costs incurred in complying with these additional requirements could be substantial.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dual listing of our ordinary shares and the ADSs may adversely affect the liquidity and value of the ADSs.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After the ADSs are listed on the NASDAQ Capital Market, our ordinary shares will continue to be listed on the ASX. Although the ADSs currently trade on the OTCQX market, we cannot predict the effect of the transition of this dual listing to trading on of the ADSs on NASDAQ Capital Market will have on the value of our ordinary shares and ADSs. However, the dual listing of our ordinary shares and ADSs may dilute the liquidity of these securities in one or both markets and may adversely affect the further development of an active trading market for the ADSs in the U.S. The price of the ADSs could also be adversely affected by trading in our ordinary shares on the ASX.</w:t>
      </w:r>
    </w:p>
    <w:p>
      <w:pPr>
        <w:spacing w:after="0" w:line="173"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Changes in foreign currency exchange rates could impact amounts you receive as a result of any dividend or distribution we declare on our ordinary shares.</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Any significant change in the value of the Australian dollar may impact amounts you receive in U.S. dollars as a result of any dividend or distribution we declare on our ordinary shares as a holder of our ADSs.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More specifically, at present any dividends that we may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any such distributions in U.S. dollars in proportion to the number of our ordinary shares your ADSs represent. Depreciation of the U.S. dollar against the Australian dollar would have a negative effect on any such distribution payable to you.</w:t>
      </w:r>
    </w:p>
    <w:p>
      <w:pPr>
        <w:spacing w:after="0" w:line="281"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Holders of our ADSs have fewer rights than shareholders under Australian law, and their voting rights are limited by the terms of the deposit agreement.</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rights of shareholders under Australian law to take actions, such as voting their shares, receiving dividends and distributions, examining our accounting books and records, bringing derivative actions, and exercising appraisal rights, are available only to shareholders of record. Because the depositary, through its custodian agents, is the record holder of the ordinary shares underlying the ADSs, only the depositary can exercise those rights in connection with the deposited shares.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Holders of ADSs may exercise their voting rights only in accordance with the provisions of the deposit agreement. For more information see the description of the deposit agreement in Item 12C. Upon receipt of</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voting instructions from them in the manner set forth in the deposit agreement, the depositary will make efforts to vote the shares underlying the ADSs in accordance with the instructions of ADS holders. The depositary and its agents may not be able to send voting instructions to holders of ADSs or carry out their voting instructions in a timely manner. Furthermore, the depositary and its agents will not be responsible for any failure to carry out any instructions to vote, for the manner in which any vote is cast or for the effect of any such vote. As a result, holders of ADSs may not be able to exercise their right to vote. If we do not request the depositary to solicit your voting instructions, you can still send voting instructions, and, in that case, the depositary may try to vote as you instruct, but it is not required to do so.</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or any value for them if it is illegal or impractical to make them available to such holders.</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depositary of our ADSs has agreed to pay holders of ADSs the cash dividends or other distributions it or the custodian for our ADSs receives on our ordinary shares or other deposited securities after deducting its fees and expenses. Holders of ADSs will receive these distributions in proportion to the number of our ordinary shares that such ADSs represent. However, the depositary is not responsible for making such payments or distributions if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pursuant to an applicable exemption from registration. The depositary is not responsible for making a distribution available to any holders of ADSs if any registration or other governmental approval required for such distribution cannot be obtained after reasonable efforts. We have no obligation to take any other action to permit distributions on our ordinary shares to holders of ADSs. This means that holders of ADSs may not receive the distributions we make on our ordinary shares if it is illegal or impractical to make them available to such holders. These restrictions may materially reduce the value of our ADSs.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ADSs may be subject to transfer limitations.</w:t>
      </w:r>
    </w:p>
    <w:p>
      <w:pPr>
        <w:spacing w:after="0" w:line="117"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government or governmental body or legal requirement, or under any provision of the deposit agreement, or for any other reason.</w:t>
      </w:r>
    </w:p>
    <w:p>
      <w:pPr>
        <w:spacing w:after="0" w:line="26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incorporated under the laws of Australia, and U.S. investors may face difficulties in protecting their interests, and their ability to protect their rights through the U.S. federal courts may be limited.</w:t>
      </w:r>
    </w:p>
    <w:p>
      <w:pPr>
        <w:spacing w:after="0" w:line="62"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It may be difficult to bring and enforce actions against us because we are incorporated under the laws of Australia. Some or all of our directors will reside in various jurisdictions outside the U.S. As a result, it may be difficult for investors to effect service of process within the U.S. upon our non-U.S. directors, or enforce judgments obtained in the U.S. courts against us or our non-U.S. directors.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addition, there is some doubt as to whether the courts of Australia and other countries would recognize or enforce judgments of U.S. courts obtained against us or our directors or officers based on the civil liabilities provisions of the federal or state securities laws of the U.S. or would hear actions against us or those persons based on those laws. Some remedies available under the laws of U.S. jurisdictions, including some remedies available under the U.S. federal securities laws, may not be allowed in Australia courts. Therefore, a final judgment for the payment of money rendered by any federal or state court in the U.S. based on civil liability, whether or not based solely on U.S. federal or state securities laws, may not be enforceable in countries other than the U.S.</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If research analysts publish unfavorable commentary or downgrade our ordinary shares it could adversely affect our share price and trading volume.</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trading market for our ordinary shares will depend, in part, on the research and reports that research analysts publish about us and our business and industry. If one or more research analysts downgrade our shares, publish unfavorable commentary about the Company or cease publishing reports about us or our business, the price of our ordinary shares could decline. If one or more of the research analysts ceases coverage of our company or fails to publish reports on us regularly, demand for our ordinary shares could decrease, which could cause our share price or trading volume to decline.</w:t>
      </w:r>
    </w:p>
    <w:p>
      <w:pPr>
        <w:spacing w:after="0" w:line="296"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subject U.S. investors in our ordinary shares to significant adverse U.S. income tax consequences.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Depending upon the value of our ordinary shares, which underlie the value of our ADSs, and the nature of our assets and income over time, we could be classified as a “passive foreign investment company”, or “PFIC”, for U.S. federal income tax purposes. Based upon our current income and assets and projections as to the value of our ordinary shares, we do not presently expect to be a PFIC for the current taxable year or the foreseeable future. While we do not expect to become a PFIC, if among other matters, our market capitalization is less than anticipated or subsequently declines, we may be a PFIC for the current or future taxable years. The determination of whether we are or will be a PFIC will also depend, in part, on the composition of our income and assets, which will be affected by how, and how quickly, we use our liquid assets. Because PFIC status is a factual determination made annually after the close of each taxable year, including ascertaining the fair market value of our assets on a quarterly basis and the character of each item of income we earn, we can provide no assurance that we will not be a PFIC for the current taxable year or any future taxable year.</w:t>
      </w:r>
    </w:p>
    <w:p>
      <w:pPr>
        <w:spacing w:after="0" w:line="166"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If we were to be classified as a PFIC in any taxable year, a U.S. holder (as defined in Item 10E under the heading “</w:t>
      </w:r>
      <w:r>
        <w:rPr>
          <w:rFonts w:ascii="Arial" w:cs="Arial" w:eastAsia="Arial" w:hAnsi="Arial"/>
          <w:sz w:val="18"/>
          <w:szCs w:val="18"/>
          <w:i w:val="1"/>
          <w:iCs w:val="1"/>
          <w:color w:val="auto"/>
        </w:rPr>
        <w:t>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would be subject to special rules generally intended to reduce or eliminate any benefits from the deferral of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that a U.S. holder could derive from investing in a non-U.S. corporation that doses not distribute all of its earnings on a current basis. Further, if we are classified as a PFIC for any year during which a U.S. holder holds our ordinary shares, we generally will continue to be treated as a PFIC for all succeeding years during which such U.S. holder holds our ordinary shares. For more information see Item 10E.2 under the heading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 Passive Foreign Investment Company Rules</w:t>
      </w:r>
      <w:r>
        <w:rPr>
          <w:rFonts w:ascii="Arial" w:cs="Arial" w:eastAsia="Arial" w:hAnsi="Arial"/>
          <w:sz w:val="18"/>
          <w:szCs w:val="18"/>
          <w:color w:val="auto"/>
        </w:rPr>
        <w: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Takeovers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b w:val="1"/>
          <w:bCs w:val="1"/>
          <w:i w:val="1"/>
          <w:iCs w:val="1"/>
          <w:color w:val="auto"/>
        </w:rPr>
        <w:t>Australian takeovers laws may discourage takeover offers being made for us or may discourage the acquisition of large numbers of our ordinary shares, which could constrain our share price and reduce investor returns.</w:t>
      </w:r>
    </w:p>
    <w:p>
      <w:pPr>
        <w:spacing w:after="0" w:line="6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are incorporated in Australia and are subject to the takeover laws of Australia, including the Australian Corporations Act 2001 (“Corporations Act”). Subject to a range of exceptions, the Corporations Act prohibits the acquisition of a direct or indirect interest in a company’s issued voting shares if the acquisition of that interest will lead to a person’s voting power in such company increasing from 20% or below to more than 20%, or increasing from a starting point that is above 20% and below 90% without prior shareholder approval or the acquisition otherwise being exempt under the Corporations Act. Australian takeovers laws may discourage takeover offers being made for us or may discourage the acquisition of large numbers of our ordinary shares. This may have the ancillary effect of depriving or limiting our shareholders’ strategic opportunities to sell their ordinary shares and may restrict the ability of our shareholders to obtain a premium from such transactions. See Item 10D under the heading, “</w:t>
      </w:r>
      <w:r>
        <w:rPr>
          <w:rFonts w:ascii="Arial" w:cs="Arial" w:eastAsia="Arial" w:hAnsi="Arial"/>
          <w:sz w:val="18"/>
          <w:szCs w:val="18"/>
          <w:i w:val="1"/>
          <w:iCs w:val="1"/>
          <w:color w:val="auto"/>
        </w:rPr>
        <w:t>The Foreign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Takeovers Act 1975</w:t>
      </w:r>
      <w:r>
        <w:rPr>
          <w:rFonts w:ascii="Arial" w:cs="Arial" w:eastAsia="Arial" w:hAnsi="Arial"/>
          <w:sz w:val="18"/>
          <w:szCs w:val="18"/>
          <w:color w:val="auto"/>
        </w:rPr>
        <w:t>.”</w:t>
      </w:r>
    </w:p>
    <w:p>
      <w:pPr>
        <w:spacing w:after="0" w:line="1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b w:val="1"/>
          <w:bCs w:val="1"/>
          <w:i w:val="1"/>
          <w:iCs w:val="1"/>
          <w:color w:val="auto"/>
        </w:rPr>
        <w:t>Our constitution and applicable Australian laws and regulations may adversely affect our ability to take actions that could be beneficial to our shareholders.</w:t>
      </w:r>
    </w:p>
    <w:p>
      <w:pPr>
        <w:spacing w:after="0" w:line="6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an Australian company we are subject to different corporate requirements than a corporation organized under the laws of the U.S. Our Constitution, as well as the Corporations Act, set forth various rights and obligations that are unique to Australian companies. These requirements operate differently than from many U.S. companies and may limit or otherwise adversely affect our ability to take actions that could be beneficial to our shareholders. Prior to investing in our ordinary shares investors should carefully review the summary of these matters set forth under Item 10B, under the heading “</w:t>
      </w:r>
      <w:r>
        <w:rPr>
          <w:rFonts w:ascii="Arial" w:cs="Arial" w:eastAsia="Arial" w:hAnsi="Arial"/>
          <w:sz w:val="18"/>
          <w:szCs w:val="18"/>
          <w:i w:val="1"/>
          <w:iCs w:val="1"/>
          <w:color w:val="auto"/>
        </w:rPr>
        <w:t>Memorandum and Articles of Association</w:t>
      </w:r>
      <w:r>
        <w:rPr>
          <w:rFonts w:ascii="Arial" w:cs="Arial" w:eastAsia="Arial" w:hAnsi="Arial"/>
          <w:sz w:val="18"/>
          <w:szCs w:val="18"/>
          <w:color w:val="auto"/>
        </w:rPr>
        <w:t>”, as well as the copy of our complete Constitution, which is included as an exhibit to this registration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We were incorporated under the laws of the Commonwealth of Australia on December 21, 1992 and commenced operating under the name “AVITA Medical Limited” October 6, 2008. The registered office is located at c/o Mertons Corporate Services Pty Ltd Level 7 330 Collins Street Melbourne VIC 3000, Australia, telephone number is +61 (0) 3 8689 9997 and fax number +61 (0) 8 9474 7742. Our corporate office and principal U.S. office is located at 28159 Avenue Stanford, Suite 220, Valencia, CA 91355, telephone number is+1 661 367 9170. Our address on the Internet is </w:t>
      </w:r>
      <w:r>
        <w:rPr>
          <w:rFonts w:ascii="Arial" w:cs="Arial" w:eastAsia="Arial" w:hAnsi="Arial"/>
          <w:sz w:val="17"/>
          <w:szCs w:val="17"/>
          <w:u w:val="single" w:color="auto"/>
          <w:color w:val="auto"/>
        </w:rPr>
        <w:t>https://avitamedical.com</w:t>
      </w:r>
      <w:r>
        <w:rPr>
          <w:rFonts w:ascii="Arial" w:cs="Arial" w:eastAsia="Arial" w:hAnsi="Arial"/>
          <w:sz w:val="17"/>
          <w:szCs w:val="17"/>
          <w:color w:val="auto"/>
        </w:rPr>
        <w:t>. The information on, or accessible through, our website is not part of this registration statement on Form 20-F.</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Business Overview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 regenerative medicine company with a technology platform positioned to address unmet medical needs in burn injuries, trauma injuries, chronic wounds, and dermatological and aesthetics indications. Our patented and proprietary platform technology provides innovative treatment solutions derived from the regenerative properties of a patient’s own skin. The medical devices work by preparing Spray-On Skin™ Cells, an autologous cellular suspension comprised of the patient’s skin cells necessary to regenerate natural healthy epidermis. This autologous suspension is sprayed onto the areas of the patient requiring treatment.</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first U.S. product, the RECELL® System, was approved by the U.S. Food and Drug Administration (FDA) in September 2018 for the treatment of acute thermal burn injuries in patients 18 years and older. The RECELL System is used to prepare Spray-On Skin Cells using a small amount of a patient’s own skin, providing a new way to treat severe burns that significantly reduces the amount of donor skin required. The RECELL System is designed to be used at the point of care alone or in combination with split-thickness skin autografts depending on the depth of the burn injury. Compelling data from prospective, randomized, controlled clinical trials conducted at major U.S. burn centers and real-world use globally, demonstrate that the RECELL System is a significant advancement over the current standard of care for burn patients and offers benefits in clinical outcomes and cost savings.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RECELL System is Therapeutic Goods Administration (TGA)-registered in Australia and China Food and Drug Administration (CFDA)-cleared in China for use in the treatment of burns, acute wounds, scars and vitiligo. In Europe, the RECELL System received CE-mark approval for the treatment of burns, chronic wounds, scars and vitiligo.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Markets and Limitations of Standard of Care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Acute Thermal Burns</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Acute thermal burns are life-threatening and debilitating injuries that are among the most expensive traumatic injuries to manage because of complex surgical procedures, long and costly hospitalization, rehabilitation and scar treatment. In the U.S., the largest market for the treatment of burns, approximately 486,000 people seek treatment for burns each year. Of these, at least 40,000 have burn injuries severe enough to</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require in-patient treatment, and it is estimated that 3,300 die each year. The majority of patients treated on an in-patient basis in the U.S. are treated in specialized burn centers. Countries outside the U.S. are smaller markets for the treatment of burns. For example, in Japan, the second largest healthcare market in the world, approximately 6,000 patients with severe burns treated in hospitals each year.</w:t>
      </w:r>
    </w:p>
    <w:p>
      <w:pPr>
        <w:spacing w:after="0" w:line="181"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The severity of the burn is generally assessed based on the extent of the area burned, and the depth of the burns. The extent of the patient’s burn injury is typically described in terms of percent of total body surface area, or “TBSA.” For example, a burn covering an average sized adult arm would be roughly a 9% TBSA, while a burn covering an entire leg would be roughly an 18% TBSA. The depth of the burn, referred to in terms of “degree” is generally classified into four categories:</w:t>
      </w:r>
    </w:p>
    <w:p>
      <w:pPr>
        <w:spacing w:after="0" w:line="92"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Superficial or first-degree burns: Burns that do not penetrate through the epidermis and typically heal naturally.</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Partial-thickness or second-degree burns: Characterized by extending through the epidermis and including varying amounts of damaged dermis. Can be further subdivided into superficial and deep partial-thickness burns.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thickness or third-degree burns: Characterized by injury to the entire dermal tissue down to the subcutaneous fat.</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Fourth-degree burns: Such burns are rare and extend beyond the subcutaneous fat tissue into the underlying structures, such as muscle or bone.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Burn treatment is dictated by the depth and extent of the injury, and deeper and more extensive injuries are most commonly treated with autologous split-thickness skin grafts (STSG) to achieve definitive closure of the burn wound. In a STSG, or autograft, the donor skin is harvested from a healthy part of the patient using a device called a dermatone as detailed in the pictures below. The donor skin is then transferred to the burn injury that has been prepared (debrided or cleaned).</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Harvesting of Donor Skin for Use in Autografting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172085</wp:posOffset>
            </wp:positionV>
            <wp:extent cx="6089015" cy="892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89015" cy="892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Harvesting skin from donor site</w:t>
      </w:r>
    </w:p>
    <w:p>
      <w:pPr>
        <w:spacing w:after="0" w:line="4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Donor site wound created while harvesting</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skin for autograft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Typical donor site scar 52 weeks post</w:t>
      </w:r>
    </w:p>
    <w:p>
      <w:pPr>
        <w:spacing w:after="0" w:line="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procedure</w:t>
      </w:r>
    </w:p>
    <w:p>
      <w:pPr>
        <w:spacing w:after="0" w:line="200" w:lineRule="exact"/>
        <w:rPr>
          <w:sz w:val="20"/>
          <w:szCs w:val="20"/>
          <w:color w:val="auto"/>
        </w:rPr>
      </w:pPr>
    </w:p>
    <w:p>
      <w:pPr>
        <w:sectPr>
          <w:pgSz w:w="11900" w:h="16838" w:orient="portrait"/>
          <w:cols w:equalWidth="0" w:num="3">
            <w:col w:w="3740" w:space="720"/>
            <w:col w:w="3100" w:space="660"/>
            <w:col w:w="300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Treatment with STSG creates additional trauma for the patient due to the harvesting of healthy donor skin. Although the use of STSG has been a standard treatment for more than 50 years, grafting is associated with significant pain, pruritus, infection, dyschromia, dyspigmentation, delayed healing, and hypertrophic scarring of the donor site.</w:t>
      </w:r>
    </w:p>
    <w:p>
      <w:pPr>
        <w:spacing w:after="0" w:line="18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The clinical benefits of earlier intervention for burn wounds are well recognized and include increased survival, reduced hospital length of stay, decreased pain duration, and reduced infection-related complications. However, in large TBSA injuries, the patient may not have enough donor skin available to allow for immediate treatment of the entire area of burn injuries with traditional grafting techniques. The lack of available healthy donor skin in patients with high TBSA burn injuries is often the central problem impacting time to autografting and definitive closure of the wounds. In severely burned patients, doctors often must wait until the donor sites have healed so that they can reharvest from the site, resulting in delays in treatment and healing, requiring</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multiple procedures and extended hospital time. While waiting for donor skin the burn wounds may be temporarily covered by allogenic skin graft, for example allograft (cadaver skin) or xenograft (typically pig skin). The overall cost of treatment with STSG is expensive, for example approximately US$579,000 and 59.4 days in hospital for a patient with a 40% TBSA mixed or full-thickness burn.</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Because of the limited donor skin available for harvest in patients with high TBSA injuries, researchers have developed alternatives such as cultured epidermal autografts (CEA) in which a skin biopsy is taken from a patient and the cells are grown into sheets of skin in a laboratory and then returned for autografting onto the patient. Limitations associated with CEAs, including Epicel</w:t>
      </w:r>
      <w:r>
        <w:rPr>
          <w:rFonts w:ascii="Arial" w:cs="Arial" w:eastAsia="Arial" w:hAnsi="Arial"/>
          <w:sz w:val="14"/>
          <w:szCs w:val="14"/>
          <w:color w:val="auto"/>
        </w:rPr>
        <w:t>®</w:t>
      </w:r>
      <w:r>
        <w:rPr>
          <w:rFonts w:ascii="Arial" w:cs="Arial" w:eastAsia="Arial" w:hAnsi="Arial"/>
          <w:sz w:val="17"/>
          <w:szCs w:val="17"/>
          <w:color w:val="auto"/>
        </w:rPr>
        <w:t xml:space="preserve"> from Vericel Corporation, include the time to grow the sheets of skin (approximately three weeks), the fact that the skin grown contains only keratinocytes and therefore lack the melanocytes that provide pigmentation, and the high cost. As a result, CEAs have been lifesaving in very high TBSA patients (&gt; 30% TBSA) but in the U.S. the use of CEAs have been limited to approximately 100 patients per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Trauma Wounds (Soft Tissue Injuries)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Trauma wounds or soft tissue injuries include abrasions, lacerations, punctures, gunshot wounds, crush wounds, and degloving. Severe traumatic wounds may require surgical intervention to close the wound and stabilize the patient. The most common trauma injuries requiring autografting are degloving and crush wounds. The harvesting and autografting procedures for trauma wounds are similar to the treatment of severe burn injuries, as are the limitations and shortcomings. Patients requiring autografting for trauma wounds are often treated in trauma centers in hospitals by plastic surgeons. Approximately half of the surgeons treating patients with severe burns requiring autografting in the U.S. also treat trauma patients requiring autografting, therefore the soft tissue injury market complements our commercialization efforts related to the U.S. burn market.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Vitiligo and Other Dermatological Indications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Vitiligo is a disease that causes the loss of skin pigmentation or color in patches which tend to increase in size over time. The extent and rate of color loss from vitiligo is unpredictable, can affect the skin on any part of the body, and may also affect hair and the inside of the mouth. Non-segmental vitiligo is the most common variant and impacts the majority of patients and is characterized by symmetrical patches that appear on both sides of the body; as on hands and knees.</w:t>
      </w:r>
    </w:p>
    <w:p>
      <w:pPr>
        <w:spacing w:after="0" w:line="187" w:lineRule="exact"/>
        <w:rPr>
          <w:sz w:val="20"/>
          <w:szCs w:val="20"/>
          <w:color w:val="auto"/>
        </w:rPr>
      </w:pPr>
    </w:p>
    <w:p>
      <w:pPr>
        <w:jc w:val="both"/>
        <w:ind w:left="200" w:right="280" w:firstLine="441"/>
        <w:spacing w:after="0" w:line="276" w:lineRule="auto"/>
        <w:rPr>
          <w:sz w:val="20"/>
          <w:szCs w:val="20"/>
          <w:color w:val="auto"/>
        </w:rPr>
      </w:pPr>
      <w:r>
        <w:rPr>
          <w:rFonts w:ascii="Arial" w:cs="Arial" w:eastAsia="Arial" w:hAnsi="Arial"/>
          <w:sz w:val="17"/>
          <w:szCs w:val="17"/>
          <w:color w:val="auto"/>
        </w:rPr>
        <w:t>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The condition is not life-threatening or physically painful but can significantly alter physical appearance, have negative emotional and psychological consequences, and impair quality of life.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Vitiligo cannot be cured at present, and medical treatments generally fall into one of two categories:</w:t>
      </w:r>
    </w:p>
    <w:p>
      <w:pPr>
        <w:spacing w:after="0" w:line="131" w:lineRule="exact"/>
        <w:rPr>
          <w:sz w:val="20"/>
          <w:szCs w:val="20"/>
          <w:color w:val="auto"/>
        </w:rPr>
      </w:pPr>
    </w:p>
    <w:p>
      <w:pPr>
        <w:jc w:val="both"/>
        <w:ind w:left="1060" w:right="140" w:hanging="316"/>
        <w:spacing w:after="0" w:line="28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arrest the spread of vitiligo, such as steroid creams and non-steroidal anti-inflammatory creams. There are also a number of therapies under development designed to target the underling autoimmune disease. One challenge in terms of achieving the desired patient outcome is that stopping the spread of vitiligo will not restore pigmentation to the areas already damaged.</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Treatments to restore pigmentation include makeup and coverups, dermabrasion, laser, drug-light combinations, and autografts.</w:t>
      </w:r>
    </w:p>
    <w:p>
      <w:pPr>
        <w:spacing w:after="0" w:line="23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Survey results reveal a low level of patient satisfaction with current treatment options. The majority of vitiligo patients in the U.S. are treated by dermatologists. In 2016, China accounted for the highest prevalence in the world with 7.7 million cases, followed by the U.S. 2.6 million cases, Japan with 2.1 million and the EU with 1.4 million.</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We expect to explore potential benefits of variants of the RECELL System platform in the aesthetics markets, estimated to be a US$10 billion market in the U.S. alone in 2018. As part of this program the Company may also target certain orphan diseases, such as epidermolysis bullosa and Hutchinson-Gilford progeria syndrome (HGPS) which are both rare genetic condition that require more effective treatments.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Chronic Wounds</w:t>
      </w:r>
    </w:p>
    <w:p>
      <w:pPr>
        <w:spacing w:after="0" w:line="117"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chronic and other hard-to-heal wound market consists of a broad population of more than 6 million patients in the U.S. suffering from condition such as venous leg ulcers, diabetic foot ulcers, pressure ulcers and non-healing surgical wounds. Chronic and other hard-to-heal wounds represent a US$25 billion burden to the U.S. healthcare system. Chronic and hard-to-heal wounds are caused by impairment in the biochemical and cellular healing processes due to local or systemic conditions and generally can take weeks or months to heal, if not longer. Such wounds can lead to significant morbidity, including pain, infection, impaired mobility, hospitalization, reduced productivity, amputation and mortality.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Venous Leg Ulcers: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Venous leg ulcers (VLUs) are associated with poor venous return (ischemia), primarily occurring as a result of age, obesity, previous leg injuries, deep venous thrombosis, and phlebitis. Venous ulcers are often recurrent, and an open ulcer can persist for weeks to many years. Treatment options for venous ulcers include leg elevation, compression therapy, dressings, pentoxifylline, and aspirin therapy. Surgical management is also indicated for ulcers that are large, of prolonged duration, or refractory to conservative measures. The refractory nature of these ulcers increases the risk of morbidity and mortality and they have a significant impact on patient quality of life. The financial burden of venous ulcers is estimated to be $2 billion per year in the U.S.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Diabetic Foot Ulcers: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 diabetic foot ulcer (DFU) is an open sore or wound and is commonly located on the bottom of the foot. Approximately 5% to 7% of people with diabetes currently have or previously had a DFU, and approximately 25% will develop a DFU in their lifetime. Of those who develop a foot ulcer, 6% will be hospitalized due to infection or other ulcer-related complication. DFUs are the leading cause of non-traumatic lower extremity amputations in the U.S. In the U.S., it is estimated that 1.3 million people have DFUs, and over US$15 billion was spent on the care of this condition. Depending on the severity of the DFU, treatment includes offloading therapy to help redistribute foot pressure away from the ulcer, advanced wound dressings, and negative pressure wound therapy. For DFUs that require surgical closure, autografts, skin substitutes, or biologics can be utilized.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RECELL® Autologous Cell Harvesting System (RECELL System) uses a small amount of a patient’s own skin to prepare Spray-On Skin Cells, an autologous cellular suspension comprised of the patient’s skin cells necessary to regenerate natural healthy epidermis. These Spray-On Skin Cells are prepared using the RECELL System at the point of care in as little as 30 minutes, providing a new way to treat thermal burns and other wounds or defects of the skin. The regenerative skin cell suspension includes keratinocytes, fibroblasts, and melanocytes, all of which play a critical role in wound healing. The ability of the RECELL System to retain melanocytes in the cell suspension is notable as these cells are fragile and are critical for the restoration of natural pigmentation to the area treated.</w:t>
      </w:r>
    </w:p>
    <w:p>
      <w:pPr>
        <w:spacing w:after="0" w:line="193"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RECELL System is a single-use (disposable), stand-alone, battery operated, autologous cell harvesting device containing enzymatic and buffer solutions, sterile surgical instruments, and actuators to achieve the disaggregation and delivery of skin cells. A small skin sample from a patient is enzymatically and mechanically processed in the RECELL System at the point of care to isolate skin cells and to produce a suspension of Spray-On Skin Cells for immediate delivery onto a prepared wound bed. The RECELL System can be used to</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prepare enough suspension to treat a wound up to 80 times the size of the donor skin sample. For example, a skin sample approximately the size of a credit card can be used to treat a wound that covers an adult patient’s entire back.</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Preparation and Application of Spray-On Skin Cells Using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172085</wp:posOffset>
            </wp:positionV>
            <wp:extent cx="5840095" cy="13804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0095" cy="13804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Processing of skin sample in RECELL System to</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prepare Spray-On Skin Cells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Application of Spray-On Skin Cells</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8"/>
          <w:szCs w:val="18"/>
          <w:color w:val="auto"/>
        </w:rPr>
        <w:t>to a patient’s burn injury</w:t>
      </w:r>
    </w:p>
    <w:p>
      <w:pPr>
        <w:spacing w:after="0" w:line="200" w:lineRule="exact"/>
        <w:rPr>
          <w:sz w:val="20"/>
          <w:szCs w:val="20"/>
          <w:color w:val="auto"/>
        </w:rPr>
      </w:pPr>
    </w:p>
    <w:p>
      <w:pPr>
        <w:sectPr>
          <w:pgSz w:w="11900" w:h="16838" w:orient="portrait"/>
          <w:cols w:equalWidth="0" w:num="2">
            <w:col w:w="6620" w:space="720"/>
            <w:col w:w="3880"/>
          </w:cols>
          <w:pgMar w:left="240" w:top="459" w:right="439" w:bottom="1440" w:gutter="0" w:footer="0" w:header="0"/>
          <w:type w:val="continuous"/>
        </w:sectPr>
      </w:pPr>
    </w:p>
    <w:p>
      <w:pPr>
        <w:spacing w:after="0" w:line="2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U.S., the RECELL System is approved by the FDA for use in the treatment of acute thermal burn wounds in patients 18 years and older. The RECELL System is approved for use by appropriately-licensed healthcare professionals at the patients point of care to prepare autologous Spray-On Skin Cells for direct application to acute partial-thickness burns, or application in combination with meshed autografting for acute full-thickness burns. In the U.S., the RECELL System is produced in a configuration that allows the preparation of up to 24 ml of cell suspension which can be used to cover an acute wound area up to 1,920 cm², or approximately 10% of a patient’s body. Healthcare professionals should read the INSTRUCTIONS FOR USE —RECELL® Autologous Cell Harvesting Device (https://recellsystem.com/) for a full description of indications for use and important safety information including contraindications, warnings and precautions.</w:t>
      </w:r>
    </w:p>
    <w:p>
      <w:pPr>
        <w:spacing w:after="0" w:line="17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Australia, the RECELL System is TGA-registered for the treatment of burns, acute wounds, scars and vitiligo. In China, the RECELL System is CFDA-cleared for the treatment of burns, acute wounds, scars and vitiligo. The RECELL system is produced in a configuration that allows for treatment of up to 320 cm² for the markets in Australia and China. In Europe, the RECELL System received CE-mark approval for the treatment of burns, chronic wounds, scars and vitiligo. In February 2019 a Japan’s Pharmaceuticals and Medical Devices Act (“JPMDA”) application for approval to market the RECELL System in Japan was filed for use in the treatment of burns and other wounds.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RECELL System Clinical Results and Ongoing and Planned Clinical Trials</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September 2018 FDA approval of the RECELL System for use in the treatment of acute thermal burns in patients 18 and older was supported by two prospective, randomized, controlled pivotal clinical trials, one in deep partial-thickness (second-degree) burns and one in mixed and full-thickness (third-degree) burns. The randomized, controlled trials demonstrated that treatment using the RECELL System requires substantially less donor skin than required with conventional split-thickness autografts to achieve closure of burn wounds. Reduction in donor skin requirements provides key clinical benefits to patients and significant reductions in the cost of treatment. The results of these clinical studies have been published in peer-reviewed scientific publications and have been presented at burn meetings and other major scientific conferences. Presentations by key opinion leaders have been made at over 20 scientific conferences in 2018 and 2019, including presentations of the pivotal clinical trial results and the clinical results related to use of the RECELL System in the treatment of burns in specific subgroups of patients and types of burn injuries, including facial burns and large TBSA burns. Patients included in many of these presentations were treated as part of the FDA-approved Investigational Device</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Exemption (IDE) Compassionate Use and Continued Access programs made available to burn patients prior to the FDA approval.</w:t>
      </w:r>
    </w:p>
    <w:p>
      <w:pPr>
        <w:spacing w:after="0" w:line="22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In addition to and extensive clinical trial program in acute thermal burns in adults, earlier-stage clinical studies have been conducted in pediatric burns, scald injuries, treatment of donor sites, vitiligo, chronic wounds (venous leg ulcers and diabetic foot ulcers), scar hypopigmentation, and acute trauma.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Thermal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Second-Degree Acute Thermal Burns</w:t>
      </w:r>
    </w:p>
    <w:p>
      <w:pPr>
        <w:spacing w:after="0" w:line="117"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One of the two randomized, controlled clinical trials of the RECELL System supporting the September 2018 FDA approval was a study of patients with partial-thickness (second-degree burns) conducted at 12 U.S. burn centers. The pivotal trial evaluated 101 adult patients with thermal, partial-thickness burns covering 1% to 20% of their total body surface area. Patients served as their own control, and two comparable burn sites were selected for comparative testing on each patient. One burn site on each patient was treated with Spray-On-Skin Cells prepared using the RECELL System, while the other burn site was treated with the standard treatment, consisting of meshed autograft expanded 2:1.</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pivotal trial, the patient donor skin required to be harvested to treat burn sites using the RECELL System was 97.5% less than the amount harvested to treat burn sites with the standard of care (p&lt;0.001). Despite the statistically significant reduction in donor skin required to treat with the RECELL System, burn sites treated using the RECELL System achieved definitive closure and long-term outcomes, including durability, comparable to the burn sites treated with standard of care.</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172085</wp:posOffset>
            </wp:positionV>
            <wp:extent cx="5994400" cy="2066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9440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3"/>
              </w:rPr>
              <w:t>Statistically significant reduction in donor skin</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Comparison of donor skin requirement for participant in</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91"/>
              </w:rPr>
              <w:t>requirement for use of the RECELL System in treatment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2"/>
              </w:rPr>
              <w:t>clinical trial. Requirement for 2:1 mesh autograft</w:t>
            </w:r>
          </w:p>
        </w:tc>
      </w:tr>
      <w:tr>
        <w:trPr>
          <w:trHeight w:val="216"/>
        </w:trPr>
        <w:tc>
          <w:tcPr>
            <w:tcW w:w="4820" w:type="dxa"/>
            <w:vAlign w:val="bottom"/>
          </w:tcPr>
          <w:p>
            <w:pPr>
              <w:jc w:val="center"/>
              <w:ind w:right="650"/>
              <w:spacing w:after="0"/>
              <w:rPr>
                <w:sz w:val="20"/>
                <w:szCs w:val="20"/>
                <w:color w:val="auto"/>
              </w:rPr>
            </w:pPr>
            <w:r>
              <w:rPr>
                <w:rFonts w:ascii="Arial" w:cs="Arial" w:eastAsia="Arial" w:hAnsi="Arial"/>
                <w:sz w:val="18"/>
                <w:szCs w:val="18"/>
                <w:color w:val="auto"/>
                <w:w w:val="88"/>
              </w:rPr>
              <w:t>versus standard 2:1 meshed autograft</w:t>
            </w: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0"/>
              </w:rPr>
              <w:t>(STSG) versus requirement for treatment using the</w:t>
            </w:r>
          </w:p>
        </w:tc>
      </w:tr>
      <w:tr>
        <w:trPr>
          <w:trHeight w:val="230"/>
        </w:trPr>
        <w:tc>
          <w:tcPr>
            <w:tcW w:w="4820" w:type="dxa"/>
            <w:vAlign w:val="bottom"/>
          </w:tcPr>
          <w:p>
            <w:pPr>
              <w:spacing w:after="0"/>
              <w:rPr>
                <w:sz w:val="20"/>
                <w:szCs w:val="20"/>
                <w:color w:val="auto"/>
              </w:rPr>
            </w:pPr>
          </w:p>
        </w:tc>
        <w:tc>
          <w:tcPr>
            <w:tcW w:w="4820" w:type="dxa"/>
            <w:vAlign w:val="bottom"/>
          </w:tcPr>
          <w:p>
            <w:pPr>
              <w:jc w:val="center"/>
              <w:ind w:left="670"/>
              <w:spacing w:after="0"/>
              <w:rPr>
                <w:sz w:val="20"/>
                <w:szCs w:val="20"/>
                <w:color w:val="auto"/>
              </w:rPr>
            </w:pPr>
            <w:r>
              <w:rPr>
                <w:rFonts w:ascii="Arial" w:cs="Arial" w:eastAsia="Arial" w:hAnsi="Arial"/>
                <w:sz w:val="18"/>
                <w:szCs w:val="18"/>
                <w:color w:val="auto"/>
                <w:w w:val="93"/>
              </w:rPr>
              <w:t>RECELL System</w:t>
            </w:r>
          </w:p>
        </w:tc>
      </w:tr>
    </w:tbl>
    <w:p>
      <w:pPr>
        <w:spacing w:after="0" w:line="21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Secondary endpoints measured in the trial highlighted additional clinical benefits of the significant reduction in donor skin harvested for treatment using the RECELL System, including:</w:t>
      </w:r>
    </w:p>
    <w:p>
      <w:pPr>
        <w:spacing w:after="0" w:line="76"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Significantly less donor-site pain (p£0.0025)</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higher patient satisfaction with donor-site appearance (p£0.0025)</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better donor-site scarring results (p£0.0025)</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greater incidence of donor-site healing at two weeks (p&lt;0.001), with an odds ration of 4:3</w:t>
      </w:r>
    </w:p>
    <w:p>
      <w:pPr>
        <w:spacing w:after="0" w:line="225"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 xml:space="preserve">In the clinical trial, use of the RECELL System in the trial was safe and well tolerated with adverse experiences typical for the type of burn injury sustained. The results of this trial were published in a peer-reviewed scientific publication, the </w:t>
      </w:r>
      <w:r>
        <w:rPr>
          <w:rFonts w:ascii="Arial" w:cs="Arial" w:eastAsia="Arial" w:hAnsi="Arial"/>
          <w:sz w:val="16"/>
          <w:szCs w:val="16"/>
          <w:i w:val="1"/>
          <w:iCs w:val="1"/>
          <w:color w:val="auto"/>
        </w:rPr>
        <w:t>Journal of Burn Care &amp; Research</w:t>
      </w:r>
      <w:r>
        <w:rPr>
          <w:rFonts w:ascii="Arial" w:cs="Arial" w:eastAsia="Arial" w:hAnsi="Arial"/>
          <w:sz w:val="16"/>
          <w:szCs w:val="16"/>
          <w:color w:val="auto"/>
        </w:rPr>
        <w:t>, in September 2018.</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Pivotal Clinical Trial in Third-Degree Acute Thermal Burns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second randomized, controlled clinical trial of the RECELL System supporting the September 2018 FDA approval was a study of patients with mixed and full-thickness (third-degree burns) conducted at seven U.S. burn centers. The pivotal trial evaluated 30 patients ranging in age from nine to 68 years old with thermal, mixed-thickness burns, including full-thickness burns, covering 5% to 46% of their total body surface area. Patients served as their own control, and two comparable burn sites were selected for comparative testing on each patient. One burn site was treated with the standard treatment, meshed autograft, while the other was treated with Spray-On-Skin Cells prepared using the RECELL System combined with more widely meshed autografts (for example, if a 2:1 meshed autograft was used to treat the control burn site, then a 3:1 meshed autograft used in combination with Spray-On Skin Cells was used to treat the RECELL site). The co-primary endpoints of the pivotal trial were reduction in donor skin requirements and non-inferiority in complete wound closure.</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pivotal clinical trial achieved its co-primary endpoints, demonstrating a statistically significant reduction in donor skin requirements versus standard of care while achieving comparable definitive wound closure. Treatment using the RECELL System achieved comparable healing, long-term scar and patient satisfaction outcomes using significantly less donor skin with no safety concerns. During the pivotal trial, the patient donor skin required to be harvested to treat burn sites with the RECELL System was 32% less than the amount harvested to treat burn sites with the standard of care (p&lt;0.001). Despite the statistically significant reduction in donor skin required to treat using the RECELL System, eight weeks post treatment 92% of the burn sites treated using the RECELL System achieved complete healing versus 85% for the sites treated with the standard of care, demonstrating non-inferiority.</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Reduction in Donor Skin Requirements in Pivotal Trial in Second-Degree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172085</wp:posOffset>
            </wp:positionV>
            <wp:extent cx="2400935" cy="1964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93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Statistically significant reduction in donor skin</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requirement for use of the RECELL System in</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combination with widely-meshed autographs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treatment versus standard meshed autograft.</w:t>
      </w:r>
    </w:p>
    <w:p>
      <w:pPr>
        <w:spacing w:after="0" w:line="1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 xml:space="preserve">Use of the RECELL System was safe and well tolerated with no device-related adverse events. The results of this trial were published online ahead of print in a peer-reviewed scientific publication, </w:t>
      </w:r>
      <w:r>
        <w:rPr>
          <w:rFonts w:ascii="Arial" w:cs="Arial" w:eastAsia="Arial" w:hAnsi="Arial"/>
          <w:sz w:val="16"/>
          <w:szCs w:val="16"/>
          <w:i w:val="1"/>
          <w:iCs w:val="1"/>
          <w:color w:val="auto"/>
        </w:rPr>
        <w:t>Burns</w:t>
      </w:r>
      <w:r>
        <w:rPr>
          <w:rFonts w:ascii="Arial" w:cs="Arial" w:eastAsia="Arial" w:hAnsi="Arial"/>
          <w:sz w:val="16"/>
          <w:szCs w:val="16"/>
          <w:color w:val="auto"/>
        </w:rPr>
        <w:t>, in December 2018, and will appear in the print version of the journal in 2019.</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BEACON Cost-Effectiveness Model Demonstrates Costs Savings Associated with use of RECELL System in Treatment of Severe Burns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investigate the value proposition and potential transformative health economic impact of the RECELL System in burn care, a hospital-perspective cost-effectiveness model was developed by IQVIA</w:t>
      </w:r>
      <w:r>
        <w:rPr>
          <w:rFonts w:ascii="Arial" w:cs="Arial" w:eastAsia="Arial" w:hAnsi="Arial"/>
          <w:sz w:val="15"/>
          <w:szCs w:val="15"/>
          <w:color w:val="auto"/>
        </w:rPr>
        <w:t>™</w:t>
      </w:r>
      <w:r>
        <w:rPr>
          <w:rFonts w:ascii="Arial" w:cs="Arial" w:eastAsia="Arial" w:hAnsi="Arial"/>
          <w:sz w:val="18"/>
          <w:szCs w:val="18"/>
          <w:color w:val="auto"/>
        </w:rPr>
        <w:t>, the Biomedical Advanced Research and Development Authority (BARDA), and AVITA Medical. The Burn-MCM (Medical Counter Measure) Effectiveness Assessment Cost Outcomes Nexus (BEACON) model evaluates how practice patterns, interventions and patient characteristics interact across all phases of care (wound assessment, debridement/excision, temporary coverage and permanent closure) to understand how patient and burn center outcomes change given the incorporation of a new burn care treatment, such as the RECELL System.</w:t>
      </w:r>
    </w:p>
    <w:p>
      <w:pPr>
        <w:spacing w:after="0" w:line="19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As described in a peer-reviewed scientific publication in </w:t>
      </w:r>
      <w:r>
        <w:rPr>
          <w:rFonts w:ascii="Arial" w:cs="Arial" w:eastAsia="Arial" w:hAnsi="Arial"/>
          <w:sz w:val="17"/>
          <w:szCs w:val="17"/>
          <w:i w:val="1"/>
          <w:iCs w:val="1"/>
          <w:color w:val="auto"/>
        </w:rPr>
        <w:t>Advances in Therapy</w:t>
      </w:r>
      <w:r>
        <w:rPr>
          <w:rFonts w:ascii="Arial" w:cs="Arial" w:eastAsia="Arial" w:hAnsi="Arial"/>
          <w:sz w:val="17"/>
          <w:szCs w:val="17"/>
          <w:color w:val="auto"/>
        </w:rPr>
        <w:t>, accepted in April 2019, the BEACON model uses sequential decision trees to depict the acute care pathway for burn patients, and then predicts how the RECELL System would modify treatment for patients with burns ranging from 10% to 40% TBSA. Clinical inputs were derived from randomized controlled trials, burn surgeon surveys and interviews, and the American Burn Association National Burn Repository. An accompanying budget impact model builds on the cost-effectiveness calculations to evaluate overall cost impact to a burn center or payor associated with incorporation of the RECELL System into patient care.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BEACON model shows that treatment using the RECELL System for deep partial-thickness burns reduces total treatment costs by an average of 26%, or approximately US$37,000, for patients with 10% TBSA and 40%, or approximately US$150,000, for patients with 40% TBSA. For full-thickness burns, treatment using the RECELL System reduced total treatment cost by 3%, or approximately US$6,000, for patients with 10% TBSA, and by 42% or approximately US$243,000, for patients with 40% TBSA. The cost reductions are attributed to decreasing the length of hospital stay, the number of procedures required to close the burn wound, the donor site size and associated wound care, and number of downstream contracture release procedures. All cost savings estimates are net of the cost of the RECELL System.</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budget impact model was also used to calculate the annual budget impact of current standard of care for the treatment of burns versus treatment using the RECELL System for a burn center with 200 patients. The model determined that treatment using the RECELL System would reduce annual total treatment costs from approximately US$39.4 million to US$32.6 million, saving 17% or approximately US$6.8 million.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BEACON model may be run for the specific demographics of an individual burn center or territory, allowing the burn institution or region to evaluate the potential benefits of the RECELL System within their specific population of burn patients. As described by researchers at a presentation at the American Burn Association 51</w:t>
      </w:r>
      <w:r>
        <w:rPr>
          <w:rFonts w:ascii="Arial" w:cs="Arial" w:eastAsia="Arial" w:hAnsi="Arial"/>
          <w:sz w:val="15"/>
          <w:szCs w:val="15"/>
          <w:color w:val="auto"/>
        </w:rPr>
        <w:t>st</w:t>
      </w:r>
      <w:r>
        <w:rPr>
          <w:rFonts w:ascii="Arial" w:cs="Arial" w:eastAsia="Arial" w:hAnsi="Arial"/>
          <w:sz w:val="18"/>
          <w:szCs w:val="18"/>
          <w:color w:val="auto"/>
        </w:rPr>
        <w:t xml:space="preserve"> Annual Meeting in April 2019, the patient characteristics for the Arizona Burn Center (for example, age, burn depth, TBSA) were input into the BEACON model based on the 800 patients with 10% TBSA and greater burns treated in 2018 at the institution, and demonstrated:</w:t>
      </w:r>
    </w:p>
    <w:p>
      <w:pPr>
        <w:spacing w:after="0" w:line="94" w:lineRule="exact"/>
        <w:rPr>
          <w:sz w:val="20"/>
          <w:szCs w:val="20"/>
          <w:color w:val="auto"/>
        </w:rPr>
      </w:pPr>
    </w:p>
    <w:p>
      <w:pPr>
        <w:ind w:left="1060" w:right="14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Arizona Burn Center would save approximately US$28 million (16%) per year using the RECELL System versus the current standard of care (net of the cost of the RECELL System)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largest driver of the predicted cost savings is reduction in length of stay per patient, comprising 70% of the savings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Also contributing to the estimated cost savings is an approximate 67% less autografting procedures, with reduction in operating room time contributing another 13% to the estimated cost savings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 similar presentation was made by researchers at the 31st Annual Southern Region Burn Conference in November 2018 which described the application of the BEACON model to the patient characteristics for the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Firefighter Burn Center, Memphis, Tennessee, and University of Tennessee Health Science Center. The model determined that treating patients with the RECELL System alone, or in combination with widely spaced skin grafts, could reduce the burn center’s costs by up to US$21 million per year compared to conventional treatment. Major drivers of the cost savings included a decrease in length of hospital stay and a reduction in the number of surgeries and related resources (blood transfusions and dressings).</w:t>
      </w:r>
    </w:p>
    <w:p>
      <w:pPr>
        <w:spacing w:after="0" w:line="18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BEACON model highlights the potential of the RECELL System to improve patient care in the treatment of severe burns, while also providing a technique for reducing the total cost of treatment.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Additional RECELL Clinical Results in Severe Burns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 series of studies have been presented at scientific conferences and evaluated multiple patient categories and burn types in more than 150 burn patients that were treated under FDA-approved Investigational Device Exemption (IDE) Compassionate Use and Continued Access programs made available to patients prior to the FDA approval. Many of these studies includes a class of patients or types of burn injuries that fall outside of the currently approved U.S. product labeling.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Facial Burns</w:t>
      </w:r>
    </w:p>
    <w:p>
      <w:pPr>
        <w:spacing w:after="0" w:line="117" w:lineRule="exact"/>
        <w:rPr>
          <w:sz w:val="20"/>
          <w:szCs w:val="20"/>
          <w:color w:val="auto"/>
        </w:rPr>
      </w:pPr>
    </w:p>
    <w:p>
      <w:pPr>
        <w:jc w:val="both"/>
        <w:ind w:left="200" w:right="520" w:firstLine="441"/>
        <w:spacing w:after="0" w:line="286" w:lineRule="auto"/>
        <w:rPr>
          <w:sz w:val="20"/>
          <w:szCs w:val="20"/>
          <w:color w:val="auto"/>
        </w:rPr>
      </w:pPr>
      <w:r>
        <w:rPr>
          <w:rFonts w:ascii="Arial" w:cs="Arial" w:eastAsia="Arial" w:hAnsi="Arial"/>
          <w:sz w:val="17"/>
          <w:szCs w:val="17"/>
          <w:color w:val="auto"/>
        </w:rPr>
        <w:t>Deep partial-thickness facial burns present a challenge in reconstructive surgery. Standard of care typically includes excision and allograft followed by split-thickness autografting. Limitations of the current treatment regimen includes dyspigmentation at the sites of the skin grafts and hypertrophic scaring at the seams of the grafts, resulting in substantial patient dissatisfaction with the outcome.</w:t>
      </w:r>
    </w:p>
    <w:p>
      <w:pPr>
        <w:spacing w:after="0" w:line="166"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At the American Burn Association 50</w:t>
      </w:r>
      <w:r>
        <w:rPr>
          <w:rFonts w:ascii="Arial" w:cs="Arial" w:eastAsia="Arial" w:hAnsi="Arial"/>
          <w:sz w:val="15"/>
          <w:szCs w:val="15"/>
          <w:color w:val="auto"/>
        </w:rPr>
        <w:t>th</w:t>
      </w:r>
      <w:r>
        <w:rPr>
          <w:rFonts w:ascii="Arial" w:cs="Arial" w:eastAsia="Arial" w:hAnsi="Arial"/>
          <w:sz w:val="18"/>
          <w:szCs w:val="18"/>
          <w:color w:val="auto"/>
        </w:rPr>
        <w:t xml:space="preserve"> Annual Meeting in April 2018, clinical researchers provided a retrospective review of clinical outcomes obtained in the treatment with the RECELL System of five patients with acute deep partial-thickness facial burn injuries under the Compassionate Use IDE program. Patients in the facial burn case studies ranged from 2 to 40 years of age and had burns covering 35% to 62% TBSA. Researchers reported that in this small study, treatment using the RECELL System provided equivalent or superior results to current treatments in facial burn care in terms of wound healing, and excellent cosmetic outcomes.</w:t>
      </w:r>
    </w:p>
    <w:p>
      <w:pPr>
        <w:spacing w:after="0" w:line="18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 representative patient in the trial was a 12-year-old girl with 2nd-degree facial burn and widespread 3rd-degree burns, with total injuries encompassing a 62% TBSA. The patient had insufficient donor skin available for standard autografts. The healing of the patient’s facial burns is highlighted in the progressions of photographs included below.</w:t>
      </w:r>
    </w:p>
    <w:p>
      <w:pPr>
        <w:spacing w:after="0" w:line="28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Facial Burn Case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172085</wp:posOffset>
            </wp:positionV>
            <wp:extent cx="788670" cy="1089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8670" cy="108902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172085</wp:posOffset>
            </wp:positionV>
            <wp:extent cx="746125" cy="1089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172085</wp:posOffset>
            </wp:positionV>
            <wp:extent cx="746125" cy="1089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1089025"/>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172085</wp:posOffset>
            </wp:positionV>
            <wp:extent cx="2160905" cy="10890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090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00"/>
        <w:spacing w:after="0"/>
        <w:tabs>
          <w:tab w:leader="none" w:pos="3560" w:val="left"/>
          <w:tab w:leader="none" w:pos="5720" w:val="left"/>
          <w:tab w:leader="none" w:pos="7860" w:val="left"/>
          <w:tab w:leader="none" w:pos="10080" w:val="left"/>
        </w:tabs>
        <w:rPr>
          <w:sz w:val="20"/>
          <w:szCs w:val="20"/>
          <w:color w:val="auto"/>
        </w:rPr>
      </w:pPr>
      <w:r>
        <w:rPr>
          <w:rFonts w:ascii="Arial" w:cs="Arial" w:eastAsia="Arial" w:hAnsi="Arial"/>
          <w:sz w:val="14"/>
          <w:szCs w:val="14"/>
          <w:b w:val="1"/>
          <w:bCs w:val="1"/>
          <w:color w:val="auto"/>
        </w:rPr>
        <w:t>Treatment Day</w:t>
      </w:r>
      <w:r>
        <w:rPr>
          <w:sz w:val="20"/>
          <w:szCs w:val="20"/>
          <w:color w:val="auto"/>
        </w:rPr>
        <w:tab/>
      </w:r>
      <w:r>
        <w:rPr>
          <w:rFonts w:ascii="Arial" w:cs="Arial" w:eastAsia="Arial" w:hAnsi="Arial"/>
          <w:sz w:val="14"/>
          <w:szCs w:val="14"/>
          <w:b w:val="1"/>
          <w:bCs w:val="1"/>
          <w:color w:val="auto"/>
        </w:rPr>
        <w:t>Day 7</w:t>
      </w:r>
      <w:r>
        <w:rPr>
          <w:sz w:val="20"/>
          <w:szCs w:val="20"/>
          <w:color w:val="auto"/>
        </w:rPr>
        <w:tab/>
      </w:r>
      <w:r>
        <w:rPr>
          <w:rFonts w:ascii="Arial" w:cs="Arial" w:eastAsia="Arial" w:hAnsi="Arial"/>
          <w:sz w:val="14"/>
          <w:szCs w:val="14"/>
          <w:b w:val="1"/>
          <w:bCs w:val="1"/>
          <w:color w:val="auto"/>
        </w:rPr>
        <w:t>Day 21</w:t>
      </w:r>
      <w:r>
        <w:rPr>
          <w:sz w:val="20"/>
          <w:szCs w:val="20"/>
          <w:color w:val="auto"/>
        </w:rPr>
        <w:tab/>
      </w:r>
      <w:r>
        <w:rPr>
          <w:rFonts w:ascii="Arial" w:cs="Arial" w:eastAsia="Arial" w:hAnsi="Arial"/>
          <w:sz w:val="14"/>
          <w:szCs w:val="14"/>
          <w:b w:val="1"/>
          <w:bCs w:val="1"/>
          <w:color w:val="auto"/>
        </w:rPr>
        <w:t>3 months</w:t>
      </w:r>
      <w:r>
        <w:rPr>
          <w:sz w:val="20"/>
          <w:szCs w:val="20"/>
          <w:color w:val="auto"/>
        </w:rPr>
        <w:tab/>
      </w:r>
      <w:r>
        <w:rPr>
          <w:rFonts w:ascii="Arial" w:cs="Arial" w:eastAsia="Arial" w:hAnsi="Arial"/>
          <w:sz w:val="13"/>
          <w:szCs w:val="13"/>
          <w:b w:val="1"/>
          <w:bCs w:val="1"/>
          <w:color w:val="auto"/>
        </w:rPr>
        <w:t>1 year</w:t>
      </w:r>
    </w:p>
    <w:p>
      <w:pPr>
        <w:spacing w:after="0" w:line="226"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Researchers observed that the reintroduction of melanocytes as part of the cellular suspension prepared using the RECELL System resulted in an excellent cosmetic outcome. The patient did not require surgical revisions for facial contractures and was discharged from the hospital in 24 days.</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Pediatric Patients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achieving permanent closure, and the longer a wound remains open the more susceptible a patient is to infection. In the U.S., one-third of burn injuries occur in children, and the availability of donor skin for traditional meshed autografts is even more limited in pediatric patients with extensive injuries. The use of the RECELL System, a donor skin sparing technology that enables rapid definitive closure of burn wounds, has the potential to improve patient outcomes.</w:t>
      </w:r>
    </w:p>
    <w:p>
      <w:pPr>
        <w:spacing w:after="0" w:line="17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Interim results describing clinical outcomes for pediatric patients treated using the RECELL System were presented at the American Burn Association (ABA) 51st Annual Meeting in April 2019. The study included a total of 23 pediatric patients with a median age of 6.7 years old (ranging from 0.8 to 16.0) treated under FDA IDE Compassionate Use and Continued Access programs with mixed-depth and full-thickness (third-degree) burns. The presentation was selected as a “Best of the Best Abstract” out of more than 500 abstract submissions to the ABA meeting.</w:t>
      </w:r>
    </w:p>
    <w:p>
      <w:pPr>
        <w:spacing w:after="0" w:line="17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this study of pediatric patients which included those with life-threatening thermal burn injuries, Spray-On Skin Cells prepared using the RECELL System were applied in combination with widely meshed split-thickness autografts to achieve definitive closure using minimal donor skin. A total of 107 burn wounds were treated in the study, and 98% achieved definitive healing within four weeks of treatment. Importantly, for patients with greater than 50% TBSA burns, treatment with the combination of Spray-On Skin Cells and widely meshed split-thickness autografts achieved the same high rate of healing at week four as patients with smaller burns (burns equal to or less than 50% TBSA) treated with the same combination. In addition, in the study the donor sites on all patients were treated with Spray-On Skin Cells, and 62.5% of the donor sites were healed within a week of treatment, and 100% were completely healed within two weeks of treatment. Researcher reported that the majority of burn sites had cosmetic outcomes rated as satisfactory or equivalent compared to uninjured skin and that the early healing of donor sites contributed to a decrease between harvest times for patients with limited donor skin availability.</w:t>
      </w:r>
    </w:p>
    <w:p>
      <w:pPr>
        <w:spacing w:after="0" w:line="18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Two additional randomized, controlled clinical trials using the RECELL System in the treatment of pediatric patients are currently underway, and a third trial in this population is expected to begin in the middle of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Treatment of Donor Sites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large TBSA injuries a patient may not have enough donor skin available to allow for immediate treatment of the entire area of burn injuries with traditional autografting techniques. In severely burned patients with extensive injuries, surgeons often must wait until the donor sites have healed so that they can reharvest from the site, resulting in delays in treatment and healing and the need for multiple procedures and extended hospital time.</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Interim results describing clinical outcomes associated with the treatment of donor sites using the RECELL System in patients with large TBSA burn were presented at the American Burn Association 51st Annual Meeting in April 2019 (the presentation was awarded Best in Category at the meeting). In the prospective observational study of 73 subjects with life-threatening thermal burn injuries treated under the Compassionate Use program, 426 donor sites wounds were treated with Spray-On Skin Cells prepared using the RECELL System. The mean TBSA of the patients in the study was 54% with burns ranging from 20% to 91% TBSA. Two weeks after treatment, 91% of the donor sites had healed in this vulnerable patient population, and 98% had healed by week eight. Donor sites treated using the RECELL System were able to be reharvested as early as seven days after treatment. No infection or delayed healing were reported for donor sites treated with Spray-On Skin Cells. Researchers noted that the ability to reharvest additional donor skin from a site in as little one week after treatment with the RECELL System is extremely beneficial in this population of patients with extensive life-threatening injuries and limited available donor skin.</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representative patient in the study was a 16-month-old female with a 30% TBSA mixed depth thermal burn with donor sites taken from her back. Medical professionals applied Spray-On Skin Cells to her donor site wound. The donor sites were 100% re-epithelialized by within two weeks of treatment. At one-year follow-up the donor site wound had matching color, pigment, and texture to the surrounding skin. Treatment and healing of the patient’s donor site is highlighted in the photographs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144780</wp:posOffset>
            </wp:positionV>
            <wp:extent cx="1294765" cy="1655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4765" cy="1655445"/>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144780</wp:posOffset>
            </wp:positionV>
            <wp:extent cx="1715135" cy="1655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5135" cy="16554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Application of Spray-On Skin Cells</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prepared using the RECELL System</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to donor site wound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Healing of donor site wound one year after</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treatment using the RECELL System</w:t>
      </w:r>
    </w:p>
    <w:p>
      <w:pPr>
        <w:spacing w:after="0" w:line="416" w:lineRule="exact"/>
        <w:rPr>
          <w:sz w:val="20"/>
          <w:szCs w:val="20"/>
          <w:color w:val="auto"/>
        </w:rPr>
      </w:pPr>
    </w:p>
    <w:p>
      <w:pPr>
        <w:sectPr>
          <w:pgSz w:w="11900" w:h="16838" w:orient="portrait"/>
          <w:cols w:equalWidth="0" w:num="2">
            <w:col w:w="6380" w:space="720"/>
            <w:col w:w="4120"/>
          </w:cols>
          <w:pgMar w:left="240" w:top="459" w:right="439"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randomized, controlled clinical trial of the use of the RECELL System in the treatment of donor sites in pediatric patients is currently underway.</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RECELL in Treatment of Patients with Extensive Burns (Large TBSA Patients)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patients with extensive burn injuries, lack of available donor skin is a major limitation in achieving permanent closure, and the longer a wound remains open the more susceptible a patient is to infection. At the American Burn Association 51st Annual Meeting in April 2019 researchers presented data showing that the use of the RECELL System in combination with meshed autografts achieves definitive closure for patients with burn injuries greater than 50% TBSA and achieved comparable outcomes to patients with less severe injuries.</w:t>
      </w:r>
    </w:p>
    <w:p>
      <w:pPr>
        <w:spacing w:after="0" w:line="17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this study of 35 patients with life-threatening thermal burn injuries, Spray-On Skin were applied in combination with widely meshed split-thickness autografts to achieve definitive closure using minimal donor skin. For patients with greater than 50% TBSA burns, 150 burn wounds were treated with the combination of Spray-On Skin Cells and widely meshed split-thickness autografts, with 95% of the wounds achieving complete wound closure two months after treatment. For patients with equal to or less than 50% TBSA burns, 53 burn wounds were treated with the same combination and the rate of healing was similar to the large TBSA patients, with 92% of wounds achieving full healing two months after treatment. Researchers reported that there was no device related adverse events and long-term durability was excellent.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Ongoing and Future Clinical Trials in Burns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Donor Site Study:</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October 2018 we initiated a randomized, controlled clinical study in the U.S. to investigate the safety and effectiveness of Spray-On Skin Cells prepared with the RECELL System compared to conventional care for healing of donor sites in pediatric patients (infants, children and adolescents aged one to 16 years). The study will evaluate a minimum of 50 patients who require autografting in approximately eight U.S. centers. Patients who are eligible for the study may be undergoing autografting for any reason, including burns, trauma, and reconstruction. The study is a matched-pairs design where patients will serve as their own control. For each patient, two donor sites of similar surface area will be selected and randomized to be treated with Spray-On Skin Cells or serve as the control (treated with standard dressings only).</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effectiveness endpoint is time in days for complete healing of the donor sites. Secondary and tertiary endpoints include:</w:t>
      </w:r>
    </w:p>
    <w:p>
      <w:pPr>
        <w:spacing w:after="0" w:line="131"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Donor site treatment preference by patient / guardian at week four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Investigator donor site preference at week four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Comparative itching of donor sites post treatment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Blinded evaluator assessment of donor sites at week 24</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 guardian assessment of donor sites at week 24</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Investigator assessment of healing at all visits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or parent / guardian reported donor site pain</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Patients will be followed for one-year after treatment. The pediatric donor-site study is being 100% funded by Biomedical Advanced Research and Development Authority (BARDA) under the ongoing program.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Australian Pediatric Scalds Study: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August 2018 a randomized, controlled clinical study of the use of the RECELL System in the treatment of significant superficial partial- and mid-thickness pediatric burns, including scald injuries, was initiated in Australia. The current standard of care for children with partial-thickness burns is cleaning of the wound followed by a dressing application. Limitations of the standard of care include delay in healing of the burn injury, scarring, and pain. The clinical trial will include approximately 90 patients under 18 years old. Patients will be randomized into one of three groups and will be treated either using the RECELL System and Biobrane</w:t>
      </w:r>
      <w:r>
        <w:rPr>
          <w:rFonts w:ascii="Arial" w:cs="Arial" w:eastAsia="Arial" w:hAnsi="Arial"/>
          <w:sz w:val="13"/>
          <w:szCs w:val="13"/>
          <w:color w:val="auto"/>
        </w:rPr>
        <w:t>®</w:t>
      </w:r>
      <w:r>
        <w:rPr>
          <w:rFonts w:ascii="Arial" w:cs="Arial" w:eastAsia="Arial" w:hAnsi="Arial"/>
          <w:sz w:val="16"/>
          <w:szCs w:val="16"/>
          <w:color w:val="auto"/>
        </w:rPr>
        <w:t xml:space="preserve"> dressing, the Biobrane dressing alone, or standard care (silver impregnated silicone lined dressing). The primary endpoint will be days to re-epithelization of the burn injury. Secondary endpoints include pain, patient satisfaction and scarring.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 Pediatric Early Intervention Pediatric Study: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mid 2019 we plan to initiate a randomized, controlled clinical study to investigate the safety and effectiveness of Spray-On Skin Cells prepared with the RECELL System compared to standard of care dressings for treatment of partial-thickness burns in pediatric patients (infants, children and adolescents aged one to 16 years). The study will evaluate 160 patients in up to 18 U.S. burn centers with burns of 5% to 30% TBSA. Half of the patients will be randomized to be treated using Spray-On Skin Cells. The other half will be randomized to serve in the control group and will be treated using standard dressings.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primary measure of effectiveness is healing ten days after treatment, as assessed by a blinded evaluator. Secondary endpoints include:</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Healing time assessed from date of initial burn injury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Pain recovery (i.e., trajectory for pain resolution) following treatment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Incidence of conventional autografting to achieve healing</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Patients will be followed for one-year after treatment. The pediatric early intervention study is being 100% funded by Biomedical Advanced Research and Development Authority (BARDA) under the ongoing program.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Results in Vitiligo</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Small pilot studies investigating the use of the RECELL System in the treatment of vitiligo have been the subject of multiple peer-reviewed scientific publications and presentations at medical conferences. A</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40"/>
        <w:spacing w:after="0" w:line="287" w:lineRule="auto"/>
        <w:rPr>
          <w:sz w:val="20"/>
          <w:szCs w:val="20"/>
          <w:color w:val="auto"/>
        </w:rPr>
      </w:pPr>
      <w:r>
        <w:rPr>
          <w:rFonts w:ascii="Arial" w:cs="Arial" w:eastAsia="Arial" w:hAnsi="Arial"/>
          <w:sz w:val="17"/>
          <w:szCs w:val="17"/>
          <w:color w:val="auto"/>
        </w:rPr>
        <w:t xml:space="preserve">representative pilot study was published in the </w:t>
      </w:r>
      <w:r>
        <w:rPr>
          <w:rFonts w:ascii="Arial" w:cs="Arial" w:eastAsia="Arial" w:hAnsi="Arial"/>
          <w:sz w:val="17"/>
          <w:szCs w:val="17"/>
          <w:i w:val="1"/>
          <w:iCs w:val="1"/>
          <w:color w:val="auto"/>
        </w:rPr>
        <w:t>Journal of the American Academy of Dermatology</w:t>
      </w:r>
      <w:r>
        <w:rPr>
          <w:rFonts w:ascii="Arial" w:cs="Arial" w:eastAsia="Arial" w:hAnsi="Arial"/>
          <w:sz w:val="17"/>
          <w:szCs w:val="17"/>
          <w:color w:val="auto"/>
        </w:rPr>
        <w:t xml:space="preserve"> in July 2015. A total of ten patients with hypopigmentation were included in the study, five with stable segmental vitiligo, and five with piebaldism (a disorder of melanocyte development). The study was a randomized, intra-patient-controlled pilot study in which three depigmented sites were randomly allocated to be treated with the combination of CO</w:t>
      </w:r>
      <w:r>
        <w:rPr>
          <w:rFonts w:ascii="Arial" w:cs="Arial" w:eastAsia="Arial" w:hAnsi="Arial"/>
          <w:sz w:val="14"/>
          <w:szCs w:val="14"/>
          <w:color w:val="auto"/>
        </w:rPr>
        <w:t>2</w:t>
      </w:r>
      <w:r>
        <w:rPr>
          <w:rFonts w:ascii="Arial" w:cs="Arial" w:eastAsia="Arial" w:hAnsi="Arial"/>
          <w:sz w:val="17"/>
          <w:szCs w:val="17"/>
          <w:color w:val="auto"/>
        </w:rPr>
        <w:t xml:space="preserve"> laser ablation followed by the application of Spray-On Skin Cells, CO</w:t>
      </w:r>
      <w:r>
        <w:rPr>
          <w:rFonts w:ascii="Arial" w:cs="Arial" w:eastAsia="Arial" w:hAnsi="Arial"/>
          <w:sz w:val="14"/>
          <w:szCs w:val="14"/>
          <w:color w:val="auto"/>
        </w:rPr>
        <w:t>2</w:t>
      </w:r>
      <w:r>
        <w:rPr>
          <w:rFonts w:ascii="Arial" w:cs="Arial" w:eastAsia="Arial" w:hAnsi="Arial"/>
          <w:sz w:val="17"/>
          <w:szCs w:val="17"/>
          <w:color w:val="auto"/>
        </w:rPr>
        <w:t xml:space="preserve"> laser ablation alone, or no treatment.</w:t>
      </w:r>
    </w:p>
    <w:p>
      <w:pPr>
        <w:spacing w:after="0" w:line="14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median repigmentation six months after treatment was 78% in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compared to zero median repigmentation in the control groups consisting of treatment with CO</w:t>
      </w:r>
      <w:r>
        <w:rPr>
          <w:rFonts w:ascii="Arial" w:cs="Arial" w:eastAsia="Arial" w:hAnsi="Arial"/>
          <w:sz w:val="15"/>
          <w:szCs w:val="15"/>
          <w:color w:val="auto"/>
        </w:rPr>
        <w:t>2</w:t>
      </w:r>
      <w:r>
        <w:rPr>
          <w:rFonts w:ascii="Arial" w:cs="Arial" w:eastAsia="Arial" w:hAnsi="Arial"/>
          <w:sz w:val="18"/>
          <w:szCs w:val="18"/>
          <w:color w:val="auto"/>
        </w:rPr>
        <w:t xml:space="preserve"> laser ablation alone or no treatment. The repigmentation for the sites treated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was assessed as good or excellent by 70% of the patients. No adverse effects or long-term side effects were seen in the recipient sites. Researchers concluded that treatment with the combination of CO</w:t>
      </w:r>
      <w:r>
        <w:rPr>
          <w:rFonts w:ascii="Arial" w:cs="Arial" w:eastAsia="Arial" w:hAnsi="Arial"/>
          <w:sz w:val="15"/>
          <w:szCs w:val="15"/>
          <w:color w:val="auto"/>
        </w:rPr>
        <w:t>2</w:t>
      </w:r>
      <w:r>
        <w:rPr>
          <w:rFonts w:ascii="Arial" w:cs="Arial" w:eastAsia="Arial" w:hAnsi="Arial"/>
          <w:sz w:val="18"/>
          <w:szCs w:val="18"/>
          <w:color w:val="auto"/>
        </w:rPr>
        <w:t xml:space="preserve"> laser ablation followed by the application of Spray-On Skin Cells resulted in a high percentage of repigmentation and was well tolerated in both stable segmental vitiligo and piebaldism patients. Photographs before and after treatment for a patient participating in the study are included below.</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Vitiligo Patient Pre- and Six-Months Post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172085</wp:posOffset>
            </wp:positionV>
            <wp:extent cx="2332355" cy="12350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3235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tabs>
          <w:tab w:leader="none" w:pos="340" w:val="left"/>
        </w:tabs>
        <w:rPr>
          <w:sz w:val="20"/>
          <w:szCs w:val="20"/>
          <w:color w:val="auto"/>
        </w:rPr>
      </w:pPr>
      <w:r>
        <w:rPr>
          <w:rFonts w:ascii="Arial" w:cs="Arial" w:eastAsia="Arial" w:hAnsi="Arial"/>
          <w:sz w:val="18"/>
          <w:szCs w:val="18"/>
          <w:color w:val="auto"/>
        </w:rPr>
        <w:t>Baseline (pre-treatment)</w:t>
      </w:r>
      <w:r>
        <w:rPr>
          <w:sz w:val="20"/>
          <w:szCs w:val="20"/>
          <w:color w:val="auto"/>
        </w:rPr>
        <w:tab/>
      </w:r>
      <w:r>
        <w:rPr>
          <w:rFonts w:ascii="Arial" w:cs="Arial" w:eastAsia="Arial" w:hAnsi="Arial"/>
          <w:sz w:val="16"/>
          <w:szCs w:val="16"/>
          <w:color w:val="auto"/>
        </w:rPr>
        <w:t>Six months after treatment</w:t>
      </w:r>
    </w:p>
    <w:p>
      <w:pPr>
        <w:spacing w:after="0" w:line="22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Similar results were described by researchers in a publication in the </w:t>
      </w:r>
      <w:r>
        <w:rPr>
          <w:rFonts w:ascii="Arial" w:cs="Arial" w:eastAsia="Arial" w:hAnsi="Arial"/>
          <w:sz w:val="18"/>
          <w:szCs w:val="18"/>
          <w:i w:val="1"/>
          <w:iCs w:val="1"/>
          <w:color w:val="auto"/>
        </w:rPr>
        <w:t>British Journal of Dermatology</w:t>
      </w:r>
      <w:r>
        <w:rPr>
          <w:rFonts w:ascii="Arial" w:cs="Arial" w:eastAsia="Arial" w:hAnsi="Arial"/>
          <w:sz w:val="18"/>
          <w:szCs w:val="18"/>
          <w:color w:val="auto"/>
        </w:rPr>
        <w:t xml:space="preserve"> in November 2017. In addition to studies which have already been the subject of peer-reviewed publication, the RECELL System has been used extensively in the treatment of vitiligo patients in countries in which the product is approved for treatment, including China were the prevalence of vitiligo is high. In May 2019 use of the RECELL System in the treatment of vitiligo patients in China will be the subject of two presentations at a European medical conference, We plan to commence U.S. clinical trials of the use of the RECELL System for the treatment of stable vitiligo under a program designed to support a supplement to the existing PMA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Clinical History in Chronic Wounds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Small pilot studies using the RECELL System in the treatment of chronic wounds, particularly venous leg ulcers and diabetic foot ulcers, have been the subject of multiple peer-reviewed scientific publications and presentations at medical conferences. In addition to studies which have already been the subject of peer-reviewed publication, the RECELL System has been used in the treatment of chronic wound patients in countries in which the product is approved for treatment. A study published in the </w:t>
      </w:r>
      <w:r>
        <w:rPr>
          <w:rFonts w:ascii="Arial" w:cs="Arial" w:eastAsia="Arial" w:hAnsi="Arial"/>
          <w:sz w:val="17"/>
          <w:szCs w:val="17"/>
          <w:i w:val="1"/>
          <w:iCs w:val="1"/>
          <w:color w:val="auto"/>
        </w:rPr>
        <w:t>Acta Vulnologica</w:t>
      </w:r>
      <w:r>
        <w:rPr>
          <w:rFonts w:ascii="Arial" w:cs="Arial" w:eastAsia="Arial" w:hAnsi="Arial"/>
          <w:sz w:val="17"/>
          <w:szCs w:val="17"/>
          <w:color w:val="auto"/>
        </w:rPr>
        <w:t xml:space="preserve"> in September 2012 included seven patients with 12 vascular ulcers which had remained open for more than 12 months. Each wound was prepared and then treated with Spray-On Skin Cells prepared using the RECELL System. Ulcer volume and depth decreased 50% to 80% within four weeks of treatment, and six of the wounds that had remained unhealed for more than one year were completely closed within 24 weeks of treatment. Researchers concluded that treatment with the RECELL System allowed the repair process to restart in all 12 wounds, and that patients reported reduced pain within days of treatment.</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 xml:space="preserve">In a study published in the </w:t>
      </w:r>
      <w:r>
        <w:rPr>
          <w:rFonts w:ascii="Arial" w:cs="Arial" w:eastAsia="Arial" w:hAnsi="Arial"/>
          <w:sz w:val="18"/>
          <w:szCs w:val="18"/>
          <w:i w:val="1"/>
          <w:iCs w:val="1"/>
          <w:color w:val="auto"/>
        </w:rPr>
        <w:t>British Journal of Surgery</w:t>
      </w:r>
      <w:r>
        <w:rPr>
          <w:rFonts w:ascii="Arial" w:cs="Arial" w:eastAsia="Arial" w:hAnsi="Arial"/>
          <w:sz w:val="18"/>
          <w:szCs w:val="18"/>
          <w:color w:val="auto"/>
        </w:rPr>
        <w:t xml:space="preserve"> in January 2015, 88 patients with chronic wounds that had not healed for at least four weeks were evaluated. Patients were randomized to receive treatment with the combination of Spray-On Skin Cells and split-thickness autografts, or autografts alone. Results of the randomized, controlled study were as follows:</w:t>
      </w:r>
    </w:p>
    <w:p>
      <w:pPr>
        <w:spacing w:after="0" w:line="87" w:lineRule="exact"/>
        <w:rPr>
          <w:sz w:val="20"/>
          <w:szCs w:val="20"/>
          <w:color w:val="auto"/>
        </w:rPr>
      </w:pPr>
    </w:p>
    <w:p>
      <w:pPr>
        <w:ind w:left="1060" w:right="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Incidence of complete wound healing in the group of patients treated using the RECELL System was significantly higher (p=0.035) than in the control group (41 versus 34, respectively)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Time to healing was significantly (p=0.001) shorter in the RECELL System group versus control (14 versus 20 days, respectively)</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Fewer complications (p=0.047) were seen in the RECELL System group versus control (4 versus 11, respectively)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RECELL System group had good elasticity and texture, similar color, and less scar tissue growth at borders versus control group</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Scarring was significantly less (p=0.005) in the RECELL System group versus control</w:t>
      </w:r>
    </w:p>
    <w:p>
      <w:pPr>
        <w:spacing w:after="0" w:line="130"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Patients had no recurrent ulcers in the RECELL System group but there were three new wounds in control group (one diabetic wound, one pressure wound, and one vascular wound). Secondary surgical intervention was required for these patients.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Researchers concluded that the combination of Spray-On Skin Cell and autografts is more effective and safer than autografts alone. Although the study involved treatment of a mix of chronic wounds, many were diabetic foot ulcers. The researchers suggest that the results show a broad range of potential applicability for the use of the RECELL System.</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 xml:space="preserve">In a study published in the </w:t>
      </w:r>
      <w:r>
        <w:rPr>
          <w:rFonts w:ascii="Arial" w:cs="Arial" w:eastAsia="Arial" w:hAnsi="Arial"/>
          <w:sz w:val="16"/>
          <w:szCs w:val="16"/>
          <w:i w:val="1"/>
          <w:iCs w:val="1"/>
          <w:color w:val="auto"/>
        </w:rPr>
        <w:t>International Wound Journal</w:t>
      </w:r>
      <w:r>
        <w:rPr>
          <w:rFonts w:ascii="Arial" w:cs="Arial" w:eastAsia="Arial" w:hAnsi="Arial"/>
          <w:sz w:val="16"/>
          <w:szCs w:val="16"/>
          <w:color w:val="auto"/>
        </w:rPr>
        <w:t xml:space="preserve"> in February 2015, 20 patients with chronic ulcers were evaluated in a single arm study. Patients participating in the study had arterial, diabetic, posttraumatic, or venous ulcers that had failed to heal after treatment with conventional therapies. Each wound was prepared and then treated with Spray-On Skin Cells prepared using the RECELL System. Within 60 days of treatment, 70% of the patients experience complete healing of their wounds. Five of the patients had 80% healing of their wounds within 60 days of treatment, and one patient at 50% healing at that time point. Patients also experienced a reduction in pain post treatment using the RECELL System and experienced no limitation in their ability to engage in normal daily activities. Color, texture and aesthetics results were rated as good. Researchers concluded that use of the RECELL System in the treatment of chronic wounds is simple minimally invasive, biocompatible and effective.</w:t>
      </w:r>
    </w:p>
    <w:p>
      <w:pPr>
        <w:spacing w:after="0" w:line="167" w:lineRule="exact"/>
        <w:rPr>
          <w:sz w:val="20"/>
          <w:szCs w:val="20"/>
          <w:color w:val="auto"/>
        </w:rPr>
      </w:pPr>
    </w:p>
    <w:p>
      <w:pPr>
        <w:ind w:left="200" w:right="420" w:firstLine="441"/>
        <w:spacing w:after="0" w:line="286" w:lineRule="auto"/>
        <w:rPr>
          <w:sz w:val="20"/>
          <w:szCs w:val="20"/>
          <w:color w:val="auto"/>
        </w:rPr>
      </w:pPr>
      <w:r>
        <w:rPr>
          <w:rFonts w:ascii="Arial" w:cs="Arial" w:eastAsia="Arial" w:hAnsi="Arial"/>
          <w:sz w:val="17"/>
          <w:szCs w:val="17"/>
          <w:color w:val="auto"/>
        </w:rPr>
        <w:t>Due to the significant costs and risks of conducting larger-scale, late-stage clinical trials in the treatment of chronic wounds, we may elect to proceed with development of the RECELL System in more advanced clinical trials under the umbrella of a corporate collaboration to allow for participation in any future commercial success of the program while minimizing near-term resource requirements.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Trauma Injuries (Soft-Tissue Injuries)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Case studies the use of the RECELL System in the treatment of trauma injuries (soft-tissue wounds) have been the subject of peer-reviewed scientific publications and presentations at medical conferences that cover a wider range of injuries or wounds of the skin. Patients with trauma injuries have also been treated using the RECELL System under the U.S. Compassionate Use program and in countries in which the product is approved for treatment. We plan to commence in 2019 a U.S. clinical trial of the use of the RECELL System for the treatment of trauma wounds under a program designed to support a supplement to the existing PMA approval.</w:t>
      </w:r>
    </w:p>
    <w:p>
      <w:pPr>
        <w:spacing w:after="0" w:line="12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RECELL System in Other Indications</w:t>
      </w:r>
    </w:p>
    <w:p>
      <w:pPr>
        <w:spacing w:after="0" w:line="117"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We expect to explore potential benefits of variants of the RECELL System platform in aesthetics markets, and as part of this initiative has exploratory programs underway in certain orphan diseases, such as epidermolysis bullosa and Hutchinson-Gilford progeria syndrome (HGPS).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BARDA Contract</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The contract provides funding for the development of the RECELL System and future use of the product as a medical countermeasure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the contract, BARDA provides funding and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provision for the future procurement of the RECELL System by BARDA under a vendor-managed inventory system to bolster disaster preparedness in the amount of US$7.6 million (approximately A$10.3 million), although BARDA has the option of increasing the amount of the procurement. As of December 31, 2018, we had received cumulative payments of A$22.6 million under the BARDA contract.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research and development efforts are focused on:</w:t>
      </w:r>
    </w:p>
    <w:p>
      <w:pPr>
        <w:spacing w:after="0" w:line="131" w:lineRule="exact"/>
        <w:rPr>
          <w:sz w:val="20"/>
          <w:szCs w:val="20"/>
          <w:color w:val="auto"/>
        </w:rPr>
      </w:pPr>
    </w:p>
    <w:p>
      <w:pPr>
        <w:ind w:left="1060" w:right="46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clinical development of the RECELL System in additional indications such as pediatric burns, treatment of donor sites, trauma wounds and vitiligo.</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research and characterization of the characteristics of the RECELL System, the composition and activity of the Spray-On Skin Cells suspension, and the design of the device to support further development of the platform in other injuries and defects of the skin, and to expand the existing intellectual property estate.</w:t>
      </w:r>
    </w:p>
    <w:p>
      <w:pPr>
        <w:spacing w:after="0" w:line="86"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the technology platform underlying the RECELL System, including combining the platform with other technologies, to allow development of the platform in other indications including orphan indications.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See “ITEM 4, Clinical Results and Ongoing and Planned Clinical Trials” for additional details on our ongoing research and development efforts.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and Production</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operate a production plant in Ventura, California, in a 23,040 square foot facility that we lease through September 30, 2021. We have the right to extend the lease, at our sole option, as a result of three, three-year, options that allow us to extend the lease up to an additional nine years in total. We produce the RECELL System in this facility under the current Good Manufacturing Practices (cGMP) requirements of the FDA and the regulatory agencies of other jurisdictions in which we sell the RECELL System. As we seek regulatory approval in Japan and other new international countries for the RECELL System, the regulatory authorities of these counties are likely to review our manufacturing process, inspect our plant, and confirm that we meet all regulatory requirements. Any material future changes to our production processes for the RECELL System will have to be approved by the FDA and regulatory authorities in other jurisdictions.</w:t>
      </w:r>
    </w:p>
    <w:p>
      <w:pPr>
        <w:spacing w:after="0" w:line="1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All production requirements for the RECELL System, including devices required for U.S. and international sales and clinical trial requirements, have been manufactured at the Ventura facility since 2009. Up until June 30, 2018, the RECELL System was produced in the Ventura facility on our behalf by a Fortune 500 contract manufacturer who produced multiple GMP products for third parties. Due to a consolidation of facilities by the contract manufacturer, effective July 1, 2018 we entered into a series of agreements to take control of the Ventura plant, lease the facility, and acquire manufacturing equipment from the contract manufacturer at no cost.</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Within the Ventura facility we perform the final manufacturing, assembly, packaging and warehousing of the RECELL System. Also included within the Ventura facility is a controlled warehouse designed to meet the vendor-managed inventory requirements of the BARDA program. We source multiple components, sub-assemblies and materials from third-party suppliers, who are required to meet our quality specifications. Included among the items procured from suppliers is porcine-derived trypsin, which is the enzyme key to the skin cell disaggregation performed using the RECELL System. Although we endeavor to have multiple sources of supply for key components, subassemblies and materials, some are procured from single source suppliers. We continue to evaluate methods of removing risk from the supply chain for the RECELL System, including ultimately moving to a recombinantly produced Trypsin.</w:t>
      </w:r>
    </w:p>
    <w:p>
      <w:pPr>
        <w:spacing w:after="0" w:line="18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believe that our current manufacturing capacity at the Ventura facility is sufficient to meet the expected commercial demand for the RECELL System for burns and other indications currently under development.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Sales and Distribution</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sell the RECELL System in the U.S. through our own commercial organization consisting of 20 field sales personnel (consisting of Regenerative Tissue Specialists, Clinical Training specialists and regional managers). and the field sales team is supported by centralized marketing, reimbursement, sales operations and leadership personnel, and also receives clinical and scientific support from our Medical Affairs team. The field sales team was recruited and hired subsequent to the September 2018 FDA approval and were trained prior to our U.S. market launch of the RECELL System in January 2019. All of our field sales personnel have prior experience in the U.S. burn market and in the launch of new products. Each of the clinical training specialists responsible for training the surgeons and other medical personnel within the burn centers are experienced burn nurses.</w:t>
      </w:r>
    </w:p>
    <w:p>
      <w:pPr>
        <w:spacing w:after="0" w:line="16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market for the treatment of burns in the U.S. is highly concentrated, with 134 burn centers and approximately 300 burn surgeons. Accordingly, we believe that our sales organization is of an appropriate size to reach the burn surgeons and other key decision makers associated with our initial target market of patients with burn injuries of 10% or greater TBSA treated on an in-patient basis within U.S. burn centers. As a result of the concentrated nature of the U.S. burn market, we do not have an external distribution or warehousing structure and ship the RECELL System directly from our Ventura facility to U.S. burn centers.</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objective of our field sale team is to build upon burn community awareness resulting from the extensive series of burn conference presentations and scientific publications to further expand the interest in clinical and economic benefits of the RECELL System among burn surgeons and other professionals who are not already experienced with the product. In addition, we have set a policy of not providing the RECELL System to a burn center or other institution until their site has been certified by us, which includes training in the use of the product and in the proper aftercare of the patient. Training of the burn sites is undertaken by the clinical training specialist component of our sales team, augmented from personnel by our Medical Affairs team. In general, we expect most U.S. burn centers will follow the industry standard process of evaluating the RECELL System and then taking it through their hospital’s Value Analysis Committees (VAC) prior to purchasing the product. This process can sometimes be a lengthy one taking six months to complete. As a result of the training requirements and the VAC process, we expect that the adoption of the RECELL System among U.S. burn centers will occur on a staggered basis over multiple years.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the U.S., hospital and physician reimbursement associated with in-patient treatment using the RECELL System was in place prior to the commencement of commercial sales. For in-patient treatment of burn patients, U.S. hospitals are reimbursed under ICD-10 (International Classification of Diseases, Tenth Revision, Clinical Modification) codes based on diagnosis of a patient’s injuries. For physicians, CPT (Current Procedural Terminology) codes for use in procedures using the RECELL System were recommended by the American Burn Association within one week of FDA approval. Future expansion, based on additional clinical data and subject to a supplement to our PMA, of the use of the RECELL System for the treatment of burns or other indications on an outpatient basis will require us to successfully obtain reimbursement for use of the product in that setting.</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2019 we entered into a collaboration with COSMOTEC, an M3 Group company, to market and distribute the RECELL System for the treatment of burns and other wounds in Japan. In China we have relied upon a series of one-year distributorships to allow awareness of the product to build while maintaining flexibility to undertake an alternative commercialization strategy as data to support the approval and use of the RESELL System in other indications becomes available. Our commercialization efforts in other regions in which the RECELL System is approved for sale is based on our assessment that the acute burn market in many countries is proportionately less than the market in the U.S., and the investments in a full marketing and sales resources and the effort to obtain reimbursement are not justified until we have obtained pivotal clinical results in additional indications. In Australia and Europe for the past year we have not engaged in any substantial promotion of the RECELL System but have limited our commercialization efforts to filing sales orders as received. As additional pivotal trial data for the RECELL System is generated in additional indications, we expect to commercialize the product in countries outside the U.S. through a combination of collaborations and direct efforts, depending upon the territory and the indication.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December 31, 2018, we have been granted a total of a total of 32 patents and have 15 pending patent applications worldwide.</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The U.S. patents and patent applications provide coverage with expected expiration dates ranging from 2022 to 2033. U.S. patents covering the composition of matter related to the current RECELL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 No. 9,029,140 will be extended to 2028. We expect that further research and characterization of the characteristics of the RECELL System, the composition and activity of the Spray-On Skin Cells solution, and the design of the device currently underway will provide additional claims, including composition of matter, for which we will be able to pursue additional U.S. and international patent applications. Patents and patent applications in key international markets parallel those in the U.S.</w:t>
      </w:r>
    </w:p>
    <w:p>
      <w:pPr>
        <w:spacing w:after="0" w:line="17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addition to patent protection, we also rely on trade secrets, including unpatented know-how, technology innovation, drawings, technical specifications and other proprietary information in attempting to develop and maintain our competitive position. We also rely on protection available under trademark laws, and we currently hold various registered trademarks and pending trademark applications, including the “RECELL,”,” “Spray-On Skin Cells,” and “REGENERATIVE EPIDERMAL SUSPENSION (RES),” in the U.S. and international markets.</w:t>
      </w:r>
    </w:p>
    <w:p>
      <w:pPr>
        <w:spacing w:after="0" w:line="17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While our policy is to obtain patents by application, license or otherwise, to maintain trade secrets and to seek to operate without infringing on the intellectual property rights of third parties, technologies related to our</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business have been rapidly developing in recent years. Additionally, patent applications that we may file or license from third parties may not result in the issuance of patents, and our issued patents and any issued patents that we may receive in the future may be challenged, invalidated or circumvented. For example, we cannot predict the extent of claims that may be allowed or enforced in our patents nor be certain of the priority of inventions covered by pending third-party patent applications. If third parties prepare and file patent applications that also claim technology or therapeutics to which we have rights, we may have to participate in proceedings to determine priority of invention, which could result in substantial costs to us, even if the eventual outcome is favorable to us. Moreover, because of the extensive time required for clinical development and regulatory review of a product we may develop, it is possible that, before the RECELL System can be commercialized in additional indications or jurisdictions and/or before any of our future products can be commercialized, related patents will have expired or will expire a short period following commercialization, thereby reducing the advantage of such patent. Loss or invalidation of certain of our patents, or a finding of unenforceability or limited scope of certain of our intellectual property, could have a material adverse effect on us. See “ITEM 3.D. Risk Factors – If we are unable to effectively protect our intellectual property, we may not be able to operate our business and third parties may be able to use and profit from our technology, both of which would impair our ability to be competitive.”</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medical device, biotechnology and pharmaceutical industries are intensely competitive and subject to significant technological change and changes in practice. While we believe that our innovative technology, knowledge, experience and scientific resources provide us with competitive advantages, we may face competition from many different sources with respect to the 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existing therapies and new therapies that may become available in the future.</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in the treatment of acute burns we face competition from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a sustainable competitive clinical and economic advantages over the current standard of care. See “ITEM 4 – The RECELL System Clinical History and Ongoing and Planned Clinical Trials” for the results of our clinical trials.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FDA and International Regulation</w:t>
      </w:r>
    </w:p>
    <w:p>
      <w:pPr>
        <w:spacing w:after="0" w:line="117"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The production and marketing of the RECELL System and any additional product candidates developed in the future ongoing research and development activities are subject to regulation by numerous governmental authorities including the FDA in the United States and similar agencies in other countries throughout the world. Pursuant to its authority under the Federal Food, Drug, and Cosmetic Act (FD&amp;C Act) the FDA has jurisdiction over medical devices in the U.S. The FDA regulates, among other things,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w:t>
      </w:r>
    </w:p>
    <w:p>
      <w:pPr>
        <w:spacing w:after="0" w:line="9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Application, or PMA. The RECELL System is categorized as a Class III medical device, and in September 2018 the FDA approved our PMA for use in the treatment of acute thermal burns in patients 18 years and older. Approval of the RECELL System for use in the treatment of additional indications in the U.S. will require the submission to the FDA of a supplement to our PMA.</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support a PMA supplement or other application for approval in the U.S. or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Any products manufactured or distributed by us pursuant to regulatory approvals are subject to continuing regulation by the FDA and similar agencies in other countries, including manufacturing, periodic reporting, product sampling and distribution,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FDA and other agency review and approval. Medical device manufacturers and their subcontractors are required to register their establishments with the FDA, certain state agencies and international agencies and are subject to periodic announced and unannounced inspections by the FDA and these other agencies for compliance with cGMP requirements. We cannot be certain that we or our present or future suppliers will be able to comply with the cGMP regulations and other FDA and international agency regulatory requirements.</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RECELL System is TGA-registered in Australia and CFDA-cleared in China for use in the treatment of burns, acute wounds, scars and vitiligo. In Europe, the RECELL System received CE-mark approval for the treatment of burns, chronic wounds, scars and vitiligo. In March 2019 we temporarily interrupted sales of the RECELL System in the EU. The sales interruption occurred after the notified body responsible for EU certificates reported open items related to administrative and procedural non-conformities. These open items are limited to product distributed within the EU and are not related to product quality, performance or safety. This action has no impact on the sale of products outside of the EU. We do not actively promote the products in the EU and its activity in the region is limited to filling purchase requests as they are received, therefore the financial impact to us of this temporary interruption is immaterial. We are working closely with the authorities to close this administrative request as soon as possible, no later than the 3rd quarter of calendar 2019. In February 2019 our marketing partner COSMOTEC filed a Japan’s Pharmaceuticals and Medical Devices Act (“JPMDA”) application for approval to market the RECELL System in Japan for the treatment of burns and other wounds. The JPMDA has accepted the application and review is expected to take nine months to a year.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The Foreign Corrupt Practices Act</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the U.S. Foreign Corrupt Practices Act (FCPA) and other anti-corruption laws that apply in countries where we do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are subject to extensive environmental, health and safety laws and regulations in a number of jurisdictions, primarily in the United States,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at our Ventura manufacturing facility use biologic agents and produce waste materials and sewage. Our activities require permits from various governmental authorities including, local municipal authorities. Local authorities and the municipal water and sewage company conduct periodic inspections in order to review and ensure our compliance with the various regulations. These laws, regulations and permits could potentially require the expenditure by us of significant amounts for compliance or remediation.</w:t>
      </w:r>
    </w:p>
    <w:p>
      <w:pPr>
        <w:spacing w:after="0" w:line="16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are not party to any material legal or administrative proceedings, and we are not aware of any threatened material legal or administrative proceedings against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at March 31, 2019, we have a total of five subsidiaries and their corporate details and business activities are listed below:</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260" w:type="dxa"/>
            <w:vAlign w:val="bottom"/>
          </w:tcPr>
          <w:p>
            <w:pPr>
              <w:spacing w:after="0"/>
              <w:rPr>
                <w:sz w:val="20"/>
                <w:szCs w:val="20"/>
                <w:color w:val="auto"/>
              </w:rPr>
            </w:pPr>
            <w:r>
              <w:rPr>
                <w:rFonts w:ascii="Arial" w:cs="Arial" w:eastAsia="Arial" w:hAnsi="Arial"/>
                <w:sz w:val="14"/>
                <w:szCs w:val="14"/>
                <w:b w:val="1"/>
                <w:bCs w:val="1"/>
                <w:color w:val="auto"/>
              </w:rPr>
              <w:t>Subsidiary Name</w:t>
            </w:r>
          </w:p>
        </w:tc>
        <w:tc>
          <w:tcPr>
            <w:tcW w:w="3100" w:type="dxa"/>
            <w:vAlign w:val="bottom"/>
          </w:tcPr>
          <w:p>
            <w:pPr>
              <w:ind w:left="1400"/>
              <w:spacing w:after="0"/>
              <w:rPr>
                <w:sz w:val="20"/>
                <w:szCs w:val="20"/>
                <w:color w:val="auto"/>
              </w:rPr>
            </w:pPr>
            <w:r>
              <w:rPr>
                <w:rFonts w:ascii="Arial" w:cs="Arial" w:eastAsia="Arial" w:hAnsi="Arial"/>
                <w:sz w:val="14"/>
                <w:szCs w:val="14"/>
                <w:b w:val="1"/>
                <w:bCs w:val="1"/>
                <w:color w:val="auto"/>
              </w:rPr>
              <w:t>Place of Incorporation</w:t>
            </w:r>
          </w:p>
        </w:tc>
        <w:tc>
          <w:tcPr>
            <w:tcW w:w="920" w:type="dxa"/>
            <w:vAlign w:val="bottom"/>
          </w:tcPr>
          <w:p>
            <w:pPr>
              <w:ind w:left="340"/>
              <w:spacing w:after="0"/>
              <w:rPr>
                <w:sz w:val="20"/>
                <w:szCs w:val="20"/>
                <w:color w:val="auto"/>
              </w:rPr>
            </w:pPr>
            <w:r>
              <w:rPr>
                <w:rFonts w:ascii="Arial" w:cs="Arial" w:eastAsia="Arial" w:hAnsi="Arial"/>
                <w:sz w:val="14"/>
                <w:szCs w:val="14"/>
                <w:b w:val="1"/>
                <w:bCs w:val="1"/>
                <w:color w:val="auto"/>
              </w:rPr>
              <w:t>% held</w:t>
            </w:r>
          </w:p>
        </w:tc>
        <w:tc>
          <w:tcPr>
            <w:tcW w:w="1960" w:type="dxa"/>
            <w:vAlign w:val="bottom"/>
          </w:tcPr>
          <w:p>
            <w:pPr>
              <w:ind w:left="1060"/>
              <w:spacing w:after="0"/>
              <w:rPr>
                <w:sz w:val="20"/>
                <w:szCs w:val="20"/>
                <w:color w:val="auto"/>
              </w:rPr>
            </w:pPr>
            <w:r>
              <w:rPr>
                <w:rFonts w:ascii="Arial" w:cs="Arial" w:eastAsia="Arial" w:hAnsi="Arial"/>
                <w:sz w:val="14"/>
                <w:szCs w:val="14"/>
                <w:b w:val="1"/>
                <w:bCs w:val="1"/>
                <w:color w:val="auto"/>
                <w:w w:val="82"/>
              </w:rPr>
              <w:t>Business scope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Avita Medical Americas, LLC</w:t>
            </w:r>
          </w:p>
        </w:tc>
        <w:tc>
          <w:tcPr>
            <w:tcW w:w="3100" w:type="dxa"/>
            <w:vAlign w:val="bottom"/>
          </w:tcPr>
          <w:p>
            <w:pPr>
              <w:ind w:left="1040"/>
              <w:spacing w:after="0"/>
              <w:rPr>
                <w:sz w:val="20"/>
                <w:szCs w:val="20"/>
                <w:color w:val="auto"/>
              </w:rPr>
            </w:pPr>
            <w:r>
              <w:rPr>
                <w:rFonts w:ascii="Arial" w:cs="Arial" w:eastAsia="Arial" w:hAnsi="Arial"/>
                <w:sz w:val="18"/>
                <w:szCs w:val="18"/>
                <w:color w:val="auto"/>
              </w:rPr>
              <w:t>Delaware</w:t>
            </w:r>
          </w:p>
        </w:tc>
        <w:tc>
          <w:tcPr>
            <w:tcW w:w="920" w:type="dxa"/>
            <w:vAlign w:val="bottom"/>
          </w:tcPr>
          <w:p>
            <w:pPr>
              <w:ind w:left="340"/>
              <w:spacing w:after="0"/>
              <w:rPr>
                <w:sz w:val="20"/>
                <w:szCs w:val="20"/>
                <w:color w:val="auto"/>
              </w:rPr>
            </w:pPr>
            <w:r>
              <w:rPr>
                <w:rFonts w:ascii="Arial" w:cs="Arial" w:eastAsia="Arial" w:hAnsi="Arial"/>
                <w:sz w:val="18"/>
                <w:szCs w:val="18"/>
                <w:color w:val="auto"/>
              </w:rPr>
              <w:t>100</w:t>
            </w:r>
          </w:p>
        </w:tc>
        <w:tc>
          <w:tcPr>
            <w:tcW w:w="1960" w:type="dxa"/>
            <w:vAlign w:val="bottom"/>
          </w:tcPr>
          <w:p>
            <w:pPr>
              <w:ind w:left="160"/>
              <w:spacing w:after="0"/>
              <w:rPr>
                <w:sz w:val="20"/>
                <w:szCs w:val="20"/>
                <w:color w:val="auto"/>
              </w:rPr>
            </w:pPr>
            <w:r>
              <w:rPr>
                <w:rFonts w:ascii="Arial" w:cs="Arial" w:eastAsia="Arial" w:hAnsi="Arial"/>
                <w:sz w:val="18"/>
                <w:szCs w:val="18"/>
                <w:color w:val="auto"/>
              </w:rPr>
              <w:t>U.S. operations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Avita Medical Europe Limited</w:t>
            </w:r>
          </w:p>
        </w:tc>
        <w:tc>
          <w:tcPr>
            <w:tcW w:w="3100" w:type="dxa"/>
            <w:vAlign w:val="bottom"/>
          </w:tcPr>
          <w:p>
            <w:pPr>
              <w:ind w:left="1040"/>
              <w:spacing w:after="0"/>
              <w:rPr>
                <w:sz w:val="20"/>
                <w:szCs w:val="20"/>
                <w:color w:val="auto"/>
              </w:rPr>
            </w:pPr>
            <w:r>
              <w:rPr>
                <w:rFonts w:ascii="Arial" w:cs="Arial" w:eastAsia="Arial" w:hAnsi="Arial"/>
                <w:sz w:val="18"/>
                <w:szCs w:val="18"/>
                <w:color w:val="auto"/>
              </w:rPr>
              <w:t>United Kingdom</w:t>
            </w:r>
          </w:p>
        </w:tc>
        <w:tc>
          <w:tcPr>
            <w:tcW w:w="920" w:type="dxa"/>
            <w:vAlign w:val="bottom"/>
          </w:tcPr>
          <w:p>
            <w:pPr>
              <w:ind w:left="340"/>
              <w:spacing w:after="0"/>
              <w:rPr>
                <w:sz w:val="20"/>
                <w:szCs w:val="20"/>
                <w:color w:val="auto"/>
              </w:rPr>
            </w:pPr>
            <w:r>
              <w:rPr>
                <w:rFonts w:ascii="Arial" w:cs="Arial" w:eastAsia="Arial" w:hAnsi="Arial"/>
                <w:sz w:val="18"/>
                <w:szCs w:val="18"/>
                <w:color w:val="auto"/>
              </w:rPr>
              <w:t>100</w:t>
            </w:r>
          </w:p>
        </w:tc>
        <w:tc>
          <w:tcPr>
            <w:tcW w:w="1960" w:type="dxa"/>
            <w:vAlign w:val="bottom"/>
          </w:tcPr>
          <w:p>
            <w:pPr>
              <w:ind w:left="160"/>
              <w:spacing w:after="0"/>
              <w:rPr>
                <w:sz w:val="20"/>
                <w:szCs w:val="20"/>
                <w:color w:val="auto"/>
              </w:rPr>
            </w:pPr>
            <w:r>
              <w:rPr>
                <w:rFonts w:ascii="Arial" w:cs="Arial" w:eastAsia="Arial" w:hAnsi="Arial"/>
                <w:sz w:val="18"/>
                <w:szCs w:val="18"/>
                <w:color w:val="auto"/>
              </w:rPr>
              <w:t>EMEA operations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Visiomed Group Pty Ltd</w:t>
            </w:r>
          </w:p>
        </w:tc>
        <w:tc>
          <w:tcPr>
            <w:tcW w:w="3100" w:type="dxa"/>
            <w:vAlign w:val="bottom"/>
          </w:tcPr>
          <w:p>
            <w:pPr>
              <w:ind w:left="1040"/>
              <w:spacing w:after="0"/>
              <w:rPr>
                <w:sz w:val="20"/>
                <w:szCs w:val="20"/>
                <w:color w:val="auto"/>
              </w:rPr>
            </w:pPr>
            <w:r>
              <w:rPr>
                <w:rFonts w:ascii="Arial" w:cs="Arial" w:eastAsia="Arial" w:hAnsi="Arial"/>
                <w:sz w:val="18"/>
                <w:szCs w:val="18"/>
                <w:color w:val="auto"/>
              </w:rPr>
              <w:t>Australia</w:t>
            </w:r>
          </w:p>
        </w:tc>
        <w:tc>
          <w:tcPr>
            <w:tcW w:w="920" w:type="dxa"/>
            <w:vAlign w:val="bottom"/>
          </w:tcPr>
          <w:p>
            <w:pPr>
              <w:ind w:left="340"/>
              <w:spacing w:after="0"/>
              <w:rPr>
                <w:sz w:val="20"/>
                <w:szCs w:val="20"/>
                <w:color w:val="auto"/>
              </w:rPr>
            </w:pPr>
            <w:r>
              <w:rPr>
                <w:rFonts w:ascii="Arial" w:cs="Arial" w:eastAsia="Arial" w:hAnsi="Arial"/>
                <w:sz w:val="18"/>
                <w:szCs w:val="18"/>
                <w:color w:val="auto"/>
              </w:rPr>
              <w:t>100</w:t>
            </w:r>
          </w:p>
        </w:tc>
        <w:tc>
          <w:tcPr>
            <w:tcW w:w="1960" w:type="dxa"/>
            <w:vAlign w:val="bottom"/>
          </w:tcPr>
          <w:p>
            <w:pPr>
              <w:ind w:left="160"/>
              <w:spacing w:after="0"/>
              <w:rPr>
                <w:sz w:val="20"/>
                <w:szCs w:val="20"/>
                <w:color w:val="auto"/>
              </w:rPr>
            </w:pPr>
            <w:r>
              <w:rPr>
                <w:rFonts w:ascii="Arial" w:cs="Arial" w:eastAsia="Arial" w:hAnsi="Arial"/>
                <w:sz w:val="18"/>
                <w:szCs w:val="18"/>
                <w:color w:val="auto"/>
                <w:w w:val="95"/>
              </w:rPr>
              <w:t>Asia Pacific Operations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C3 Operations Pty Ltd</w:t>
            </w:r>
          </w:p>
        </w:tc>
        <w:tc>
          <w:tcPr>
            <w:tcW w:w="3100" w:type="dxa"/>
            <w:vAlign w:val="bottom"/>
          </w:tcPr>
          <w:p>
            <w:pPr>
              <w:ind w:left="1040"/>
              <w:spacing w:after="0"/>
              <w:rPr>
                <w:sz w:val="20"/>
                <w:szCs w:val="20"/>
                <w:color w:val="auto"/>
              </w:rPr>
            </w:pPr>
            <w:r>
              <w:rPr>
                <w:rFonts w:ascii="Arial" w:cs="Arial" w:eastAsia="Arial" w:hAnsi="Arial"/>
                <w:sz w:val="18"/>
                <w:szCs w:val="18"/>
                <w:color w:val="auto"/>
              </w:rPr>
              <w:t>Australia</w:t>
            </w:r>
          </w:p>
        </w:tc>
        <w:tc>
          <w:tcPr>
            <w:tcW w:w="920" w:type="dxa"/>
            <w:vAlign w:val="bottom"/>
          </w:tcPr>
          <w:p>
            <w:pPr>
              <w:ind w:left="340"/>
              <w:spacing w:after="0"/>
              <w:rPr>
                <w:sz w:val="20"/>
                <w:szCs w:val="20"/>
                <w:color w:val="auto"/>
              </w:rPr>
            </w:pPr>
            <w:r>
              <w:rPr>
                <w:rFonts w:ascii="Arial" w:cs="Arial" w:eastAsia="Arial" w:hAnsi="Arial"/>
                <w:sz w:val="18"/>
                <w:szCs w:val="18"/>
                <w:color w:val="auto"/>
              </w:rPr>
              <w:t>100</w:t>
            </w:r>
          </w:p>
        </w:tc>
        <w:tc>
          <w:tcPr>
            <w:tcW w:w="1960" w:type="dxa"/>
            <w:vAlign w:val="bottom"/>
          </w:tcPr>
          <w:p>
            <w:pPr>
              <w:ind w:left="160"/>
              <w:spacing w:after="0"/>
              <w:rPr>
                <w:sz w:val="20"/>
                <w:szCs w:val="20"/>
                <w:color w:val="auto"/>
              </w:rPr>
            </w:pPr>
            <w:r>
              <w:rPr>
                <w:rFonts w:ascii="Arial" w:cs="Arial" w:eastAsia="Arial" w:hAnsi="Arial"/>
                <w:sz w:val="18"/>
                <w:szCs w:val="18"/>
                <w:color w:val="auto"/>
              </w:rPr>
              <w:t>Holding company</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Infamed Pty Ltd</w:t>
            </w:r>
          </w:p>
        </w:tc>
        <w:tc>
          <w:tcPr>
            <w:tcW w:w="3100" w:type="dxa"/>
            <w:vAlign w:val="bottom"/>
          </w:tcPr>
          <w:p>
            <w:pPr>
              <w:ind w:left="1040"/>
              <w:spacing w:after="0"/>
              <w:rPr>
                <w:sz w:val="20"/>
                <w:szCs w:val="20"/>
                <w:color w:val="auto"/>
              </w:rPr>
            </w:pPr>
            <w:r>
              <w:rPr>
                <w:rFonts w:ascii="Arial" w:cs="Arial" w:eastAsia="Arial" w:hAnsi="Arial"/>
                <w:sz w:val="18"/>
                <w:szCs w:val="18"/>
                <w:color w:val="auto"/>
              </w:rPr>
              <w:t>Australia</w:t>
            </w:r>
          </w:p>
        </w:tc>
        <w:tc>
          <w:tcPr>
            <w:tcW w:w="920" w:type="dxa"/>
            <w:vAlign w:val="bottom"/>
          </w:tcPr>
          <w:p>
            <w:pPr>
              <w:ind w:left="340"/>
              <w:spacing w:after="0"/>
              <w:rPr>
                <w:sz w:val="20"/>
                <w:szCs w:val="20"/>
                <w:color w:val="auto"/>
              </w:rPr>
            </w:pPr>
            <w:r>
              <w:rPr>
                <w:rFonts w:ascii="Arial" w:cs="Arial" w:eastAsia="Arial" w:hAnsi="Arial"/>
                <w:sz w:val="18"/>
                <w:szCs w:val="18"/>
                <w:color w:val="auto"/>
              </w:rPr>
              <w:t>100</w:t>
            </w:r>
          </w:p>
        </w:tc>
        <w:tc>
          <w:tcPr>
            <w:tcW w:w="1960" w:type="dxa"/>
            <w:vAlign w:val="bottom"/>
          </w:tcPr>
          <w:p>
            <w:pPr>
              <w:ind w:left="160"/>
              <w:spacing w:after="0"/>
              <w:rPr>
                <w:sz w:val="20"/>
                <w:szCs w:val="20"/>
                <w:color w:val="auto"/>
              </w:rPr>
            </w:pPr>
            <w:r>
              <w:rPr>
                <w:rFonts w:ascii="Arial" w:cs="Arial" w:eastAsia="Arial" w:hAnsi="Arial"/>
                <w:sz w:val="18"/>
                <w:szCs w:val="18"/>
                <w:color w:val="auto"/>
              </w:rPr>
              <w:t>Inactive</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Property, Plant and Equipment</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Our principal corporate offices are located at 28159 Avenue Stanford, Suite 220, Valencia, California 91355. We lease the 17,481 facility under two lease agreements that, as amended, expire on January 31, 2021</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with the right to extend the leases, at our sole option, for an additional three-years. Our production plant in Ventura, California, is a 23,040 square foot facility that we lease through September 30, 2021 with the right to extend the lease, at our sole option, as a result of three, three-year, options that allow us to extend the lease up to an additional nine years in total.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right="5340"/>
        <w:spacing w:after="0" w:line="378" w:lineRule="auto"/>
        <w:rPr>
          <w:sz w:val="20"/>
          <w:szCs w:val="20"/>
          <w:color w:val="auto"/>
        </w:rPr>
      </w:pPr>
      <w:r>
        <w:rPr>
          <w:rFonts w:ascii="Arial" w:cs="Arial" w:eastAsia="Arial" w:hAnsi="Arial"/>
          <w:sz w:val="18"/>
          <w:szCs w:val="18"/>
          <w:b w:val="1"/>
          <w:bCs w:val="1"/>
          <w:color w:val="auto"/>
        </w:rPr>
        <w:t>ITEM 5. OPERATING AND FINANCIAL REVIEW AND PROSPECTS Special Note Regarding Forward Looking Statements</w:t>
      </w:r>
    </w:p>
    <w:p>
      <w:pPr>
        <w:ind w:left="200" w:right="260"/>
        <w:spacing w:after="0" w:line="255" w:lineRule="auto"/>
        <w:rPr>
          <w:sz w:val="20"/>
          <w:szCs w:val="20"/>
          <w:color w:val="auto"/>
        </w:rPr>
      </w:pPr>
      <w:r>
        <w:rPr>
          <w:rFonts w:ascii="Arial" w:cs="Arial" w:eastAsia="Arial" w:hAnsi="Arial"/>
          <w:sz w:val="18"/>
          <w:szCs w:val="18"/>
          <w:i w:val="1"/>
          <w:iCs w:val="1"/>
          <w:color w:val="auto"/>
        </w:rPr>
        <w:t>The following discussion and analysis include certain forward-looking statements with respect to the business, financial condition and results of operations of our company. The words “estimate,” “project,” “intend,” “expect” and similar expressions are intended to identify forward- looking statements within the Private Securities Litigation Reform Act of 1995. These forward-looking statements are subject to risks and uncertainties that could cause actual results to differ materially from those contemplated by such forward-looking statements, including those risk factors contained in Item 3.D. of this Registration Statement. You should read the following discussion and analysis in conjunction with our consolidated financial statements and the notes thereto included in this Registration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Avita Medical Limited and our subsidiaries Avita Medical Americas, LLC, Avita Medical Europe Limited, Visiomed Group Pty Ltd, C3 Operations Pty Ltd and Infamed Pty Ltd, which we collectively refer to as the “Company,” is a regenerative medicine company with a technology platform designed to address unmet medical needs in patients with burns, chronic wounds, and aesthetics indications. Our patented and proprietary collection and application technology provides innovative treatment solutions derived from the regenerative properties of a patient’s own skin. Our lead product, the RECELL® System, uses a small amount of a patient’s own skin to prepare Spray-On Skin Cells at the point of care in as little as 30 minutes. This autologous suspension of skin cells is then sprayed onto the areas of the patient requiring treatment. The RECELL System, was approved for sale in the U.S. for the treatment of acute thermal burns in patients 18 years and older by the Food and Drug Administration (FDA) in September 2018. We initiated our U.S. national market launch of the RECELL System in January 2019, although it did commence commercial shipments in the U.S. during the half-year ended December 31, 2018 in response to pre-launch demand from burn centers. During the year ended June 30, 2018 and the half-year ended December 31, 2018, the RECELL System was also sold on a limited basis in certain regions of the world in which the products were approved for sale, including Australia, China and Europe.</w:t>
      </w:r>
    </w:p>
    <w:p>
      <w:pPr>
        <w:spacing w:after="0" w:line="18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this Registration Statement, all references to “U.S. dollars” or “US$” are to the currency of the U.S., and all references to “Australian dollars”, “A$” or “AUD$” are to the currency of Australia.</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For a description of the milestones that we have achieved since inception and through to the date of this report, see “Item 4. Information on the Company – A. History and Development of the Company.”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consolidated financial statements appearing in this registration statement on Form 20-F are prepared in Australia dollars in accordance with International Financial Reporting Standards, or IFRS, as issued by the International Accounting Standards Board, or IASB. Our consolidated financial statements appearing in this registration statement on Form 20-F comply with IFRS. As such, we are required to make certain estimates, judgments, and assumptions that management believes are reasonable based upon the information available.</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These estimates, judgments and assumptions affect the reported amounts of assets and liabilities at the date of the financial statements and the reported amounts of revenues and expenses during the periods presented. The significant accounting policies listed in Note 2 to the consolidated financial statements that our management believes are the most critical to aid in fully understanding and evaluating our financial condition and results of operations under IFRS are discussed below.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Revenue Recognition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Sale of Goods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Income</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Company had been granted a BARDA contract in September 2015, wherein BARDA funded the Company to support the ongoing U.S. clinical regulatory program towards FDA Premarket Approval and Compassionate Use program, and clinical and health economics research in U 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Share-based payments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 provides benefits to our employees (including executive management)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Company has in place two employee share option plans which provide benefits to employees and are eligible to provide benefits to directors. The cost of these equity-settled transactions with employees is measured by reference to the fair value of the equity instruments at the date at which they are granted. The fair value is determined by an external valuation firm using a binomial model. 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right="3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charge to profit or loss for the period is the cumulative amount as calculated above less the amounts already charged in previous periods.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a corresponding entry to equity.</w:t>
      </w:r>
    </w:p>
    <w:p>
      <w:pPr>
        <w:spacing w:after="0" w:line="211"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The expense recognized by Avita Medical Limited for equity-settled awards only represents the expense associated with grants to employees of Avita Medical Limited, whereas the expense recognized by the Company is the total expense associated with all such awards.</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Payments</w:t>
      </w:r>
    </w:p>
    <w:p>
      <w:pPr>
        <w:spacing w:after="0" w:line="11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124" w:lineRule="exact"/>
        <w:rPr>
          <w:sz w:val="20"/>
          <w:szCs w:val="20"/>
          <w:color w:val="auto"/>
        </w:rPr>
      </w:pPr>
    </w:p>
    <w:p>
      <w:pPr>
        <w:jc w:val="both"/>
        <w:ind w:left="200" w:right="100" w:firstLine="441"/>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Research and Development Tax Incentive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research and development activities are eligible under an Australian Government tax incentive for eligible expenditure from</w:t>
      </w:r>
    </w:p>
    <w:p>
      <w:pPr>
        <w:spacing w:after="0" w:line="35"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1 July 2012. Management has assessed these activities and expenditure to determine which are likely to be eligible under the incentive scheme. For the years ended June 30, 2018, 2017 and 2016, the Company recorded other income of A$1,385,796, A$1,048,237 and A$971,881, respectively related to recognition of this tax incentive.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DISCUSSION AND ANALYSIS OF RESULTS OF OPERATIONS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for the years ended June 30, 2018, 2017 and 2016 and the half-year ended December 31, 2018 and 2017, should be read in conjunction with our consolidated financial statements and related notes included in this registration statement in accordance with “Item 8. Financial Information”.</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2018 compared to Year Ended June 30, 2017</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A$1,198,861 for the year ended June 30, 2018, an increase of A$297,485 or 33% over the</w:t>
      </w:r>
    </w:p>
    <w:p>
      <w:pPr>
        <w:spacing w:after="0" w:line="35" w:lineRule="exact"/>
        <w:rPr>
          <w:sz w:val="20"/>
          <w:szCs w:val="20"/>
          <w:color w:val="auto"/>
        </w:rPr>
      </w:pPr>
    </w:p>
    <w:p>
      <w:pPr>
        <w:ind w:left="200" w:right="340"/>
        <w:spacing w:after="0" w:line="323" w:lineRule="auto"/>
        <w:rPr>
          <w:sz w:val="20"/>
          <w:szCs w:val="20"/>
          <w:color w:val="auto"/>
        </w:rPr>
      </w:pPr>
      <w:r>
        <w:rPr>
          <w:rFonts w:ascii="Arial" w:cs="Arial" w:eastAsia="Arial" w:hAnsi="Arial"/>
          <w:sz w:val="16"/>
          <w:szCs w:val="16"/>
          <w:color w:val="auto"/>
        </w:rPr>
        <w:t>A$901,376 recognized during fiscal 2017. The largest increase in sale of goods occurred in Asia Pacific. Gross margins for the years ended June 30, 2018 was 57% compared to 49% for the same period in 2017, and we expect gross margins to further increase as sales ramp up within the U.S.</w:t>
      </w:r>
    </w:p>
    <w:p>
      <w:pPr>
        <w:spacing w:after="0" w:line="13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Other income totaled A$10,172,698 for the year ended June 30, 2018, an increase of A$2,941,728 or 41% over the A$7,230,970 recognized during fiscal 2017. The majority of other income consisted of funding from the Biomedical Advanced Research and Development Authority (BARDA), under the Assistant Secretary for Preparedness and Response, within the U.S. Department of Health and Human Services. Under the BARDA contract, income of A$10,104,081 was recognized during the year ended June 30, 2018 compared to income of A$6,886,236 for fiscal 2017. This increase was the result of an expansion of activities related to programs conducted under the BARDA contract during the year. Funding provided by BARDA during the year ended June 30, 2018 focused primarily on support of the U.S. PMA application for the RECELL System, the Continued Access and Compassionate Use programs which provide access to the RECELL System for U.S. patients while the PMA is under review, and development of a health economic model by a major health care information and technology provider to quantify the economic value of the RECELL System versus standard of care for the treatment of severe burns.</w:t>
      </w:r>
    </w:p>
    <w:p>
      <w:pPr>
        <w:spacing w:after="0" w:line="18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As the result of investments in commercial, manufacturing, leadership and system capabilities in preparation for the planned U.S. launch of the RECELL System and related research and development and corporate initiatives including the BARDA programs, operating expenses increased during the year ended June 30, 2018. Sales and marketing expenses totaled A$8,936,441, an increase of A$3,734,680 or 72% over the A$5,201,761 recognized during fiscal 2017. Product development expenses totaled A$12,606,127 an increase of A$1,444,157 or 13% over the A$11,161,970 recognized during fiscal 2017. Corporate and administrative expenses totaled A$5,360,553 for the year ended June 30, 2018, an increase of A$3,095,959 or 137% over the A$2,264,594 recognized during fiscal 2017. Total operating costs totaled A$28,764,864, an increase of A$8,536,542 or 42% over the A$20,228,322 recognized during fiscal 2017 and were in line with management expectations.</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recorded a foreign exchange gain of A$563,279 for the year ended June 30, 2018, compared to a foreign exchange loss of A$83,293 for the year ended June 30, 2017. Foreign exchange gain (loss) reflects the impact of changes in foreign currency exchange rates on cash and cash equivalents that we hold in U.S. dollars, and to a smaller extent in British Pounds and Euros. In 2018, the Australian dollar depreciated against the U.S. dollar, which had a favorable impact on the Australian dollar value due to the fact that the majority of our cash and cash equivalents were held in U.S. dollars. In 2017, the Australian dollar depreciated against the U.S. dollar, which had an unfavorable impact on the Australian dollar value due to the fact that the majority of our cash and cash equivalents were held in Australian dollars.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comprehensive loss after tax benefit for the year ended June 30, 2018 was A$15,955,876, an increase of A$4,096,298 or 35% over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A$11,859,578 recognized during fiscal 2017. The increase in net comprehensive loss was driven by the higher operating costs described above, partially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offset by the higher sale of goods and BARDA income recognized during the year ended June 30, 2018. As the Company continues its preparations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planned launch of the RECELL System in the U.S., operating expenses are expected to rise in future periods and will be offset in part by revenues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BARDA contract as well as from sale of goods.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2017 compared to Year Ended June 30, 2016</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Sale of goods of the RECELL devices totaled A$901,376 for the year ended June 30, 2017, a decrease of A$101,631 or 10% over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A$1,002,007 recognized during fiscal 2017. The decrease was primarily due to a decrease in EMEA operating segment promotional efforts and product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during fiscal 2017. Gross margins for the year ended June 30, 2017 was 49% compared to 60% for the same period in 2016 primarily due to part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lower sales volumes in EMEA operating segment by 21%.</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Other income was A$7,230,970 for the year ended June 30, 2017, an increase of 184% compared to A$2,544,517 recognized during fiscal 2016, as BARDA income of A$6,886,236 was received during the year as compared to the previous year’s BARDA income of A$2,424,357 which began in the third quarter of last year. The increase of BARDA income was due to the significant expansion of activities surrounding the Company’s Premarket Approval Application (PMA) submission to the FDA in September 2017 for approval to market the RECELL System in the U.S.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the result of investments in clinical trials and preparation for and support of the PMA for the RECELL System, and related research and development and corporate initiatives including the BARDA programs, operating expenses increased during the year ended June 30, 2017. Product development expenses totaled A$11,161,970 an increase of A$5,143,786 or 86% over the A$6,018,184 recognized during fiscal 2016. Sales and marketing expenses were consistent year over year and totaled A$5,201,761, an increase of A$159,572 or 3% over the A$5,042,189 recognized during fiscal 2017. Corporate and administrative expenses were consistent and totaled A$2,264,594 for the year ended June 30, 2017, a decrease of A$107,153 or 5% over the A$2,371,747 recognized during fiscal 2016. In addition, share-based expense for the year ended June 30, 2017 included share-based expenses related to the resignation of the former CEO in May 2017 totaling A$1,189,021. This expense results from an acceleration of the recognition of non-cash expenses attributable to the initial valuation of the shares awarded under the CEO long-term, incentive agreement. Total operating costs totaled A$20,228,322, an increase of A$5,839,523 or 41% over the A$14,388,799 recognized during fiscal 2016 which were driven by the expanded operating activities noted above.</w:t>
      </w:r>
    </w:p>
    <w:p>
      <w:pPr>
        <w:spacing w:after="0" w:line="178"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The net comprehensive loss after tax was A$11,859,578 an increase of A$4,177,724 or 54% over A$7,681,854 recognized during fiscal 2016. The increase in net loss was driven by higher operating costs described above, partially offset by higher revenue from BARDA. In addition, the prior year net comprehensive loss was reduced by a profit from discontinued operations (divestment of the respiratory business segment) of A$2,493,947.</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June 30, 2016 compared to Year Ended June 30, 2015</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Sale of goods of the RECELL devices totaled A$1,002,007 for the year ended June 30, 2016, an increase of A$16,360 or 2% over the A$985,647 recognized during fiscal 2015. Gross margins for the year ended June 30, 2016 was 60% compared to 71% for the same period in 2015. During this period the Company moved from a direct sale to a distributor sale model in most markets. While this did support the modest revenue growth over the previous fiscal year, there was a concurrent reduction in margin.</w:t>
      </w:r>
    </w:p>
    <w:p>
      <w:pPr>
        <w:spacing w:after="0" w:line="18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Other income was A$2,544,517 for the year ended June 30, 2016, an increase of 1,011% compared to A$228,988 recognized during fiscal 2015, as BARDA income of A$2,424,357 was received and began in the third quarter of fiscal year 2016 for the expansion of activities surrounding the Company’s PMA submission to the FDA in September 2017 for approval to market the RECELL System in the U.S.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As the result of investments in conduct of clinical trials and preparation for and support of the PMA for the RECELL System, and related research and development and corporate initiatives including the BARDA programs, operating expenses increased during the year ended June 30, 2016. Product development expenses totaled A$6,018,184 an increase of A$1,748,729 or 41% over the A$4,269,455 recognized during fiscal 2015. Sales and marketing expenses totaled A$5,042,189, an increase of A$349,555 or 7% over the A$4,692,634 recognized during fiscal 2015. Corporate and administrative expenses totaled A$2,371,747 for the year ended June 30, 2016, an increase of A$1,901,632 or 405% over the A$470,115 recognized during fiscal 2015. In addition, share-based expenses of A$956,658 for the year ended June 30, 2016 included a non-cash amount of A$902,959 which recognizes the appropriate valuation of the issuance of 40 million fully paid shares under the CEO Long Term Incentive Plan, announced on January 25, 2016, and which is subject to escrow and vesting conditions. The full valuation of the 40 million shares will be allocated over a five-year period as a non-cash expense. Total operating costs totaled A$14,388,799, an increase of A$4,943,244 or 52% over the A$9,445,555 recognized during fiscal 2015 which were driven by the expanded operating activities noted above.</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net comprehensive loss after tax was A$7,681,854 an increase of A$756,375 or 11% over A$6,925,479 recognized during fiscal 2015. The increase in net loss was driven by higher operating costs described above, partially offset by higher revenue from BARDA. In addition, the fiscal 2016 net comprehensive loss was reduced by a profit from discontinued operations (divestment of the respiratory business segment) of A$2,493,947 and a fair value gain on available for sale of financial assets of A$265,261.</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Half-Year Ended December 31, 2018 Compared to Half-Year Ended December 31, 2017</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Sale of goods of the RECELL devices totaled A$1,813,195 for the half-year ended December 31, 2018, an increase of A$1,205,434 or 198% over the A$607,761 recognized during the same period in 2017. The majority of the current-year increase in sales occurred in the U.S. as a result of the September 2018 FDA approval. U.S. sales during the half-year ended December 31, 2018 totaled A$1,101,991 compared to zero in the prior year. Gross margin for the half-year ended December 31, 2018 was 69% compared to 56% for the same period in 2017, and management expects gross margins to further increase as sales ramp up within the U.S.</w:t>
      </w:r>
    </w:p>
    <w:p>
      <w:pPr>
        <w:spacing w:after="0" w:line="188"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Other income totaled $5,112,763 for the half-year ended December 31, 2018, an increase of A$1,218,452 or 31% over the A$3,894,311 recognized during same period in 2017. As in prior periods, the majority of other income consisted of funding from BARDA. Under the BARDA contract, income of A$5,009,137 was recognized during the half-year ended December 31, 2018 compared to income of A$3,856,716 during the same period in 2017.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78"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Operations for the half-year ended December 31, 2018 were focused primarily on preparation for the January 2019 U.S. market launch of the RECELL System, including the recruitment, hiring and training of 20 sales field force personnel. Additional activities included the commencement of product shipments in the U.S. after the September 2018 FDA approval of the RECELL System for the treatment of acute thermal burns, and the preparation for, or the conduct of, further development of RECELL. As the result of investments in commercial, manufacturing, and system capabilities for the U.S. market launch of the RECELL System and related initiatives, operating costs for the half-year ended December 31, 2018 totaled A$21,935,034, a A$10,447,198 or 91% increase over the A$11,487,836 incurred during the same period in the prior year and were in line with management expectations. Sales and marketing expenses for the half-year ended December 31, 2018 totaled A$6,931,241, an increase of A$4,115,543 or 146% over the A$2,815,698 recognized during for first six months of fiscal 2017. Product development expenses for the 2018 half-year totaled $7,080,042 an increase of A$2,021,524 or 40% over the A$5,058,518 recognized during the first half of fiscal 2017. Corporate and administrative expenses totaled A$6,865,250 for the six months ended December 31, 2018, an increase of A$3,991,739 or 139% over the A$2,873,511 recognized during the first six months of fiscal 2017.</w:t>
      </w:r>
    </w:p>
    <w:p>
      <w:pPr>
        <w:spacing w:after="0" w:line="183"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Net comprehensive loss after tax for the half-year ended December 31, 2018 was A$14,205,247, a A$6,899,260 or 94% increase compared to A$7,305,987 incurred in the same period in the prior half-year. The increase in net loss was driven by the higher operating costs described above, partially offset by the higher sale of goods and other revenue achieved during the six months. As a result of the national launch of the RECELL System in the U.S. in January 2019, and the expansion of research and development, operating expenses will increase in future periods. These expenses are expected to be partially offset by increased sales of goods and revenues under the BARDA contract.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expect to utilize cash reserves until U.S. and international sales of our products reach a level sufficient to fund ongoing operations. The Company has historically funded its research and development activities, and</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from transactions completed during the year ended June 30, 2018, and A$45,014,900 was received from transactions completed subsequent to June 30, 2018.</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11, 2017, the Company completed a placement of 100,982,978 fully paid ordinary shares at a price of A$0.045 per share raising gross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6 June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 and received gross proceeds of A$3,250,000 on July 26, 2018. Also subsequent to year end, on December 4, 2018, the Company completed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an institutional placement in which it issued 310,047,015 fully paid ordinary shares at a price of A$0.080 per share raising gross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A$24,803,761. The institutional placement included a second tranche totaling A$15.196 million of gross proceeds, contingent upon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shareholder approval. Shareholder approval for Tranche 2 was received at an Extraordinary General Meeting held on January 14, 2019, and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issued 189,952,985 shares at a price of A$0.080 per share and received gross proceeds of A$15,196,239 on January 14, 2019. In addition,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11, 2019 the Company completed a Share Purchase Plan under which it issued 22,061,250 shares of stock at a price of A$0.080 per share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received gross proceeds of A$1,764,900.</w:t>
      </w:r>
    </w:p>
    <w:p>
      <w:pPr>
        <w:spacing w:after="0" w:line="21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Company benefits from cash inflows from the BARDA contract, awarded to the Company in September 2015 and subsequently expanded through a series of modifications. These payments from BARDA offset costs from various activities undertaken to support the FDA regulatory approval process for RECELL in the U.S., preparation for the planned commercial launch of RECELL in the U.S., and RECELL clinical programs in the U.S. Further, there were no material expenditure commitments from the BARDA contract. With the U.S. FDA approval of RECELL for the treatment of burns in September 2019, and the U.S. market launch of the product in January 2019, sales of goods are expected to be an increasing source of revenue in the future. Another anticipated source of revenue for the Company is the BARDA contract covering the initial purchase, delivery and storage of RECELL devices in the amount of US$7,594,620 (approximately A$10.3 million).</w:t>
      </w:r>
    </w:p>
    <w:p>
      <w:pPr>
        <w:spacing w:after="0" w:line="178"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a result, we believe there is sufficient working capital to support the committed research and development programs and other activities over the next 12 months and the Company has the ability to realize its assets and pay its liabilities and commitments in the normal course of business.</w:t>
      </w:r>
    </w:p>
    <w:p>
      <w:pPr>
        <w:spacing w:after="0" w:line="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Australian dollars)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 of June 30,</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29"/>
        </w:trPr>
        <w:tc>
          <w:tcPr>
            <w:tcW w:w="3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top w:val="single" w:sz="8" w:color="auto"/>
            </w:tcBorders>
          </w:tcPr>
          <w:p>
            <w:pPr>
              <w:jc w:val="right"/>
              <w:ind w:right="339"/>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279"/>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right"/>
              <w:ind w:right="342"/>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29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A$(16,372,024)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A$(8,557,524)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A$(7,938,557)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A$(10,458,479)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A$ (7,875,025)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activities</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(498,749)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195,245</w:t>
            </w:r>
          </w:p>
        </w:tc>
        <w:tc>
          <w:tcPr>
            <w:tcW w:w="24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(47,849)</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(722,472)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27,934,920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8,238,129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9,360,830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25,364,339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15,980,605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Net increase/(decrease) in cash and cash</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equivalents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11,064,147</w:t>
            </w:r>
          </w:p>
        </w:tc>
        <w:tc>
          <w:tcPr>
            <w:tcW w:w="24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(124,150)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1,374,424</w:t>
            </w:r>
          </w:p>
        </w:tc>
        <w:tc>
          <w:tcPr>
            <w:tcW w:w="2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14,183,388</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8,041,908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Cash and cash equivalents at beginning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2,966,555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Impact of foreign exchange rate</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(29,106)</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(257,238)</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(169,100)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4,171,879</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11,777,009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Years Ended June 30, 2018, 2017 and 2016</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Net cash used in operating activities was A$16,372,024, A$8,557,524 and A$7,938,557 during the years ended June 30, 2018, 2017 and 2016, respectively. Our payments to suppliers and employees during the years ended June 30, 2018, 2017 and 2016 were A$25,681,347, A$17,676,710 and A$14,894,221, respectively. The increase in 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years ended June 30, 2018, 2017 and 2016 of A$1,129,046, A$928,687 and A$1,079,549 consisted of commercial sales from Europe and Asia Pacific. Our operating activity receipts from BARDA and other income for the years ended June 30, 2018, 2017 and 2016 of A$8,141,207, A$7,094,061 and A$2,427,188. The BARDA program was received and began in the third quarter of fiscal year 2016 for the expansion of activities surrounding the Company’s PMA submission to the FDA in September 2017 for approval to market the RECELL System in the U.S.</w:t>
      </w:r>
    </w:p>
    <w:p>
      <w:pPr>
        <w:spacing w:after="0" w:line="182"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Net cash (used in)/provided by investing activities was A$(498,749), A$195,245 and A$(47,849) during the years ended June 30, 2018, 2017 and 2016, respectively. Cash flows used for investing activities was primarily attributable to payments for the purchase of a property and equipment. During the fiscal year 2017, the Company sold the respiratory business segment and the proceeds from the sale of financial assets was A$627,837.</w:t>
      </w:r>
    </w:p>
    <w:p>
      <w:pPr>
        <w:spacing w:after="0" w:line="14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Net cash provided by financing activities was A$27,934,920, A$8,238,129 and A$9,360,830 for the years ended June 30, 2018, 2017 and 2016. The Company completed a series of equity transactions and received proceeds from issuance of shares and options of A$29,760,563, A$9,048,102 and A$10,025,584 for the years ended June 30, 2018, 2017 and 2016.</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realized a foreign exchange loss of A$29,106, A$257,238 and A$169,100 for the years ended June 30, 2018, 2017 and 2016. The Australian dollar depreciated against the U.S. dollar by 3%, 4% and 3% for the years ended June 30, 2018, 2017 and 2016.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Half-Years Ended December 31, 2018 and 2017</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Net cash used in operating activities was A$10,458,479 and A$7,875,025 during the half-years ended December 31, 2018 and 2017, respectively. Our payments to suppliers and employees during the half-years ended December 31, 2018 and 2017 were A$20,305,643 and A$11,943,480, respectively. The increase in</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payments to suppliers and employees is as the result of investments in commercial, manufacturing, leadership and system capabilities in preparation for the planned U.S. launch of the RECELL System and related research and development and corporate initiatives. Our operating activity receipts from customers for the half-years ended December 31, 2018 and 2017 of A$1,204,802 and A$367,933 consisted of commercial sales from US, Europe and Asia Pacific. Our operating activity receipts from BARDA and other income for the half-years ended December 31, 2018 and 2017 of A$6,104,306 and A$3,676,182. This increase was the result of an expansion of activities related to programs conducted under the BARDA contract during the year. Funding provided by BARDA during the half-year ended December 31, 2018 focused primarily on support of the regulatory activities to support the U.S. approval of the RECELL System, the Continued Access and Compassionate Use programs which provide access to the RECELL System for U.S. patients prior to FDA approval, and two U.S. clinical trials in pediatric burn patients.</w:t>
      </w:r>
    </w:p>
    <w:p>
      <w:pPr>
        <w:spacing w:after="0" w:line="17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Net cash used in investing activities was A$722,472 and A$63,672 during the half-years ended December 31, 2018 and 2017, respectively. Cash flows used for investing activities was primarily attributable to payments for the purchase of property and equipment.</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Net cash provided by financing activities was A$25,364,339 and A$15,980,605 for the half-years ended December 31, 2018 and 2017. The Company completed a series of equity transactions and received proceeds from issuance of shares and options of A$28,053,762 and A$17,028,964 for the half-years ended December 31, 2018 and 2017.</w:t>
      </w:r>
    </w:p>
    <w:p>
      <w:pPr>
        <w:spacing w:after="0" w:line="18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We realized a foreign exchange gain/(loss) of A$1,333,440 and A$(55,390) for the half-years ended December 31, 2018 and 2017. The Australian dollar appreciated/(depreciated) against the U.S. dollar by 8% and (3%) for the half-years ended December 31, 2018 and 2017.</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shareholders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shareholders.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 ended June 30, 2018, there were no dividends paid and we have no plans to commence the payment of dividends. We have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Research and Development, Patents and Licenses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we have continued our practice of building valuable research collaborations with institutes based primarily in the United States but also in Australia, China and Europe and other regions to enable us to develop a point-of-care solution for the potential treatment of a wide range of skin injuries or defects using a point of care, autologous Spray-On Skin Cells regeneration technology known as RECELL System. These collaborative arrangements ensure that we work with well-respected key option leaders and laboratories without incurring ongoing administrative and personnel costs. All clinical, research and development of RECELL System is performed in compliance with the appropriate governing authorities, regulators and standards. We maintain in-house general counsel and research and development project expertise to coordinate these research collaborations.</w:t>
      </w:r>
    </w:p>
    <w:p>
      <w:pPr>
        <w:spacing w:after="0" w:line="16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Our research and development expenses consist primarily of expenses for contracted research and development activities conducted by third parties on our behalf, including personnel, testing facilities and other</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payments in accordance with our research and clinical agreements. Research and development expenses are included in the Product Development Expenses line item of our financial statements, and amounted to $3,266,098, $2,330,297 and $2,160,628 during the years ended June 30, 2018, 2017 and 2016,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While our RECELL System has reached commercialization for specific applications in certain jurisdictions, we seek to further our development and commercialization, and it is not possible for us to predict with any degree of accuracy the outcome of our business in the future.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fiscal years ended June 30, 2016, 2017 and 2018,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Contractual Obligations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2017 and 2016 the net carrying amount of the furniture and IT equipment held under lease arrangements are A$159,043, A$66,408 A$ nil, respectively.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gridSpan w:val="2"/>
          </w:tcPr>
          <w:p>
            <w:pPr>
              <w:ind w:left="620"/>
              <w:spacing w:after="0"/>
              <w:rPr>
                <w:sz w:val="20"/>
                <w:szCs w:val="20"/>
                <w:color w:val="auto"/>
              </w:rPr>
            </w:pPr>
            <w:r>
              <w:rPr>
                <w:rFonts w:ascii="Arial" w:cs="Arial" w:eastAsia="Arial" w:hAnsi="Arial"/>
                <w:sz w:val="14"/>
                <w:szCs w:val="14"/>
                <w:b w:val="1"/>
                <w:bCs w:val="1"/>
                <w:color w:val="auto"/>
                <w:w w:val="96"/>
              </w:rPr>
              <w:t>June 30, 2018</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Liabilities</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20" w:type="dxa"/>
            <w:vAlign w:val="bottom"/>
          </w:tcPr>
          <w:p>
            <w:pPr>
              <w:ind w:left="360"/>
              <w:spacing w:after="0"/>
              <w:rPr>
                <w:sz w:val="20"/>
                <w:szCs w:val="20"/>
                <w:color w:val="auto"/>
              </w:rPr>
            </w:pPr>
            <w:r>
              <w:rPr>
                <w:rFonts w:ascii="Arial" w:cs="Arial" w:eastAsia="Arial" w:hAnsi="Arial"/>
                <w:sz w:val="18"/>
                <w:szCs w:val="18"/>
                <w:color w:val="auto"/>
              </w:rPr>
              <w:t>Current</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w w:val="99"/>
              </w:rPr>
              <w:t>A$</w:t>
            </w:r>
          </w:p>
        </w:tc>
        <w:tc>
          <w:tcPr>
            <w:tcW w:w="660" w:type="dxa"/>
            <w:vAlign w:val="bottom"/>
          </w:tcPr>
          <w:p>
            <w:pPr>
              <w:jc w:val="right"/>
              <w:spacing w:after="0"/>
              <w:rPr>
                <w:sz w:val="20"/>
                <w:szCs w:val="20"/>
                <w:color w:val="auto"/>
              </w:rPr>
            </w:pPr>
            <w:r>
              <w:rPr>
                <w:rFonts w:ascii="Arial" w:cs="Arial" w:eastAsia="Arial" w:hAnsi="Arial"/>
                <w:sz w:val="18"/>
                <w:szCs w:val="18"/>
                <w:color w:val="auto"/>
              </w:rPr>
              <w:t>86,883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b w:val="1"/>
                <w:bCs w:val="1"/>
                <w:i w:val="1"/>
                <w:iCs w:val="1"/>
                <w:color w:val="auto"/>
              </w:rPr>
              <w:t>Total</w:t>
            </w:r>
          </w:p>
        </w:tc>
        <w:tc>
          <w:tcPr>
            <w:tcW w:w="1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w w:val="95"/>
              </w:rPr>
              <w:t>A$ 159,043</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Within 1 Year</w:t>
            </w:r>
          </w:p>
        </w:tc>
        <w:tc>
          <w:tcPr>
            <w:tcW w:w="306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Minimum Lease Payment Due</w:t>
            </w:r>
          </w:p>
        </w:tc>
        <w:tc>
          <w:tcPr>
            <w:tcW w:w="13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540" w:type="dxa"/>
            <w:vAlign w:val="bottom"/>
          </w:tcPr>
          <w:p>
            <w:pPr>
              <w:jc w:val="right"/>
              <w:ind w:right="437"/>
              <w:spacing w:after="0"/>
              <w:rPr>
                <w:sz w:val="20"/>
                <w:szCs w:val="20"/>
                <w:color w:val="auto"/>
              </w:rPr>
            </w:pPr>
            <w:r>
              <w:rPr>
                <w:rFonts w:ascii="Arial" w:cs="Arial" w:eastAsia="Arial" w:hAnsi="Arial"/>
                <w:sz w:val="14"/>
                <w:szCs w:val="14"/>
                <w:b w:val="1"/>
                <w:bCs w:val="1"/>
                <w:color w:val="auto"/>
              </w:rPr>
              <w:t>1-5 Years</w:t>
            </w:r>
          </w:p>
        </w:tc>
        <w:tc>
          <w:tcPr>
            <w:tcW w:w="1520" w:type="dxa"/>
            <w:vAlign w:val="bottom"/>
            <w:gridSpan w:val="2"/>
          </w:tcPr>
          <w:p>
            <w:pPr>
              <w:ind w:left="340"/>
              <w:spacing w:after="0"/>
              <w:rPr>
                <w:sz w:val="20"/>
                <w:szCs w:val="20"/>
                <w:color w:val="auto"/>
              </w:rPr>
            </w:pPr>
            <w:r>
              <w:rPr>
                <w:rFonts w:ascii="Arial" w:cs="Arial" w:eastAsia="Arial" w:hAnsi="Arial"/>
                <w:sz w:val="14"/>
                <w:szCs w:val="14"/>
                <w:b w:val="1"/>
                <w:bCs w:val="1"/>
                <w:color w:val="auto"/>
              </w:rPr>
              <w:t>After 5 Years</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Lease Payments</w:t>
            </w:r>
          </w:p>
        </w:tc>
        <w:tc>
          <w:tcPr>
            <w:tcW w:w="1900" w:type="dxa"/>
            <w:vAlign w:val="bottom"/>
          </w:tcPr>
          <w:p>
            <w:pPr>
              <w:jc w:val="right"/>
              <w:ind w:right="314"/>
              <w:spacing w:after="0"/>
              <w:rPr>
                <w:sz w:val="20"/>
                <w:szCs w:val="20"/>
                <w:color w:val="auto"/>
              </w:rPr>
            </w:pPr>
            <w:r>
              <w:rPr>
                <w:rFonts w:ascii="Arial" w:cs="Arial" w:eastAsia="Arial" w:hAnsi="Arial"/>
                <w:sz w:val="18"/>
                <w:szCs w:val="18"/>
                <w:color w:val="auto"/>
              </w:rPr>
              <w:t>A$ 114,650</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A$ 92,515</w:t>
            </w:r>
          </w:p>
        </w:tc>
        <w:tc>
          <w:tcPr>
            <w:tcW w:w="86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A$207,165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Charges</w:t>
            </w:r>
          </w:p>
        </w:tc>
        <w:tc>
          <w:tcPr>
            <w:tcW w:w="1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(27,767)</w:t>
            </w:r>
          </w:p>
        </w:tc>
        <w:tc>
          <w:tcPr>
            <w:tcW w:w="15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(20,355)</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Net Present Values</w:t>
            </w:r>
          </w:p>
        </w:tc>
        <w:tc>
          <w:tcPr>
            <w:tcW w:w="1900" w:type="dxa"/>
            <w:vAlign w:val="bottom"/>
          </w:tcPr>
          <w:p>
            <w:pPr>
              <w:jc w:val="right"/>
              <w:ind w:right="314"/>
              <w:spacing w:after="0"/>
              <w:rPr>
                <w:sz w:val="20"/>
                <w:szCs w:val="20"/>
                <w:color w:val="auto"/>
              </w:rPr>
            </w:pPr>
            <w:r>
              <w:rPr>
                <w:rFonts w:ascii="Arial" w:cs="Arial" w:eastAsia="Arial" w:hAnsi="Arial"/>
                <w:sz w:val="18"/>
                <w:szCs w:val="18"/>
                <w:color w:val="auto"/>
              </w:rPr>
              <w:t>86,883</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72,160</w:t>
            </w:r>
          </w:p>
        </w:tc>
        <w:tc>
          <w:tcPr>
            <w:tcW w:w="8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159,043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leases space under operating leases. Future minimum lease payments under such leases as of June 30, 2018 are as follows:</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4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Within 1 Year</w:t>
            </w:r>
          </w:p>
        </w:tc>
        <w:tc>
          <w:tcPr>
            <w:tcW w:w="3120" w:type="dxa"/>
            <w:vAlign w:val="bottom"/>
            <w:gridSpan w:val="2"/>
          </w:tcPr>
          <w:p>
            <w:pPr>
              <w:ind w:left="640"/>
              <w:spacing w:after="0"/>
              <w:rPr>
                <w:sz w:val="20"/>
                <w:szCs w:val="20"/>
                <w:color w:val="auto"/>
              </w:rPr>
            </w:pPr>
            <w:r>
              <w:rPr>
                <w:rFonts w:ascii="Arial" w:cs="Arial" w:eastAsia="Arial" w:hAnsi="Arial"/>
                <w:sz w:val="14"/>
                <w:szCs w:val="14"/>
                <w:b w:val="1"/>
                <w:bCs w:val="1"/>
                <w:color w:val="auto"/>
              </w:rPr>
              <w:t>Minimum Lease Payment Due</w:t>
            </w:r>
          </w:p>
        </w:tc>
        <w:tc>
          <w:tcPr>
            <w:tcW w:w="1400" w:type="dxa"/>
            <w:vAlign w:val="bottom"/>
            <w:vMerge w:val="restart"/>
          </w:tcPr>
          <w:p>
            <w:pPr>
              <w:jc w:val="center"/>
              <w:ind w:left="23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1-5 Years</w:t>
            </w: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After 5 Years</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29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A$ 525,919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A$856,541</w:t>
            </w: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239"/>
              <w:spacing w:after="0"/>
              <w:rPr>
                <w:sz w:val="20"/>
                <w:szCs w:val="20"/>
                <w:color w:val="auto"/>
              </w:rPr>
            </w:pPr>
            <w:r>
              <w:rPr>
                <w:rFonts w:ascii="Arial" w:cs="Arial" w:eastAsia="Arial" w:hAnsi="Arial"/>
                <w:sz w:val="18"/>
                <w:szCs w:val="18"/>
                <w:color w:val="auto"/>
                <w:w w:val="93"/>
              </w:rPr>
              <w:t>A$1,382,460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940" w:type="dxa"/>
            <w:vAlign w:val="bottom"/>
          </w:tcPr>
          <w:p>
            <w:pPr>
              <w:jc w:val="right"/>
              <w:ind w:right="256"/>
              <w:spacing w:after="0"/>
              <w:rPr>
                <w:sz w:val="20"/>
                <w:szCs w:val="20"/>
                <w:color w:val="auto"/>
              </w:rPr>
            </w:pPr>
            <w:r>
              <w:rPr>
                <w:rFonts w:ascii="Arial" w:cs="Arial" w:eastAsia="Arial" w:hAnsi="Arial"/>
                <w:sz w:val="18"/>
                <w:szCs w:val="18"/>
                <w:color w:val="auto"/>
              </w:rPr>
              <w:t>49</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following table sets forth our directors and senior management, their age and the positions they held as of the date of this registration statement on Form 20-F. All of our directors and senior management may be contacted at our registered office located at c/o Mertons Corporate Services Pty Ltd Level 7 330 Collins Street Melbourne VIC 3000, Australia.</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00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w:t>
            </w:r>
          </w:p>
        </w:tc>
        <w:tc>
          <w:tcPr>
            <w:tcW w:w="2580" w:type="dxa"/>
            <w:vAlign w:val="bottom"/>
          </w:tcPr>
          <w:p>
            <w:pPr>
              <w:spacing w:after="0" w:line="189" w:lineRule="exact"/>
              <w:rPr>
                <w:sz w:val="20"/>
                <w:szCs w:val="20"/>
                <w:color w:val="auto"/>
              </w:rPr>
            </w:pPr>
            <w:r>
              <w:rPr>
                <w:rFonts w:ascii="Arial" w:cs="Arial" w:eastAsia="Arial" w:hAnsi="Arial"/>
                <w:sz w:val="18"/>
                <w:szCs w:val="18"/>
                <w:color w:val="auto"/>
              </w:rPr>
              <w:t>Panaccio(1)</w:t>
            </w:r>
          </w:p>
        </w:tc>
        <w:tc>
          <w:tcPr>
            <w:tcW w:w="90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61</w:t>
            </w:r>
          </w:p>
        </w:tc>
        <w:tc>
          <w:tcPr>
            <w:tcW w:w="3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Non-</w:t>
            </w:r>
          </w:p>
        </w:tc>
        <w:tc>
          <w:tcPr>
            <w:tcW w:w="4180" w:type="dxa"/>
            <w:vAlign w:val="bottom"/>
          </w:tcPr>
          <w:p>
            <w:pPr>
              <w:spacing w:after="0" w:line="189" w:lineRule="exact"/>
              <w:rPr>
                <w:sz w:val="20"/>
                <w:szCs w:val="20"/>
                <w:color w:val="auto"/>
              </w:rPr>
            </w:pPr>
            <w:r>
              <w:rPr>
                <w:rFonts w:ascii="Arial" w:cs="Arial" w:eastAsia="Arial" w:hAnsi="Arial"/>
                <w:sz w:val="18"/>
                <w:szCs w:val="18"/>
                <w:color w:val="auto"/>
              </w:rPr>
              <w:t>Executive Chairman</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Executive Director and Chief Executive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Erin Liberto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Chief Commercial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Tim Rooney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w w:val="94"/>
              </w:rPr>
              <w:t>Chief Administrative Officer and interim Chief Financial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Andrew Quick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Chief Technology Officer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General Counsel</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Jeremy Curnock Cook(2)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Louis Drapeau(3)(2)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Non-Executive Director</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Damien McDonald(1)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Non-Executive Director</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Professor Suzanne Crowe(4)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Non-Executive Director</w:t>
            </w:r>
          </w:p>
        </w:tc>
      </w:tr>
    </w:tbl>
    <w:p>
      <w:pPr>
        <w:spacing w:after="0" w:line="229"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Remuneration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Chairman of the Audit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Chairman of the Remuneration Committee</w:t>
      </w:r>
    </w:p>
    <w:p>
      <w:pPr>
        <w:spacing w:after="0" w:line="207"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b w:val="1"/>
          <w:bCs w:val="1"/>
          <w:color w:val="auto"/>
        </w:rPr>
        <w:t xml:space="preserve">Lou Panaccio </w:t>
      </w:r>
      <w:r>
        <w:rPr>
          <w:rFonts w:ascii="Arial" w:cs="Arial" w:eastAsia="Arial" w:hAnsi="Arial"/>
          <w:sz w:val="17"/>
          <w:szCs w:val="17"/>
          <w:color w:val="auto"/>
        </w:rPr>
        <w:t>has served as Non-Executive Chairman of the Board of Directors since July 2014. Mr. Panaccio is a successful healthcare businessman</w:t>
      </w:r>
      <w:r>
        <w:rPr>
          <w:rFonts w:ascii="Arial" w:cs="Arial" w:eastAsia="Arial" w:hAnsi="Arial"/>
          <w:sz w:val="17"/>
          <w:szCs w:val="17"/>
          <w:b w:val="1"/>
          <w:bCs w:val="1"/>
          <w:color w:val="auto"/>
        </w:rPr>
        <w:t xml:space="preserve"> </w:t>
      </w:r>
      <w:r>
        <w:rPr>
          <w:rFonts w:ascii="Arial" w:cs="Arial" w:eastAsia="Arial" w:hAnsi="Arial"/>
          <w:sz w:val="17"/>
          <w:szCs w:val="17"/>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Non-Executive Chairman of Genera Biosystems Limited, a publicly listed company (ASX) that develops and commercializes multiplexed molecular diagnostic tests, and a Non-Executive Director of Rhythm Biosciences Limited, a publicly listed (ASX) development-stage medical diagnostics company.</w:t>
      </w:r>
    </w:p>
    <w:p>
      <w:pPr>
        <w:spacing w:after="0" w:line="172"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Chief Executive Officer and Executive Director in June 2017. Prior to this appointment, Dr. Perry had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a life science investment firm managing venture capital funds, based in San Francisco California.</w:t>
      </w:r>
    </w:p>
    <w:p>
      <w:pPr>
        <w:spacing w:after="0" w:line="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Dr. Perry serves as a Director of Arrowhead Pharmaceuticals, a public (NASDAQ) development stage company focused on medicines that treat intractable diseases by silencing the genes, and AmpliPhi Biosciences Corporation, Inc., a public (NYSE) clinical-stage biotechnology company focused on the development of bacteriophage-based therapies for the treatment of antibiotic-resistant bacterial infections. He is also a Director at BioScience Managers Pty Ltd, a shareholder of the Company.</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b w:val="1"/>
          <w:bCs w:val="1"/>
          <w:color w:val="auto"/>
        </w:rPr>
        <w:t xml:space="preserve">Erin Liberto </w:t>
      </w:r>
      <w:r>
        <w:rPr>
          <w:rFonts w:ascii="Arial" w:cs="Arial" w:eastAsia="Arial" w:hAnsi="Arial"/>
          <w:sz w:val="16"/>
          <w:szCs w:val="16"/>
          <w:color w:val="auto"/>
        </w:rPr>
        <w:t>has served as Chief Commercial Officer since August 2017. Ms. Liberto has more than 17 years of multifaceted global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U.S., Europe, and Asia Pacific. Ms. Liberto holds an International MBA with a concentration in Global Marketing from Thunderbird School of Global Management in Arizona and a Bachelor of Commerce from McMaster University in Canada.</w:t>
      </w:r>
    </w:p>
    <w:p>
      <w:pPr>
        <w:spacing w:after="0" w:line="154" w:lineRule="exact"/>
        <w:rPr>
          <w:sz w:val="20"/>
          <w:szCs w:val="20"/>
          <w:color w:val="auto"/>
        </w:rPr>
      </w:pPr>
    </w:p>
    <w:p>
      <w:pPr>
        <w:ind w:left="200" w:right="60"/>
        <w:spacing w:after="0" w:line="295" w:lineRule="auto"/>
        <w:rPr>
          <w:sz w:val="20"/>
          <w:szCs w:val="20"/>
          <w:color w:val="auto"/>
        </w:rPr>
      </w:pPr>
      <w:r>
        <w:rPr>
          <w:rFonts w:ascii="Arial" w:cs="Arial" w:eastAsia="Arial" w:hAnsi="Arial"/>
          <w:sz w:val="16"/>
          <w:szCs w:val="16"/>
          <w:b w:val="1"/>
          <w:bCs w:val="1"/>
          <w:color w:val="auto"/>
        </w:rPr>
        <w:t xml:space="preserve">Tim Rooney </w:t>
      </w:r>
      <w:r>
        <w:rPr>
          <w:rFonts w:ascii="Arial" w:cs="Arial" w:eastAsia="Arial" w:hAnsi="Arial"/>
          <w:sz w:val="16"/>
          <w:szCs w:val="16"/>
          <w:color w:val="auto"/>
        </w:rPr>
        <w:t>was appointed Chief Administrative Officer in December 2017 and is responsible for operations of the Company. Mr. Rooney was also</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as our interim Chief Financial Officer in May 2019. Mr. Rooney has served the Company in multiple roles since joining in October 2012 as Chief Financial Officer and Chief Operating Officer, including interim Chief Executive Officer from 2013 to 2015. Mr. Rooney has over 20 years of experience in senior finance and operations management in medical devices and pharmaceutical wholesale distribution, including PDI Enterprises, Inc., a pharmaceutical wholesale distributor, where he served as Chief Financial Officer and Chief Operating Officer from 1991 to 2007 and served in other roles starting in 1984. Mr., Rooney holds a B.S. degree in Business Administration, Finance from California State University, Northridge.</w:t>
      </w:r>
    </w:p>
    <w:p>
      <w:pPr>
        <w:spacing w:after="0" w:line="156" w:lineRule="exact"/>
        <w:rPr>
          <w:sz w:val="20"/>
          <w:szCs w:val="20"/>
          <w:color w:val="auto"/>
        </w:rPr>
      </w:pPr>
    </w:p>
    <w:p>
      <w:pPr>
        <w:jc w:val="both"/>
        <w:ind w:left="200" w:right="400"/>
        <w:spacing w:after="0" w:line="293" w:lineRule="auto"/>
        <w:rPr>
          <w:sz w:val="20"/>
          <w:szCs w:val="20"/>
          <w:color w:val="auto"/>
        </w:rPr>
      </w:pPr>
      <w:r>
        <w:rPr>
          <w:rFonts w:ascii="Arial" w:cs="Arial" w:eastAsia="Arial" w:hAnsi="Arial"/>
          <w:sz w:val="16"/>
          <w:szCs w:val="16"/>
          <w:b w:val="1"/>
          <w:bCs w:val="1"/>
          <w:color w:val="auto"/>
        </w:rPr>
        <w:t xml:space="preserve">Andrew Quick </w:t>
      </w:r>
      <w:r>
        <w:rPr>
          <w:rFonts w:ascii="Arial" w:cs="Arial" w:eastAsia="Arial" w:hAnsi="Arial"/>
          <w:sz w:val="16"/>
          <w:szCs w:val="16"/>
          <w:color w:val="auto"/>
        </w:rPr>
        <w:t>was appointed Chief Technology Officer in April 2019 and previous to that served as Senior Vice President,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July 2010. Mr. Quick has more than 25 years of experience in medical device design, development, clinical research and medical affairs.</w:t>
      </w:r>
    </w:p>
    <w:p>
      <w:pPr>
        <w:spacing w:after="0" w:line="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7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b w:val="1"/>
          <w:bCs w:val="1"/>
          <w:color w:val="auto"/>
        </w:rPr>
        <w:t xml:space="preserve">Donna Shiroma </w:t>
      </w:r>
      <w:r>
        <w:rPr>
          <w:rFonts w:ascii="Arial" w:cs="Arial" w:eastAsia="Arial" w:hAnsi="Arial"/>
          <w:sz w:val="16"/>
          <w:szCs w:val="16"/>
          <w:color w:val="auto"/>
        </w:rPr>
        <w:t>has served as General Counsel since June 2018. Ms. Shiroma has more than 20 years of legal and compliance experience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Astrex Pharmaceuticals from 2017 to 2018, Ascend Therapeutics from 2008 to 2017, PDL BioPharma from 2006 to 2008, and several Johnson &amp; Johnson companies. Ms. Shiroma holds a B.S. in Environmental Sciences from University of California Berkley, and a Juris Doctor degree from Santa Clara University School of Law. She is licensed in the State of California as an attorney.</w:t>
      </w:r>
    </w:p>
    <w:p>
      <w:pPr>
        <w:spacing w:after="0" w:line="156" w:lineRule="exact"/>
        <w:rPr>
          <w:sz w:val="20"/>
          <w:szCs w:val="20"/>
          <w:color w:val="auto"/>
        </w:rPr>
      </w:pPr>
    </w:p>
    <w:p>
      <w:pPr>
        <w:ind w:left="200" w:right="80"/>
        <w:spacing w:after="0" w:line="284" w:lineRule="auto"/>
        <w:rPr>
          <w:sz w:val="20"/>
          <w:szCs w:val="20"/>
          <w:color w:val="auto"/>
        </w:rPr>
      </w:pPr>
      <w:r>
        <w:rPr>
          <w:rFonts w:ascii="Arial" w:cs="Arial" w:eastAsia="Arial" w:hAnsi="Arial"/>
          <w:sz w:val="16"/>
          <w:szCs w:val="16"/>
          <w:b w:val="1"/>
          <w:bCs w:val="1"/>
          <w:color w:val="auto"/>
        </w:rPr>
        <w:t xml:space="preserve">Jeremy Curnock Cook </w:t>
      </w:r>
      <w:r>
        <w:rPr>
          <w:rFonts w:ascii="Arial" w:cs="Arial" w:eastAsia="Arial" w:hAnsi="Arial"/>
          <w:sz w:val="16"/>
          <w:szCs w:val="16"/>
          <w:color w:val="auto"/>
        </w:rPr>
        <w:t>has served as a Non-Executive Director of the Board since October 2012. Mr. Curnock Cook is currently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Bioscience Managers Pty Ltd, a shareholder of the Company, responsible for the BM Asia Pacific Healthcare Fund, and serves as Chairman of International Bioscience Managers Ltd. He is the former head of the life science private equity team at Rothschild Asset Management, and was responsible for the launch of the first dedicated biotechnology fund for the Australian market and the conception and launch of the International Biotechnology Trust. Mr. Curnock Cook serves as a Non-Executive Director of Adherium Ltd, a public (ASX) company with a digital health platform focused on improving medication adherence and patient outcomes, and AmpliPhi Biosciences Corporation, Inc., a public (NYSE) clinical-stage biotechnology company focused on the development of bacteriophage-based therapies for the treatment of antibiotic-resistant bacterial infections. He also serves as an Alternate Director for Sea Dragon Limited, a public (NZX) company processing fish oils into marine bioactive compounds.</w:t>
      </w:r>
    </w:p>
    <w:p>
      <w:pPr>
        <w:spacing w:after="0" w:line="5" w:lineRule="exact"/>
        <w:rPr>
          <w:sz w:val="20"/>
          <w:szCs w:val="20"/>
          <w:color w:val="auto"/>
        </w:rPr>
      </w:pPr>
    </w:p>
    <w:p>
      <w:pPr>
        <w:ind w:left="200" w:right="740"/>
        <w:spacing w:after="0" w:line="261" w:lineRule="auto"/>
        <w:rPr>
          <w:sz w:val="20"/>
          <w:szCs w:val="20"/>
          <w:color w:val="auto"/>
        </w:rPr>
      </w:pPr>
      <w:r>
        <w:rPr>
          <w:rFonts w:ascii="Arial" w:cs="Arial" w:eastAsia="Arial" w:hAnsi="Arial"/>
          <w:sz w:val="18"/>
          <w:szCs w:val="18"/>
          <w:color w:val="auto"/>
        </w:rPr>
        <w:t>Mr. Curnock Cook previously served as a Non-Executive Director of Phylogica Limited, a public (ASX) company developing next generation intracellular biological therapeutics.</w:t>
      </w:r>
    </w:p>
    <w:p>
      <w:pPr>
        <w:spacing w:after="0" w:line="180" w:lineRule="exact"/>
        <w:rPr>
          <w:sz w:val="20"/>
          <w:szCs w:val="20"/>
          <w:color w:val="auto"/>
        </w:rPr>
      </w:pPr>
    </w:p>
    <w:p>
      <w:pPr>
        <w:ind w:left="200" w:right="380"/>
        <w:spacing w:after="0" w:line="266" w:lineRule="auto"/>
        <w:rPr>
          <w:sz w:val="20"/>
          <w:szCs w:val="20"/>
          <w:color w:val="auto"/>
        </w:rPr>
      </w:pPr>
      <w:r>
        <w:rPr>
          <w:rFonts w:ascii="Arial" w:cs="Arial" w:eastAsia="Arial" w:hAnsi="Arial"/>
          <w:sz w:val="18"/>
          <w:szCs w:val="18"/>
          <w:b w:val="1"/>
          <w:bCs w:val="1"/>
          <w:color w:val="auto"/>
        </w:rPr>
        <w:t xml:space="preserve">Louis Drapeau </w:t>
      </w:r>
      <w:r>
        <w:rPr>
          <w:rFonts w:ascii="Arial" w:cs="Arial" w:eastAsia="Arial" w:hAnsi="Arial"/>
          <w:sz w:val="18"/>
          <w:szCs w:val="18"/>
          <w:color w:val="auto"/>
        </w:rPr>
        <w:t>has served as Non-Executive Director of the Board since January 2016. Mr. Drapeau has considerable expertise in both the biotech</w:t>
      </w:r>
      <w:r>
        <w:rPr>
          <w:rFonts w:ascii="Arial" w:cs="Arial" w:eastAsia="Arial" w:hAnsi="Arial"/>
          <w:sz w:val="18"/>
          <w:szCs w:val="18"/>
          <w:b w:val="1"/>
          <w:bCs w:val="1"/>
          <w:color w:val="auto"/>
        </w:rPr>
        <w:t xml:space="preserve"> </w:t>
      </w:r>
      <w:r>
        <w:rPr>
          <w:rFonts w:ascii="Arial" w:cs="Arial" w:eastAsia="Arial" w:hAnsi="Arial"/>
          <w:sz w:val="18"/>
          <w:szCs w:val="18"/>
          <w:color w:val="auto"/>
        </w:rPr>
        <w:t>sector and with the financial reporting and other requirements of U.S. public companies. Mr. Drapeau is an Independent Director at AmpliPhi Biosciences Corporation, Inc., a public</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w:t>
      </w:r>
    </w:p>
    <w:p>
      <w:pPr>
        <w:spacing w:after="0" w:line="184"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b w:val="1"/>
          <w:bCs w:val="1"/>
          <w:color w:val="auto"/>
        </w:rPr>
        <w:t xml:space="preserve">Damien McDonald </w:t>
      </w:r>
      <w:r>
        <w:rPr>
          <w:rFonts w:ascii="Arial" w:cs="Arial" w:eastAsia="Arial" w:hAnsi="Arial"/>
          <w:sz w:val="17"/>
          <w:szCs w:val="17"/>
          <w:color w:val="auto"/>
        </w:rPr>
        <w:t>has served as a Non-Executive Director since January 2016. Mr. McDonald has a proven track record of achieving value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device space. Mr. McDonald is currently Chief Executive Officer and a Director of the Board of LivaNova plc, having previously served as Chief Operating Officer. LivaNova plc is a public (NASDAQ) company that is a leader in cardiovascular and neuromodulation solutions. Prior to that, he was a Group Executive and Corporate Vice President at NYSE-listed Danaher Corporation, a multinational science and technology innovation company that acquires and produces life science and industrial products and brands, where he led a $1.5 billion group of dental consumable companies. Earlier in his tenure, Mr. McDonald was Group President of Kerr where he and his team focused on building a strong research and development pipeline while improving operational performance utilizing the Denaher Business System. He has also previously worked for Merck &amp;Co, Johnson &amp; Johnson and Zimmer. Mr. McDonald has B.S. degrees in both pharmacy and economics from the University of Queensland, a master’s degree in International Economics from the University of Wales, and an MBA from IMD of Lausanne, Switzerland.</w:t>
      </w:r>
    </w:p>
    <w:p>
      <w:pPr>
        <w:spacing w:after="0" w:line="174"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b w:val="1"/>
          <w:bCs w:val="1"/>
          <w:color w:val="auto"/>
        </w:rPr>
        <w:t xml:space="preserve">Professor Suzanne Crowe AM </w:t>
      </w:r>
      <w:r>
        <w:rPr>
          <w:rFonts w:ascii="Arial" w:cs="Arial" w:eastAsia="Arial" w:hAnsi="Arial"/>
          <w:sz w:val="18"/>
          <w:szCs w:val="18"/>
          <w:color w:val="auto"/>
        </w:rPr>
        <w:t>has served as a Non-Executive Director since January 2016. Australian-based, she is a physician-scientist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with extensive expertise in supporting companies with their medical and scientific strategies. Professor Crowe is a Principal Research Fellow of the Australian National Health and Medical Research Council. She is a Principal Specialist in Infectious Diseases at The Alfred Hospital, Melbourne and Adjunct Professor of Medicine and Infectious Diseases at Monash University, Melbourne, and has published more than 200 peer-reviewed papers. Professor Crowe is a member of the Australian Institute of Company Directors and is a Director of St Vincents Health Australia, the country’s largest not-for-profit health and aged care provider. Professor Crowe was appointed as a Member of the Order of Australia (AM) in 2011 to recognize her service to medical research in HIV/AIDS. She has medical and MD degrees from Monash University, an internal medicine specialist qualification in Infectious Diseases from the Royal Australasian College of Physicians, and a Diploma in Medical Laboratory Technology from the Royal Melbourne Institute of Technology.</w:t>
      </w:r>
    </w:p>
    <w:p>
      <w:pPr>
        <w:spacing w:after="0" w:line="297" w:lineRule="exact"/>
        <w:rPr>
          <w:sz w:val="20"/>
          <w:szCs w:val="20"/>
          <w:color w:val="auto"/>
        </w:rPr>
      </w:pPr>
    </w:p>
    <w:p>
      <w:pPr>
        <w:ind w:left="200" w:right="9080" w:firstLine="4"/>
        <w:spacing w:after="0" w:line="425" w:lineRule="auto"/>
        <w:tabs>
          <w:tab w:leader="none" w:pos="41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Remuneration Principles</w:t>
      </w:r>
    </w:p>
    <w:p>
      <w:pPr>
        <w:spacing w:after="0" w:line="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Remuneration Report outlines the Director and Executive remuneration arrangements of the Company in accordance with the requirements of the Australian Corporations Act 2001 and its Regulations. For the purposes of this report Key Management Personnel (KMP) of the Company are defined as those persons having authority and responsibility for planning, directing and controlling the major activities of the Company, directly or indirectly, including any Director (whether Executive or otherwise) of the parent Company. For the purposes of this report, the term ‘executive’ encompasses the Chief Executive and Senior Executives of the Company.</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the year ended June 30, 2018 we appointed Erin Liberto as our Chief Commercial Officer effective August 28, 2017 and Donna Shiroma as General Counsel effective June 25, 2018. We also appointed Dale Sander as Chief Financial Officer effective December 5, 2017, and he served in that position until his resignation on May 15, 2019. On December 5, 2017 the Company also appointed of Timothy Rooney as Chief Administrative Officer, and effective May 15, 2019 Mr. Rooney was also appointed as our interim Chief Financial Officer.</w:t>
      </w:r>
    </w:p>
    <w:p>
      <w:pPr>
        <w:spacing w:after="0" w:line="17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Effective April 1, 2019 Andrew Quick was promoted from Senior Vice President Clinical Development to Chief Technology Officer. There were no other changes of Key Management Personnel after the reporting date and through the date of this registration statement on Form 20-F.</w:t>
      </w:r>
    </w:p>
    <w:p>
      <w:pPr>
        <w:spacing w:after="0" w:line="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prior years we identified a number of key areas for additional emphasis which has resulted in a review of remuneration practices, policies and plans associated with key management personnel remuneration. To develop an appropriate foundation for future practices the Remuneration Committee has a formal Remuneration Governance Framework which, at the core, consists of:</w:t>
      </w:r>
    </w:p>
    <w:p>
      <w:pPr>
        <w:spacing w:after="0" w:line="87" w:lineRule="exact"/>
        <w:rPr>
          <w:sz w:val="20"/>
          <w:szCs w:val="20"/>
          <w:color w:val="auto"/>
        </w:rPr>
      </w:pPr>
    </w:p>
    <w:p>
      <w:pPr>
        <w:ind w:left="1060" w:right="14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revised Remuneration &amp; Nomination Committee Charter which now mandates the development and maintenance of other Remuneration Governance Framework elements;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Senior Executive Remuneration Policy;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Short-Term Incentive (STI) Policy &amp; Procedure document;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Long-Term Incentive (LTI) Policy &amp; Procedure document.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Committee</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Remuneration Committee of the Board of Directors of the Company is responsible for determining and reviewing remuneration arrangements for the Board and Executives.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Remuneration Committee assesses the appropriateness of the nature and amount of remuneration of Executives on a periodic basis by reference to relevant employment market conditions with the overall objective of ensuring maximum stakeholder benefit from the retention of a high-quality Board and executive team.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Use of Remuneration Consultants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 did not make use of any external remuneration consultants during the financial year, although it did obtain from third parties industry benchmarking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Voting and Comments Made at 2018 Annual General Meeting (“AGM”)</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At the 2018 AGM, 93.7% of the votes received supported the adoption of remuneration report for the year ended June 30, 2018. The Company did not receive any specific feedback at the AGM regarding its remuneration practices.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Remuneration Framework, Philosophy and Policies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performance of the Company depends upon the quality of its Directors and Executives. To prosper, the Company must attract, motivate and retain highly skilled Directors and Executives. To this end, the Company embodies the following principles in its remuneration framework:</w:t>
      </w:r>
    </w:p>
    <w:p>
      <w:pPr>
        <w:spacing w:after="0" w:line="29"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competitive rewards to attract and retain high caliber Executives;</w:t>
      </w:r>
    </w:p>
    <w:p>
      <w:pPr>
        <w:spacing w:after="0" w:line="130" w:lineRule="exact"/>
        <w:rPr>
          <w:rFonts w:ascii="Arial" w:cs="Arial" w:eastAsia="Arial" w:hAnsi="Arial"/>
          <w:sz w:val="18"/>
          <w:szCs w:val="18"/>
          <w:color w:val="auto"/>
        </w:rPr>
      </w:pPr>
    </w:p>
    <w:p>
      <w:pPr>
        <w:ind w:left="1060" w:right="760" w:hanging="31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Acceptability to shareholders through transparency and engagement, and ensuring that remuneration frameworks and practices are appropriate to the circumstances of the Company as it evolves;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linkage to and alignment with Executive compensation;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appropriate, demanding performance hurdles as a prerequisite to payment of variable Executive remuneration.</w:t>
      </w:r>
    </w:p>
    <w:p>
      <w:pPr>
        <w:spacing w:after="0" w:line="22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The main focus of executives and of performance assessment for Fiscal 2018 was related to the U.S. PMA application for the RECELL System, related activities required to support FDA approval, and preparation for the planned market launch of the RECELL System in the U.S. For the current year, the primary focus is on the successful market launch of the RECELL System in the U.S., advancement of the Company’s pipeline and successful completion of the listing of our ADSs on the NASDAQ Capital Market (US Quotation). Incentives are intended to be linked to shareholder value via milestone completion, clinical trial outcomes and total shareholder return.</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Non-Executive Director Remuneration</w:t>
      </w:r>
    </w:p>
    <w:p>
      <w:pPr>
        <w:spacing w:after="0" w:line="11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Board seeks to set aggregate remuneration at a level which provides the Company with the ability to attract and retain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highest caliber, whilst incurring a cost which is acceptable to shareholders.</w:t>
      </w:r>
    </w:p>
    <w:p>
      <w:pPr>
        <w:spacing w:after="0" w:line="162" w:lineRule="exact"/>
        <w:rPr>
          <w:sz w:val="20"/>
          <w:szCs w:val="20"/>
          <w:color w:val="auto"/>
        </w:rPr>
      </w:pPr>
    </w:p>
    <w:p>
      <w:pPr>
        <w:ind w:left="200" w:right="280" w:firstLine="441"/>
        <w:spacing w:after="0" w:line="266" w:lineRule="auto"/>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amount of aggregate remuneration sought to be approved by shareholders and the fee structure is to be commercially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and subject to an annual review. The Board considers industry benchmarking data regarding the fees paid to Non-Executive Directors of comparable companies when undertaking the annual review process.</w:t>
      </w:r>
    </w:p>
    <w:p>
      <w:pPr>
        <w:spacing w:after="0" w:line="176" w:lineRule="exact"/>
        <w:rPr>
          <w:sz w:val="20"/>
          <w:szCs w:val="20"/>
          <w:color w:val="auto"/>
        </w:rPr>
      </w:pPr>
    </w:p>
    <w:p>
      <w:pPr>
        <w:ind w:left="200" w:right="40" w:firstLine="441"/>
        <w:spacing w:after="0" w:line="258"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In accordance with best practice corporate governance, the structure of Non-Executive Director and Senior Management remuneration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is separate and distinct. The Constitution and the ASX Listing Rules specify that the aggregate remuneration of Non-Executive Directors shall be determined from time to time by a general meeting. The latest determination was at the Annual General Meeting held on November 29, 2005 when shareholders approved an aggregate remuneration of $450,000 per year in respect of fees payable to Non-Executive Directors. Please refer to Table 2 of this report for the allocation of Directors’ fees.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Each Director receives a fee for being a Director of the Company and includes attendance and participation at Board and committee meetings. The Non-Executive Directors do not participate in any incentive programs.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remuneration of Non-Executive Directors for the year ended June 30, 2018 is detailed in Table 2 of this report.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Executive Remuneration (including Executive Directors)</w:t>
      </w:r>
    </w:p>
    <w:p>
      <w:pPr>
        <w:spacing w:after="0" w:line="113"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The Company aims to reward Executives with a level and mix of remuneration commensurate with their position and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Company so as to:</w:t>
      </w:r>
    </w:p>
    <w:p>
      <w:pPr>
        <w:spacing w:after="0" w:line="71" w:lineRule="exact"/>
        <w:rPr>
          <w:sz w:val="20"/>
          <w:szCs w:val="20"/>
          <w:color w:val="auto"/>
        </w:rPr>
      </w:pPr>
    </w:p>
    <w:p>
      <w:pPr>
        <w:ind w:left="10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Executives for Company and individual performance against targets set by reference to appropriate benchmarks as well as to specific short- and long-term goals of the Company;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the interests of Executives with those of shareholders;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total remuneration is competitive by market standards.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Policy</w:t>
      </w:r>
      <w:r>
        <w:rPr>
          <w:rFonts w:ascii="Arial" w:cs="Arial" w:eastAsia="Arial" w:hAnsi="Arial"/>
          <w:sz w:val="18"/>
          <w:szCs w:val="18"/>
          <w:color w:val="auto"/>
        </w:rPr>
        <w:t>: The Company’s broad framework for the Remuneration Committee requires the committee to ensure that:</w:t>
      </w:r>
    </w:p>
    <w:p>
      <w:pPr>
        <w:spacing w:after="0" w:line="135" w:lineRule="exact"/>
        <w:rPr>
          <w:sz w:val="20"/>
          <w:szCs w:val="20"/>
          <w:color w:val="auto"/>
        </w:rPr>
      </w:pPr>
    </w:p>
    <w:p>
      <w:pPr>
        <w:ind w:left="1060" w:right="3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remuneration packages may involve a balance between fixed and incentive pay, reflecting short and/or long-term performance objectives appropriate to the Company’s circumstances and objectives;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proportion of executives’ remuneration is structured in a manner designed to link reward to corporate and individual performances;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recommendations are made to the Board with respect to the quantum of bonuses to be paid to executives.</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To the extent that the Company adopts a different remuneration structure for its Non-Executive Directors, the Committee shall document its reasons for the purpose of disclosure to stakeholders.</w:t>
      </w:r>
    </w:p>
    <w:p>
      <w:pPr>
        <w:spacing w:after="0" w:line="166" w:lineRule="exact"/>
        <w:rPr>
          <w:sz w:val="20"/>
          <w:szCs w:val="20"/>
          <w:color w:val="auto"/>
        </w:rPr>
      </w:pPr>
    </w:p>
    <w:p>
      <w:pPr>
        <w:jc w:val="both"/>
        <w:ind w:left="200" w:right="240" w:firstLine="441"/>
        <w:spacing w:after="0" w:line="266" w:lineRule="auto"/>
        <w:rPr>
          <w:sz w:val="20"/>
          <w:szCs w:val="20"/>
          <w:color w:val="auto"/>
        </w:rPr>
      </w:pPr>
      <w:r>
        <w:rPr>
          <w:rFonts w:ascii="Arial" w:cs="Arial" w:eastAsia="Arial" w:hAnsi="Arial"/>
          <w:sz w:val="18"/>
          <w:szCs w:val="18"/>
          <w:b w:val="1"/>
          <w:bCs w:val="1"/>
          <w:color w:val="auto"/>
        </w:rPr>
        <w:t>Structure</w:t>
      </w:r>
      <w:r>
        <w:rPr>
          <w:rFonts w:ascii="Arial" w:cs="Arial" w:eastAsia="Arial" w:hAnsi="Arial"/>
          <w:sz w:val="18"/>
          <w:szCs w:val="18"/>
          <w:color w:val="auto"/>
        </w:rPr>
        <w:t>: The Remuneration Committee determines the level and make-up of the Chief Executive remuneration. The Committee takes advice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Chief Executive with input from industry benchmarking data to set and approve all other executive remuneration. To assist in achieving the Company’s objectives, the</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Remuneration Committee links the nature and number of officers’ emoluments to the Company’s performance. Remuneration may consist of the following key elements:</w:t>
      </w:r>
    </w:p>
    <w:p>
      <w:pPr>
        <w:spacing w:after="0" w:line="76"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Remuneration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Variable Remuneration</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Short Term Incentive (STI) and/or</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Long Term Incentive (LTI)</w:t>
      </w:r>
    </w:p>
    <w:p>
      <w:pPr>
        <w:spacing w:after="0" w:line="225"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proportion of fixed remuneration and variable remuneration (potential short term and long-term incentives) is established for each Executive by the Remuneration Committee annually. Table 2 details the fixed and variable components for the Executives of the Company.</w:t>
      </w:r>
    </w:p>
    <w:p>
      <w:pPr>
        <w:spacing w:after="0" w:line="143"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Fixed Remuneration Objective and Structure</w:t>
      </w:r>
      <w:r>
        <w:rPr>
          <w:rFonts w:ascii="Arial" w:cs="Arial" w:eastAsia="Arial" w:hAnsi="Arial"/>
          <w:sz w:val="18"/>
          <w:szCs w:val="18"/>
          <w:color w:val="auto"/>
        </w:rPr>
        <w:t>: The level of fixed remuneration is set so as to provide a base level of remuneration which is both</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the position and is competitive in the market. During the 2018, 2017 and 2016 financial years there were no benefits paid in kind. Fixed remuneration is reviewed annually by the Remuneration Committee and the process consists of a review of Company-wide and individual performance and relevant comparative remuneration in the market.</w:t>
      </w:r>
    </w:p>
    <w:p>
      <w:pPr>
        <w:spacing w:after="0" w:line="180"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Variable Remuneration – Short Term Incentive (STI) Objective and Structure</w:t>
      </w:r>
      <w:r>
        <w:rPr>
          <w:rFonts w:ascii="Arial" w:cs="Arial" w:eastAsia="Arial" w:hAnsi="Arial"/>
          <w:sz w:val="18"/>
          <w:szCs w:val="18"/>
          <w:color w:val="auto"/>
        </w:rPr>
        <w:t>: The objective of variable remuneration is to link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the Company’s operational targets with the remuneration received by the Executives charged with meeting those targets. The Company’s STI objectives:</w:t>
      </w:r>
    </w:p>
    <w:p>
      <w:pPr>
        <w:spacing w:after="0" w:line="86"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Motivate Senior Executives to achieve the short-term annual objectives linked to Company success and shareholder value creation;</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a strong link between performance and reward;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Company success with the Senior Executives that contribute to it;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Create a component of the employment cost that is responsive to short to medium term changes in the circumstances of the Company.</w:t>
      </w:r>
    </w:p>
    <w:p>
      <w:pPr>
        <w:spacing w:after="0" w:line="23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Variable remuneration is reviewed annually by the Remuneration Committee and the process consists of a review of Company-wide and individual performance and relevant comparative remuneration in the market.</w:t>
      </w:r>
    </w:p>
    <w:p>
      <w:pPr>
        <w:spacing w:after="0" w:line="166"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b w:val="1"/>
          <w:bCs w:val="1"/>
          <w:color w:val="auto"/>
        </w:rPr>
        <w:t>Variable Remuneration – Long Term Incentive (LTI) Objective and Structure</w:t>
      </w:r>
      <w:r>
        <w:rPr>
          <w:rFonts w:ascii="Arial" w:cs="Arial" w:eastAsia="Arial" w:hAnsi="Arial"/>
          <w:sz w:val="18"/>
          <w:szCs w:val="18"/>
          <w:color w:val="auto"/>
        </w:rPr>
        <w:t>: The objective of the LTI plan is to reward Executives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manner that aligns remuneration with the creation of shareholder value and to create an element of remuneration that supports the executive team working together to achieve this outcome over the long term. The LTI plan is also a key component of the Company’s retention strategy. The Company has two LTI plans available for use with senior executives and staff. At the 2014 AGM, shareholders approved a Performance Rights Plan. At the General Meeting of shareholders on August 24, 2015, shareholders approved a share loan plan for senior executives. Currently no loans are outstanding under the share loan plan.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LTI for 2018 financial year</w:t>
      </w:r>
    </w:p>
    <w:p>
      <w:pPr>
        <w:spacing w:after="0" w:line="117"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In addition to the before mentioned CEO Long Term Incentive Plan (Operating and Financial Review), 9,110,000 share options were granted during FY18. The Company has two separate LTI plans that it can use as part of incentivizing senior executives and staff for achieving targeted Key Performance Indicators (KPIs) including financial and non-financial targets, corporate metrics and individual measures of performance.</w:t>
      </w:r>
    </w:p>
    <w:p>
      <w:pPr>
        <w:spacing w:after="0" w:line="7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Remuneration of 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1: Employment Contracts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outlines the specified terms of the relevant employment contracts for the Key Management Personnel of the Company:</w:t>
      </w:r>
    </w:p>
    <w:p>
      <w:pPr>
        <w:sectPr>
          <w:pgSz w:w="11900" w:h="16838" w:orient="portrait"/>
          <w:cols w:equalWidth="0" w:num="1">
            <w:col w:w="10900"/>
          </w:cols>
          <w:pgMar w:left="240" w:top="459" w:right="759" w:bottom="1440" w:gutter="0" w:footer="0" w:header="0"/>
        </w:sect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Role</w:t>
            </w:r>
          </w:p>
        </w:tc>
        <w:tc>
          <w:tcPr>
            <w:tcW w:w="80" w:type="dxa"/>
            <w:vAlign w:val="bottom"/>
          </w:tcPr>
          <w:p>
            <w:pPr>
              <w:spacing w:after="0"/>
              <w:rPr>
                <w:sz w:val="14"/>
                <w:szCs w:val="14"/>
                <w:color w:val="auto"/>
              </w:rPr>
            </w:pPr>
          </w:p>
        </w:tc>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14"/>
                <w:szCs w:val="14"/>
                <w:color w:val="auto"/>
              </w:rPr>
            </w:pPr>
          </w:p>
        </w:tc>
        <w:tc>
          <w:tcPr>
            <w:tcW w:w="28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Period of notice</w:t>
            </w:r>
          </w:p>
        </w:tc>
        <w:tc>
          <w:tcPr>
            <w:tcW w:w="0" w:type="dxa"/>
            <w:vAlign w:val="bottom"/>
          </w:tcPr>
          <w:p>
            <w:pPr>
              <w:spacing w:after="0"/>
              <w:rPr>
                <w:sz w:val="1"/>
                <w:szCs w:val="1"/>
                <w:color w:val="auto"/>
              </w:rPr>
            </w:pPr>
          </w:p>
        </w:tc>
      </w:tr>
      <w:tr>
        <w:trPr>
          <w:trHeight w:val="191"/>
        </w:trPr>
        <w:tc>
          <w:tcPr>
            <w:tcW w:w="1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duration</w:t>
            </w:r>
          </w:p>
        </w:tc>
        <w:tc>
          <w:tcPr>
            <w:tcW w:w="100" w:type="dxa"/>
            <w:vAlign w:val="bottom"/>
          </w:tcPr>
          <w:p>
            <w:pPr>
              <w:spacing w:after="0"/>
              <w:rPr>
                <w:sz w:val="16"/>
                <w:szCs w:val="16"/>
                <w:color w:val="auto"/>
              </w:rPr>
            </w:pP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1"/>
              </w:rPr>
              <w:t>CEO</w:t>
            </w:r>
          </w:p>
        </w:tc>
        <w:tc>
          <w:tcPr>
            <w:tcW w:w="1620" w:type="dxa"/>
            <w:vAlign w:val="bottom"/>
          </w:tcPr>
          <w:p>
            <w:pPr>
              <w:ind w:left="100"/>
              <w:spacing w:after="0" w:line="176" w:lineRule="exact"/>
              <w:rPr>
                <w:sz w:val="20"/>
                <w:szCs w:val="20"/>
                <w:color w:val="auto"/>
              </w:rPr>
            </w:pPr>
            <w:r>
              <w:rPr>
                <w:rFonts w:ascii="Arial" w:cs="Arial" w:eastAsia="Arial" w:hAnsi="Arial"/>
                <w:sz w:val="18"/>
                <w:szCs w:val="18"/>
                <w:color w:val="auto"/>
              </w:rPr>
              <w:t>and Executive</w:t>
            </w:r>
          </w:p>
        </w:tc>
        <w:tc>
          <w:tcPr>
            <w:tcW w:w="80" w:type="dxa"/>
            <w:vAlign w:val="bottom"/>
          </w:tcPr>
          <w:p>
            <w:pPr>
              <w:spacing w:after="0"/>
              <w:rPr>
                <w:sz w:val="15"/>
                <w:szCs w:val="15"/>
                <w:color w:val="auto"/>
              </w:rPr>
            </w:pPr>
          </w:p>
        </w:tc>
        <w:tc>
          <w:tcPr>
            <w:tcW w:w="18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Dr. Michael Perry</w:t>
            </w: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Open ended</w:t>
            </w:r>
          </w:p>
        </w:tc>
        <w:tc>
          <w:tcPr>
            <w:tcW w:w="100" w:type="dxa"/>
            <w:vAlign w:val="bottom"/>
          </w:tcPr>
          <w:p>
            <w:pPr>
              <w:spacing w:after="0"/>
              <w:rPr>
                <w:sz w:val="15"/>
                <w:szCs w:val="15"/>
                <w:color w:val="auto"/>
              </w:rPr>
            </w:pPr>
          </w:p>
        </w:tc>
        <w:tc>
          <w:tcPr>
            <w:tcW w:w="28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CFO</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Dale Sander(1)</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CAO</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Timothy Rooney(2)</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12-month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CCO</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Erin Liberto</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6-month notice period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SVP, Clinical</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Andrew Quick(3)</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3-month notice period</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w w:val="94"/>
              </w:rPr>
              <w:t>Non-Executive Chairman</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Lou Panaccio</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All other Non-Executive</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Jeremy Curnock Cook</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No notice period-subject to Avita</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Louis Drapeau</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Damien McDonald</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No notice period-subject to Avita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color w:val="auto"/>
                <w:w w:val="88"/>
              </w:rPr>
              <w:t>Professor Suzanne Crowe</w:t>
            </w: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Open ended</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No notice period-subject to Avita</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color w:val="auto"/>
              </w:rPr>
              <w:t>contract</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constitution</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Sander resigned as Chief Financial Officer effective May 15, 2019.</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Rooney was appointed interim Chief Financial Officer effective May 15,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Quick was promoted to Chief Technology Officer effective April 1, 2019.</w:t>
      </w:r>
    </w:p>
    <w:p>
      <w:pPr>
        <w:spacing w:after="0" w:line="1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Termination payments</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provided for by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17494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right="1680" w:firstLine="9"/>
        <w:spacing w:after="0" w:line="562" w:lineRule="auto"/>
        <w:tabs>
          <w:tab w:leader="none" w:pos="225"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months 6 months</w:t>
      </w:r>
    </w:p>
    <w:p>
      <w:pPr>
        <w:ind w:right="1680" w:firstLine="9"/>
        <w:spacing w:after="0" w:line="563" w:lineRule="auto"/>
        <w:tabs>
          <w:tab w:leader="none" w:pos="2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months 6 months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notice only,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notice only,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notice only,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notice only,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notice only,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specified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Payment in lieu of notice only,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benefits specified</w:t>
      </w:r>
    </w:p>
    <w:p>
      <w:pPr>
        <w:sectPr>
          <w:pgSz w:w="11900" w:h="16838" w:orient="portrait"/>
          <w:cols w:equalWidth="0" w:num="2">
            <w:col w:w="8360" w:space="100"/>
            <w:col w:w="2440"/>
          </w:cols>
          <w:pgMar w:left="240" w:top="459" w:right="7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2: Remuneration for the year ended June 30,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Proportion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Element of</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Remuneration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Post-</w:t>
            </w:r>
          </w:p>
        </w:tc>
        <w:tc>
          <w:tcPr>
            <w:tcW w:w="180" w:type="dxa"/>
            <w:vAlign w:val="bottom"/>
          </w:tcPr>
          <w:p>
            <w:pPr>
              <w:spacing w:after="0"/>
              <w:rPr>
                <w:sz w:val="12"/>
                <w:szCs w:val="12"/>
                <w:color w:val="auto"/>
              </w:rPr>
            </w:pPr>
          </w:p>
        </w:tc>
        <w:tc>
          <w:tcPr>
            <w:tcW w:w="120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Equity-settled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Related to</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Elements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Performance</w:t>
            </w:r>
          </w:p>
        </w:tc>
        <w:tc>
          <w:tcPr>
            <w:tcW w:w="116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8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Short-term Benefits</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96"/>
              </w:rPr>
              <w:t>employment</w:t>
            </w:r>
          </w:p>
        </w:tc>
        <w:tc>
          <w:tcPr>
            <w:tcW w:w="180" w:type="dxa"/>
            <w:vAlign w:val="bottom"/>
          </w:tcPr>
          <w:p>
            <w:pPr>
              <w:spacing w:after="0"/>
              <w:rPr>
                <w:sz w:val="12"/>
                <w:szCs w:val="12"/>
                <w:color w:val="auto"/>
              </w:rPr>
            </w:pPr>
          </w:p>
        </w:tc>
        <w:tc>
          <w:tcPr>
            <w:tcW w:w="1200" w:type="dxa"/>
            <w:vAlign w:val="bottom"/>
            <w:gridSpan w:val="3"/>
          </w:tcPr>
          <w:p>
            <w:pPr>
              <w:jc w:val="right"/>
              <w:ind w:right="168"/>
              <w:spacing w:after="0" w:line="149" w:lineRule="exact"/>
              <w:rPr>
                <w:sz w:val="20"/>
                <w:szCs w:val="20"/>
                <w:color w:val="auto"/>
              </w:rPr>
            </w:pPr>
            <w:r>
              <w:rPr>
                <w:rFonts w:ascii="Arial" w:cs="Arial" w:eastAsia="Arial" w:hAnsi="Arial"/>
                <w:sz w:val="14"/>
                <w:szCs w:val="14"/>
                <w:b w:val="1"/>
                <w:bCs w:val="1"/>
                <w:color w:val="auto"/>
              </w:rPr>
              <w:t>Share-based</w:t>
            </w:r>
          </w:p>
        </w:tc>
        <w:tc>
          <w:tcPr>
            <w:tcW w:w="180" w:type="dxa"/>
            <w:vAlign w:val="bottom"/>
          </w:tcPr>
          <w:p>
            <w:pPr>
              <w:spacing w:after="0"/>
              <w:rPr>
                <w:sz w:val="12"/>
                <w:szCs w:val="12"/>
                <w:color w:val="auto"/>
              </w:rPr>
            </w:pP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6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(Other than</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Not Related to</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8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Benefits</w:t>
            </w:r>
          </w:p>
        </w:tc>
        <w:tc>
          <w:tcPr>
            <w:tcW w:w="180" w:type="dxa"/>
            <w:vAlign w:val="bottom"/>
          </w:tcPr>
          <w:p>
            <w:pPr>
              <w:spacing w:after="0"/>
              <w:rPr>
                <w:sz w:val="13"/>
                <w:szCs w:val="13"/>
                <w:color w:val="auto"/>
              </w:rPr>
            </w:pPr>
          </w:p>
        </w:tc>
        <w:tc>
          <w:tcPr>
            <w:tcW w:w="1200" w:type="dxa"/>
            <w:vAlign w:val="bottom"/>
            <w:gridSpan w:val="3"/>
          </w:tcPr>
          <w:p>
            <w:pPr>
              <w:ind w:left="280"/>
              <w:spacing w:after="0" w:line="157" w:lineRule="exact"/>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Options Issued)</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Salary,</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7"/>
              </w:rPr>
              <w:t>Profit</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Non-salary</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fees and</w:t>
            </w:r>
          </w:p>
        </w:tc>
        <w:tc>
          <w:tcPr>
            <w:tcW w:w="72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89"/>
              </w:rPr>
              <w:t>share and</w:t>
            </w:r>
          </w:p>
        </w:tc>
        <w:tc>
          <w:tcPr>
            <w:tcW w:w="74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2"/>
              </w:rPr>
              <w:t>monetary</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Pension and</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1"/>
              </w:rPr>
              <w:t>Options/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Cash based</w:t>
            </w:r>
          </w:p>
        </w:tc>
        <w:tc>
          <w:tcPr>
            <w:tcW w:w="7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Shares/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9"/>
              </w:rPr>
              <w:t>leave</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0"/>
              </w:rPr>
              <w:t>bonuses</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benefits</w:t>
            </w:r>
          </w:p>
        </w:tc>
        <w:tc>
          <w:tcPr>
            <w:tcW w:w="10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1"/>
              </w:rPr>
              <w:t>superannuation</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rPr>
              <w:t>Units</w:t>
            </w:r>
          </w:p>
        </w:tc>
        <w:tc>
          <w:tcPr>
            <w:tcW w:w="18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Rights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Incentives</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A$</w:t>
            </w:r>
          </w:p>
        </w:tc>
        <w:tc>
          <w:tcPr>
            <w:tcW w:w="84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4"/>
                <w:szCs w:val="14"/>
                <w:color w:val="auto"/>
              </w:rPr>
            </w:pPr>
          </w:p>
        </w:tc>
        <w:tc>
          <w:tcPr>
            <w:tcW w:w="52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200" w:type="dxa"/>
            <w:vAlign w:val="bottom"/>
          </w:tcPr>
          <w:p>
            <w:pPr>
              <w:spacing w:after="0"/>
              <w:rPr>
                <w:sz w:val="14"/>
                <w:szCs w:val="14"/>
                <w:color w:val="auto"/>
              </w:rPr>
            </w:pPr>
          </w:p>
        </w:tc>
        <w:tc>
          <w:tcPr>
            <w:tcW w:w="98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Non-Executive Directors</w:t>
            </w: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Lou Panaccio</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58,758</w:t>
            </w:r>
          </w:p>
        </w:tc>
        <w:tc>
          <w:tcPr>
            <w:tcW w:w="16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7,481</w:t>
            </w:r>
          </w:p>
        </w:tc>
        <w:tc>
          <w:tcPr>
            <w:tcW w:w="6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19,992</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86,231</w:t>
            </w:r>
          </w:p>
        </w:tc>
        <w:tc>
          <w:tcPr>
            <w:tcW w:w="10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tcPr>
          <w:p>
            <w:pPr>
              <w:ind w:left="120"/>
              <w:spacing w:after="0"/>
              <w:rPr>
                <w:sz w:val="20"/>
                <w:szCs w:val="20"/>
                <w:color w:val="auto"/>
              </w:rPr>
            </w:pPr>
            <w:r>
              <w:rPr>
                <w:rFonts w:ascii="Arial" w:cs="Arial" w:eastAsia="Arial" w:hAnsi="Arial"/>
                <w:sz w:val="14"/>
                <w:szCs w:val="14"/>
                <w:color w:val="auto"/>
              </w:rPr>
              <w:t>Non-Executive Chairman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Jeremy Curnock Cook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61,040</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Louis Drapeau</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56,213</w:t>
            </w:r>
          </w:p>
        </w:tc>
        <w:tc>
          <w:tcPr>
            <w:tcW w:w="1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56,213</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Damien McDonald</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56,549</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56,549</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Suzanne Crowe</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45,989</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5,296</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9,755</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61,040</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222,000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12,777</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86,296</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321,073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Other Key Management Personnel &amp;</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Arial" w:cs="Arial" w:eastAsia="Arial" w:hAnsi="Arial"/>
                <w:sz w:val="14"/>
                <w:szCs w:val="14"/>
                <w:b w:val="1"/>
                <w:bCs w:val="1"/>
                <w:color w:val="auto"/>
              </w:rPr>
              <w:t>Executives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 Perry</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662,022</w:t>
            </w:r>
          </w:p>
        </w:tc>
        <w:tc>
          <w:tcPr>
            <w:tcW w:w="7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327,337</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73,271</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701,408</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1,764,038</w:t>
            </w:r>
          </w:p>
        </w:tc>
        <w:tc>
          <w:tcPr>
            <w:tcW w:w="10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w:t>
            </w:r>
          </w:p>
        </w:tc>
        <w:tc>
          <w:tcPr>
            <w:tcW w:w="72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CEO(1)</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Dale Sander</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236,156</w:t>
            </w:r>
          </w:p>
        </w:tc>
        <w:tc>
          <w:tcPr>
            <w:tcW w:w="7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63,395</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40,900</w:t>
            </w:r>
          </w:p>
        </w:tc>
        <w:tc>
          <w:tcPr>
            <w:tcW w:w="10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8,226</w:t>
            </w:r>
          </w:p>
        </w:tc>
        <w:tc>
          <w:tcPr>
            <w:tcW w:w="180" w:type="dxa"/>
            <w:vAlign w:val="bottom"/>
          </w:tcPr>
          <w:p>
            <w:pPr>
              <w:spacing w:after="0"/>
              <w:rPr>
                <w:sz w:val="11"/>
                <w:szCs w:val="11"/>
                <w:color w:val="auto"/>
              </w:rPr>
            </w:pPr>
          </w:p>
        </w:tc>
        <w:tc>
          <w:tcPr>
            <w:tcW w:w="500" w:type="dxa"/>
            <w:vAlign w:val="bottom"/>
          </w:tcPr>
          <w:p>
            <w:pPr>
              <w:ind w:left="28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89,384</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438,061</w:t>
            </w:r>
          </w:p>
        </w:tc>
        <w:tc>
          <w:tcPr>
            <w:tcW w:w="10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tcPr>
          <w:p>
            <w:pPr>
              <w:ind w:left="120"/>
              <w:spacing w:after="0"/>
              <w:rPr>
                <w:sz w:val="20"/>
                <w:szCs w:val="20"/>
                <w:color w:val="auto"/>
              </w:rPr>
            </w:pPr>
            <w:r>
              <w:rPr>
                <w:rFonts w:ascii="Arial" w:cs="Arial" w:eastAsia="Arial" w:hAnsi="Arial"/>
                <w:sz w:val="14"/>
                <w:szCs w:val="14"/>
                <w:color w:val="auto"/>
              </w:rPr>
              <w:t>CFO(2)</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Timothy Rooney</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406,791</w:t>
            </w:r>
          </w:p>
        </w:tc>
        <w:tc>
          <w:tcPr>
            <w:tcW w:w="7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97,143</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41,670</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20,808</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367,384</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933,797</w:t>
            </w:r>
          </w:p>
        </w:tc>
        <w:tc>
          <w:tcPr>
            <w:tcW w:w="10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CAO</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Erin Liberto</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311,938</w:t>
            </w:r>
          </w:p>
        </w:tc>
        <w:tc>
          <w:tcPr>
            <w:tcW w:w="7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226,601</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63,066</w:t>
            </w:r>
          </w:p>
        </w:tc>
        <w:tc>
          <w:tcPr>
            <w:tcW w:w="10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12,891</w:t>
            </w:r>
          </w:p>
        </w:tc>
        <w:tc>
          <w:tcPr>
            <w:tcW w:w="180" w:type="dxa"/>
            <w:vAlign w:val="bottom"/>
          </w:tcPr>
          <w:p>
            <w:pPr>
              <w:spacing w:after="0"/>
              <w:rPr>
                <w:sz w:val="11"/>
                <w:szCs w:val="11"/>
                <w:color w:val="auto"/>
              </w:rPr>
            </w:pPr>
          </w:p>
        </w:tc>
        <w:tc>
          <w:tcPr>
            <w:tcW w:w="500" w:type="dxa"/>
            <w:vAlign w:val="bottom"/>
          </w:tcPr>
          <w:p>
            <w:pPr>
              <w:ind w:left="28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123,231</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737,728</w:t>
            </w:r>
          </w:p>
        </w:tc>
        <w:tc>
          <w:tcPr>
            <w:tcW w:w="10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tcPr>
          <w:p>
            <w:pPr>
              <w:ind w:left="120"/>
              <w:spacing w:after="0"/>
              <w:rPr>
                <w:sz w:val="20"/>
                <w:szCs w:val="20"/>
                <w:color w:val="auto"/>
              </w:rPr>
            </w:pPr>
            <w:r>
              <w:rPr>
                <w:rFonts w:ascii="Arial" w:cs="Arial" w:eastAsia="Arial" w:hAnsi="Arial"/>
                <w:sz w:val="14"/>
                <w:szCs w:val="14"/>
                <w:color w:val="auto"/>
              </w:rPr>
              <w:t>CCO</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Quick</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341,138</w:t>
            </w:r>
          </w:p>
        </w:tc>
        <w:tc>
          <w:tcPr>
            <w:tcW w:w="7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67,888</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52,802</w:t>
            </w:r>
          </w:p>
        </w:tc>
        <w:tc>
          <w:tcPr>
            <w:tcW w:w="10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19,905</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194,191</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675,924</w:t>
            </w:r>
          </w:p>
        </w:tc>
        <w:tc>
          <w:tcPr>
            <w:tcW w:w="10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shd w:val="clear" w:color="auto" w:fill="CCEEFF"/>
          </w:tcPr>
          <w:p>
            <w:pPr>
              <w:jc w:val="right"/>
              <w:ind w:right="60"/>
              <w:spacing w:after="0" w:line="130"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SVP, Clinical Development</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tcPr>
          <w:p>
            <w:pPr>
              <w:spacing w:after="0" w:line="130" w:lineRule="exact"/>
              <w:rPr>
                <w:sz w:val="20"/>
                <w:szCs w:val="20"/>
                <w:color w:val="auto"/>
              </w:rPr>
            </w:pPr>
            <w:r>
              <w:rPr>
                <w:rFonts w:ascii="Arial" w:cs="Arial" w:eastAsia="Arial" w:hAnsi="Arial"/>
                <w:sz w:val="14"/>
                <w:szCs w:val="14"/>
                <w:color w:val="auto"/>
              </w:rPr>
              <w:t>Gabriel Chiappini</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52,010</w:t>
            </w:r>
          </w:p>
        </w:tc>
        <w:tc>
          <w:tcPr>
            <w:tcW w:w="16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6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00" w:type="dxa"/>
            <w:vAlign w:val="bottom"/>
          </w:tcPr>
          <w:p>
            <w:pPr>
              <w:ind w:left="280"/>
              <w:spacing w:after="0" w:line="13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52,010</w:t>
            </w:r>
          </w:p>
        </w:tc>
        <w:tc>
          <w:tcPr>
            <w:tcW w:w="10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0%</w:t>
            </w:r>
          </w:p>
        </w:tc>
        <w:tc>
          <w:tcPr>
            <w:tcW w:w="7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Pr>
          <w:p>
            <w:pPr>
              <w:ind w:left="120"/>
              <w:spacing w:after="0"/>
              <w:rPr>
                <w:sz w:val="20"/>
                <w:szCs w:val="20"/>
                <w:color w:val="auto"/>
              </w:rPr>
            </w:pPr>
            <w:r>
              <w:rPr>
                <w:rFonts w:ascii="Arial" w:cs="Arial" w:eastAsia="Arial" w:hAnsi="Arial"/>
                <w:sz w:val="14"/>
                <w:szCs w:val="14"/>
                <w:color w:val="auto"/>
              </w:rPr>
              <w:t>Company Secretary(3)</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Sub-total</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2,010,055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782,364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271,709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61,830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701,408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774,190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4,601,558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Totals</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2,232,055</w:t>
            </w:r>
          </w:p>
        </w:tc>
        <w:tc>
          <w:tcPr>
            <w:tcW w:w="1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782,364</w:t>
            </w: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271,709</w:t>
            </w:r>
          </w:p>
        </w:tc>
        <w:tc>
          <w:tcPr>
            <w:tcW w:w="1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74,607</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787,704</w:t>
            </w:r>
          </w:p>
        </w:tc>
        <w:tc>
          <w:tcPr>
            <w:tcW w:w="1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774,190</w:t>
            </w:r>
          </w:p>
        </w:tc>
        <w:tc>
          <w:tcPr>
            <w:tcW w:w="1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4,922,631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316"/>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November 30, 2017, 50,000,000 LTIs were issued to Dr. Michael Perry based on the following milestones:</w:t>
      </w:r>
    </w:p>
    <w:p>
      <w:pPr>
        <w:spacing w:after="0" w:line="109" w:lineRule="exact"/>
        <w:rPr>
          <w:rFonts w:ascii="Arial" w:cs="Arial" w:eastAsia="Arial" w:hAnsi="Arial"/>
          <w:sz w:val="14"/>
          <w:szCs w:val="14"/>
          <w:color w:val="auto"/>
        </w:rPr>
      </w:pPr>
    </w:p>
    <w:p>
      <w:pPr>
        <w:ind w:left="960" w:hanging="432"/>
        <w:spacing w:after="0"/>
        <w:tabs>
          <w:tab w:leader="none" w:pos="960" w:val="left"/>
        </w:tabs>
        <w:numPr>
          <w:ilvl w:val="1"/>
          <w:numId w:val="34"/>
        </w:numPr>
        <w:rPr>
          <w:rFonts w:ascii="Arial" w:cs="Arial" w:eastAsia="Arial" w:hAnsi="Arial"/>
          <w:sz w:val="14"/>
          <w:szCs w:val="14"/>
          <w:color w:val="auto"/>
        </w:rPr>
      </w:pPr>
      <w:r>
        <w:rPr>
          <w:rFonts w:ascii="Arial" w:cs="Arial" w:eastAsia="Arial" w:hAnsi="Arial"/>
          <w:sz w:val="14"/>
          <w:szCs w:val="14"/>
          <w:color w:val="auto"/>
        </w:rPr>
        <w:t>Tenure – a total of 16,666,666 LTIs issued but to vest over the three-year period commencing July 1, 2017;</w:t>
      </w:r>
    </w:p>
    <w:p>
      <w:pPr>
        <w:spacing w:after="0" w:line="109" w:lineRule="exact"/>
        <w:rPr>
          <w:rFonts w:ascii="Arial" w:cs="Arial" w:eastAsia="Arial" w:hAnsi="Arial"/>
          <w:sz w:val="14"/>
          <w:szCs w:val="14"/>
          <w:color w:val="auto"/>
        </w:rPr>
      </w:pPr>
    </w:p>
    <w:p>
      <w:pPr>
        <w:ind w:left="960" w:right="140" w:hanging="432"/>
        <w:spacing w:after="0" w:line="291" w:lineRule="auto"/>
        <w:tabs>
          <w:tab w:leader="none" w:pos="9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56" w:lineRule="exact"/>
        <w:rPr>
          <w:rFonts w:ascii="Arial" w:cs="Arial" w:eastAsia="Arial" w:hAnsi="Arial"/>
          <w:sz w:val="13"/>
          <w:szCs w:val="13"/>
          <w:color w:val="auto"/>
        </w:rPr>
      </w:pPr>
    </w:p>
    <w:p>
      <w:pPr>
        <w:ind w:left="960" w:hanging="432"/>
        <w:spacing w:after="0"/>
        <w:tabs>
          <w:tab w:leader="none" w:pos="960" w:val="left"/>
        </w:tabs>
        <w:numPr>
          <w:ilvl w:val="1"/>
          <w:numId w:val="34"/>
        </w:numPr>
        <w:rPr>
          <w:rFonts w:ascii="Arial" w:cs="Arial" w:eastAsia="Arial" w:hAnsi="Arial"/>
          <w:sz w:val="13"/>
          <w:szCs w:val="13"/>
          <w:color w:val="auto"/>
        </w:rPr>
      </w:pPr>
      <w:r>
        <w:rPr>
          <w:rFonts w:ascii="Arial" w:cs="Arial" w:eastAsia="Arial" w:hAnsi="Arial"/>
          <w:sz w:val="13"/>
          <w:szCs w:val="13"/>
          <w:color w:val="auto"/>
        </w:rPr>
        <w:t>Milestone performance – a total of 16,666,668 LTIs issued, but to vest in two equal tranches with one tranche to vest upon the achievement of the following milestones:</w:t>
      </w:r>
    </w:p>
    <w:p>
      <w:pPr>
        <w:spacing w:after="0" w:line="120" w:lineRule="exact"/>
        <w:rPr>
          <w:rFonts w:ascii="Arial" w:cs="Arial" w:eastAsia="Arial" w:hAnsi="Arial"/>
          <w:sz w:val="13"/>
          <w:szCs w:val="13"/>
          <w:color w:val="auto"/>
        </w:rPr>
      </w:pPr>
    </w:p>
    <w:p>
      <w:pPr>
        <w:ind w:left="1300" w:hanging="326"/>
        <w:spacing w:after="0"/>
        <w:tabs>
          <w:tab w:leader="none" w:pos="1300" w:val="left"/>
        </w:tabs>
        <w:numPr>
          <w:ilvl w:val="2"/>
          <w:numId w:val="34"/>
        </w:numPr>
        <w:rPr>
          <w:rFonts w:ascii="Arial" w:cs="Arial" w:eastAsia="Arial" w:hAnsi="Arial"/>
          <w:sz w:val="14"/>
          <w:szCs w:val="14"/>
          <w:color w:val="auto"/>
        </w:rPr>
      </w:pPr>
      <w:r>
        <w:rPr>
          <w:rFonts w:ascii="Arial" w:cs="Arial" w:eastAsia="Arial" w:hAnsi="Arial"/>
          <w:sz w:val="14"/>
          <w:szCs w:val="14"/>
          <w:color w:val="auto"/>
        </w:rPr>
        <w:t>FDA PMA approval of RECELL for burns</w:t>
      </w:r>
    </w:p>
    <w:p>
      <w:pPr>
        <w:spacing w:after="0" w:line="109" w:lineRule="exact"/>
        <w:rPr>
          <w:rFonts w:ascii="Arial" w:cs="Arial" w:eastAsia="Arial" w:hAnsi="Arial"/>
          <w:sz w:val="14"/>
          <w:szCs w:val="14"/>
          <w:color w:val="auto"/>
        </w:rPr>
      </w:pPr>
    </w:p>
    <w:p>
      <w:pPr>
        <w:ind w:left="1300" w:hanging="326"/>
        <w:spacing w:after="0"/>
        <w:tabs>
          <w:tab w:leader="none" w:pos="1300" w:val="left"/>
        </w:tabs>
        <w:numPr>
          <w:ilvl w:val="2"/>
          <w:numId w:val="34"/>
        </w:numPr>
        <w:rPr>
          <w:rFonts w:ascii="Arial" w:cs="Arial" w:eastAsia="Arial" w:hAnsi="Arial"/>
          <w:sz w:val="14"/>
          <w:szCs w:val="14"/>
          <w:color w:val="auto"/>
        </w:rPr>
      </w:pPr>
      <w:r>
        <w:rPr>
          <w:rFonts w:ascii="Arial" w:cs="Arial" w:eastAsia="Arial" w:hAnsi="Arial"/>
          <w:sz w:val="14"/>
          <w:szCs w:val="14"/>
          <w:color w:val="auto"/>
        </w:rPr>
        <w:t>Initial BARDA procurement under CLIN2 of the BARDA Contract</w:t>
      </w:r>
    </w:p>
    <w:p>
      <w:pPr>
        <w:spacing w:after="0" w:line="108" w:lineRule="exact"/>
        <w:rPr>
          <w:rFonts w:ascii="Arial" w:cs="Arial" w:eastAsia="Arial" w:hAnsi="Arial"/>
          <w:sz w:val="14"/>
          <w:szCs w:val="14"/>
          <w:color w:val="auto"/>
        </w:rPr>
      </w:pPr>
    </w:p>
    <w:p>
      <w:pPr>
        <w:ind w:left="520" w:hanging="316"/>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Sander resigned as Chief Financial Officer effective May 15, 2019.</w:t>
      </w:r>
    </w:p>
    <w:p>
      <w:pPr>
        <w:ind w:left="520" w:hanging="316"/>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 Chiappini resigned as Company Secretary effective March 2018.</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3: Compensation of Key Management Personnel</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1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960" w:type="dxa"/>
            <w:vAlign w:val="bottom"/>
            <w:gridSpan w:val="2"/>
          </w:tcPr>
          <w:p>
            <w:pPr>
              <w:ind w:left="360"/>
              <w:spacing w:after="0"/>
              <w:rPr>
                <w:sz w:val="20"/>
                <w:szCs w:val="20"/>
                <w:color w:val="auto"/>
              </w:rPr>
            </w:pPr>
            <w:r>
              <w:rPr>
                <w:rFonts w:ascii="Arial" w:cs="Arial" w:eastAsia="Arial" w:hAnsi="Arial"/>
                <w:sz w:val="14"/>
                <w:szCs w:val="14"/>
                <w:b w:val="1"/>
                <w:bCs w:val="1"/>
                <w:color w:val="auto"/>
              </w:rPr>
              <w:t>A$</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3,770,141</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2,933,510</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1,904,993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860" w:type="dxa"/>
            <w:vAlign w:val="bottom"/>
          </w:tcPr>
          <w:p>
            <w:pPr>
              <w:jc w:val="right"/>
              <w:spacing w:after="0"/>
              <w:rPr>
                <w:sz w:val="20"/>
                <w:szCs w:val="20"/>
                <w:color w:val="auto"/>
              </w:rPr>
            </w:pPr>
            <w:r>
              <w:rPr>
                <w:rFonts w:ascii="Arial" w:cs="Arial" w:eastAsia="Arial" w:hAnsi="Arial"/>
                <w:sz w:val="18"/>
                <w:szCs w:val="18"/>
                <w:color w:val="auto"/>
              </w:rPr>
              <w:t>90,512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902,959</w:t>
            </w:r>
          </w:p>
        </w:tc>
        <w:tc>
          <w:tcPr>
            <w:tcW w:w="60" w:type="dxa"/>
            <w:vAlign w:val="bottom"/>
            <w:shd w:val="clear" w:color="auto" w:fill="CCEEFF"/>
          </w:tcPr>
          <w:p>
            <w:pPr>
              <w:spacing w:after="0"/>
              <w:rPr>
                <w:sz w:val="18"/>
                <w:szCs w:val="18"/>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5,457,021</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4,261,353</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2,916,438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Table 4: Option Holdings of Key Management Personnel</w:t>
      </w:r>
    </w:p>
    <w:p>
      <w:pPr>
        <w:spacing w:after="0" w:line="117"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fair value of options granted as remuneration and as shown in the above table has been determined in accordance with Australian Accounting Standards and will be recognized as an expense over the relevant vesting period to the extent that conditions necessary for vesting are satisfied. Options issued to key management personnel have vesting criteria corresponding to the following conditions:</w:t>
      </w:r>
    </w:p>
    <w:p>
      <w:pPr>
        <w:spacing w:after="0" w:line="71"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Balance at</w:t>
            </w:r>
          </w:p>
        </w:tc>
        <w:tc>
          <w:tcPr>
            <w:tcW w:w="9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Grant Details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Exercised</w:t>
            </w:r>
          </w:p>
        </w:tc>
        <w:tc>
          <w:tcPr>
            <w:tcW w:w="520" w:type="dxa"/>
            <w:vAlign w:val="bottom"/>
            <w:gridSpan w:val="2"/>
          </w:tcPr>
          <w:p>
            <w:pPr>
              <w:ind w:left="120"/>
              <w:spacing w:after="0"/>
              <w:rPr>
                <w:sz w:val="20"/>
                <w:szCs w:val="20"/>
                <w:color w:val="auto"/>
              </w:rPr>
            </w:pPr>
            <w:r>
              <w:rPr>
                <w:rFonts w:ascii="Arial" w:cs="Arial" w:eastAsia="Arial" w:hAnsi="Arial"/>
                <w:sz w:val="13"/>
                <w:szCs w:val="13"/>
                <w:b w:val="1"/>
                <w:bCs w:val="1"/>
                <w:color w:val="auto"/>
                <w:w w:val="83"/>
              </w:rPr>
              <w:t>Lapsed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0"/>
              <w:spacing w:after="0"/>
              <w:rPr>
                <w:sz w:val="20"/>
                <w:szCs w:val="20"/>
                <w:color w:val="auto"/>
              </w:rPr>
            </w:pPr>
            <w:r>
              <w:rPr>
                <w:rFonts w:ascii="Arial" w:cs="Arial" w:eastAsia="Arial" w:hAnsi="Arial"/>
                <w:sz w:val="13"/>
                <w:szCs w:val="13"/>
                <w:b w:val="1"/>
                <w:bCs w:val="1"/>
                <w:color w:val="auto"/>
              </w:rPr>
              <w:t>Vested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1"/>
              </w:rPr>
              <w:t>Unvested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July, 1</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Balance at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Total at</w:t>
            </w:r>
          </w:p>
        </w:tc>
        <w:tc>
          <w:tcPr>
            <w:tcW w:w="12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Total at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2"/>
              </w:rPr>
              <w:t>2017</w:t>
            </w:r>
          </w:p>
        </w:tc>
        <w:tc>
          <w:tcPr>
            <w:tcW w:w="900" w:type="dxa"/>
            <w:vAlign w:val="bottom"/>
          </w:tcPr>
          <w:p>
            <w:pPr>
              <w:ind w:left="340"/>
              <w:spacing w:after="0" w:line="140" w:lineRule="exact"/>
              <w:rPr>
                <w:sz w:val="20"/>
                <w:szCs w:val="20"/>
                <w:color w:val="auto"/>
              </w:rPr>
            </w:pPr>
            <w:r>
              <w:rPr>
                <w:rFonts w:ascii="Arial" w:cs="Arial" w:eastAsia="Arial" w:hAnsi="Arial"/>
                <w:sz w:val="13"/>
                <w:szCs w:val="13"/>
                <w:b w:val="1"/>
                <w:bCs w:val="1"/>
                <w:color w:val="auto"/>
              </w:rPr>
              <w:t>Issued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tcPr>
          <w:p>
            <w:pPr>
              <w:jc w:val="center"/>
              <w:ind w:left="37"/>
              <w:spacing w:after="0" w:line="140"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June 30,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June 30,</w:t>
            </w:r>
          </w:p>
        </w:tc>
        <w:tc>
          <w:tcPr>
            <w:tcW w:w="120" w:type="dxa"/>
            <w:vAlign w:val="bottom"/>
          </w:tcPr>
          <w:p>
            <w:pPr>
              <w:spacing w:after="0"/>
              <w:rPr>
                <w:sz w:val="12"/>
                <w:szCs w:val="12"/>
                <w:color w:val="auto"/>
              </w:rPr>
            </w:pPr>
          </w:p>
        </w:tc>
        <w:tc>
          <w:tcPr>
            <w:tcW w:w="74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84"/>
              </w:rPr>
              <w:t>June 30,</w:t>
            </w: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June 30, 2018</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No.</w:t>
            </w:r>
          </w:p>
        </w:tc>
        <w:tc>
          <w:tcPr>
            <w:tcW w:w="900" w:type="dxa"/>
            <w:vAlign w:val="bottom"/>
          </w:tcPr>
          <w:p>
            <w:pPr>
              <w:ind w:left="380"/>
              <w:spacing w:after="0"/>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4"/>
                <w:szCs w:val="14"/>
                <w:color w:val="auto"/>
              </w:rPr>
            </w:pPr>
          </w:p>
        </w:tc>
        <w:tc>
          <w:tcPr>
            <w:tcW w:w="620" w:type="dxa"/>
            <w:vAlign w:val="bottom"/>
          </w:tcPr>
          <w:p>
            <w:pPr>
              <w:jc w:val="right"/>
              <w:ind w:right="150"/>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3"/>
                <w:szCs w:val="13"/>
                <w:b w:val="1"/>
                <w:bCs w:val="1"/>
                <w:color w:val="auto"/>
              </w:rPr>
              <w:t>Value A$</w:t>
            </w:r>
          </w:p>
        </w:tc>
        <w:tc>
          <w:tcPr>
            <w:tcW w:w="14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w w:val="95"/>
              </w:rPr>
              <w:t>No.</w:t>
            </w:r>
          </w:p>
        </w:tc>
        <w:tc>
          <w:tcPr>
            <w:tcW w:w="1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96"/>
              </w:rPr>
              <w:t>A$</w:t>
            </w:r>
          </w:p>
        </w:tc>
        <w:tc>
          <w:tcPr>
            <w:tcW w:w="1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820" w:type="dxa"/>
            <w:vAlign w:val="bottom"/>
            <w:gridSpan w:val="2"/>
          </w:tcPr>
          <w:p>
            <w:pPr>
              <w:jc w:val="center"/>
              <w:ind w:left="50"/>
              <w:spacing w:after="0"/>
              <w:rPr>
                <w:sz w:val="20"/>
                <w:szCs w:val="20"/>
                <w:color w:val="auto"/>
              </w:rPr>
            </w:pPr>
            <w:r>
              <w:rPr>
                <w:rFonts w:ascii="Arial" w:cs="Arial" w:eastAsia="Arial" w:hAnsi="Arial"/>
                <w:sz w:val="13"/>
                <w:szCs w:val="13"/>
                <w:b w:val="1"/>
                <w:bCs w:val="1"/>
                <w:color w:val="auto"/>
                <w:w w:val="89"/>
              </w:rPr>
              <w:t>2018</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Exercisable</w:t>
            </w: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w w:val="83"/>
              </w:rPr>
              <w:t>Unexercisable</w:t>
            </w:r>
          </w:p>
        </w:tc>
        <w:tc>
          <w:tcPr>
            <w:tcW w:w="740" w:type="dxa"/>
            <w:vAlign w:val="bottom"/>
            <w:gridSpan w:val="2"/>
          </w:tcPr>
          <w:p>
            <w:pPr>
              <w:jc w:val="center"/>
              <w:ind w:left="31"/>
              <w:spacing w:after="0"/>
              <w:rPr>
                <w:sz w:val="20"/>
                <w:szCs w:val="20"/>
                <w:color w:val="auto"/>
              </w:rPr>
            </w:pPr>
            <w:r>
              <w:rPr>
                <w:rFonts w:ascii="Arial" w:cs="Arial" w:eastAsia="Arial" w:hAnsi="Arial"/>
                <w:sz w:val="13"/>
                <w:szCs w:val="13"/>
                <w:b w:val="1"/>
                <w:bCs w:val="1"/>
                <w:color w:val="auto"/>
                <w:w w:val="82"/>
              </w:rPr>
              <w:t>2018</w:t>
            </w:r>
          </w:p>
        </w:tc>
        <w:tc>
          <w:tcPr>
            <w:tcW w:w="820" w:type="dxa"/>
            <w:vAlign w:val="bottom"/>
            <w:gridSpan w:val="2"/>
          </w:tcPr>
          <w:p>
            <w:pPr>
              <w:jc w:val="center"/>
              <w:ind w:left="30"/>
              <w:spacing w:after="0"/>
              <w:rPr>
                <w:sz w:val="20"/>
                <w:szCs w:val="20"/>
                <w:color w:val="auto"/>
              </w:rPr>
            </w:pPr>
            <w:r>
              <w:rPr>
                <w:rFonts w:ascii="Arial" w:cs="Arial" w:eastAsia="Arial" w:hAnsi="Arial"/>
                <w:sz w:val="13"/>
                <w:szCs w:val="13"/>
                <w:b w:val="1"/>
                <w:bCs w:val="1"/>
                <w:color w:val="auto"/>
                <w:w w:val="82"/>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All</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Key Management Personnel</w:t>
            </w: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Timothy Rooney</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7,800,000</w:t>
            </w:r>
          </w:p>
        </w:tc>
        <w:tc>
          <w:tcPr>
            <w:tcW w:w="9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4,360,000</w:t>
            </w:r>
          </w:p>
        </w:tc>
        <w:tc>
          <w:tcPr>
            <w:tcW w:w="120" w:type="dxa"/>
            <w:vAlign w:val="bottom"/>
          </w:tcPr>
          <w:p>
            <w:pPr>
              <w:spacing w:after="0"/>
              <w:rPr>
                <w:sz w:val="12"/>
                <w:szCs w:val="12"/>
                <w:color w:val="auto"/>
              </w:rPr>
            </w:pPr>
          </w:p>
        </w:tc>
        <w:tc>
          <w:tcPr>
            <w:tcW w:w="7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4,360,000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Quick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4,518,750</w:t>
            </w:r>
          </w:p>
        </w:tc>
        <w:tc>
          <w:tcPr>
            <w:tcW w:w="9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4,518,750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2,903,750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2,903,750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Erin Liberto</w:t>
            </w:r>
          </w:p>
        </w:tc>
        <w:tc>
          <w:tcPr>
            <w:tcW w:w="700" w:type="dxa"/>
            <w:vAlign w:val="bottom"/>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140"/>
              <w:spacing w:after="0" w:line="130" w:lineRule="exact"/>
              <w:rPr>
                <w:sz w:val="20"/>
                <w:szCs w:val="20"/>
                <w:color w:val="auto"/>
              </w:rPr>
            </w:pPr>
            <w:r>
              <w:rPr>
                <w:rFonts w:ascii="Arial" w:cs="Arial" w:eastAsia="Arial" w:hAnsi="Arial"/>
                <w:sz w:val="14"/>
                <w:szCs w:val="14"/>
                <w:color w:val="auto"/>
                <w:w w:val="87"/>
              </w:rPr>
              <w:t>September 6,</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4,000,000</w:t>
            </w: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123,231</w:t>
            </w:r>
          </w:p>
        </w:tc>
        <w:tc>
          <w:tcPr>
            <w:tcW w:w="140" w:type="dxa"/>
            <w:vAlign w:val="bottom"/>
          </w:tcPr>
          <w:p>
            <w:pPr>
              <w:spacing w:after="0"/>
              <w:rPr>
                <w:sz w:val="11"/>
                <w:szCs w:val="11"/>
                <w:color w:val="auto"/>
              </w:rPr>
            </w:pPr>
          </w:p>
        </w:tc>
        <w:tc>
          <w:tcPr>
            <w:tcW w:w="240" w:type="dxa"/>
            <w:vAlign w:val="bottom"/>
          </w:tcPr>
          <w:p>
            <w:pPr>
              <w:ind w:left="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32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400" w:type="dxa"/>
            <w:vAlign w:val="bottom"/>
          </w:tcPr>
          <w:p>
            <w:pPr>
              <w:ind w:left="18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1"/>
                <w:szCs w:val="11"/>
                <w:color w:val="auto"/>
              </w:rPr>
            </w:pPr>
          </w:p>
        </w:tc>
        <w:tc>
          <w:tcPr>
            <w:tcW w:w="620" w:type="dxa"/>
            <w:vAlign w:val="bottom"/>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tcPr>
          <w:p>
            <w:pPr>
              <w:jc w:val="right"/>
              <w:ind w:right="11"/>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Dale Sander(1)</w:t>
            </w:r>
          </w:p>
        </w:tc>
        <w:tc>
          <w:tcPr>
            <w:tcW w:w="700" w:type="dxa"/>
            <w:vAlign w:val="bottom"/>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January 3,</w:t>
            </w:r>
          </w:p>
        </w:tc>
        <w:tc>
          <w:tcPr>
            <w:tcW w:w="7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4,000,000</w:t>
            </w: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89,384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12,318,750</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8,000,000</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 xml:space="preserve"> 212,615</w:t>
            </w:r>
          </w:p>
        </w:tc>
        <w:tc>
          <w:tcPr>
            <w:tcW w:w="140" w:type="dxa"/>
            <w:vAlign w:val="bottom"/>
          </w:tcPr>
          <w:p>
            <w:pPr>
              <w:spacing w:after="0"/>
              <w:rPr>
                <w:sz w:val="13"/>
                <w:szCs w:val="13"/>
                <w:color w:val="auto"/>
              </w:rPr>
            </w:pPr>
          </w:p>
        </w:tc>
        <w:tc>
          <w:tcPr>
            <w:tcW w:w="2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3"/>
                <w:szCs w:val="13"/>
                <w:color w:val="auto"/>
              </w:rPr>
            </w:pPr>
          </w:p>
        </w:tc>
        <w:tc>
          <w:tcPr>
            <w:tcW w:w="4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20,318,750</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7,263,750</w:t>
            </w:r>
          </w:p>
        </w:tc>
        <w:tc>
          <w:tcPr>
            <w:tcW w:w="120" w:type="dxa"/>
            <w:vAlign w:val="bottom"/>
          </w:tcPr>
          <w:p>
            <w:pPr>
              <w:spacing w:after="0"/>
              <w:rPr>
                <w:sz w:val="13"/>
                <w:szCs w:val="13"/>
                <w:color w:val="auto"/>
              </w:rPr>
            </w:pPr>
          </w:p>
        </w:tc>
        <w:tc>
          <w:tcPr>
            <w:tcW w:w="76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7,263,750</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13,055,000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316"/>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Sander resigned as Chief Financial Officer effective May 15, 2019.</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Equity-related Transactions with Key Management Personnel</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Other than set forth below, there have been no other transactions involving equity instruments apart from those described in the tables above, relating to options and shareholdings: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November 30, 2018, the shareholders of the Company approved and Dr. Perry was issued 15,000,000 options to purchase ordinary shares at an exercise price of A$0.0820. The vesting of such options is based on (i) tenure of Dr. Perry, (ii) the Company’s Share Price and (iii) milestone performance by the Company as follows:</w:t>
      </w:r>
    </w:p>
    <w:p>
      <w:pPr>
        <w:spacing w:after="0" w:line="87"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Tenure </w:t>
      </w:r>
      <w:r>
        <w:rPr>
          <w:rFonts w:ascii="Arial" w:cs="Arial" w:eastAsia="Arial" w:hAnsi="Arial"/>
          <w:sz w:val="18"/>
          <w:szCs w:val="18"/>
          <w:color w:val="auto"/>
        </w:rPr>
        <w:t>– a total of 7,499,999 options issued for immediate vesting and over the two-year period commencing July 1, 2017;</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Company Share Price </w:t>
      </w:r>
      <w:r>
        <w:rPr>
          <w:rFonts w:ascii="Arial" w:cs="Arial" w:eastAsia="Arial" w:hAnsi="Arial"/>
          <w:sz w:val="18"/>
          <w:szCs w:val="18"/>
          <w:color w:val="auto"/>
        </w:rPr>
        <w:t>– a total of 5,000,001 options issued but to vest in three equal tranches subject to the Volume Weighted Average Price</w:t>
      </w:r>
      <w:r>
        <w:rPr>
          <w:rFonts w:ascii="Arial" w:cs="Arial" w:eastAsia="Arial" w:hAnsi="Arial"/>
          <w:sz w:val="18"/>
          <w:szCs w:val="18"/>
          <w:i w:val="1"/>
          <w:iCs w:val="1"/>
          <w:color w:val="auto"/>
        </w:rPr>
        <w:t xml:space="preserve"> </w:t>
      </w:r>
      <w:r>
        <w:rPr>
          <w:rFonts w:ascii="Arial" w:cs="Arial" w:eastAsia="Arial" w:hAnsi="Arial"/>
          <w:sz w:val="18"/>
          <w:szCs w:val="18"/>
          <w:color w:val="auto"/>
        </w:rPr>
        <w:t>(VWAP) of Company share price (as at close of trade on the ASX on</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relevant date) achieving multiples of 2x, 3x and 4x the Company’s share price at the time of shareholder approval; and</w:t>
      </w:r>
    </w:p>
    <w:p>
      <w:pPr>
        <w:spacing w:after="0" w:line="131" w:lineRule="exact"/>
        <w:rPr>
          <w:sz w:val="20"/>
          <w:szCs w:val="20"/>
          <w:color w:val="auto"/>
        </w:rPr>
      </w:pPr>
    </w:p>
    <w:p>
      <w:pPr>
        <w:ind w:left="1060" w:right="4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Milestone performance </w:t>
      </w:r>
      <w:r>
        <w:rPr>
          <w:rFonts w:ascii="Arial" w:cs="Arial" w:eastAsia="Arial" w:hAnsi="Arial"/>
          <w:sz w:val="18"/>
          <w:szCs w:val="18"/>
          <w:color w:val="auto"/>
        </w:rPr>
        <w:t>– a total of 2,500,000 options issued, but to vest upon the achievement of initial BARDA procurement under CLIN2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BARDA Contract.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Other Transactions with Key Management Personnel and/or their Related Parties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There were no other transactions conducted between the Company and KMP or their parties, apart from those disclosed above relating to equity and compensation, that were conducted other than in accordance with normal employees, customer or supplier relationships on terms no more favorable than those reasonably expected under arm’s length dealings with unrelated persons.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Our Board of Directors is elected by and accountable to our shareholders. It currently consists of six directors, the executive Chairman, four non-executive directors and our Chief Executive Officer who also serves as an Executive Director. The Chairman of our Board of Directors is responsible for the management of the Board of Directors and its functions.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Directors are elected at our annual general meeting of shareholders. Under our Constitution, a director, other than a managing director, must not hold office for more than three years or beyond the third annual general meeting following his or her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when he or she shall be eligible for election.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ASX Corporate Governance Principles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Australia there are no mandatory corporate governance structures and practices that must be observed by a company listed on the ASX. Instead, the ASX Corporate Governance Council has published the ASX Best Practice Guide, which contains what are called the “Recommendations,” which articulate eight core principles (and associated recommendations) which are intended to provide a reference point for companies about their corporate governance structures and practices, and against which companies must report.</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ASX listing Rule 4.10.3, companies are required to provide a statement in their annual report to shareholders disclosing the extent to which they have followed the Recommendations in the reporting period. Where a company has not followed all the Recommendations, it must identify the Recommendations that have not been followed, the reasons for not following them, and what (if any) alternative governance practices it adopted in lieu of the recommendation during that period. It is not mandatory to follow the Recommendations. We believe we are in material compliance with the ASX Corporate Governance Principles.</w:t>
      </w:r>
    </w:p>
    <w:p>
      <w:pPr>
        <w:spacing w:after="0" w:line="188"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Set forth below are the material provisions of the ASX Corporate Governance Principles together with the reasons, where applicable, for variations therefrom:</w:t>
      </w:r>
    </w:p>
    <w:p>
      <w:pPr>
        <w:spacing w:after="0" w:line="76" w:lineRule="exact"/>
        <w:rPr>
          <w:sz w:val="20"/>
          <w:szCs w:val="20"/>
          <w:color w:val="auto"/>
        </w:rPr>
      </w:pPr>
    </w:p>
    <w:p>
      <w:pPr>
        <w:ind w:left="1060" w:right="14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Lay solid foundations for management and oversight. Companies should clearly delineate the respective roles and responsibilities of board and management and regularly review their performance.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right="260" w:hanging="424"/>
        <w:spacing w:after="0" w:line="286"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Structure the Board to be effective and add value. Listed companies should have a board of an appropriate size and collectively have the skills, commitment and knowledge of the entity and the industry in which it operates, to enable it to discharge its duties effectively and to add value. During the year ended June 30, 2018, we did not follow this Recommendations in the following area:</w:t>
      </w:r>
    </w:p>
    <w:p>
      <w:pPr>
        <w:spacing w:after="0" w:line="70" w:lineRule="exact"/>
        <w:rPr>
          <w:rFonts w:ascii="Arial" w:cs="Arial" w:eastAsia="Arial" w:hAnsi="Arial"/>
          <w:sz w:val="17"/>
          <w:szCs w:val="17"/>
          <w:color w:val="auto"/>
        </w:rPr>
      </w:pPr>
    </w:p>
    <w:p>
      <w:pPr>
        <w:ind w:left="1620" w:right="240" w:hanging="538"/>
        <w:spacing w:after="0" w:line="312" w:lineRule="auto"/>
        <w:tabs>
          <w:tab w:leader="none" w:pos="16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 formal performance evaluation of the Board was conducted for the year ended June 30, 2018 as the Board believes that the Company is not of a size, nor is its our financial affairs of such complexity, to warrant such an exercise. The Board recognizes the importance of performance evaluations and will continually assess the necessity and timing of future performance evaluation.</w:t>
      </w:r>
    </w:p>
    <w:p>
      <w:pPr>
        <w:spacing w:after="0" w:line="52" w:lineRule="exact"/>
        <w:rPr>
          <w:rFonts w:ascii="Arial" w:cs="Arial" w:eastAsia="Arial" w:hAnsi="Arial"/>
          <w:sz w:val="16"/>
          <w:szCs w:val="16"/>
          <w:color w:val="auto"/>
        </w:rPr>
      </w:pPr>
    </w:p>
    <w:p>
      <w:pPr>
        <w:ind w:left="1060" w:right="5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Instill a culture of acting lawfully, ethically and responsibly. A listed entity should instill and continually reinforce a culture across the organization of acting lawfully, ethically and responsibly.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Safeguard the integrity of corporate reports. A listed entity should have appropriate processes to verify the integrity of its corporate reports</w:t>
      </w:r>
    </w:p>
    <w:p>
      <w:pPr>
        <w:spacing w:after="0" w:line="153" w:lineRule="exact"/>
        <w:rPr>
          <w:rFonts w:ascii="Arial" w:cs="Arial" w:eastAsia="Arial" w:hAnsi="Arial"/>
          <w:sz w:val="16"/>
          <w:szCs w:val="16"/>
          <w:color w:val="auto"/>
        </w:rPr>
      </w:pPr>
    </w:p>
    <w:p>
      <w:pPr>
        <w:ind w:left="1060" w:right="40" w:hanging="424"/>
        <w:spacing w:after="0" w:line="255"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timely and balanced disclosure. A listed entity should promote timely and balanced disclosure of all material matters concerning it that a reasonable person would expect to have a material effect on the price or value of its securities. During the year ended June 30, 2018, we did not follow this Recommendations as we only adopted written policies designed to promote timely and balanced disclosure in accordance with ASX Listing Rule disclosure requirements for the year ending June 30, 2019. Our executive officers and members of our Board of Directors are aware of the obligations for continuous disclosure under the ASX Listing Rules and meet on a regular basis to ensure compliance.</w:t>
      </w:r>
    </w:p>
    <w:p>
      <w:pPr>
        <w:spacing w:after="0" w:line="98"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Respect the rights of security holders. A listed entity should provide its security holders with appropriate information and facilities to allow them to exercise their rights as security holders effectively.</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Recognize and manage risk. A listed entity should establish a sound system of risk management and periodically review the effectiveness of that framework.</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Remunerate fairly and responsibly. A listed entity should pay director remuneration sufficient to attract and retain high quality directors and design its executive remuneration to attract, retain and motivate high quality senior executives and to align their interests with the creation of value for security holders and with the entity’s values and risk appetite.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and Independent Directors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Australian law does not require a company to appoint a certain number of independent directors to its board of directors or audit committee. However, under the ASX Corporate Governance Principles and Recommendations, the ASX recommends, but does not require, that a ASX-listed company have a majority of independent directors on its board of directors and that the audit committee be comprised of independent directors, within the meaning of the rules of the ASX.</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Our Board of Directors currently have five directors, of which we view four are independent non-executive directors within the meaning of the ASX Corporate Governance Principles and Recommendations, and our audit committee consists of three independent non-executive directors. Accordingly, we currently comply with the Recommendations.</w:t>
      </w:r>
    </w:p>
    <w:p>
      <w:pPr>
        <w:spacing w:after="0" w:line="18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NASDAQ Marketplace Rules, in general a majority of our Board of Directors must qualify as independent directors within the meaning of the NASDAQ Marketplace Rules and our audit committee must have at least three members and be comprised only of independent directors, each of whom satisfies the respective “independence” requirements of NASDAQ and the U.S. Securities and Exchange Commission.</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Board of Directors does not have regularly scheduled meetings at which only independent directors are present. The Board of Directors does meet regularly, and independent directors are expected to attend all such</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meetings. Our practices are consistent with the Recommendations, in that the Recommendations do not provide that independent directors should meet separately from the Board of Directors.</w:t>
      </w:r>
    </w:p>
    <w:p>
      <w:pPr>
        <w:spacing w:after="0" w:line="17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Our Board of Directors has determined that each of Lou Panaccio, Jeremy Curnock Cook, Louis Drapeau, Damien McDonald and Suzanne Crowe qualifies as an independent director under the requirements of the ASX, NASDAQ Marketplace Rules and U.S. Securities and Exchange Commission.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NASDAQ Marketplace Rules require us to establish an audit committee comprised of at least three members, each of whom is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literate and satisfies the respective “independence” requirements of the U.S. Securities and Exchange Commission and NASDAQ and one of whom has accounting or related financial management expertise at senior levels within a company.</w:t>
      </w:r>
    </w:p>
    <w:p>
      <w:pPr>
        <w:spacing w:after="0" w:line="166"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independent public accountants, and such other duties as may be directed by our Board of Directors. The Audit Committee is also required to assess risk management.</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Our Audit Committee currently consists of three board members, each of whom satisfies the “independence” requirements of the U.S. Securities and Exchange Commission, NASDAQ Marketplace Rules and ASX Rules. Our Audit Committee is currently composed of Messrs. Drapeau, Panaccio and McDonald. Each qualifies as an “independent director” within the meaning of NASDAQ Marketplace Rules. Mr. Drapeau is the chairman of the audit committee. The audit committee meets at least two times per year.</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Remuneration (Compensation) Committee. </w:t>
      </w:r>
      <w:r>
        <w:rPr>
          <w:rFonts w:ascii="Arial" w:cs="Arial" w:eastAsia="Arial" w:hAnsi="Arial"/>
          <w:sz w:val="16"/>
          <w:szCs w:val="16"/>
          <w:color w:val="auto"/>
        </w:rPr>
        <w:t>Our Board of Directors has established a Remuneration Committee, which is comprised by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within the meaning of NASDAQ Marketplace Rules. The Remuneration Committee is responsible for reviewing the salary, incentives and other benefits of our directors, senior executive officers and employees, and to make recommendations on such matters for approval by our Board of Directors. The Remuneration Committee is also responsible for overseeing and advising our Board of Directors with regard to the adoption of policies that govern our compensation programs. Ms. Crowe and Messrs. Drapeau and Cook are the current members of the Remuneration Committee and each qualifies as an “independent director” within the meaning of NASDAQ Marketplace Rules. Ms. Crowe is the chairman of this committee.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Service Contracts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details of directors’ service contracts providing for benefits upon termination of employment, see “Item 6. Directors, Senior Management and Employees – B. Compensation – Service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Constitution provides that, we may indemnify a person who is, or has been, an officer of our company, to the full extent permissible by law, out of our property against any liability incurred by such person as an officer in defending proceedings, whether civil or criminal, and whatever their outcome.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addition, our Constitution provides that to the extent permitted by law, we may pay, or agree to pay, a premium in respect of a contract insuring a person who is or has been an officer of our company or one of our subsidiaries against any liability:</w:t>
      </w:r>
    </w:p>
    <w:p>
      <w:pPr>
        <w:spacing w:after="0" w:line="76" w:lineRule="exact"/>
        <w:rPr>
          <w:sz w:val="20"/>
          <w:szCs w:val="20"/>
          <w:color w:val="auto"/>
        </w:rPr>
      </w:pPr>
    </w:p>
    <w:p>
      <w:pPr>
        <w:ind w:left="5740" w:right="2240" w:hanging="4996"/>
        <w:spacing w:after="0" w:line="449" w:lineRule="auto"/>
        <w:tabs>
          <w:tab w:leader="none" w:pos="10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incurred by the person in his or her capacity as an officer of our company or a subsidiary of our company, and 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right="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costs and expenses incurred by that person in defending proceedings relating to that person acting as an officer of Avita, whether civil or criminal, and whatever their outcome.</w:t>
      </w:r>
    </w:p>
    <w:p>
      <w:pPr>
        <w:spacing w:after="0" w:line="17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As of March 31, 2019, we had 83 full-time employees. Of the employees, 80 were located in the U.S., two were located in Europe, and one was located in Australia. In addition, 13 of the employees were engaged primarily in research and development activities. None of our employees is represented by a labor union or covered by a collective bargaining agreement. We consider our relationship with our employees to be good.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Share Ownership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Beneficial Ownership of Senior Management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beneficial ownership of senior management and directors are set out in Item 7 (A).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Stock Option Plan</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November 2014, we adopted the Employee Share Plan and the Incentive Option Plan (collectively, the 2016 Plans). The Employee Share Plan was amended at the 2018 AGM. Under the 2016 Plans, we may issue stock options or other share-based instruments representing up to 7.5% of our ordinary shares outstanding, or a total of 139,832,968 ordinary shares based on the number of ordinary shares currently outstanding. Any increase in the maximum number of ordinary shares issuable under the 2016 Plans is subject to shareholder approval or to an increase in the total number of ordinary shares outstanding.</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purpose of the 2016 Plans is to promote the success of our Company by incentivizing our employees and directors to contribute to the creation of shareholder value. Under the 2016 Plans, we may issue to employees and directors of our Company and its subsidiaries, from time to time, options to purchase ordinary shares or other share-based instruments. To date, the 2016 Plans have only been used to issue options to purchase ordinary shares to employees.</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2016 Plans are administered by the Remuneration Committee. Subject to Board approval where required by applicable law, the Remuneration Committee has the authority, in its sole discretion, to grant options under the 2016 Plans, to interpret the provisions of the 2016 Plans, and to prescribe, amend, and rescind rules and regulations relating to the 2016 Plans or any issue or grant thereunder as it may deem necessary or advisable, subject to any other approval if required by applicable law. All decisions made by the Remuneration Committee pursuant to the provisions of the 2016 Plans will be final, conclusive and binding on all persons.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number of shares issued or options granted, the exercise price and option term or options granted, the vesting schedule and escrow periods of shares issued and options granted, under the 2016 Plans are determined by the Remuneration Committee, in accordance with the provisions of the 2016 Plans, and specified in an offer document from our Company and accepted by the eligible person, subject to the terms of the 2016 Plans. Options granted under the 2016 Plans will be unlisted and exercisable at an exercise price equal to less than market value of an ordinary share on the ASX at the date of grant, or such other exercise price that the Remuneration Committee determines to be appropriate under the circumstances. The term of an option granted under the 2016 Plans will be determined by the Remuneration Committee; however, no option will be exercisable after the expiration of ten years from the date of its grant. Except as otherwise provided in the 2016 Plans or determined by the Remuneration Committee and set forth in an offer document, the issuance of shares and exercise of options granted under the 2016 Plans will (i) vest over a four year period in four equal installments, 25% at the end of each year from the date of grant, and /or (ii) will be subject to other performance criteria and hurdles, as determined by the Remuneration Committee.</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 summary of the status of the 2016 Plans and predecessor plans, as of June 30, 2018, 2017 and 2016, and the changes for the years ended on those dates, is presented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ind w:left="400"/>
              <w:spacing w:after="0"/>
              <w:rPr>
                <w:sz w:val="20"/>
                <w:szCs w:val="20"/>
                <w:color w:val="auto"/>
              </w:rPr>
            </w:pPr>
            <w:r>
              <w:rPr>
                <w:rFonts w:ascii="Arial" w:cs="Arial" w:eastAsia="Arial" w:hAnsi="Arial"/>
                <w:sz w:val="14"/>
                <w:szCs w:val="14"/>
                <w:b w:val="1"/>
                <w:bCs w:val="1"/>
                <w:color w:val="auto"/>
                <w:w w:val="90"/>
              </w:rPr>
              <w:t>As of June 30,</w:t>
            </w:r>
          </w:p>
        </w:tc>
        <w:tc>
          <w:tcPr>
            <w:tcW w:w="480" w:type="dxa"/>
            <w:vAlign w:val="bottom"/>
          </w:tcPr>
          <w:p>
            <w:pPr>
              <w:spacing w:after="0"/>
              <w:rPr>
                <w:sz w:val="14"/>
                <w:szCs w:val="14"/>
                <w:color w:val="auto"/>
              </w:rPr>
            </w:pPr>
          </w:p>
        </w:tc>
        <w:tc>
          <w:tcPr>
            <w:tcW w:w="15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360" w:type="dxa"/>
            <w:vAlign w:val="bottom"/>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price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price</w:t>
            </w:r>
          </w:p>
        </w:tc>
        <w:tc>
          <w:tcPr>
            <w:tcW w:w="3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1,606,936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$1,382,775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1,760,497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431,661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Forfeiture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(67,067)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0.15</w:t>
            </w:r>
          </w:p>
        </w:tc>
        <w:tc>
          <w:tcPr>
            <w:tcW w:w="3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2,278,230</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2,281,533</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1,606,936</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year</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1,606,936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right="4660"/>
        <w:spacing w:after="0" w:line="378" w:lineRule="auto"/>
        <w:rPr>
          <w:sz w:val="20"/>
          <w:szCs w:val="20"/>
          <w:color w:val="auto"/>
        </w:rPr>
      </w:pPr>
      <w:r>
        <w:rPr>
          <w:rFonts w:ascii="Arial" w:cs="Arial" w:eastAsia="Arial" w:hAnsi="Arial"/>
          <w:sz w:val="18"/>
          <w:szCs w:val="18"/>
          <w:b w:val="1"/>
          <w:bCs w:val="1"/>
          <w:color w:val="auto"/>
        </w:rPr>
        <w:t>ITEM 7. MAJOR SHAREHOLDERS AND RELATED PARTY TRANSACTIONS A. Major Shareholders</w:t>
      </w:r>
    </w:p>
    <w:p>
      <w:pPr>
        <w:jc w:val="both"/>
        <w:ind w:left="200" w:right="500" w:firstLine="441"/>
        <w:spacing w:after="0" w:line="264" w:lineRule="auto"/>
        <w:rPr>
          <w:sz w:val="20"/>
          <w:szCs w:val="20"/>
          <w:color w:val="auto"/>
        </w:rPr>
      </w:pPr>
      <w:r>
        <w:rPr>
          <w:rFonts w:ascii="Arial" w:cs="Arial" w:eastAsia="Arial" w:hAnsi="Arial"/>
          <w:sz w:val="18"/>
          <w:szCs w:val="18"/>
          <w:color w:val="auto"/>
        </w:rPr>
        <w:t>The following table sets forth information regarding shares of our common stock beneficially owned as of April 30, 2019 by: (i) each of our executive officers and directors; (ii) all the executive officers and directors as a group; and (iii) each person known by us to beneficially own five percent or more of the outstanding ordinary shares.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Options to</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Restricted</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Purchase</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Security</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Ordinary</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Units (RSUs)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Share</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Vested or</w:t>
            </w: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Ordinary</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Vesting</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and Share-</w:t>
            </w: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Within 60</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Within 60</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Based</w:t>
            </w: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gridSpan w:val="3"/>
            <w:vMerge w:val="continue"/>
          </w:tcPr>
          <w:p>
            <w:pPr>
              <w:spacing w:after="0"/>
              <w:rPr>
                <w:sz w:val="13"/>
                <w:szCs w:val="13"/>
                <w:color w:val="auto"/>
              </w:rPr>
            </w:pPr>
          </w:p>
        </w:tc>
        <w:tc>
          <w:tcPr>
            <w:tcW w:w="132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Days</w:t>
            </w:r>
          </w:p>
        </w:tc>
        <w:tc>
          <w:tcPr>
            <w:tcW w:w="12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Days</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Holdings(1)</w:t>
            </w:r>
          </w:p>
        </w:tc>
        <w:tc>
          <w:tcPr>
            <w:tcW w:w="14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Ownership(2)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or more shareholders</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Redmile Group, LLC(1)</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250,000,000</w:t>
            </w:r>
          </w:p>
        </w:tc>
        <w:tc>
          <w:tcPr>
            <w:tcW w:w="36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250,000,000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Karst Peak Capital Limited(2)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196,154,563</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196,154,563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Blackcrane Capital, LLC(3)</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124,345,592</w:t>
            </w:r>
          </w:p>
        </w:tc>
        <w:tc>
          <w:tcPr>
            <w:tcW w:w="36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124,345,592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Phillip Asset Management Ltd. atf BioScience Managers</w:t>
            </w: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Translation Fund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95,833,334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Names executive officers and directors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 Panaccio</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1,648,564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Dr. Michael Perry(4)</w:t>
            </w:r>
          </w:p>
        </w:tc>
        <w:tc>
          <w:tcPr>
            <w:tcW w:w="960" w:type="dxa"/>
            <w:vAlign w:val="bottom"/>
          </w:tcPr>
          <w:p>
            <w:pPr>
              <w:jc w:val="right"/>
              <w:spacing w:after="0"/>
              <w:rPr>
                <w:sz w:val="20"/>
                <w:szCs w:val="20"/>
                <w:color w:val="auto"/>
              </w:rPr>
            </w:pPr>
            <w:r>
              <w:rPr>
                <w:rFonts w:ascii="Arial" w:cs="Arial" w:eastAsia="Arial" w:hAnsi="Arial"/>
                <w:sz w:val="18"/>
                <w:szCs w:val="18"/>
                <w:color w:val="auto"/>
              </w:rPr>
              <w:t>61,654</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10,833,333</w:t>
            </w:r>
          </w:p>
        </w:tc>
        <w:tc>
          <w:tcPr>
            <w:tcW w:w="360" w:type="dxa"/>
            <w:vAlign w:val="bottom"/>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w w:val="86"/>
              </w:rPr>
              <w:t>36,111,109</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47,006,906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Erin Liberto</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Timothy Rooney</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5,220,000</w:t>
            </w:r>
          </w:p>
        </w:tc>
        <w:tc>
          <w:tcPr>
            <w:tcW w:w="36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5,220,000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Quick</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Donna Shiroma</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Curnock Cook(4)</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960" w:type="dxa"/>
            <w:vAlign w:val="bottom"/>
          </w:tcPr>
          <w:p>
            <w:pPr>
              <w:jc w:val="right"/>
              <w:spacing w:after="0"/>
              <w:rPr>
                <w:sz w:val="20"/>
                <w:szCs w:val="20"/>
                <w:color w:val="auto"/>
              </w:rPr>
            </w:pPr>
            <w:r>
              <w:rPr>
                <w:rFonts w:ascii="Arial" w:cs="Arial" w:eastAsia="Arial" w:hAnsi="Arial"/>
                <w:sz w:val="18"/>
                <w:szCs w:val="18"/>
                <w:color w:val="auto"/>
              </w:rPr>
              <w:t>33,938</w:t>
            </w:r>
          </w:p>
        </w:tc>
        <w:tc>
          <w:tcPr>
            <w:tcW w:w="36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33,938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Damien McDonald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960" w:type="dxa"/>
            <w:vAlign w:val="bottom"/>
          </w:tcPr>
          <w:p>
            <w:pPr>
              <w:jc w:val="right"/>
              <w:spacing w:after="0"/>
              <w:rPr>
                <w:sz w:val="20"/>
                <w:szCs w:val="20"/>
                <w:color w:val="auto"/>
              </w:rPr>
            </w:pPr>
            <w:r>
              <w:rPr>
                <w:rFonts w:ascii="Arial" w:cs="Arial" w:eastAsia="Arial" w:hAnsi="Arial"/>
                <w:sz w:val="18"/>
                <w:szCs w:val="18"/>
                <w:color w:val="auto"/>
              </w:rPr>
              <w:t>106,910</w:t>
            </w:r>
          </w:p>
        </w:tc>
        <w:tc>
          <w:tcPr>
            <w:tcW w:w="36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106,910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All executive officers and directors as a group (10 persons)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2,429,468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23,174,583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36,111,109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61,715,160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ordinary shares.</w:t>
      </w:r>
    </w:p>
    <w:p>
      <w:pPr>
        <w:spacing w:after="0" w:line="23" w:lineRule="exact"/>
        <w:rPr>
          <w:sz w:val="20"/>
          <w:szCs w:val="20"/>
          <w:color w:val="auto"/>
        </w:rPr>
      </w:pPr>
    </w:p>
    <w:p>
      <w:pPr>
        <w:jc w:val="both"/>
        <w:ind w:left="640" w:right="660" w:hanging="436"/>
        <w:spacing w:after="0" w:line="250"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122,918,007 ordinary shares held by Redmile Offshore II Master Fund Ltd. and 127,081,993 ordinary shares held by Redmile Strategic Master Fund LP. Redmile Group, LLC is the investment manager/adviser of Redmile Offshore II Master Fund Ltd. and Redmile Strategic Master Fund LP.</w:t>
      </w:r>
    </w:p>
    <w:p>
      <w:pPr>
        <w:spacing w:after="0" w:line="1"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Consists of 117,801,410 ordinary shares held by Karst Peak Asia Master Fund and 37,896,043 ordinary shares held by Vermilion Peak Fund. Karst Peak Capital Limited is the discretionary investment manager to Karst Peak Asia Master Fund and Vermilion Peak Fund.</w:t>
      </w:r>
    </w:p>
    <w:p>
      <w:pPr>
        <w:ind w:left="640" w:right="240" w:hanging="436"/>
        <w:spacing w:after="0" w:line="281"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Consists of 59,445,952 ordinary shares and 3,244,982 ADSs, each ADS representing 20 ordinary shares or 64,899,640 ordinary shares in total underlying the ADSs. Blackcrane Capital, LLC holds 59,276,225 ordinary shares and 3,184,060 ADSs, with 63,681,200 ordinary shares underlying the ADSs. Blackcrane Overseas Alpha Fund, LLC holders 169,727 ordinary shares and 11,099 ADSs, with 221,980 ordinary shares underlying the ADSs. Blackcrane Capital, LLC is the discretionary investment manager of Blackcrane Overseas Alpha Fund, LLC. Daniel Kim holds 49,823 ADSs with 996,460 ordinary shares underlying the ADSs. Mr. Kim has a relevant interest in the securities held by Blackcrane Capital, LLC and Blackcrane Overseas Alpha Fund as he holds voting power of more than 20% in Blackcrane Capital, LLC.</w:t>
      </w:r>
    </w:p>
    <w:p>
      <w:pPr>
        <w:spacing w:after="0" w:line="4" w:lineRule="exact"/>
        <w:rPr>
          <w:rFonts w:ascii="Arial" w:cs="Arial" w:eastAsia="Arial" w:hAnsi="Arial"/>
          <w:sz w:val="16"/>
          <w:szCs w:val="16"/>
          <w:color w:val="auto"/>
        </w:rPr>
      </w:pPr>
    </w:p>
    <w:p>
      <w:pPr>
        <w:ind w:left="640" w:right="160" w:hanging="436"/>
        <w:spacing w:after="0" w:line="290"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Excludes 81,747,669 ordinary shares held in the name of One Funds Management Limited (Asia Pac Health Fund II A/C) which is managed and beneficially owned by BioScience Managers Pty Ltd of which Mr. Curnock Cook is an officer and Dr. Perry is a Director.</w:t>
      </w:r>
    </w:p>
    <w:p>
      <w:pPr>
        <w:spacing w:after="0" w:line="16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April 2, 2019, 38.2% of our ordinary shares were held in Australia, 16.4% of our ordinary shares were held in Hong Kong, 42.4% of our ordinary shares were held in the United States including ordinary shares underlying ADSs.</w:t>
      </w:r>
    </w:p>
    <w:p>
      <w:pPr>
        <w:spacing w:after="0" w:line="170"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Company is not aware that it is directly owned or controlled by another corporation, any foreign government or any other natural or legal person(s) severally or jointly. The Company is not aware of any arrangement, the operation of which may result in a change of control of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Other than employment matters and indemnification agreements between our directors and executive officers, related party transactions were limited to consultancy fees paid under normal terms and conditions to Bioscience Managers Pty Ltd of which Jeremy Curnock Cook is an officer and Dr. Michael Perry is a director. Total fees paid to Bioscience Managers Pty Ltd were A$157,728, A$128,987 and A$59,675 for the years ended June 30, 2018, 2017 and 2016, respectively.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Interests of Experts and Counsel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audited financial statements for the fiscal years ending June 30, 2018, 2017, and 2016 are included in Item 18 of this registration statement on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are not involved in any significant legal, arbitration or governmental proceedings. We are not aware of any pending significant legal, arbitration or governmental proceedings with respect to Avita.</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Distribution Policy</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have never paid cash dividends to our shareholders. We intend to retain future earnings for use in our business and do not anticipate paying cash dividends on our ordinary shares in the foreseeable future. Any future dividend policy will be determined by the Board of Directors and will be based upon various factors, including our results of operations, financial condition, current and anticipated cash needs, future prospects, contractual restrictions and other factors as the Board of Directors may deem relevant.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Item 10A under the heading “</w:t>
      </w:r>
      <w:r>
        <w:rPr>
          <w:rFonts w:ascii="Arial" w:cs="Arial" w:eastAsia="Arial" w:hAnsi="Arial"/>
          <w:sz w:val="18"/>
          <w:szCs w:val="18"/>
          <w:i w:val="1"/>
          <w:iCs w:val="1"/>
          <w:color w:val="auto"/>
        </w:rPr>
        <w:t>History of Share Capital</w:t>
      </w:r>
      <w:r>
        <w:rPr>
          <w:rFonts w:ascii="Arial" w:cs="Arial" w:eastAsia="Arial" w:hAnsi="Arial"/>
          <w:sz w:val="18"/>
          <w:szCs w:val="18"/>
          <w:color w:val="auto"/>
        </w:rPr>
        <w:t>” for a listing of recent equity offerings.</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Offer and Listing Details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Securities Exchange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ordinary shares have traded on the ASX under the ticker symbol “AVH” since our initial public offering on September 8, 1993. The following table sets forth, for the periods indicated, the high and low market quotations for our ordinary shares as quoted on the ASX:</w:t>
      </w:r>
    </w:p>
    <w:p>
      <w:pPr>
        <w:spacing w:after="0" w:line="18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Per Ordinary Share</w:t>
      </w:r>
    </w:p>
    <w:p>
      <w:pPr>
        <w:jc w:val="center"/>
        <w:ind w:left="6440"/>
        <w:spacing w:after="0" w:line="236" w:lineRule="auto"/>
        <w:rPr>
          <w:sz w:val="20"/>
          <w:szCs w:val="20"/>
          <w:color w:val="auto"/>
        </w:rPr>
      </w:pPr>
      <w:r>
        <w:rPr>
          <w:rFonts w:ascii="Arial" w:cs="Arial" w:eastAsia="Arial" w:hAnsi="Arial"/>
          <w:sz w:val="14"/>
          <w:szCs w:val="14"/>
          <w:b w:val="1"/>
          <w:bCs w:val="1"/>
          <w:color w:val="auto"/>
        </w:rPr>
        <w:t>(A$)</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A$</w:t>
            </w:r>
          </w:p>
        </w:tc>
        <w:tc>
          <w:tcPr>
            <w:tcW w:w="6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Fiscal Year Ended June 30,</w:t>
            </w:r>
          </w:p>
        </w:tc>
        <w:tc>
          <w:tcPr>
            <w:tcW w:w="60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b w:val="1"/>
                <w:bCs w:val="1"/>
                <w:color w:val="auto"/>
              </w:rPr>
              <w:t>ASX</w:t>
            </w: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b w:val="1"/>
                <w:bCs w:val="1"/>
                <w:color w:val="auto"/>
              </w:rPr>
              <w:t>ASX</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.075</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.084</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3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.080</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.067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50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.097</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OTCQX Market</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ADSs have traded over the counter in the U.S. on the OTCQX under the ticker symbol “AVMXY” since May 14, 2012. We intend to apply with the NASDAQ Capital Market to have our ADSs traded on the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NASDAQ Capital Market. The following table sets forth, for the periods indicated, the high and low market quotations for our ADSs as quoted on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OTCQX:</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0" w:type="dxa"/>
            <w:vAlign w:val="bottom"/>
            <w:gridSpan w:val="4"/>
          </w:tcPr>
          <w:p>
            <w:pPr>
              <w:ind w:left="120"/>
              <w:spacing w:after="0"/>
              <w:rPr>
                <w:sz w:val="20"/>
                <w:szCs w:val="20"/>
                <w:color w:val="auto"/>
              </w:rPr>
            </w:pPr>
            <w:r>
              <w:rPr>
                <w:rFonts w:ascii="Arial" w:cs="Arial" w:eastAsia="Arial" w:hAnsi="Arial"/>
                <w:sz w:val="14"/>
                <w:szCs w:val="14"/>
                <w:b w:val="1"/>
                <w:bCs w:val="1"/>
                <w:color w:val="auto"/>
              </w:rPr>
              <w:t>Per ADS (US$)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Fiscal Year Ended June 30,</w:t>
            </w: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w w:val="85"/>
              </w:rPr>
              <w:t>2.74</w:t>
            </w: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w w:val="85"/>
              </w:rPr>
              <w:t>1.47</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2.16</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2016</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2.46</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2.24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8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2016:</w:t>
            </w:r>
          </w:p>
        </w:tc>
        <w:tc>
          <w:tcPr>
            <w:tcW w:w="4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1.51</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1.89</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2.46</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180" w:type="dxa"/>
            <w:vAlign w:val="bottom"/>
            <w:gridSpan w:val="5"/>
          </w:tcPr>
          <w:p>
            <w:pPr>
              <w:spacing w:after="0"/>
              <w:rPr>
                <w:sz w:val="20"/>
                <w:szCs w:val="20"/>
                <w:color w:val="auto"/>
              </w:rPr>
            </w:pPr>
            <w:r>
              <w:rPr>
                <w:rFonts w:ascii="Arial" w:cs="Arial" w:eastAsia="Arial" w:hAnsi="Arial"/>
                <w:sz w:val="18"/>
                <w:szCs w:val="18"/>
                <w:b w:val="1"/>
                <w:bCs w:val="1"/>
                <w:color w:val="auto"/>
              </w:rPr>
              <w:t>Fiscal Year Ended June 30, 2017:</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2.24</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1.86</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1.71</w:t>
            </w:r>
          </w:p>
        </w:tc>
        <w:tc>
          <w:tcPr>
            <w:tcW w:w="38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Fiscal Year Ended June 30, 2018:</w:t>
            </w:r>
          </w:p>
        </w:tc>
        <w:tc>
          <w:tcPr>
            <w:tcW w:w="46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First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1.47</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1.43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Third Quarter</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1.25</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1.09</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180" w:type="dxa"/>
            <w:vAlign w:val="bottom"/>
            <w:gridSpan w:val="5"/>
          </w:tcPr>
          <w:p>
            <w:pPr>
              <w:spacing w:after="0"/>
              <w:rPr>
                <w:sz w:val="20"/>
                <w:szCs w:val="20"/>
                <w:color w:val="auto"/>
              </w:rPr>
            </w:pPr>
            <w:r>
              <w:rPr>
                <w:rFonts w:ascii="Arial" w:cs="Arial" w:eastAsia="Arial" w:hAnsi="Arial"/>
                <w:sz w:val="18"/>
                <w:szCs w:val="18"/>
                <w:b w:val="1"/>
                <w:bCs w:val="1"/>
                <w:color w:val="auto"/>
              </w:rPr>
              <w:t>Month Ended:</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1.28</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August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1.65</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2.15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October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1.92</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2018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1.75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December 2018</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1.31</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1.92</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February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2.25</w:t>
            </w:r>
          </w:p>
        </w:tc>
        <w:tc>
          <w:tcPr>
            <w:tcW w:w="3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2019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4.37</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rPr>
              <w:t>April 2019</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7.67</w:t>
            </w:r>
          </w:p>
        </w:tc>
        <w:tc>
          <w:tcPr>
            <w:tcW w:w="38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ordinary shares are listed and traded on the Australian Securities Exchange Ltd., or ASX. Although our ADSs are currently quoted on the OTCQX, we intend to be listed on the NASDAQ Capital Market in the first half of 2019. There is no assurance that our NASDAQ listing application will be approved or that an active public market for our ADSs will further develop or be sustained.</w:t>
      </w:r>
    </w:p>
    <w:p>
      <w:pPr>
        <w:spacing w:after="0" w:line="1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240" w:top="459" w:right="6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Selling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Dilution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Expenses of the Issue.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at the date of this Registration Statement, there is no concept of authorized share capital and par value for companies incorporated in Australia.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can issue unlimited number of Ordinary Shares without par value. The Company only has one class of Ordinary Shares.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at June 30, 2017 and 2018, we had 669,930,538 and 934,312,458 Ordinary Shares issued, outstanding and fully paid,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of our Ordinary Share entitles the holder thereof to one vote at any meeting of Avita’s shareholders. The holder of Ordinary Shares are entitled to receive if, as and when declared by the Board, dividends in such amount as shall be determined by the Board. The holders of Ordinary Shares have the right to receive the Company’s remaining property in the event of a liquidation, dissolution or winding up, whether voluntary or involuntary.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 has 111,639,164 share options outstanding at the date of this Registration Statement and 43,193,804 share options available for future grant.</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dates described below, the Company issued Ordinary Shares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2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7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Date</w:t>
            </w:r>
          </w:p>
        </w:tc>
        <w:tc>
          <w:tcPr>
            <w:tcW w:w="648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Description of Issuance</w:t>
            </w:r>
          </w:p>
        </w:tc>
        <w:tc>
          <w:tcPr>
            <w:tcW w:w="1320" w:type="dxa"/>
            <w:vAlign w:val="bottom"/>
          </w:tcPr>
          <w:p>
            <w:pPr>
              <w:jc w:val="center"/>
              <w:ind w:left="16"/>
              <w:spacing w:after="0" w:line="145" w:lineRule="exact"/>
              <w:rPr>
                <w:sz w:val="20"/>
                <w:szCs w:val="20"/>
                <w:color w:val="auto"/>
              </w:rPr>
            </w:pPr>
            <w:r>
              <w:rPr>
                <w:rFonts w:ascii="Arial" w:cs="Arial" w:eastAsia="Arial" w:hAnsi="Arial"/>
                <w:sz w:val="14"/>
                <w:szCs w:val="14"/>
                <w:b w:val="1"/>
                <w:bCs w:val="1"/>
                <w:color w:val="auto"/>
                <w:w w:val="99"/>
              </w:rPr>
              <w:t>Ordinary</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320" w:type="dxa"/>
            <w:vAlign w:val="bottom"/>
          </w:tcPr>
          <w:p>
            <w:pPr>
              <w:jc w:val="center"/>
              <w:ind w:left="36"/>
              <w:spacing w:after="0"/>
              <w:rPr>
                <w:sz w:val="20"/>
                <w:szCs w:val="20"/>
                <w:color w:val="auto"/>
              </w:rPr>
            </w:pPr>
            <w:r>
              <w:rPr>
                <w:rFonts w:ascii="Arial" w:cs="Arial" w:eastAsia="Arial" w:hAnsi="Arial"/>
                <w:sz w:val="14"/>
                <w:szCs w:val="14"/>
                <w:b w:val="1"/>
                <w:bCs w:val="1"/>
                <w:color w:val="auto"/>
                <w:w w:val="88"/>
              </w:rPr>
              <w:t>Shares Issued</w:t>
            </w:r>
          </w:p>
        </w:tc>
        <w:tc>
          <w:tcPr>
            <w:tcW w:w="1220" w:type="dxa"/>
            <w:vAlign w:val="bottom"/>
          </w:tcPr>
          <w:p>
            <w:pPr>
              <w:ind w:left="70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January 11, 2019</w:t>
            </w:r>
          </w:p>
        </w:tc>
        <w:tc>
          <w:tcPr>
            <w:tcW w:w="6480" w:type="dxa"/>
            <w:vAlign w:val="bottom"/>
          </w:tcPr>
          <w:p>
            <w:pPr>
              <w:ind w:left="360"/>
              <w:spacing w:after="0"/>
              <w:rPr>
                <w:sz w:val="20"/>
                <w:szCs w:val="20"/>
                <w:color w:val="auto"/>
              </w:rPr>
            </w:pPr>
            <w:r>
              <w:rPr>
                <w:rFonts w:ascii="Arial" w:cs="Arial" w:eastAsia="Arial" w:hAnsi="Arial"/>
                <w:sz w:val="18"/>
                <w:szCs w:val="18"/>
                <w:color w:val="auto"/>
                <w:w w:val="95"/>
              </w:rPr>
              <w:t>We sold 22,061,250 Ordinary Shares under a Share Purchase Plan at a price of</w:t>
            </w:r>
          </w:p>
        </w:tc>
        <w:tc>
          <w:tcPr>
            <w:tcW w:w="1320" w:type="dxa"/>
            <w:vAlign w:val="bottom"/>
          </w:tcPr>
          <w:p>
            <w:pPr>
              <w:ind w:left="160"/>
              <w:spacing w:after="0"/>
              <w:rPr>
                <w:sz w:val="20"/>
                <w:szCs w:val="20"/>
                <w:color w:val="auto"/>
              </w:rPr>
            </w:pPr>
            <w:r>
              <w:rPr>
                <w:rFonts w:ascii="Arial" w:cs="Arial" w:eastAsia="Arial" w:hAnsi="Arial"/>
                <w:sz w:val="18"/>
                <w:szCs w:val="18"/>
                <w:color w:val="auto"/>
              </w:rPr>
              <w:t>22,061,250</w:t>
            </w:r>
          </w:p>
        </w:tc>
        <w:tc>
          <w:tcPr>
            <w:tcW w:w="1220" w:type="dxa"/>
            <w:vAlign w:val="bottom"/>
          </w:tcPr>
          <w:p>
            <w:pPr>
              <w:ind w:left="180"/>
              <w:spacing w:after="0"/>
              <w:rPr>
                <w:sz w:val="20"/>
                <w:szCs w:val="20"/>
                <w:color w:val="auto"/>
              </w:rPr>
            </w:pPr>
            <w:r>
              <w:rPr>
                <w:rFonts w:ascii="Arial" w:cs="Arial" w:eastAsia="Arial" w:hAnsi="Arial"/>
                <w:sz w:val="18"/>
                <w:szCs w:val="18"/>
                <w:color w:val="auto"/>
                <w:w w:val="99"/>
              </w:rPr>
              <w:t>A$1,764,900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A$0.080 per share, raising gross proceeds of A$1,764,900.</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December 4, 2018</w:t>
            </w:r>
          </w:p>
        </w:tc>
        <w:tc>
          <w:tcPr>
            <w:tcW w:w="6480" w:type="dxa"/>
            <w:vAlign w:val="bottom"/>
          </w:tcPr>
          <w:p>
            <w:pPr>
              <w:ind w:left="360"/>
              <w:spacing w:after="0"/>
              <w:rPr>
                <w:sz w:val="20"/>
                <w:szCs w:val="20"/>
                <w:color w:val="auto"/>
              </w:rPr>
            </w:pPr>
            <w:r>
              <w:rPr>
                <w:rFonts w:ascii="Arial" w:cs="Arial" w:eastAsia="Arial" w:hAnsi="Arial"/>
                <w:sz w:val="18"/>
                <w:szCs w:val="18"/>
                <w:color w:val="auto"/>
              </w:rPr>
              <w:t>We sold 500,000,000 Ordinary Shares to institutional investors at a price of</w:t>
            </w:r>
          </w:p>
        </w:tc>
        <w:tc>
          <w:tcPr>
            <w:tcW w:w="1320" w:type="dxa"/>
            <w:vAlign w:val="bottom"/>
          </w:tcPr>
          <w:p>
            <w:pPr>
              <w:ind w:left="160"/>
              <w:spacing w:after="0"/>
              <w:rPr>
                <w:sz w:val="20"/>
                <w:szCs w:val="20"/>
                <w:color w:val="auto"/>
              </w:rPr>
            </w:pPr>
            <w:r>
              <w:rPr>
                <w:rFonts w:ascii="Arial" w:cs="Arial" w:eastAsia="Arial" w:hAnsi="Arial"/>
                <w:sz w:val="18"/>
                <w:szCs w:val="18"/>
                <w:color w:val="auto"/>
              </w:rPr>
              <w:t>500,000,000</w:t>
            </w:r>
          </w:p>
        </w:tc>
        <w:tc>
          <w:tcPr>
            <w:tcW w:w="1220" w:type="dxa"/>
            <w:vAlign w:val="bottom"/>
          </w:tcPr>
          <w:p>
            <w:pPr>
              <w:ind w:left="180"/>
              <w:spacing w:after="0"/>
              <w:rPr>
                <w:sz w:val="20"/>
                <w:szCs w:val="20"/>
                <w:color w:val="auto"/>
              </w:rPr>
            </w:pPr>
            <w:r>
              <w:rPr>
                <w:rFonts w:ascii="Arial" w:cs="Arial" w:eastAsia="Arial" w:hAnsi="Arial"/>
                <w:sz w:val="18"/>
                <w:szCs w:val="18"/>
                <w:color w:val="auto"/>
                <w:w w:val="90"/>
              </w:rPr>
              <w:t>A$40,000,000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A$0.080 per share, raising gross proceeds of A$40,000,000 and incurring</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A$2,923,858 in expenses.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June 6, 2018</w:t>
            </w:r>
          </w:p>
        </w:tc>
        <w:tc>
          <w:tcPr>
            <w:tcW w:w="6480" w:type="dxa"/>
            <w:vAlign w:val="bottom"/>
          </w:tcPr>
          <w:p>
            <w:pPr>
              <w:ind w:left="360"/>
              <w:spacing w:after="0"/>
              <w:rPr>
                <w:sz w:val="20"/>
                <w:szCs w:val="20"/>
                <w:color w:val="auto"/>
              </w:rPr>
            </w:pPr>
            <w:r>
              <w:rPr>
                <w:rFonts w:ascii="Arial" w:cs="Arial" w:eastAsia="Arial" w:hAnsi="Arial"/>
                <w:sz w:val="18"/>
                <w:szCs w:val="18"/>
                <w:color w:val="auto"/>
              </w:rPr>
              <w:t>We sold 320,475,665 Ordinary Shares to institutional investors at a price of</w:t>
            </w:r>
          </w:p>
        </w:tc>
        <w:tc>
          <w:tcPr>
            <w:tcW w:w="1320" w:type="dxa"/>
            <w:vAlign w:val="bottom"/>
          </w:tcPr>
          <w:p>
            <w:pPr>
              <w:ind w:left="160"/>
              <w:spacing w:after="0"/>
              <w:rPr>
                <w:sz w:val="20"/>
                <w:szCs w:val="20"/>
                <w:color w:val="auto"/>
              </w:rPr>
            </w:pPr>
            <w:r>
              <w:rPr>
                <w:rFonts w:ascii="Arial" w:cs="Arial" w:eastAsia="Arial" w:hAnsi="Arial"/>
                <w:sz w:val="18"/>
                <w:szCs w:val="18"/>
                <w:color w:val="auto"/>
              </w:rPr>
              <w:t>320,475,665</w:t>
            </w:r>
          </w:p>
        </w:tc>
        <w:tc>
          <w:tcPr>
            <w:tcW w:w="1220" w:type="dxa"/>
            <w:vAlign w:val="bottom"/>
          </w:tcPr>
          <w:p>
            <w:pPr>
              <w:ind w:left="180"/>
              <w:spacing w:after="0"/>
              <w:rPr>
                <w:sz w:val="20"/>
                <w:szCs w:val="20"/>
                <w:color w:val="auto"/>
              </w:rPr>
            </w:pPr>
            <w:r>
              <w:rPr>
                <w:rFonts w:ascii="Arial" w:cs="Arial" w:eastAsia="Arial" w:hAnsi="Arial"/>
                <w:sz w:val="18"/>
                <w:szCs w:val="18"/>
                <w:color w:val="auto"/>
                <w:w w:val="90"/>
              </w:rPr>
              <w:t>A$16,023,783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A$0.050 per share, raising gross proceeds of A$16,023,783 and incurring</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A$1,042,720 in expenses.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November 7, 2017</w:t>
            </w:r>
          </w:p>
        </w:tc>
        <w:tc>
          <w:tcPr>
            <w:tcW w:w="6480" w:type="dxa"/>
            <w:vAlign w:val="bottom"/>
          </w:tcPr>
          <w:p>
            <w:pPr>
              <w:ind w:left="360"/>
              <w:spacing w:after="0"/>
              <w:rPr>
                <w:sz w:val="20"/>
                <w:szCs w:val="20"/>
                <w:color w:val="auto"/>
              </w:rPr>
            </w:pPr>
            <w:r>
              <w:rPr>
                <w:rFonts w:ascii="Arial" w:cs="Arial" w:eastAsia="Arial" w:hAnsi="Arial"/>
                <w:sz w:val="18"/>
                <w:szCs w:val="18"/>
                <w:color w:val="auto"/>
                <w:w w:val="92"/>
              </w:rPr>
              <w:t>We sold 276,502,853 Ordinary Shares in a rights offering at a price of A$0.045 per</w:t>
            </w:r>
          </w:p>
        </w:tc>
        <w:tc>
          <w:tcPr>
            <w:tcW w:w="1320" w:type="dxa"/>
            <w:vAlign w:val="bottom"/>
          </w:tcPr>
          <w:p>
            <w:pPr>
              <w:ind w:left="160"/>
              <w:spacing w:after="0"/>
              <w:rPr>
                <w:sz w:val="20"/>
                <w:szCs w:val="20"/>
                <w:color w:val="auto"/>
              </w:rPr>
            </w:pPr>
            <w:r>
              <w:rPr>
                <w:rFonts w:ascii="Arial" w:cs="Arial" w:eastAsia="Arial" w:hAnsi="Arial"/>
                <w:sz w:val="18"/>
                <w:szCs w:val="18"/>
                <w:color w:val="auto"/>
              </w:rPr>
              <w:t>276,502,853</w:t>
            </w:r>
          </w:p>
        </w:tc>
        <w:tc>
          <w:tcPr>
            <w:tcW w:w="1220" w:type="dxa"/>
            <w:vAlign w:val="bottom"/>
          </w:tcPr>
          <w:p>
            <w:pPr>
              <w:ind w:left="180"/>
              <w:spacing w:after="0"/>
              <w:rPr>
                <w:sz w:val="20"/>
                <w:szCs w:val="20"/>
                <w:color w:val="auto"/>
              </w:rPr>
            </w:pPr>
            <w:r>
              <w:rPr>
                <w:rFonts w:ascii="Arial" w:cs="Arial" w:eastAsia="Arial" w:hAnsi="Arial"/>
                <w:sz w:val="18"/>
                <w:szCs w:val="18"/>
                <w:color w:val="auto"/>
                <w:w w:val="90"/>
              </w:rPr>
              <w:t>A$12,442,628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share raising gross proceeds of A$12,442,628 and incurring A$636,067 in</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October 11, 2017</w:t>
            </w:r>
          </w:p>
        </w:tc>
        <w:tc>
          <w:tcPr>
            <w:tcW w:w="6480" w:type="dxa"/>
            <w:vAlign w:val="bottom"/>
          </w:tcPr>
          <w:p>
            <w:pPr>
              <w:ind w:left="360"/>
              <w:spacing w:after="0"/>
              <w:rPr>
                <w:sz w:val="20"/>
                <w:szCs w:val="20"/>
                <w:color w:val="auto"/>
              </w:rPr>
            </w:pPr>
            <w:r>
              <w:rPr>
                <w:rFonts w:ascii="Arial" w:cs="Arial" w:eastAsia="Arial" w:hAnsi="Arial"/>
                <w:sz w:val="18"/>
                <w:szCs w:val="18"/>
                <w:color w:val="auto"/>
                <w:w w:val="91"/>
              </w:rPr>
              <w:t>We sold 100,982,978 Ordinary Shares at a price of A$0.045 per share raising gross</w:t>
            </w:r>
          </w:p>
        </w:tc>
        <w:tc>
          <w:tcPr>
            <w:tcW w:w="1320" w:type="dxa"/>
            <w:vAlign w:val="bottom"/>
          </w:tcPr>
          <w:p>
            <w:pPr>
              <w:ind w:left="160"/>
              <w:spacing w:after="0"/>
              <w:rPr>
                <w:sz w:val="20"/>
                <w:szCs w:val="20"/>
                <w:color w:val="auto"/>
              </w:rPr>
            </w:pPr>
            <w:r>
              <w:rPr>
                <w:rFonts w:ascii="Arial" w:cs="Arial" w:eastAsia="Arial" w:hAnsi="Arial"/>
                <w:sz w:val="18"/>
                <w:szCs w:val="18"/>
                <w:color w:val="auto"/>
              </w:rPr>
              <w:t>100,982,978</w:t>
            </w:r>
          </w:p>
        </w:tc>
        <w:tc>
          <w:tcPr>
            <w:tcW w:w="1220" w:type="dxa"/>
            <w:vAlign w:val="bottom"/>
          </w:tcPr>
          <w:p>
            <w:pPr>
              <w:ind w:left="180"/>
              <w:spacing w:after="0"/>
              <w:rPr>
                <w:sz w:val="20"/>
                <w:szCs w:val="20"/>
                <w:color w:val="auto"/>
              </w:rPr>
            </w:pPr>
            <w:r>
              <w:rPr>
                <w:rFonts w:ascii="Arial" w:cs="Arial" w:eastAsia="Arial" w:hAnsi="Arial"/>
                <w:sz w:val="18"/>
                <w:szCs w:val="18"/>
                <w:color w:val="auto"/>
                <w:w w:val="99"/>
              </w:rPr>
              <w:t>A$4,544,234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proceeds of A$4,544,234 and incurring A$248,720 in expenses.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July 11, 2016</w:t>
            </w:r>
          </w:p>
        </w:tc>
        <w:tc>
          <w:tcPr>
            <w:tcW w:w="6480" w:type="dxa"/>
            <w:vAlign w:val="bottom"/>
          </w:tcPr>
          <w:p>
            <w:pPr>
              <w:ind w:left="360"/>
              <w:spacing w:after="0"/>
              <w:rPr>
                <w:sz w:val="20"/>
                <w:szCs w:val="20"/>
                <w:color w:val="auto"/>
              </w:rPr>
            </w:pPr>
            <w:r>
              <w:rPr>
                <w:rFonts w:ascii="Arial" w:cs="Arial" w:eastAsia="Arial" w:hAnsi="Arial"/>
                <w:sz w:val="18"/>
                <w:szCs w:val="18"/>
                <w:color w:val="auto"/>
                <w:w w:val="93"/>
              </w:rPr>
              <w:t>We sold 100,164,831 Ordinary Shares at a price of A$0.09 per share raising gross</w:t>
            </w:r>
          </w:p>
        </w:tc>
        <w:tc>
          <w:tcPr>
            <w:tcW w:w="1320" w:type="dxa"/>
            <w:vAlign w:val="bottom"/>
          </w:tcPr>
          <w:p>
            <w:pPr>
              <w:ind w:left="160"/>
              <w:spacing w:after="0"/>
              <w:rPr>
                <w:sz w:val="20"/>
                <w:szCs w:val="20"/>
                <w:color w:val="auto"/>
              </w:rPr>
            </w:pPr>
            <w:r>
              <w:rPr>
                <w:rFonts w:ascii="Arial" w:cs="Arial" w:eastAsia="Arial" w:hAnsi="Arial"/>
                <w:sz w:val="18"/>
                <w:szCs w:val="18"/>
                <w:color w:val="auto"/>
              </w:rPr>
              <w:t>100,164,831</w:t>
            </w:r>
          </w:p>
        </w:tc>
        <w:tc>
          <w:tcPr>
            <w:tcW w:w="1220" w:type="dxa"/>
            <w:vAlign w:val="bottom"/>
          </w:tcPr>
          <w:p>
            <w:pPr>
              <w:ind w:left="180"/>
              <w:spacing w:after="0"/>
              <w:rPr>
                <w:sz w:val="20"/>
                <w:szCs w:val="20"/>
                <w:color w:val="auto"/>
              </w:rPr>
            </w:pPr>
            <w:r>
              <w:rPr>
                <w:rFonts w:ascii="Arial" w:cs="Arial" w:eastAsia="Arial" w:hAnsi="Arial"/>
                <w:sz w:val="18"/>
                <w:szCs w:val="18"/>
                <w:color w:val="auto"/>
                <w:w w:val="99"/>
              </w:rPr>
              <w:t>A$9,048,102</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proceeds of A$9,048,102 and incurring A A$506,452 in expenses.</w:t>
            </w: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constituent document is entitled the Company’s “Constitution”. The Constitution is subject to the Listing Rules of the Australian Securities Exchange (“Listing Rules”) and the Australian Corporations Act 2001 (Cth) (“Corporations Act”). The Company may modify or replace its Constitution, or a provision of the Constitution, by special resolution of shareholders.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Objects and Purposes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 public company we have all the rights, powers and privileges of a natural person. Our Constitution, which is not required to have an objects or purposes clause, does not provide for or prescribe any specific objects or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Powers of the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provisions of our Constitution, our directors may exercise all the powers of our company in relation to:</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Management of Company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business of our Company is managed by the directors who may exercise all the powers of our Company that are not by the Corporations Act.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Listing Rules or by the Constitution, required to be exercised by the shareholders in general meeting.</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Specific powers of Directors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Without limiting the generality of the above paragraph, the directors may exercise all the powers of the Company to borrow or raise money, to charge any property or business of the Company or all or any of its uncalled capital and to issue debentures or give any other security for a debt, liability or obligation of the Company or of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Provisions in the Constitution with Respect to the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complying with the Corporations Act and the Listing Rules regarding disclosure of and voting on matters involving material personal interests of the directors, their associates and their related or controlled entities, under the provisions of our Constitution, a director may participate in, vote on and be counted in a quorum for any meeting, resolution or decision of the directors and may be present at any meeting where any matter is being considered by the directors.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the provisions of our Constitution, the non-executive directors may be remunerated for their services as directors (up to a maximum aggregate amount as determined approved by the Shareholders in general meeting) in individual amounts as determined by the Board. The remuneration of both non-executive and executive directors must comply with the Corporations Act and the Listing Rules. The Listing Rules provide that a company must not increase the total amount of non-executive directors’ fees payable by it without the approval of its shareholders. The Corporations Act places a limit upon the level of termination benefits that can be paid to a person who holds a managerial or executive office upon that person’s retirement from that office or position.</w:t>
      </w:r>
    </w:p>
    <w:p>
      <w:pPr>
        <w:spacing w:after="0" w:line="19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Subject to the Corporations Act, the Listing Rules and our Constitution, a director must retire from office by no later than the third annual general meeting following his or her appointment or election or 3 years, whichever is longer. If eligible, that retiring director may also seek re-election at the annual general meeting at which that director retires. This requirement for resignation does not apply to the Managing Director.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candidate for election as a director is not required to hold any ordinary shares to be eligible for election.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Members to Approve Significant Changes to Company Activities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Listing Rules stipulate that the directors must not make a significant change to the nature or scale of a company’s activities or sell or otherwise dispose of the main undertaking of a listed entity without the prior approval of the Australian Securities Exchange and of the shareholders in general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Rights, Preferences and Restrictions Attached to Our Ordinary Shares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concept of authorized share capital no longer exists in Australia and as a result, our “authorized share capital” is unlimited. All our outstanding ordinary shares are validly issued and fully paid. Our ordinary shares have no redemption provisions or sinking fund provisions. The rights attached to our ordinary shares include:</w:t>
      </w:r>
    </w:p>
    <w:p>
      <w:pPr>
        <w:spacing w:after="0" w:line="18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Our shareholders have the right to share in our profits distributed as a dividend and any other permitted distribution.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Corporations Act, our Constitution and the rights of persons entitled to shares with special rights to a dividend (at present there are none), the directors may determine that a dividend is payable, fix the amount and the time for payment and authorize the payment or crediting by the Company to, or at the direction of, each member entitled to that dividend. No dividend is payable except in accordance with the Corporations Act (as amended from time to time) and no dividend carries interest as against the Company.</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At any general meeting of shareholders a resolution put to the vote of the meeting must be decided on a show of hands unless a poll</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effectively demanded, and the demand is not withdrawn. On a show of hands, each member present in person and each other person present as a proxy, attorney or representative of a</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420"/>
        <w:spacing w:after="0" w:line="308" w:lineRule="auto"/>
        <w:rPr>
          <w:sz w:val="20"/>
          <w:szCs w:val="20"/>
          <w:color w:val="auto"/>
        </w:rPr>
      </w:pPr>
      <w:r>
        <w:rPr>
          <w:rFonts w:ascii="Arial" w:cs="Arial" w:eastAsia="Arial" w:hAnsi="Arial"/>
          <w:sz w:val="17"/>
          <w:szCs w:val="17"/>
          <w:color w:val="auto"/>
        </w:rPr>
        <w:t>member has one vote. On a poll, each member present in person has one vote for each share held by the member and each person present as proxy, attorney or representative of a member has one vote for each share held by such member that the person represents.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quorum required for an ordinary meeting of shareholders consists of at least three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ordinary resolution requires approval by the holders of a majority of the voting rights represented at the meeting, in person, by proxy, or by written ballot and voting thereon. Under the Corporations Act, a special resolution, such as amending our Constitution ,winding-up, or other changes as specified in our Constitution, requires approval of a special majority, representing the holders of no less than 75% of the voting rights represented at the meeting in person, by proxy or by written ballet, entitled to vote and voting thereon.</w:t>
      </w:r>
    </w:p>
    <w:p>
      <w:pPr>
        <w:spacing w:after="0" w:line="17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Rights in the Event of Liquidation. </w:t>
      </w:r>
      <w:r>
        <w:rPr>
          <w:rFonts w:ascii="Arial" w:cs="Arial" w:eastAsia="Arial" w:hAnsi="Arial"/>
          <w:sz w:val="18"/>
          <w:szCs w:val="18"/>
          <w:color w:val="auto"/>
        </w:rPr>
        <w:t>If the Company is wound up, after satisfaction of all liabilities to creditors, the Shareholders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equally pro-rata (per Share owned) in the distribution of the assets of the Company (both capital and surplus), subject only to any amounts unpaid (if any) on their Shares.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Changing Rights Attached to Shares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Constitution does not set out a procedure for varying rights attached to our ordinary shares. The Corporations Act provides that if a company has a constitution that does not set out the procedure for varying or cancelling rights attached to shares in a class of shares of a company with share capital, those rights may be varied or cancelled only by a special resolution of the shareholders of the company and a special resolution of the relevant class; or with the written consent of members with at least 75 per cent of the votes in the class.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and Extraordinary General Meetings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directors must convene an annual meeting of shareholders at least once every calendar year, within five months of our last fiscal year-end balance date (the fiscal year end date currently being June 30,). Notice of at least 28 calendar days prior to the date of every general meeting is required. The directors or a director may also convene and arrange to hold a general meeting of the Company whenever they think fit. In addition, a general meeting may be convened by one or more shareholders holding in the aggregate at least 5% of the votes that may be cast at the general meeting. A general meeting must be called not more than 21 calendar days after the request is made by the requesting shareholders and must be held not later than two months after the shareholder request is given to the Company.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the Rights to Own Securities in Our Company</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Corporations Act takeovers provisions apply to acquisitions of ASX-listed Australian companies. A person cannot acquire a relevant interest (i.e. a controlling interest) in voting securities of an entity that is subject to the takeovers provisions if that would result in any person’s voting power exceeding 20% (or the voting power increasing, if it is already over 20%), except via a specified exception (such as a takeover bid or scheme of arrangement or an incremental increase of up to 3% every 6 calendar months). The most common takeover structures in Australia are an off-market takeover bid and a scheme of arrangement.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Threshold Above Which Shareholder Ownership Must be Disclosed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Corporations Act, any person who increases their voting power from below to above 5% (or already has voting power of 5% or more and increases or decreases that power by at least 1%) needs to publicly disclose that fact within two business days of that change occurring via the filing of a substantial holding notice with the ASX and upon the Company.</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Our Capital</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Subject to the Listing Rules and the Corporations Act, the powers of the Company to issue and cancel shares in the Company and grant options over unissued shares in the Company are vested in the directors. Listing Rule 7.1 provides that (subject to certain exceptions) prior approval of shareholders is required for an issue of securities if the issue of those securities will, when aggregated with all the securities issued by the Company during the previous 12 months without prior shareholder approval, exceed 15% of the number of shares on issue at the commencement of that 12 month period. In addition, Listing Rule 7.1A permits eligible entities that have obtained shareholder approval (by special resolution at its most recent annual general meeting) to issue an additional 10% of the entity’s issued ordinary securities. The ability to issue securities under listing rule 7.1A is in addition to the Company’s ability to issue 15% of its fully paid ordinary shares under Listing Rule 7.1</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Except for contracts entered into in the ordinary course of business, the only contracts entered into by Avita within two years immediately preceding this Registration Statement that are still in effect, which may be regarded as material are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BARDA Contract</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a contract with Biomedical Advanced Research and Development Authority (BARDA), under the Assistant Secretary for Preparedness and Response, within the U.S. Department of Health and Human Services, valued at least US$50.4 million (approximately A$68.14 million). The contract provides funding for the development of the RECELL System and future use of the product to assist disaster preparedness and response in the U.S. for mass casualties involving burn injuries. We entered into the contract on September 29, 2015, and the scope was expanded as a result of amendments entered into as of June 24, 2016 and September 18, 2017. The contract terminates September 28, 2022 and may be terminated earlier at the option of BARDA.</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Under the contract, we have agreed to undertake, and BARDA have agreed to fund and provide technical support for, the development of the RECELL System including two randomized, controlled pivotal clinical trials, Compassionate Use and Continued Access programs, development of the health economic model demonstrating the cost savings associated with the RECELL System, and two randomized, controlled clinical trials in pediatric burn patients. Also included in the BARDA contract is provision for the future procurement of the RECELL System by BARDA under a vendor-managed inventory system to bolster disaster preparedness in the amount of US$7.6 million (approximately A$10.3 million), although BARDA has the option of increasing the amount of the procurement. As of December 31, 2018, we had received cumulative payments of A$22.6 million under the BARDA contract.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Exchange Controls and Australian Tax Matters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which monitors such transaction, and amounts on account of potential Australian tax liabilities which may be required to be withheld unless a relevant taxation treaty can be shown to apply. Article 11.8 of the free trade agreement between Australia and the US provides that all transfers relating to a covered investment is to be made freely and without delay into and out of each territory. Such transfers include inter alia contributions to capital, including the initial contribution; profits, dividends (subject to any applicable withholding tax deduction), capital gains and proceeds from the sale of all or any part of the covered investment or from the partial or complete liquidation of the covered investment.</w:t>
      </w:r>
    </w:p>
    <w:p>
      <w:pPr>
        <w:spacing w:after="0" w:line="1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Foreign Acquisitions and Takeovers Act 1975</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Australian law, in certain circumstances foreign persons are prohibited from acquiring more than a limited percentage of the shares in an Australian company without approval from the Australian Treasurer. These limitations are set forth in the Australian Foreign Acquisitions and Takeovers Act, or the Takeovers Act.</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Under the Takeovers Act, as currently in effect, any foreign person, together with associates, or parties acting in concert, is prohibited (without approval) from acquiring 20% or more of the shares (or voting / disposal rights attaching to shares) in any ASX listed company. “Associates” is a broadly defined term under the Takeovers Act and includes:</w:t>
      </w:r>
    </w:p>
    <w:p>
      <w:pPr>
        <w:spacing w:after="0" w:line="87"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spouses, lineal ancestors and descendants, and siblings;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with whom the person is acting, or proposes to act, in concert;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partners, officers of companies, the company, employers and employees, and corporations;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their shareholders related through substantial shareholdings or voting power;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corporations whose directors are controlled by the person, or who control a person;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associations between trustees and substantial beneficiaries of trust estates.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a foreign person may not acquire shares in a company having total assets of A$266 million or more (or A$1,154 million or more in case of non sensitive companies where it is a private (non-government) U.S. investor(s)) if, as a result of that acquisition, the total holdings of all foreign persons and their associates will exceed 40% in aggregate without the approval of the Australian Treasurer.</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necessary approvals are not obtained, the Treasurer may make an order requiring the acquirer to dispose of the shares it has acquired within a specified period of time. At present, we do not have total assets of A$266 million or more. At this time, our total assets do not exceed any of the above thresholds and therefore no approval would be required from the Australian Treasurer. Nonetheless, should our total assets exceed the threshold in the future, we will be mindful to monitor the holdings for foreign persons (together with the associates) to ensure that the thresholds will not be exceeded without the Australian Treasurer’s approval.</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Each foreign person seeking to acquire holdings in excess of the above caps (including their associates, as the case may be) would need to complete an application form setting out the proposal and relevant particulars of the acquisition/shareholding. The Australian Treasurer then has 30 days to consider the application and make a decision. However, the Australian Treasurer may extend the period by up to a further 90 days by publishing an interim order. The Australian Treasurer has issued a guideline titled Australia’s Foreign Investment Policy which provides an outline of the policy. As for the risk associated with seeking approval, the policy provides that the Treasurer will reject an application if it is contrary to the national interest.</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the level of foreign ownership exceeds 40% at any time (or if one individual not ordinarily resident in Australia, a foreign corporation or a foreign government holds at least 20%), we would be considered a foreign person under the Takeovers Act. In such event, we would be required to obtain the approval of the Australian Treasurer for our company, together with our associates, to acquire (i) more than 20% of an Australian company or business with assets totaling over A$266 million (or A$1,154 million if we were considered a private US investor); or (ii) any direct or indirect ownership in certain real estate interests.</w:t>
      </w:r>
    </w:p>
    <w:p>
      <w:pPr>
        <w:spacing w:after="0" w:line="18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percentage of foreign ownership in our company would also be included in determining the foreign ownership of any Australian company or business in which we may choose to invest. Since we have no current plans for any such investments or acquisitions and do not currently own any relevant real estate interests, any such approvals required to be obtained by us as a foreign person under the Takeovers Act will not affect our current or future ownership or lease of real estate interests in Australia.</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Our Constitution does not contain any additional limitations on a nonresident’s right to hold or vote our securities. Australian law requires the transfer of shares in our company to be made in writing. No stamp duty will be payable in Australia on the transfer of ordinary shares quoted on the NASDAQ.</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Financial Transactions Reports Act 1988</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Financial Transactions Reports Act 1988 is an act of the Parliament of the Commonwealth of Australia, designed to facilitate the administration and enforcement of Australia’s taxation laws. It provides for the reporting of certain financial transactions and transfers, including the export or import of currency exceeding $10,000 to Australian Transaction Reports and Analysis Centre.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Income Tax Assessment Act of 1936 and the Income Tax Assessment Act of 1997 (collectively, the “Tax Act”)</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Income Tax Assessment Act 1936 and the Income Tax Assessment Act 1997 (collectively, the “Tax Act”) is the principal law governing the imposition of Federal taxes in Australia (except goods and services tax and a number of specific taxes such as fringe benefits tax and stamp duties).</w:t>
      </w:r>
    </w:p>
    <w:p>
      <w:pPr>
        <w:spacing w:after="0" w:line="12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Under the Tax Act, in some circumstances overseas residents are obliged to pay income tax in Australia on income derived from Australian sources or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Dividends for Non-Australian Resident Shareholders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Non-Australian residents may be liable to pay Australian tax on income derived from Australian sources. One mechanism by which that tax is paid (for nonresidents who have no permanent establishment or fixed base in Australia or where the income is not connected with a permanent establishment or fixed base) is known as withholding tax. Dividends paid by a resident Australian company to a resident of the United States of America who; (a) is entitled to the benefits of the Australia/US Double Tax Agreement (“DTA”); and (b) is beneficially entitled to the dividends; and (c) holds less than 10% of the voting power in the relevant Australian company, are subject to withholding tax at the rate of 15% to the extent the dividends are ‘unfranked’.</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rate of withholding tax is 5% if, the shareholder, is resident of the United State and is a company that holds at least 10% of the voting power in the company paying the dividend.</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rate of withholding tax on dividends is normally 30%, but in accordance with the DTA, the rate may be reduced in the circumstances outlined above.</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Section 128B(3) of the Income Tax Assessment Act 1936, to the extent that dividends paid to nonresidents have been franked, such dividends are exempt from withholding tax. “Franked dividends” is the expression given to dividends when the profits out of which those dividends are paid have been taxed at company level and such tax is allocated or imputed to the dividend. Accordingly, an Australian company paying fully franked dividends to a nonresident is not required to deduct any withholding tax. Dividends on which withholding tax has been paid are generally not subject to any further Australian tax. In other words, the withholding tax should represent the final Australian tax liability in relation to those dividends. Where the dividend is paid out of foreign sourced income (such as foreign branch income and capital gains) that is declared to be conduit foreign income, no withholding tax is payable. Distributions of conduit foreign income are treated as non assessable nonexempt income of the foreign resident.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Dividends paid to Australian resident shareholders are subject to a different taxation regime.</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have not paid any cash dividends since our inception and we do not anticipate the payment of cash dividends in the foreseeable future. See Item 8.A. “Financial Statements and Other Financial Information–Dividend Distribution Policy.”</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Gains Tax</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Capital gains tax in Australia is payable on net assessable ‘real gains’ over the period in which the shares have been held, that is, the difference between the selling price and the total cost price calculated under Australian tax law. Nonresident shareholders will not be subject to Australian capital gains tax on any gain made on a sale or other disposal of ordinary shares in an Australian resident company, unless the nonresident shareholders, together with their associates, hold 10% or more of the total paid up share capital at (a) the time of disposal, or (b) any 12 month period in the 2 years prior to disposal.</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Nonresident shareholders who own 10% or more of the paid up share capital will be subject to Australian capital gains tax if more than 50% of the assets held by the company directly or indirectly (based on market value), consists of real property situated in Australia (including land and lease holder interests) or Australian mining, quarrying or prospecting rights.</w:t>
      </w:r>
    </w:p>
    <w:p>
      <w:pPr>
        <w:spacing w:after="0" w:line="18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In some cases, if the shares have been held for more than 12 months, certain Australian resident taxpayers who have made a capital gain may be eligible for a discount of up to 50% of the gross gain. Capital losses may be available to offset capital gains. The capital gains discount is not available to non resident individuals on gains accrued after 8 May 2012.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Any transfer of shares or ADS through trading on the ASX and NASDAQ, whether by Australian residents or foreign residents, should not be subject to stamp duty on the assumption that the company does not have substantial real property holdings.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Australian Death Duty</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Australia does not have estate or death duties. Generally, no capital gains tax liability is realized upon the inheritance of a deceased person’s shares. The disposal of inherited shares by beneficiaries, may, however, give rise to a capital gains tax liability.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Goods and Services Tax</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issue or transfer of shares will not incur Australian goods and services tax and does not require a stockholder to register for Australian goods and services tax purposes.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U.S. Federal Income Tax Considerations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following discussion summarizes certain U.S. federal income tax consequences to a U.S. Holder, as defined below, who purchases our ADSs and ordinary shares. This discussion assumes that investors will hold 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w:t>
      </w:r>
    </w:p>
    <w:p>
      <w:pPr>
        <w:spacing w:after="0" w:line="92"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brokers and dealers in securities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tax-exempt organizations and retirement plans;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hedging, conversion, constructive sale, straddle or other integrated transactions;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who acquired their ordinary shares upon the exercise of employee stock options or otherwise as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who have elected the mark-to-market method of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persons who own 10% or more of our ADSs or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Non-U.S. Holders (as defined below).</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This discussion is based in part on representations by the depositary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w:t>
      </w:r>
    </w:p>
    <w:p>
      <w:pPr>
        <w:spacing w:after="0" w:line="258"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A person considering an investment in our ADSs or ordinary shares is urged to consult its tax advisor concerning U.S. federal, state, local and non-U.S. income and other tax consequences.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Holder is a beneficial owner of ADSs or ordinary shares that is for U.S. federal income tax purposes:</w:t>
      </w:r>
    </w:p>
    <w:p>
      <w:pPr>
        <w:spacing w:after="0" w:line="131"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citizen or resident individual of the United States;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beneficial owner of ADSs or ordinary shares that is not a U.S. Holder is referred to herein as a “Non-U.S. Holder.”</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w:t>
      </w:r>
    </w:p>
    <w:p>
      <w:pPr>
        <w:spacing w:after="0" w:line="18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b w:val="1"/>
          <w:bCs w:val="1"/>
          <w:i w:val="1"/>
          <w:iCs w:val="1"/>
          <w:color w:val="auto"/>
        </w:rPr>
        <w:t xml:space="preserve">ADSs. </w:t>
      </w:r>
      <w:r>
        <w:rPr>
          <w:rFonts w:ascii="Arial" w:cs="Arial" w:eastAsia="Arial" w:hAnsi="Arial"/>
          <w:sz w:val="16"/>
          <w:szCs w:val="16"/>
          <w:color w:val="auto"/>
        </w:rPr>
        <w:t>In general, for U.S. federal income tax purposes, a U.S. Holder of ADSs will be treated as the owner of the underlying ordinary shares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represented by such ADSs. Deposits and withdrawals of ordinary shares in exchange for ADSs will not be subject to U.S. federal income taxation.</w:t>
      </w:r>
    </w:p>
    <w:p>
      <w:pPr>
        <w:spacing w:after="0" w:line="12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Distributions on ADSs or ordinary shares. </w:t>
      </w:r>
      <w:r>
        <w:rPr>
          <w:rFonts w:ascii="Arial" w:cs="Arial" w:eastAsia="Arial" w:hAnsi="Arial"/>
          <w:sz w:val="18"/>
          <w:szCs w:val="18"/>
          <w:color w:val="auto"/>
        </w:rPr>
        <w:t>Unless the passive foreign investment company rules, as discussed below, apply, the gross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distributions in respect of the ADSs or ordinary shares will be subject to tax as dividend income to the extent of our current and accumulated earnings and profits, as</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exceptions discussed below, a corporation is a qualified foreign corporation if it is:</w:t>
      </w:r>
    </w:p>
    <w:p>
      <w:pPr>
        <w:spacing w:after="0" w:line="131" w:lineRule="exact"/>
        <w:rPr>
          <w:sz w:val="20"/>
          <w:szCs w:val="20"/>
          <w:color w:val="auto"/>
        </w:rPr>
      </w:pPr>
    </w:p>
    <w:p>
      <w:pPr>
        <w:ind w:left="1060" w:right="140" w:hanging="316"/>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foreign corporation that is eligible for the benefits of a comprehensive income tax treaty with the United States that includes an exchange of information program; or</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foreign corporation if its stock with respect to which a dividend is paid or its ADSs backed by such stock are readily tradable on an established securities market within the United States.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we are a qualified foreign corporation because the ADSs will be traded on an established U.S. securities market and, as discussed below, we believe that we were not a passive foreign investment company for our 2018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Dividends will be includable in a U.S. Holder’s gross income on the date actually or constructively received by the depositary, in the case of ADSs or, in the case of ordinary shares, by such U.S. Holder. These dividends will not be eligible for the dividends-received deduction generally allowed to U.S. corporations in respect of dividends received from other U.S. corporations.</w:t>
      </w:r>
    </w:p>
    <w:p>
      <w:pPr>
        <w:spacing w:after="0" w:line="18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Sale, exchange or other disposition of ADSs or ordinary shares. </w:t>
      </w:r>
      <w:r>
        <w:rPr>
          <w:rFonts w:ascii="Arial" w:cs="Arial" w:eastAsia="Arial" w:hAnsi="Arial"/>
          <w:sz w:val="16"/>
          <w:szCs w:val="16"/>
          <w:color w:val="auto"/>
        </w:rPr>
        <w:t>Unless the passive foreign investment company rules, as discussed below,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long-term capital gains of non-corporate U.S. Holders, including individuals, are eligible for reduced rates of taxation. The deductibility of capital losses is subject to limitations. Any gain or loss that a U.S. Holder recognizes generally will be treated as gain or loss from sources within the United States for U.S. foreign tax credit limitation purposes.</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Additional tax on net investment income. </w:t>
      </w:r>
      <w:r>
        <w:rPr>
          <w:rFonts w:ascii="Arial" w:cs="Arial" w:eastAsia="Arial" w:hAnsi="Arial"/>
          <w:sz w:val="18"/>
          <w:szCs w:val="18"/>
          <w:color w:val="auto"/>
        </w:rPr>
        <w:t>An additional 3.8% federal income tax may be assessed on net investment income (including dividends,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distributions, and gain realized on the sale of ADSs or ordinary shares) earned by certain U.S. Holders. This tax does not apply to U.S. Holders who hold ADSs or ordinary shares in the ordinary course of certain trades or businesses.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Passive foreign investment company rules. </w:t>
      </w:r>
      <w:r>
        <w:rPr>
          <w:rFonts w:ascii="Arial" w:cs="Arial" w:eastAsia="Arial" w:hAnsi="Arial"/>
          <w:sz w:val="17"/>
          <w:szCs w:val="17"/>
          <w:color w:val="auto"/>
        </w:rPr>
        <w:t>In general, we will be classified as a passive foreign investment company for any taxable year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believe, based on our present and projected composition of our income and valuation of our assets, we were not classified as a passive foreign investment company for U.S. federal income tax purposes for our 2018 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w:t>
      </w:r>
    </w:p>
    <w:p>
      <w:pPr>
        <w:spacing w:after="0" w:line="193"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If we are a passive foreign investment company for any taxable year during which a U.S. Holder has an equity interest in our company,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w:t>
      </w:r>
    </w:p>
    <w:p>
      <w:pPr>
        <w:ind w:left="200" w:firstLine="4"/>
        <w:spacing w:after="0" w:line="268" w:lineRule="auto"/>
        <w:tabs>
          <w:tab w:leader="none" w:pos="4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gain from the disposition of stock. Excess distributions are defined generally as the excess of the amount received with respect to the equity interests in the taxable year over 125% of the average annual distributions received in the shorter of either the three previous years or a U.S. Holder’s holding period before the taxable year and must be allocated ratably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 allocated to years prior to the year of sale or disposition with respect to which we were a passive foreign investment company, will be subject to the interest charge described above.</w:t>
      </w:r>
    </w:p>
    <w:p>
      <w:pPr>
        <w:spacing w:after="0" w:line="18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requirements to be treated as a qualified exchange under applicable U.S. Treasury regulations. The Nasdaq Stock Market is a qualified exchange. The ordinary shares may not be eligible for mark-to-market treatment under the foregoing rule even if the ADSs otherwise satisfy the applicable requirement.</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w:t>
      </w:r>
    </w:p>
    <w:p>
      <w:pPr>
        <w:spacing w:after="0" w:line="1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sale of the ADSs or ordinary shares will be ordinary income or loss, except that this loss will be ordinary loss only to the extent of the previously included net mark-to-market gain.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are a passive foreign investment company, then under certain circumstances a U.S. Holder must file Internal Revenue Service Form 8621.</w:t>
      </w:r>
    </w:p>
    <w:p>
      <w:pPr>
        <w:spacing w:after="0" w:line="24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The Foreign Account Tax Compliance Act (“FATCA”) generally requires that individuals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certain specified foreign financial assets worth in excess of certain thresholds of $50,000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 subject to this reporting requirement unless such holder’s ADSs or ordinary shares are held in an account at a domestic financial institution. The penalty for failing to file Form 8938 is substantial.</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furnished to the IRS.</w:t>
      </w:r>
    </w:p>
    <w:p>
      <w:pPr>
        <w:spacing w:after="0" w:line="18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A U.S. Holder is urged to consult its tax advisor concerning the U.S. federal income tax consequences of an investment in our ADSs or ordinary shares if we are or become a passive foreign investment company, including the possibility of making a mark-to-market election.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Statement by Experts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Avita Medical Limited for the year ended June 30, 2018, 2017 and 2016 has been audited by Grant Thornton Audit Pty Ltd Level 43 Central Park, 152-158 St Georges Terrace Perth, WA 6000 Australia, an independent registered public accounting firm, as stated in their report appearing herein. Such financial statements are included in reliance upon the report of such firm given upon their consent and authority as experts in accounting and auditing.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We will be subject to the reporting requirements of the United States Securities and Exchange Act of 1934, as amended, or the Exchange Act, as applicable to “foreign private issuers” as defined in Rule 3b-4 under the Exchange Act. As a foreign private issuer, we are exempt from certain provisions of the Exchange Act. Accordingly, our proxy solicitations are not subject to the disclosure and procedural requirements of regulation 14A under the Exchange Act, transactions in our equity securities by our officers and directors are exempt from reporting and the “short-swing” profit recovery provisions contained in Section 16 of the Exchange Act. In addition, we are not required under the Exchange Act to file periodic reports and financial statements as frequently or as promptly as U.S. companies whose securities are registered under the Exchange Act. However,</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we will file with the U.S. Securities and Exchange Commission an annual report on Form 20-F containing financial statements that have been examined and reported on, with and opinion expressed by an independent registered public accounting firm, and we will submit reports to the U.S. Securities and Exchange Commission on Form 6-K containing (among other things) press releases and unaudited financial information for the first six months of each fiscal year. We post our annual report on Form 20-F on our website promptly following the filing of our annual report with the U.S. Securities and Exchange Commission. The information on our website is not incorporated by reference into this annual report.</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This document and the exhibits thereto and any other document we file pursuant to the Exchange Act may be inspected without charge and copied at prescribed rates at the U.S. Securities and Exchange Commission public reference room at 100 F Street, N.E., Room 1580, Washington D.C. 20549. You may obtain information on the operation of the Securities and Exchange Commission’s public reference room in Washington, D.C. by calling the U.S. Securities and Exchange Commission at 1-800-SEC-0330.</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U.S. Securities and Exchange Commission maintains a website at www.sec.gov that contains reports, proxy and information statements and other information regarding registrants that make electronic filings with the U.S. Securities and Exchange Commission using its EDGAR (Electronic Data Gathering, Analysis, and Retrieval) system.</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documents concerning our company that are referred to in this document may also be inspected at the offices located at Level 7, 330 Collins Street, Melbourne VIC 3000 Australia.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Subsidiary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4C, under the heading “</w:t>
      </w:r>
      <w:r>
        <w:rPr>
          <w:rFonts w:ascii="Arial" w:cs="Arial" w:eastAsia="Arial" w:hAnsi="Arial"/>
          <w:sz w:val="18"/>
          <w:szCs w:val="18"/>
          <w:i w:val="1"/>
          <w:iCs w:val="1"/>
          <w:color w:val="auto"/>
        </w:rPr>
        <w:t>Organizational Structure.</w:t>
      </w:r>
      <w:r>
        <w:rPr>
          <w:rFonts w:ascii="Arial" w:cs="Arial" w:eastAsia="Arial" w:hAnsi="Arial"/>
          <w:sz w:val="18"/>
          <w:szCs w:val="18"/>
          <w:color w:val="auto"/>
        </w:rPr>
        <w: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Please see the Company’s audited financial statements for the year ended June 20, 2018, at Item 18 under Note 19 “Financial Risk management Objectives and Policies” for a description of interest rate risk, foreign currency risk, credit risk and liquidity risk and how such risks affect the Company.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American Depositary Shares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Bank of New York Mellon, as depositary, will register and deliver American Depositary Shares, also referred to as ADSs. Each ADS will represent 20 shares (or a right to receive 20 shares) deposited with National Australia Bank Ltd., as custodian for the depositary in Melbourne, Australia.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Australian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Item 10D “Exchange Controls and Australian Tax Matters” and Item 10E “U.S. Federal Income Tax Considerations” for more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w:t>
      </w:r>
      <w:r>
        <w:rPr>
          <w:rFonts w:ascii="Arial" w:cs="Arial" w:eastAsia="Arial" w:hAnsi="Arial"/>
          <w:sz w:val="18"/>
          <w:szCs w:val="18"/>
          <w:color w:val="auto"/>
        </w:rPr>
        <w:t xml:space="preserve"> </w:t>
      </w:r>
      <w:r>
        <w:rPr>
          <w:rFonts w:ascii="Arial" w:cs="Arial" w:eastAsia="Arial" w:hAnsi="Arial"/>
          <w:sz w:val="18"/>
          <w:szCs w:val="18"/>
          <w:i w:val="1"/>
          <w:iCs w:val="1"/>
          <w:color w:val="auto"/>
        </w:rPr>
        <w:t>cannot convert the foreign currency, you may lose some of the value of the distribution.</w:t>
      </w:r>
    </w:p>
    <w:p>
      <w:pPr>
        <w:spacing w:after="0" w:line="18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depositary may distribute additional ADSs representing any shares we distribute as a dividend or free distribution.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b w:val="1"/>
          <w:bCs w:val="1"/>
          <w:i w:val="1"/>
          <w:iCs w:val="1"/>
          <w:color w:val="auto"/>
        </w:rPr>
        <w:t>Rights to purchase additional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may (i) exercise those rights on behalf of ADS holders, (ii) distribute those rights to ADS holders or (iii) sell those rights and distribute the net proceeds to ADS holders,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 xml:space="preserve">in each case after deduction or upon payment of its fees and expenses. To the extent the depositary does not do any of those things, it will allow the rights to lapse. </w:t>
      </w:r>
      <w:r>
        <w:rPr>
          <w:rFonts w:ascii="Arial" w:cs="Arial" w:eastAsia="Arial" w:hAnsi="Arial"/>
          <w:sz w:val="16"/>
          <w:szCs w:val="16"/>
          <w:i w:val="1"/>
          <w:iCs w:val="1"/>
          <w:color w:val="auto"/>
        </w:rPr>
        <w:t>In that case, you will receive no value for them.</w:t>
      </w:r>
      <w:r>
        <w:rPr>
          <w:rFonts w:ascii="Arial" w:cs="Arial" w:eastAsia="Arial" w:hAnsi="Arial"/>
          <w:sz w:val="16"/>
          <w:szCs w:val="16"/>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6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w:t>
      </w:r>
      <w:r>
        <w:rPr>
          <w:rFonts w:ascii="Arial" w:cs="Arial" w:eastAsia="Arial" w:hAnsi="Arial"/>
          <w:sz w:val="18"/>
          <w:szCs w:val="18"/>
          <w:color w:val="auto"/>
        </w:rPr>
        <w:t xml:space="preserve"> </w:t>
      </w:r>
      <w:r>
        <w:rPr>
          <w:rFonts w:ascii="Arial" w:cs="Arial" w:eastAsia="Arial" w:hAnsi="Arial"/>
          <w:sz w:val="18"/>
          <w:szCs w:val="18"/>
          <w:i w:val="1"/>
          <w:iCs w:val="1"/>
          <w:color w:val="auto"/>
        </w:rPr>
        <w:t>any value for them if it is illegal or impractical for us to make them available to you</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6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FF4338"/>
        </w:rPr>
        <w:t>This draft registration statement has not been publicly filed with the Securities and Exchange Commission and all</w:t>
      </w:r>
    </w:p>
    <w:p>
      <w:pPr>
        <w:spacing w:after="0" w:line="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ectPr>
          <w:pgSz w:w="11900" w:h="16838" w:orient="portrait"/>
          <w:cols w:equalWidth="0" w:num="1">
            <w:col w:w="11180"/>
          </w:cols>
          <w:pgMar w:left="240" w:top="459" w:right="479" w:bottom="1440" w:gutter="0" w:footer="0" w:header="0"/>
        </w:sectPr>
      </w:pP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Persons depositing or withdrawing shares</w:t>
      </w:r>
    </w:p>
    <w:p>
      <w:pPr>
        <w:ind w:left="200"/>
        <w:spacing w:after="0"/>
        <w:rPr>
          <w:sz w:val="20"/>
          <w:szCs w:val="20"/>
          <w:color w:val="auto"/>
        </w:rPr>
      </w:pPr>
      <w:r>
        <w:rPr>
          <w:rFonts w:ascii="Arial" w:cs="Arial" w:eastAsia="Arial" w:hAnsi="Arial"/>
          <w:sz w:val="14"/>
          <w:szCs w:val="14"/>
          <w:b w:val="1"/>
          <w:bCs w:val="1"/>
          <w:i w:val="1"/>
          <w:iCs w:val="1"/>
          <w:color w:val="auto"/>
        </w:rPr>
        <w:t>or ADS holders must pay</w:t>
      </w:r>
      <w:r>
        <w:rPr>
          <w:rFonts w:ascii="Arial" w:cs="Arial" w:eastAsia="Arial" w:hAnsi="Arial"/>
          <w:sz w:val="14"/>
          <w:szCs w:val="14"/>
          <w:b w:val="1"/>
          <w:bCs w:val="1"/>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200"/>
        <w:spacing w:after="0" w:line="375"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6" w:lineRule="exact"/>
        <w:rPr>
          <w:sz w:val="20"/>
          <w:szCs w:val="20"/>
          <w:color w:val="auto"/>
        </w:rPr>
      </w:pPr>
    </w:p>
    <w:p>
      <w:pPr>
        <w:ind w:right="2000"/>
        <w:spacing w:after="0" w:line="418" w:lineRule="auto"/>
        <w:rPr>
          <w:sz w:val="20"/>
          <w:szCs w:val="20"/>
          <w:color w:val="auto"/>
        </w:rPr>
      </w:pPr>
      <w:r>
        <w:rPr>
          <w:rFonts w:ascii="Arial" w:cs="Arial" w:eastAsia="Arial" w:hAnsi="Arial"/>
          <w:sz w:val="18"/>
          <w:szCs w:val="18"/>
          <w:color w:val="auto"/>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20" w:space="340"/>
            <w:col w:w="5120"/>
          </w:cols>
          <w:pgMar w:left="240" w:top="459" w:right="479" w:bottom="1440" w:gutter="0" w:footer="0" w:header="0"/>
          <w:type w:val="continuous"/>
        </w:sectPr>
      </w:pPr>
    </w:p>
    <w:p>
      <w:pPr>
        <w:ind w:left="20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w:t>
      </w:r>
      <w:r>
        <w:rPr>
          <w:rFonts w:ascii="Arial" w:cs="Arial" w:eastAsia="Arial" w:hAnsi="Arial"/>
          <w:sz w:val="17"/>
          <w:szCs w:val="17"/>
          <w:color w:val="auto"/>
        </w:rPr>
        <w:t xml:space="preserve"> </w:t>
      </w:r>
      <w:r>
        <w:rPr>
          <w:rFonts w:ascii="Arial" w:cs="Arial" w:eastAsia="Arial" w:hAnsi="Arial"/>
          <w:sz w:val="17"/>
          <w:szCs w:val="17"/>
          <w:i w:val="1"/>
          <w:iCs w:val="1"/>
          <w:color w:val="auto"/>
        </w:rPr>
        <w:t>to agree to the amendment and to be bound by the ADRs and the deposit agreement as amended</w:t>
      </w:r>
      <w:r>
        <w:rPr>
          <w:rFonts w:ascii="Arial" w:cs="Arial" w:eastAsia="Arial" w:hAnsi="Arial"/>
          <w:sz w:val="17"/>
          <w:szCs w:val="17"/>
          <w:color w:val="auto"/>
        </w:rPr>
        <w: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60" w:right="5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delist our shares from an exchange on which they were listed and do not list the shares on another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Arial" w:cs="Arial" w:eastAsia="Arial" w:hAnsi="Arial"/>
          <w:sz w:val="18"/>
          <w:szCs w:val="18"/>
          <w:u w:val="single" w:color="auto"/>
          <w:color w:val="auto"/>
        </w:rPr>
        <w:t>but</w:t>
      </w:r>
      <w:r>
        <w:rPr>
          <w:rFonts w:ascii="Arial" w:cs="Arial" w:eastAsia="Arial" w:hAnsi="Arial"/>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60" w:right="1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1060" w:right="22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60" w:right="50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60" w:right="2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jc w:val="both"/>
        <w:ind w:left="200" w:right="500" w:firstLine="441"/>
        <w:spacing w:after="0" w:line="279" w:lineRule="auto"/>
        <w:rPr>
          <w:sz w:val="20"/>
          <w:szCs w:val="20"/>
          <w:color w:val="auto"/>
        </w:rPr>
      </w:pPr>
      <w:r>
        <w:rPr>
          <w:rFonts w:ascii="Arial" w:cs="Arial" w:eastAsia="Arial" w:hAnsi="Arial"/>
          <w:sz w:val="17"/>
          <w:szCs w:val="17"/>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FF4338"/>
        </w:rPr>
        <w:t>information herein remains strictly confidential.</w:t>
      </w:r>
    </w:p>
    <w:p>
      <w:pPr>
        <w:spacing w:after="0" w:line="14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However, you will not, be agreeing to the terms of the deposit agreement, be deemed to have waived our or the depositary’s compliance with U.S. federal securities laws and the rules and regulations promulgated thereunder.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Other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During the year ended June 30, 2018,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RESERVED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60"/>
          </w:cols>
          <w:pgMar w:left="240" w:top="459" w:right="6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860"/>
        <w:spacing w:after="0" w:line="277" w:lineRule="auto"/>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 information herein remains strictly confidential.</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16H.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financial statements and notes thereto (as applicable) in Australian dollars are filed with and incorporated herein as part of this registration statement on Form 20-F, beginning on page F-1 following the signature page of this Form 20-F:</w:t>
      </w:r>
    </w:p>
    <w:p>
      <w:pPr>
        <w:spacing w:after="0" w:line="76" w:lineRule="exact"/>
        <w:rPr>
          <w:sz w:val="20"/>
          <w:szCs w:val="20"/>
          <w:color w:val="auto"/>
        </w:rPr>
      </w:pPr>
    </w:p>
    <w:p>
      <w:pPr>
        <w:ind w:left="1060" w:right="140" w:hanging="316"/>
        <w:spacing w:after="0" w:line="259"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audited consolidated financial statements of the Company for the years ended June 30, 2018, 2017 and 2016, prepared in accordance with IFRS as issued by the IASB,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92"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Unaudited condensed consolidated financial statements of the Company for the half-year ended December 31, 2018 and 2017, prepared in accordance with IFRS as issued by the IASB, including, including: consolidated statements of profits or loss and other comprehensive loss, consolidated statements of financial position, consolidated statements of cash flows, consolidated statements of changes in equity and notes to the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elected to provide financial statements pursuant to Item 17. See the Index to the Financial Statements on page F-1 following the signature page of this Form 20-F.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19. EXHIBITS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44" w:lineRule="exact"/>
        <w:rPr>
          <w:sz w:val="20"/>
          <w:szCs w:val="20"/>
          <w:color w:val="auto"/>
        </w:rPr>
      </w:pPr>
    </w:p>
    <w:p>
      <w:pPr>
        <w:ind w:left="200"/>
        <w:spacing w:after="0"/>
        <w:tabs>
          <w:tab w:leader="none" w:pos="1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4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This draft registration statement has not been publicly filed with the Securities and Exchange Commission and all</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FF4338"/>
        </w:rPr>
        <w:t>information herein remains strictly confidential.</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Avita Medical Limited</w:t>
      </w:r>
    </w:p>
    <w:p>
      <w:pPr>
        <w:spacing w:after="0" w:line="2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spacing w:after="0"/>
        <w:tabs>
          <w:tab w:leader="none" w:pos="1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2019</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240" w:top="459" w:right="5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99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7180" w:type="dxa"/>
            <w:vAlign w:val="bottom"/>
            <w:gridSpan w:val="7"/>
          </w:tcPr>
          <w:p>
            <w:pPr>
              <w:ind w:left="1120"/>
              <w:spacing w:after="0"/>
              <w:rPr>
                <w:sz w:val="20"/>
                <w:szCs w:val="20"/>
                <w:color w:val="auto"/>
              </w:rPr>
            </w:pPr>
            <w:r>
              <w:rPr>
                <w:rFonts w:ascii="Arial" w:cs="Arial" w:eastAsia="Arial" w:hAnsi="Arial"/>
                <w:sz w:val="18"/>
                <w:szCs w:val="18"/>
                <w:b w:val="1"/>
                <w:bCs w:val="1"/>
                <w:color w:val="auto"/>
              </w:rPr>
              <w:t>INDEX TO THE FINANCIAL STATEMENTS</w:t>
            </w:r>
          </w:p>
        </w:tc>
        <w:tc>
          <w:tcPr>
            <w:tcW w:w="12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Avita Medical Limited</w:t>
            </w:r>
          </w:p>
        </w:tc>
        <w:tc>
          <w:tcPr>
            <w:tcW w:w="120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b w:val="1"/>
                <w:bCs w:val="1"/>
                <w:color w:val="auto"/>
              </w:rPr>
              <w:t>INDEX TO AUDITED CONSOLIDATED FINANCIAL STATEMENTS AS OF JUNE 30, 2018, 2017 AND 2016</w:t>
            </w:r>
          </w:p>
        </w:tc>
        <w:tc>
          <w:tcPr>
            <w:tcW w:w="1200" w:type="dxa"/>
            <w:vAlign w:val="bottom"/>
          </w:tcPr>
          <w:p>
            <w:pPr>
              <w:spacing w:after="0"/>
              <w:rPr>
                <w:sz w:val="24"/>
                <w:szCs w:val="24"/>
                <w:color w:val="auto"/>
              </w:rPr>
            </w:pPr>
          </w:p>
        </w:tc>
      </w:tr>
      <w:tr>
        <w:trPr>
          <w:trHeight w:val="297"/>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CONSOLIDATED STATEMENTS OF PROFIT OR LOSS AND OTHER COMPREHENSIVE LOSS FOR THE YEARS ENDED</w:t>
              </w:r>
            </w:hyperlink>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gridSpan w:val="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JUNE 30, 2018, 2017 AND 2016</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CONSOLIDATED STATEMENT OF FINANCIAL POSITION AS OF JUNE 30, 2018 AND 2017</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00" w:type="dxa"/>
            <w:vAlign w:val="bottom"/>
          </w:tcPr>
          <w:p>
            <w:pPr>
              <w:spacing w:after="0" w:line="20" w:lineRule="exact"/>
              <w:rPr>
                <w:sz w:val="1"/>
                <w:szCs w:val="1"/>
                <w:color w:val="auto"/>
              </w:rPr>
            </w:pPr>
          </w:p>
        </w:tc>
        <w:tc>
          <w:tcPr>
            <w:tcW w:w="720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CASH FLOWS FOR THE YEAR ENDED JUNE 30, 2018, 2017 AND 2016</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200" w:type="dxa"/>
            <w:vAlign w:val="bottom"/>
          </w:tcPr>
          <w:p>
            <w:pPr>
              <w:spacing w:after="0"/>
              <w:rPr>
                <w:sz w:val="24"/>
                <w:szCs w:val="24"/>
                <w:color w:val="auto"/>
              </w:rPr>
            </w:pPr>
          </w:p>
        </w:tc>
        <w:tc>
          <w:tcPr>
            <w:tcW w:w="7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CONSOLIDATED STATEMENTS OF CHANGES IN EQUITY AS OF JUNE 30, 2018, 2017 AND 2016</w:t>
              </w:r>
            </w:hyperlink>
          </w:p>
        </w:tc>
        <w:tc>
          <w:tcPr>
            <w:tcW w:w="760" w:type="dxa"/>
            <w:vAlign w:val="bottom"/>
            <w:tcBorders>
              <w:top w:val="single" w:sz="8" w:color="0000EE"/>
            </w:tcBorders>
          </w:tcPr>
          <w:p>
            <w:pPr>
              <w:spacing w:after="0"/>
              <w:rPr>
                <w:sz w:val="24"/>
                <w:szCs w:val="24"/>
                <w:color w:val="auto"/>
              </w:rPr>
            </w:pPr>
          </w:p>
        </w:tc>
        <w:tc>
          <w:tcPr>
            <w:tcW w:w="12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F-7 to F-9</w:t>
            </w:r>
          </w:p>
        </w:tc>
      </w:tr>
      <w:tr>
        <w:trPr>
          <w:trHeight w:val="304"/>
        </w:trPr>
        <w:tc>
          <w:tcPr>
            <w:tcW w:w="20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NOTES TO CONSOLIDATED FINANCIAL STATEMENTS FOR THE YEARS ENDED JUNE 30, 2018, 2017 AND 2016</w:t>
              </w:r>
            </w:hyperlink>
          </w:p>
        </w:tc>
        <w:tc>
          <w:tcPr>
            <w:tcW w:w="70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F-10 to F-52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20" w:right="320" w:hanging="215"/>
        <w:spacing w:after="0" w:line="282" w:lineRule="auto"/>
        <w:rPr>
          <w:sz w:val="20"/>
          <w:szCs w:val="20"/>
          <w:color w:val="auto"/>
        </w:rPr>
      </w:pPr>
      <w:r>
        <w:rPr>
          <w:rFonts w:ascii="Arial" w:cs="Arial" w:eastAsia="Arial" w:hAnsi="Arial"/>
          <w:sz w:val="18"/>
          <w:szCs w:val="18"/>
          <w:b w:val="1"/>
          <w:bCs w:val="1"/>
          <w:color w:val="auto"/>
        </w:rPr>
        <w:t>INDEX TO UNAUDITED CONDENSED CONSOLIDATED FINANCIAL STATEMENTS AS OF JUNE 30, 2018 AND FOR THE HALF-YEAR ENDED DECEMBER 31, 2018 AND 2017</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780" w:type="dxa"/>
            <w:vAlign w:val="bottom"/>
            <w:gridSpan w:val="9"/>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CONSOLIDATED STATEMENTS OF PROFIT OR LOSS AND OTHER COMPREHENSIVE LOSS FOR THE HALF-YEAR</w:t>
              </w:r>
            </w:hyperlink>
          </w:p>
        </w:tc>
        <w:tc>
          <w:tcPr>
            <w:tcW w:w="11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ENDED DECEMBER 31, 2018 AND 2017 (UNAUDITED)</w:t>
              </w:r>
            </w:hyperlink>
          </w:p>
        </w:tc>
        <w:tc>
          <w:tcPr>
            <w:tcW w:w="4680" w:type="dxa"/>
            <w:vAlign w:val="bottom"/>
            <w:tcBorders>
              <w:top w:val="single" w:sz="8" w:color="0000EE"/>
            </w:tcBorders>
            <w:gridSpan w:val="4"/>
          </w:tcPr>
          <w:p>
            <w:pPr>
              <w:spacing w:after="0"/>
              <w:rPr>
                <w:sz w:val="17"/>
                <w:szCs w:val="17"/>
                <w:color w:val="auto"/>
              </w:rPr>
            </w:pPr>
          </w:p>
        </w:tc>
        <w:tc>
          <w:tcPr>
            <w:tcW w:w="5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CONSOLIDATED FINANCIAL POSITION AS OF DECEMBER 31, 2018 AND 30 JUNE 2018 (UNAUDITED)</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9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STATEMENTS OF CASH FLOWS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9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(UNAUDITED)</w:t>
              </w:r>
            </w:hyperlink>
          </w:p>
        </w:tc>
        <w:tc>
          <w:tcPr>
            <w:tcW w:w="6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20"/>
        </w:trPr>
        <w:tc>
          <w:tcPr>
            <w:tcW w:w="1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0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50">
              <w:r>
                <w:rPr>
                  <w:rFonts w:ascii="Arial" w:cs="Arial" w:eastAsia="Arial" w:hAnsi="Arial"/>
                  <w:sz w:val="18"/>
                  <w:szCs w:val="18"/>
                  <w:color w:val="0000EE"/>
                  <w:w w:val="96"/>
                </w:rPr>
                <w:t>CONSOLIDATED STATEMENTS OF CHANGES IN EQUITY AS OF DECEMBER 31, 2018 AND 2017 (UNAUDITED)</w:t>
              </w:r>
            </w:hyperlink>
          </w:p>
        </w:tc>
        <w:tc>
          <w:tcPr>
            <w:tcW w:w="74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304"/>
        </w:trPr>
        <w:tc>
          <w:tcPr>
            <w:tcW w:w="9780" w:type="dxa"/>
            <w:vAlign w:val="bottom"/>
            <w:gridSpan w:val="9"/>
          </w:tcPr>
          <w:p>
            <w:pPr>
              <w:spacing w:after="0"/>
              <w:rPr>
                <w:rFonts w:ascii="Arial" w:cs="Arial" w:eastAsia="Arial" w:hAnsi="Arial"/>
                <w:sz w:val="18"/>
                <w:szCs w:val="18"/>
                <w:color w:val="0000EE"/>
                <w:w w:val="98"/>
              </w:rPr>
            </w:pPr>
            <w:hyperlink w:anchor="page151">
              <w:r>
                <w:rPr>
                  <w:rFonts w:ascii="Arial" w:cs="Arial" w:eastAsia="Arial" w:hAnsi="Arial"/>
                  <w:sz w:val="18"/>
                  <w:szCs w:val="18"/>
                  <w:color w:val="0000EE"/>
                  <w:w w:val="98"/>
                </w:rPr>
                <w:t>NOTES TO CONSOLIDATED FINANCIAL STATEMENTS FOR THE HALF-YEAR ENDED DECEMBER 31, 2018 AND 2017</w:t>
              </w:r>
            </w:hyperlink>
          </w:p>
        </w:tc>
        <w:tc>
          <w:tcPr>
            <w:tcW w:w="11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(UNAUDITED)</w:t>
              </w:r>
            </w:hyperlink>
          </w:p>
        </w:tc>
        <w:tc>
          <w:tcPr>
            <w:tcW w:w="2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F-57 to F-66</w:t>
            </w:r>
          </w:p>
        </w:tc>
      </w:tr>
      <w:tr>
        <w:trPr>
          <w:trHeight w:val="385"/>
        </w:trPr>
        <w:tc>
          <w:tcPr>
            <w:tcW w:w="1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5220" w:type="dxa"/>
            <w:vAlign w:val="bottom"/>
            <w:gridSpan w:val="6"/>
          </w:tcPr>
          <w:p>
            <w:pPr>
              <w:ind w:left="82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r>
    </w:tbl>
    <w:p>
      <w:pPr>
        <w:sectPr>
          <w:pgSz w:w="11900" w:h="16838" w:orient="portrait"/>
          <w:cols w:equalWidth="0" w:num="1">
            <w:col w:w="11160"/>
          </w:cols>
          <w:pgMar w:left="240" w:top="44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Avita Medical Ltd.</w:t>
      </w:r>
    </w:p>
    <w:p>
      <w:pPr>
        <w:spacing w:after="0" w:line="35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ind w:left="1520" w:right="120"/>
        <w:spacing w:after="0" w:line="293" w:lineRule="auto"/>
        <w:rPr>
          <w:sz w:val="20"/>
          <w:szCs w:val="20"/>
          <w:color w:val="auto"/>
        </w:rPr>
      </w:pPr>
      <w:r>
        <w:rPr>
          <w:rFonts w:ascii="Arial" w:cs="Arial" w:eastAsia="Arial" w:hAnsi="Arial"/>
          <w:sz w:val="16"/>
          <w:szCs w:val="16"/>
          <w:color w:val="auto"/>
        </w:rPr>
        <w:t>We have audited the accompanying consolidated balance sheets of Avita Medical Ltd. and subsidiaries (the “Company”) as of June, 30 2018 and 2017, the related consolidated statements of comprehensive income, changes in shareholders’ equity, and cash flows for each of the three years in the period ended June 30, 2018 and the related notes (collectively referred to as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International Financial Reporting Standards, as issued by the International Accounting Standards Board.</w:t>
      </w:r>
    </w:p>
    <w:p>
      <w:pPr>
        <w:spacing w:after="0" w:line="309"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ind w:left="1520" w:right="4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left="1520"/>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4" w:lineRule="exact"/>
        <w:rPr>
          <w:sz w:val="20"/>
          <w:szCs w:val="20"/>
          <w:color w:val="auto"/>
        </w:rPr>
      </w:pPr>
    </w:p>
    <w:p>
      <w:pPr>
        <w:ind w:left="1520" w:right="60"/>
        <w:spacing w:after="0" w:line="276"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GRANT THORNTON AUDIT PTY LTD</w:t>
      </w:r>
    </w:p>
    <w:p>
      <w:pPr>
        <w:spacing w:after="0" w:line="25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We have served as the Company’s auditor since 2011.</w:t>
      </w:r>
    </w:p>
    <w:p>
      <w:pPr>
        <w:spacing w:after="0" w:line="25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Perth, Western Australia</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July 19, 2019</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We have issued our report dated July 19, 2019 with respect to the consolidated financial statements of Avita Medical Ltd contained in the Registration Statement. We consent to the use of the aforementioned report in the Registration Statement and to the use of our name as it appears under the caption “Experts.”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GRANT THORNTON AUDIT PTY LTD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Perth, Western Australia, Australia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July 19, 2019</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20"/>
          </w:cols>
          <w:pgMar w:left="240" w:top="459" w:right="6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PROFIT OR LOSS 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 June 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Sale of goods</w:t>
            </w:r>
          </w:p>
        </w:tc>
        <w:tc>
          <w:tcPr>
            <w:tcW w:w="840" w:type="dxa"/>
            <w:vAlign w:val="bottom"/>
          </w:tcPr>
          <w:p>
            <w:pPr>
              <w:jc w:val="center"/>
              <w:ind w:left="51"/>
              <w:spacing w:after="0"/>
              <w:rPr>
                <w:sz w:val="20"/>
                <w:szCs w:val="20"/>
                <w:color w:val="auto"/>
              </w:rPr>
            </w:pPr>
            <w:r>
              <w:rPr>
                <w:rFonts w:ascii="Arial" w:cs="Arial" w:eastAsia="Arial" w:hAnsi="Arial"/>
                <w:sz w:val="18"/>
                <w:szCs w:val="18"/>
                <w:color w:val="auto"/>
                <w:w w:val="99"/>
              </w:rPr>
              <w:t>4</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1,198,861</w:t>
            </w:r>
          </w:p>
        </w:tc>
        <w:tc>
          <w:tcPr>
            <w:tcW w:w="2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901,376</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1,002,007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(511,646)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(463,285)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(401,568)</w:t>
            </w:r>
          </w:p>
        </w:tc>
        <w:tc>
          <w:tcPr>
            <w:tcW w:w="0" w:type="dxa"/>
            <w:vAlign w:val="bottom"/>
          </w:tcPr>
          <w:p>
            <w:pPr>
              <w:spacing w:after="0"/>
              <w:rPr>
                <w:sz w:val="1"/>
                <w:szCs w:val="1"/>
                <w:color w:val="auto"/>
              </w:rPr>
            </w:pPr>
          </w:p>
        </w:tc>
      </w:tr>
      <w:tr>
        <w:trPr>
          <w:trHeight w:val="228"/>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687,215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438,091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600,439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8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10,104,081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income</w:t>
            </w:r>
          </w:p>
        </w:tc>
        <w:tc>
          <w:tcPr>
            <w:tcW w:w="840" w:type="dxa"/>
            <w:vAlign w:val="bottom"/>
          </w:tcPr>
          <w:p>
            <w:pPr>
              <w:jc w:val="center"/>
              <w:ind w:left="51"/>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10,172,698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7,230,970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(8,936,441)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(5,201,761)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(5,042,189)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(12,606,127)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(11,161,970)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(6,018,184)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(5,360,553)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(2,264,594)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(2,371,747)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840" w:type="dxa"/>
            <w:vAlign w:val="bottom"/>
          </w:tcPr>
          <w:p>
            <w:pPr>
              <w:jc w:val="center"/>
              <w:ind w:left="51"/>
              <w:spacing w:after="0"/>
              <w:rPr>
                <w:sz w:val="20"/>
                <w:szCs w:val="20"/>
                <w:color w:val="auto"/>
              </w:rPr>
            </w:pPr>
            <w:r>
              <w:rPr>
                <w:rFonts w:ascii="Arial" w:cs="Arial" w:eastAsia="Arial" w:hAnsi="Arial"/>
                <w:sz w:val="18"/>
                <w:szCs w:val="18"/>
                <w:color w:val="auto"/>
                <w:w w:val="89"/>
              </w:rPr>
              <w:t>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(1,835,157)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(1,587,243)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8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(28,764,864)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(20,228,322)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(14,388,799)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benefit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(17,904,951)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(12,559,261)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Profit for the period from discontinued operations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(net)</w:t>
            </w:r>
          </w:p>
        </w:tc>
        <w:tc>
          <w:tcPr>
            <w:tcW w:w="8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840" w:type="dxa"/>
            <w:vAlign w:val="bottom"/>
          </w:tcPr>
          <w:p>
            <w:pPr>
              <w:jc w:val="center"/>
              <w:ind w:left="51"/>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(16,519,155)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4"/>
              </w:rPr>
              <w:t>(11,511,024)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(7,778,015)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and loss: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Fair value gain on available for sale financial assets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(265,261)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for the period, net of tax</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(348,554)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(15,955,876</w:t>
            </w:r>
          </w:p>
        </w:tc>
        <w:tc>
          <w:tcPr>
            <w:tcW w:w="220" w:type="dxa"/>
            <w:vAlign w:val="bottom"/>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(11,859,578</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(16,519,155)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(11,511,024)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(7,778,015)</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(15,955,876</w:t>
            </w:r>
          </w:p>
        </w:tc>
        <w:tc>
          <w:tcPr>
            <w:tcW w:w="220" w:type="dxa"/>
            <w:vAlign w:val="bottom"/>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(11,859,578</w:t>
            </w:r>
          </w:p>
        </w:tc>
        <w:tc>
          <w:tcPr>
            <w:tcW w:w="280" w:type="dxa"/>
            <w:vAlign w:val="bottom"/>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(7,681,854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40" w:type="dxa"/>
            <w:vAlign w:val="bottom"/>
          </w:tcPr>
          <w:p>
            <w:pPr>
              <w:jc w:val="center"/>
              <w:ind w:left="51"/>
              <w:spacing w:after="0"/>
              <w:rPr>
                <w:sz w:val="20"/>
                <w:szCs w:val="20"/>
                <w:color w:val="auto"/>
              </w:rPr>
            </w:pPr>
            <w:r>
              <w:rPr>
                <w:rFonts w:ascii="Arial" w:cs="Arial" w:eastAsia="Arial" w:hAnsi="Arial"/>
                <w:sz w:val="18"/>
                <w:szCs w:val="18"/>
                <w:color w:val="auto"/>
                <w:w w:val="99"/>
              </w:rPr>
              <w:t>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(1.77) cents</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(1.72) cents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5</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A$</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(1.77) cents</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(1.72) cents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(1.56) cents</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Discontinued Operations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loss per share attributable to ordinary equity holders of the parent</w:t>
            </w:r>
          </w:p>
        </w:tc>
        <w:tc>
          <w:tcPr>
            <w:tcW w:w="84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4"/>
              </w:rPr>
              <w:t>Diluted loss per share attributable to ordinary equity holders of the parent</w:t>
            </w:r>
          </w:p>
        </w:tc>
        <w:tc>
          <w:tcPr>
            <w:tcW w:w="840" w:type="dxa"/>
            <w:vAlign w:val="bottom"/>
          </w:tcPr>
          <w:p>
            <w:pPr>
              <w:jc w:val="center"/>
              <w:ind w:left="51"/>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(0.05) cents</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99"/>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Inventories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7,280,541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742,583</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23,017,014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7,667,921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3,487,582</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2,363,734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12</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395,535</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3,883,117</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Finance lease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134,338</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4,017,455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2600" w:type="dxa"/>
            <w:vAlign w:val="bottom"/>
            <w:shd w:val="clear" w:color="auto" w:fill="CCEEFF"/>
          </w:tcPr>
          <w:p>
            <w:pPr>
              <w:jc w:val="center"/>
              <w:ind w:left="972"/>
              <w:spacing w:after="0"/>
              <w:rPr>
                <w:sz w:val="20"/>
                <w:szCs w:val="20"/>
                <w:color w:val="auto"/>
              </w:rPr>
            </w:pPr>
            <w:r>
              <w:rPr>
                <w:rFonts w:ascii="Arial" w:cs="Arial" w:eastAsia="Arial" w:hAnsi="Arial"/>
                <w:sz w:val="18"/>
                <w:szCs w:val="18"/>
                <w:color w:val="auto"/>
                <w:w w:val="89"/>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162,801,028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Accumulated losses</w:t>
            </w:r>
          </w:p>
        </w:tc>
        <w:tc>
          <w:tcPr>
            <w:tcW w:w="2600" w:type="dxa"/>
            <w:vAlign w:val="bottom"/>
          </w:tcPr>
          <w:p>
            <w:pPr>
              <w:jc w:val="center"/>
              <w:ind w:left="972"/>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(148,592,879)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(132,218,352)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4,791,410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2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18,999,559</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June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1260" w:type="dxa"/>
            <w:vAlign w:val="bottom"/>
          </w:tcPr>
          <w:p>
            <w:pPr>
              <w:spacing w:after="0"/>
              <w:rPr>
                <w:sz w:val="18"/>
                <w:szCs w:val="18"/>
                <w:color w:val="auto"/>
              </w:rPr>
            </w:pPr>
          </w:p>
        </w:tc>
        <w:tc>
          <w:tcPr>
            <w:tcW w:w="1640" w:type="dxa"/>
            <w:vAlign w:val="bottom"/>
            <w:gridSpan w:val="3"/>
          </w:tcPr>
          <w:p>
            <w:pPr>
              <w:ind w:left="240"/>
              <w:spacing w:after="0"/>
              <w:rPr>
                <w:sz w:val="20"/>
                <w:szCs w:val="20"/>
                <w:color w:val="auto"/>
              </w:rPr>
            </w:pPr>
            <w:r>
              <w:rPr>
                <w:rFonts w:ascii="Arial" w:cs="Arial" w:eastAsia="Arial" w:hAnsi="Arial"/>
                <w:sz w:val="18"/>
                <w:szCs w:val="18"/>
                <w:color w:val="auto"/>
              </w:rPr>
              <w:t>A$(25,681,347)</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(17,676,710)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(14,894,221)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(26,586)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8,141,207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7,094,061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1,129,046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R&amp;D tax refund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972,283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Government grants received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discontinued operations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cash from discontinued operations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2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15</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(16,372,024)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(8,557,524)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(7,938,557)</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and equipment</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(498,749)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(432,592)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the sale of financial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627,837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and equipment</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investing activities</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(498,749)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Proceeds from issuance of shares and options</w:t>
            </w:r>
          </w:p>
        </w:tc>
        <w:tc>
          <w:tcPr>
            <w:tcW w:w="1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29,760,563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10,025,584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raising expenses</w:t>
            </w:r>
          </w:p>
        </w:tc>
        <w:tc>
          <w:tcPr>
            <w:tcW w:w="1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(1,825,643)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(506,452)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Purchase of finance leased asset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(303,521)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27,934,920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8,238,129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9,360,830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11,064,147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(124,150)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1,374,424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2,966,555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(29,106)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(257,238)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7</w:t>
            </w:r>
          </w:p>
        </w:tc>
        <w:tc>
          <w:tcPr>
            <w:tcW w:w="16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$ 14,825,532</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3,790,491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4,171,879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Contributed</w:t>
            </w:r>
          </w:p>
        </w:tc>
        <w:tc>
          <w:tcPr>
            <w:tcW w:w="220" w:type="dxa"/>
            <w:vAlign w:val="bottom"/>
          </w:tcPr>
          <w:p>
            <w:pPr>
              <w:spacing w:after="0"/>
              <w:rPr>
                <w:sz w:val="12"/>
                <w:szCs w:val="12"/>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Share-based</w:t>
            </w:r>
          </w:p>
        </w:tc>
        <w:tc>
          <w:tcPr>
            <w:tcW w:w="2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equity</w:t>
            </w:r>
          </w:p>
        </w:tc>
        <w:tc>
          <w:tcPr>
            <w:tcW w:w="2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payment reserve</w:t>
            </w:r>
          </w:p>
        </w:tc>
        <w:tc>
          <w:tcPr>
            <w:tcW w:w="22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2017</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A$134,806,022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 (132,218,352)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2,811,179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A$(277,017)</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00"/>
              <w:spacing w:after="0"/>
              <w:rPr>
                <w:sz w:val="20"/>
                <w:szCs w:val="20"/>
                <w:color w:val="auto"/>
              </w:rPr>
            </w:pPr>
            <w:r>
              <w:rPr>
                <w:rFonts w:ascii="Arial" w:cs="Arial" w:eastAsia="Arial" w:hAnsi="Arial"/>
                <w:sz w:val="18"/>
                <w:szCs w:val="18"/>
                <w:color w:val="auto"/>
              </w:rPr>
              <w:t>(16,519,155)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(16,519,155)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(16,519,155)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563,279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(15,955,876)</w:t>
            </w: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 capacity</w:t>
            </w: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i w:val="1"/>
                <w:iCs w:val="1"/>
                <w:color w:val="auto"/>
              </w:rPr>
              <w:t>as owners: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(141,188)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Forfeiture options</w:t>
            </w:r>
          </w:p>
        </w:tc>
        <w:tc>
          <w:tcPr>
            <w:tcW w:w="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(31,832)</w:t>
            </w:r>
          </w:p>
        </w:tc>
        <w:tc>
          <w:tcPr>
            <w:tcW w:w="220" w:type="dxa"/>
            <w:vAlign w:val="bottom"/>
          </w:tcPr>
          <w:p>
            <w:pPr>
              <w:spacing w:after="0"/>
              <w:rPr>
                <w:sz w:val="18"/>
                <w:szCs w:val="18"/>
                <w:color w:val="auto"/>
              </w:rPr>
            </w:pP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1,866,989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29,846,859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29,846,859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(1,851,853)</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(1,851,853)</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162,801,028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(148,592,879</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4,505,148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$ 286,262</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18,999,559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Available</w:t>
            </w:r>
          </w:p>
        </w:tc>
        <w:tc>
          <w:tcPr>
            <w:tcW w:w="2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Contributed</w:t>
            </w:r>
          </w:p>
        </w:tc>
        <w:tc>
          <w:tcPr>
            <w:tcW w:w="180" w:type="dxa"/>
            <w:vAlign w:val="bottom"/>
          </w:tcPr>
          <w:p>
            <w:pPr>
              <w:spacing w:after="0"/>
              <w:rPr>
                <w:sz w:val="12"/>
                <w:szCs w:val="12"/>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equity benefit</w:t>
            </w:r>
          </w:p>
        </w:tc>
        <w:tc>
          <w:tcPr>
            <w:tcW w:w="20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for sale</w:t>
            </w:r>
          </w:p>
        </w:tc>
        <w:tc>
          <w:tcPr>
            <w:tcW w:w="2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equity</w:t>
            </w: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reserve</w:t>
            </w:r>
          </w:p>
        </w:tc>
        <w:tc>
          <w:tcPr>
            <w:tcW w:w="20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reserve</w:t>
            </w:r>
          </w:p>
        </w:tc>
        <w:tc>
          <w:tcPr>
            <w:tcW w:w="2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2016</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A$126,264,372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(121,108,408)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A$1,625,016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265,261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A$(193,724)</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6,852,517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(11,511,024)</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(11,511,024)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ind w:left="340"/>
              <w:spacing w:after="0" w:line="201" w:lineRule="exact"/>
              <w:rPr>
                <w:sz w:val="20"/>
                <w:szCs w:val="20"/>
                <w:color w:val="auto"/>
              </w:rPr>
            </w:pPr>
            <w:r>
              <w:rPr>
                <w:rFonts w:ascii="Arial" w:cs="Arial" w:eastAsia="Arial" w:hAnsi="Arial"/>
                <w:sz w:val="18"/>
                <w:szCs w:val="18"/>
                <w:color w:val="auto"/>
              </w:rPr>
              <w:t>Foreign currency</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520"/>
              <w:spacing w:after="0"/>
              <w:rPr>
                <w:sz w:val="20"/>
                <w:szCs w:val="20"/>
                <w:color w:val="auto"/>
              </w:rPr>
            </w:pPr>
            <w:r>
              <w:rPr>
                <w:rFonts w:ascii="Arial" w:cs="Arial" w:eastAsia="Arial" w:hAnsi="Arial"/>
                <w:sz w:val="18"/>
                <w:szCs w:val="18"/>
                <w:color w:val="auto"/>
              </w:rPr>
              <w:t>translation</w:t>
            </w:r>
          </w:p>
        </w:tc>
        <w:tc>
          <w:tcPr>
            <w:tcW w:w="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(83,293)</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MVP Shares</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(265,261)</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05"/>
        </w:trPr>
        <w:tc>
          <w:tcPr>
            <w:tcW w:w="26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w:t>
            </w:r>
          </w:p>
        </w:tc>
        <w:tc>
          <w:tcPr>
            <w:tcW w:w="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b w:val="1"/>
                <w:bCs w:val="1"/>
                <w:color w:val="auto"/>
              </w:rPr>
              <w:t>loss for the year</w:t>
            </w:r>
          </w:p>
        </w:tc>
        <w:tc>
          <w:tcPr>
            <w:tcW w:w="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(11,511,024)</w:t>
            </w:r>
          </w:p>
        </w:tc>
        <w:tc>
          <w:tcPr>
            <w:tcW w:w="18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(265,261)</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(83,293)</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(11,859,578)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w:t>
            </w:r>
          </w:p>
        </w:tc>
        <w:tc>
          <w:tcPr>
            <w:tcW w:w="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their capacity as owners: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Expired Options</w:t>
            </w:r>
          </w:p>
        </w:tc>
        <w:tc>
          <w:tcPr>
            <w:tcW w:w="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401,080</w:t>
            </w:r>
          </w:p>
        </w:tc>
        <w:tc>
          <w:tcPr>
            <w:tcW w:w="2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(401,080)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New shares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9,048,102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9,048,102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Cost of share placement</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(506,452)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(506,452)</w:t>
            </w: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2017</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134,806,022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 xml:space="preserve"> (132,218,352</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$ 2,811,179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(277,017</w:t>
            </w:r>
          </w:p>
        </w:tc>
        <w:tc>
          <w:tcPr>
            <w:tcW w:w="400" w:type="dxa"/>
            <w:vAlign w:val="bottom"/>
          </w:tcPr>
          <w:p>
            <w:pPr>
              <w:jc w:val="right"/>
              <w:ind w:right="32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5,121,832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Available</w:t>
            </w:r>
          </w:p>
        </w:tc>
        <w:tc>
          <w:tcPr>
            <w:tcW w:w="3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Contributed</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equity benefit</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for sale</w:t>
            </w:r>
          </w:p>
        </w:tc>
        <w:tc>
          <w:tcPr>
            <w:tcW w:w="3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reserve</w:t>
            </w:r>
          </w:p>
        </w:tc>
        <w:tc>
          <w:tcPr>
            <w:tcW w:w="3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July 1, 2015</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A$ 117,044,332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A$ (113,457,640)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(24,624)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4,216,884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Loss for the period</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(7,778,015)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(7,778,015)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 Foreign currency translation</w:t>
            </w:r>
          </w:p>
        </w:tc>
        <w:tc>
          <w:tcPr>
            <w:tcW w:w="14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(169,100)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Total comprehensive loss for the year</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(7,778,015)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(169,100)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(7,947,115)</w:t>
            </w:r>
          </w:p>
        </w:tc>
        <w:tc>
          <w:tcPr>
            <w:tcW w:w="0" w:type="dxa"/>
            <w:vAlign w:val="bottom"/>
          </w:tcPr>
          <w:p>
            <w:pPr>
              <w:spacing w:after="0"/>
              <w:rPr>
                <w:sz w:val="1"/>
                <w:szCs w:val="1"/>
                <w:color w:val="auto"/>
              </w:rPr>
            </w:pPr>
          </w:p>
        </w:tc>
      </w:tr>
      <w:tr>
        <w:trPr>
          <w:trHeight w:val="209"/>
        </w:trPr>
        <w:tc>
          <w:tcPr>
            <w:tcW w:w="2980" w:type="dxa"/>
            <w:vAlign w:val="bottom"/>
            <w:gridSpan w:val="2"/>
          </w:tcPr>
          <w:p>
            <w:pPr>
              <w:spacing w:after="0"/>
              <w:rPr>
                <w:sz w:val="20"/>
                <w:szCs w:val="20"/>
                <w:color w:val="auto"/>
              </w:rPr>
            </w:pPr>
            <w:r>
              <w:rPr>
                <w:rFonts w:ascii="Arial" w:cs="Arial" w:eastAsia="Arial" w:hAnsi="Arial"/>
                <w:sz w:val="18"/>
                <w:szCs w:val="18"/>
                <w:i w:val="1"/>
                <w:iCs w:val="1"/>
                <w:color w:val="auto"/>
              </w:rPr>
              <w:t>Transactions with owners in their</w:t>
            </w: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i w:val="1"/>
                <w:iCs w:val="1"/>
                <w:color w:val="auto"/>
              </w:rPr>
              <w:t>capacity as owners: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Expired options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Share-based expenses</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956,658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MVP shares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265,261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options</w:t>
            </w: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140,789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10,025,584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10,025,584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(805,544)</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(805,544)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2016</w:t>
            </w:r>
          </w:p>
        </w:tc>
        <w:tc>
          <w:tcPr>
            <w:tcW w:w="14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126,264,372</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9"/>
              </w:rPr>
              <w:t>A$</w:t>
            </w:r>
            <w:r>
              <w:rPr>
                <w:rFonts w:ascii="Arial" w:cs="Arial" w:eastAsia="Arial" w:hAnsi="Arial"/>
                <w:sz w:val="18"/>
                <w:szCs w:val="18"/>
                <w:b w:val="1"/>
                <w:bCs w:val="1"/>
                <w:color w:val="auto"/>
                <w:w w:val="99"/>
              </w:rPr>
              <w:t xml:space="preserve"> (121,108,408)</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1,625,016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6"/>
              </w:rPr>
              <w:t>265,261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u w:val="single" w:color="auto"/>
                <w:color w:val="auto"/>
                <w:w w:val="86"/>
              </w:rPr>
              <w:t>A$</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(193,724)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6,852,517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Avita Medical Limited, the parent entity, is a company limited by shares incorporated in Australia whose shares are publicly traded on the Australian Securities Exchange.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nature of the operations and principal activities of the Company are described in the Business Overview.</w:t>
      </w:r>
    </w:p>
    <w:p>
      <w:pPr>
        <w:spacing w:after="0" w:line="370" w:lineRule="exact"/>
        <w:rPr>
          <w:sz w:val="20"/>
          <w:szCs w:val="20"/>
          <w:color w:val="auto"/>
        </w:rPr>
      </w:pPr>
    </w:p>
    <w:p>
      <w:pPr>
        <w:ind w:left="640" w:hanging="436"/>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consolidated financial statements are general purpose consolidated financial statements that have been prepared in accordance with the requirements of the International Financial Reporting Standards (IFRS) as issued by the International Accounting Standards Board (IASB). The Company’s consolidated financial statements include the assets and liabilities of all subsidiaries of the Company as at June 30, 2018 and the results of the subsidiaries for the year then ended. Inter-entity transactions with, or between, subsidiaries are eliminated in full on consolidation.</w:t>
      </w:r>
    </w:p>
    <w:p>
      <w:pPr>
        <w:spacing w:after="0" w:line="17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Except for cash flow information, the financial report has been prepared on an accrual basis and is based on historical costs, modified, where applicable, for financial liabilities and assets held at fair value through profit or loss and is presented in Australian dollars which is the Company’s functional and presentation currency.</w:t>
      </w:r>
    </w:p>
    <w:p>
      <w:pPr>
        <w:spacing w:after="0" w:line="326" w:lineRule="exact"/>
        <w:rPr>
          <w:sz w:val="20"/>
          <w:szCs w:val="20"/>
          <w:color w:val="auto"/>
        </w:rPr>
      </w:pPr>
    </w:p>
    <w:p>
      <w:pPr>
        <w:ind w:left="640" w:hanging="436"/>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New and amended accounting standards and interpretations adopted by the Company</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Company has adopted all of the new, revised or amended Accounting Standards and Interpretations issued by the IASB that are mandatory for the current reporting period.</w:t>
      </w:r>
    </w:p>
    <w:p>
      <w:pPr>
        <w:spacing w:after="0" w:line="17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adoption of these Accounting Standards and Interpretations did not have any significant impact on the financial performance or position of the Company.</w:t>
      </w:r>
    </w:p>
    <w:p>
      <w:pPr>
        <w:spacing w:after="0" w:line="315"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060" w:hanging="424"/>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060" w:right="8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75" w:lineRule="exact"/>
        <w:rPr>
          <w:rFonts w:ascii="Arial" w:cs="Arial" w:eastAsia="Arial" w:hAnsi="Arial"/>
          <w:sz w:val="18"/>
          <w:szCs w:val="18"/>
          <w:color w:val="auto"/>
        </w:rPr>
      </w:pPr>
    </w:p>
    <w:p>
      <w:pPr>
        <w:ind w:left="1060" w:right="60" w:hanging="316"/>
        <w:spacing w:after="0" w:line="308"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EBIT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240" w:top="459"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060" w:right="120" w:hanging="316"/>
        <w:spacing w:after="0" w:line="264" w:lineRule="auto"/>
        <w:tabs>
          <w:tab w:leader="none" w:pos="10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6"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The consolidated financial statements comprise the financial statements of Avita Medical Limited and its subsidiaries (‘the Company’) as at the reporting date each year. The Parent controls a subsidiary if it is exposed, or has rights, to variable returns from its involvement with the subsidiary and has the ability to affect those returns through its power over the subsidiary. All subsidiaries have a reporting date of June 30.</w:t>
      </w:r>
    </w:p>
    <w:p>
      <w:pPr>
        <w:spacing w:after="0" w:line="16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In preparing the consolidated financial statements, all intercompany balances and transactions, income and expenses and profit and losses resulting from intercompany transactions have been eliminated in full. Subsidiaries are fully consolidated from the date on which control is obtained by the Company and cease to be consolidated from the date on which control is transferred out of the Company.</w:t>
      </w:r>
    </w:p>
    <w:p>
      <w:pPr>
        <w:spacing w:after="0" w:line="326"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An operating segment is a component of an entity that engages in business activities from which it may earn revenues and incur expenses (including revenues and expenses relating to transactions with other components of the same entity), whose operating results are regularly reviewed by the entity’s chief operating decision maker to make decisions about resources to be allocated to the segment and assess its performance, and for which discrete financial information is available. This includes start-up operations which are yet to earn revenues. Management will also consider other factors in determining operating segments such as the existence of a line manager and the level of segment information presented to the Board of Directors.</w:t>
      </w:r>
    </w:p>
    <w:p>
      <w:pPr>
        <w:spacing w:after="0" w:line="158"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Operating segments have been identified based on the information provided to the chief operating decision makers – being the Chief Executive Officer. The company aggregates two or more operating segments when they have similar economic characteristics, and the segments are similar in each of the following respects:</w:t>
      </w:r>
    </w:p>
    <w:p>
      <w:pPr>
        <w:spacing w:after="0" w:line="87"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Nature of the products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Nature of the production processes;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Type or class of customer for the products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Methods used to distribute the products or provide the services; and if applicable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Nature of the regulatory environment.</w:t>
      </w:r>
    </w:p>
    <w:p>
      <w:pPr>
        <w:spacing w:after="0" w:line="225"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Operating segments that meet the quantitative criteria as prescribed by IFRS 8 Operating Segments are reported separately. However, an operating segment that does not meet the quantitative criteria is still reported separately where information about the segment would be useful to users of the financial statements.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Revenue is recognized and measured at the fair value of the consideration received or receivable to the extent it is probable that the economic benefits will flow to the Company and the revenue can be reliably measured. The following specific recognition criteria must also be met before revenue is recognized: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goods</w:t>
      </w:r>
    </w:p>
    <w:p>
      <w:pPr>
        <w:spacing w:after="0" w:line="11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Revenue from the sale of goods is recognized when the significant risks and rewards of ownership of the goods have passed to the buyer and the costs incurred or to be incurred in respect of the transaction can be measured reliably. Risks and rewards of ownership are considered passed to the buyer at the time of shipment of the goods to the customer.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BARDA income</w:t>
      </w:r>
    </w:p>
    <w:p>
      <w:pPr>
        <w:spacing w:after="0" w:line="11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Company had been granted a BARDA contract in September 2015, wherein BARDA funded the Company to support the ongoing U.S. clinical regulatory program towards FDA Premarket Approval and Compassionate Use program, and clinical and health economics research in U.S. pediatric burn care. Barda income is recognized in the income statement when it is probable that the Company will receive the economic benefits of the contract and the amount can be reliably measured. The BARDA contract allows the Company to be reimbursed for costs incurred to fund the programs outlined above. The BARDA funds received are recognized in the period that the costs are incurred by the project.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is recognized as interest accrues using the effective interest method.</w:t>
      </w:r>
    </w:p>
    <w:p>
      <w:pPr>
        <w:spacing w:after="0" w:line="370"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and other grants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attaching conditions will be complied with.</w:t>
      </w:r>
    </w:p>
    <w:p>
      <w:pPr>
        <w:spacing w:after="0" w:line="24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When the grant relates to an expense item, it is recognized as income over the periods necessary to match the grant on a systematic basis to the costs that it is intended to compensate. Grants are not credited directly to shareholders equity.</w:t>
      </w:r>
    </w:p>
    <w:p>
      <w:pPr>
        <w:spacing w:after="0" w:line="17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When the grant relates to an asset, the fair value is credited to deferred income and is released to the profit or loss over the expected useful life of the relevant asset by equal annual instalments.</w:t>
      </w:r>
    </w:p>
    <w:p>
      <w:pPr>
        <w:spacing w:after="0" w:line="315"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Company as a lessee</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Finance leases, which transfer to the Company substantially all the risks and benefits incidental to ownership of the leased item, are capitalized at the inception of the lease at the fair value of the leased asset or, if lower, at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(continued)</w:t>
      </w:r>
    </w:p>
    <w:p>
      <w:pPr>
        <w:spacing w:after="0" w:line="135"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present value of the minimum lease payments. Lease payments are apportioned between the finance charges and reduction of the lease liability so as to achieve a constant rate of interest on the remaining balance of the liability. Finance charges are recognized as an expense in profit or loss.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Capitalized leased assets are depreciated over the shorter of the estimated useful life of the asset and the lease term if there is no reasonable certainty that the Company will obtain ownership by the end of the lease term.</w:t>
      </w:r>
    </w:p>
    <w:p>
      <w:pPr>
        <w:spacing w:after="0" w:line="170" w:lineRule="exact"/>
        <w:rPr>
          <w:sz w:val="20"/>
          <w:szCs w:val="20"/>
          <w:color w:val="auto"/>
        </w:rPr>
      </w:pPr>
    </w:p>
    <w:p>
      <w:pPr>
        <w:ind w:left="200" w:right="340"/>
        <w:spacing w:after="0" w:line="342" w:lineRule="auto"/>
        <w:rPr>
          <w:sz w:val="20"/>
          <w:szCs w:val="20"/>
          <w:color w:val="auto"/>
        </w:rPr>
      </w:pPr>
      <w:r>
        <w:rPr>
          <w:rFonts w:ascii="Arial" w:cs="Arial" w:eastAsia="Arial" w:hAnsi="Arial"/>
          <w:sz w:val="16"/>
          <w:szCs w:val="16"/>
          <w:color w:val="auto"/>
        </w:rPr>
        <w:t>Operating lease payments are recognized as an expense in profit or loss on a straight-line basis over the lease term. Operating lease incentives are recognized as a liability when received and subsequently reduced by allocating lease payments between rental expense and reduction of the liability.</w:t>
      </w:r>
    </w:p>
    <w:p>
      <w:pPr>
        <w:spacing w:after="0" w:line="268" w:lineRule="exact"/>
        <w:rPr>
          <w:sz w:val="20"/>
          <w:szCs w:val="20"/>
          <w:color w:val="auto"/>
        </w:rPr>
      </w:pPr>
    </w:p>
    <w:p>
      <w:pPr>
        <w:ind w:left="640" w:hanging="436"/>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Cash and cash equivalents in the consolidated statement of financial position comprises of cash at bank and in hand and short-term deposits with an original maturity of three months or less that are readily convertible to known amounts of cash and which are subject to an insignificant risk of changes in value.</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For the purposes of the consolidated statement of cash flows, cash and cash equivalents consist of cash and cash equivalents as defined above, net of outstanding bank overdrafts. Bank overdrafts are included within interest-bearing loans and borrowings in current liabilities on the consolidated statement of financial position.</w:t>
      </w:r>
    </w:p>
    <w:p>
      <w:pPr>
        <w:spacing w:after="0" w:line="326"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Trade receivables, which generally have 30- to 90-day terms, are recognized initially at fair value and subsequently measured at amortized cost using the effective interest method, less an allowance for impairment.</w:t>
      </w:r>
    </w:p>
    <w:p>
      <w:pPr>
        <w:spacing w:after="0" w:line="170" w:lineRule="exact"/>
        <w:rPr>
          <w:sz w:val="20"/>
          <w:szCs w:val="20"/>
          <w:color w:val="auto"/>
        </w:rPr>
      </w:pPr>
    </w:p>
    <w:p>
      <w:pPr>
        <w:ind w:left="200" w:right="320"/>
        <w:spacing w:after="0" w:line="257" w:lineRule="auto"/>
        <w:rPr>
          <w:sz w:val="20"/>
          <w:szCs w:val="20"/>
          <w:color w:val="auto"/>
        </w:rPr>
      </w:pPr>
      <w:r>
        <w:rPr>
          <w:rFonts w:ascii="Arial" w:cs="Arial" w:eastAsia="Arial" w:hAnsi="Arial"/>
          <w:sz w:val="18"/>
          <w:szCs w:val="18"/>
          <w:color w:val="auto"/>
        </w:rPr>
        <w:t>Collectability of trade receivables is reviewed on an on-going basis at an operating unit level. Individual debts that are known to be uncollectible are written off when identified. An impairment provision is recognized when there is objective evidence that the Company will not be able to collect the receivable. Financial difficulties of the debtor, default payments and debts more than 90 days overdue may be considered objective evidence of impairment. The amount of the impairment loss is the receivable carrying amount compared to the present value of estimated future cash flows, discounted at the original effective interest rate.</w:t>
      </w:r>
    </w:p>
    <w:p>
      <w:pPr>
        <w:spacing w:after="0" w:line="333" w:lineRule="exact"/>
        <w:rPr>
          <w:sz w:val="20"/>
          <w:szCs w:val="20"/>
          <w:color w:val="auto"/>
        </w:rPr>
      </w:pPr>
    </w:p>
    <w:p>
      <w:pPr>
        <w:ind w:left="640" w:hanging="436"/>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Inventories are valued at the lower of cost and net realizable value. Costs incurred in bringing each product to its present location and condition are accounted for at purchase cost on a first-in, first-out basis. Assembly costs as invoiced by a third party are factored into the cost of finished goods.</w:t>
      </w:r>
    </w:p>
    <w:p>
      <w:pPr>
        <w:spacing w:after="0" w:line="12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315"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Functional and presentational currency</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Both the functional and presentational currency of Avita Medical Limited and its Australian subsidiaries is Australian dollars ($). The United Kingdom’s subsidiary’s functional currency is Pound Sterling and the United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States’ subsidiary’s functional currency is United States Dollars. These are translated to the presentational currency (see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Transactions and balances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at the date of the transaction.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Monetary assets and liabilities denominated in foreign currencies are retranslated at the rate of exchange ruling at the reporting date.</w:t>
      </w:r>
    </w:p>
    <w:p>
      <w:pPr>
        <w:spacing w:after="0" w:line="211"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Translation of Company functional currency to presentational currency</w:t>
      </w:r>
    </w:p>
    <w:p>
      <w:pPr>
        <w:spacing w:after="0" w:line="117"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The results of the overseas subsidiaries are translated into Australian Dollars as at the date of each transaction. Assets and liabilities are translated at exchange rates prevailing at reporting date. Profit and loss items are translated at average rates and equity items are translated at the date of each transaction. Exchange variations resulting from the translation are recognized in the foreign currency translation reserve in equity.</w:t>
      </w:r>
    </w:p>
    <w:p>
      <w:pPr>
        <w:spacing w:after="0" w:line="147"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On consolidation, exchange differences arising from the translation of the net investment in overseas subsidiaries are taken to the foreign currency translation reserve. If an overseas subsidiary were sold, the proportionate share of exchange differences would be transferred out of equity and recognized in profit or loss.</w:t>
      </w:r>
    </w:p>
    <w:p>
      <w:pPr>
        <w:spacing w:after="0" w:line="3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w:t>
      </w:r>
    </w:p>
    <w:p>
      <w:pPr>
        <w:spacing w:after="0" w:line="121" w:lineRule="exact"/>
        <w:rPr>
          <w:sz w:val="20"/>
          <w:szCs w:val="20"/>
          <w:color w:val="auto"/>
        </w:rPr>
      </w:pPr>
    </w:p>
    <w:p>
      <w:pPr>
        <w:ind w:left="200" w:right="400"/>
        <w:spacing w:after="0" w:line="286" w:lineRule="auto"/>
        <w:rPr>
          <w:sz w:val="20"/>
          <w:szCs w:val="20"/>
          <w:color w:val="auto"/>
        </w:rPr>
      </w:pPr>
      <w:r>
        <w:rPr>
          <w:rFonts w:ascii="Arial" w:cs="Arial" w:eastAsia="Arial" w:hAnsi="Arial"/>
          <w:sz w:val="17"/>
          <w:szCs w:val="17"/>
          <w:color w:val="auto"/>
        </w:rPr>
        <w:t>Current tax assets and liabilities for the current and prior periods are measured at the amount expected to be recovered from or paid to the taxation authorities based on the current period’s taxable income. The tax rates and tax laws used to compute the amount are those that are enacted or substantively enacted by the reporting date. Included in income tax benefits are research and development claims.</w:t>
      </w:r>
    </w:p>
    <w:p>
      <w:pPr>
        <w:spacing w:after="0" w:line="166"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Deferred income tax is provided on all temporary differences at the reporting date between the tax bases of assets and liabilities and their carrying amounts for financial reporting purposes.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131" w:lineRule="exact"/>
        <w:rPr>
          <w:sz w:val="20"/>
          <w:szCs w:val="20"/>
          <w:color w:val="auto"/>
        </w:rPr>
      </w:pPr>
    </w:p>
    <w:p>
      <w:pPr>
        <w:ind w:left="1060" w:right="180" w:hanging="316"/>
        <w:spacing w:after="0" w:line="308"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the deferred income tax liability arises from the initial recognition of goodwill or of an asset or liability in a transaction that is not a business combination and that, at the time of the transaction, affects neither the accounting profit nor taxable profit or loss; or</w:t>
      </w:r>
    </w:p>
    <w:p>
      <w:pPr>
        <w:spacing w:after="0" w:line="51" w:lineRule="exact"/>
        <w:rPr>
          <w:rFonts w:ascii="Arial" w:cs="Arial" w:eastAsia="Arial" w:hAnsi="Arial"/>
          <w:sz w:val="17"/>
          <w:szCs w:val="17"/>
          <w:color w:val="auto"/>
        </w:rPr>
      </w:pPr>
    </w:p>
    <w:p>
      <w:pPr>
        <w:ind w:left="1060" w:hanging="316"/>
        <w:spacing w:after="0" w:line="264"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when the taxable temporary difference is associated with investments in subsidiaries, associates or interests in joint ventures, and the timing of the reversal of the temporary difference can be controlled and it is probable that the temporary difference will not reverse in the foreseeable future.</w:t>
      </w:r>
    </w:p>
    <w:p>
      <w:pPr>
        <w:spacing w:after="0" w:line="1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deductible temporary differences and the carry-forward of unused tax credits and unused tax losses can be utilized, except:</w:t>
      </w:r>
    </w:p>
    <w:p>
      <w:pPr>
        <w:spacing w:after="0" w:line="131" w:lineRule="exact"/>
        <w:rPr>
          <w:sz w:val="20"/>
          <w:szCs w:val="20"/>
          <w:color w:val="auto"/>
        </w:rPr>
      </w:pPr>
    </w:p>
    <w:p>
      <w:pPr>
        <w:jc w:val="both"/>
        <w:ind w:left="1060" w:right="180" w:hanging="316"/>
        <w:spacing w:after="0" w:line="264"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6"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the deductible temporary difference is associated with investments in subsidiaries, associates or interests in joint ventures, in which case a deferred tax asset is only recognized to the extent that it is probable that the temporary difference will reverse in the foreseeable future and taxable profit will be available against which the temporary difference can be utilized.</w:t>
      </w:r>
    </w:p>
    <w:p>
      <w:pPr>
        <w:spacing w:after="0" w:line="181"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6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7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Deferred tax assets and deferred tax liabilities are offset only if a legally enforceable right exists to set off current tax assets against current tax liabilities and the deferred tax assets and liabilities relate to the same taxable entity and the same taxation authority.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consolidation legislation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and its wholly-owned Australian controlled entities implemented the tax consolidation legislation as of July 1, 2003.</w:t>
      </w:r>
    </w:p>
    <w:p>
      <w:pPr>
        <w:spacing w:after="0" w:line="225" w:lineRule="exact"/>
        <w:rPr>
          <w:sz w:val="20"/>
          <w:szCs w:val="20"/>
          <w:color w:val="auto"/>
        </w:rPr>
      </w:pPr>
    </w:p>
    <w:p>
      <w:pPr>
        <w:jc w:val="both"/>
        <w:ind w:left="200" w:right="400"/>
        <w:spacing w:after="0" w:line="264" w:lineRule="auto"/>
        <w:rPr>
          <w:sz w:val="20"/>
          <w:szCs w:val="20"/>
          <w:color w:val="auto"/>
        </w:rPr>
      </w:pPr>
      <w:r>
        <w:rPr>
          <w:rFonts w:ascii="Arial" w:cs="Arial" w:eastAsia="Arial" w:hAnsi="Arial"/>
          <w:sz w:val="18"/>
          <w:szCs w:val="18"/>
          <w:color w:val="auto"/>
        </w:rPr>
        <w:t>The parent entity, Avita Medical Limited, and the controlled entities in the tax consolidated Company continue to account for their own current and deferred tax amounts. The Company has applied the group allocation approach in determining the appropriate amount of current taxes and deferred taxes to allocate to members of the tax consolidated group.</w:t>
      </w:r>
    </w:p>
    <w:p>
      <w:pPr>
        <w:spacing w:after="0" w:line="181"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In addition to its own current and deferred tax amounts, Avita Medical Limited also recognizes the current tax liabilities (or assets) and the deferred tax assets arising from unused tax losses and unused tax credits assumed from controlled entities in the tax consolidated group.</w:t>
      </w:r>
    </w:p>
    <w:p>
      <w:pPr>
        <w:spacing w:after="0" w:line="14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Assets or liabilities arising under tax funding agreements with the tax consolidated entities are recognized as amounts receivable from or payable to other entities in the Company.</w:t>
      </w:r>
    </w:p>
    <w:p>
      <w:pPr>
        <w:spacing w:after="0" w:line="17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Any difference between the amounts assumed and amounts receivable or payable under the tax funding agreement are recognized as a contribution to (or distribution from) wholly-owned tax consolidated entities.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6"/>
          <w:szCs w:val="16"/>
          <w:b w:val="1"/>
          <w:bCs w:val="1"/>
          <w:color w:val="auto"/>
        </w:rPr>
        <w:t>Income tax and other taxes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expenses and assets are recognized net of the amount of Goods and Services Tax (GST) except:</w:t>
      </w:r>
    </w:p>
    <w:p>
      <w:pPr>
        <w:spacing w:after="0" w:line="131" w:lineRule="exact"/>
        <w:rPr>
          <w:sz w:val="20"/>
          <w:szCs w:val="20"/>
          <w:color w:val="auto"/>
        </w:rPr>
      </w:pPr>
    </w:p>
    <w:p>
      <w:pPr>
        <w:ind w:left="1060" w:right="660" w:hanging="316"/>
        <w:spacing w:after="0" w:line="308"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receivables and payables, which are stated with the amount of GST included.</w:t>
      </w:r>
    </w:p>
    <w:p>
      <w:pPr>
        <w:spacing w:after="0" w:line="225"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net amount of GST recoverable from, or payable to, the taxation authority is included as part of receivables or payables in the consolidated statement of financial position.</w:t>
      </w:r>
    </w:p>
    <w:p>
      <w:pPr>
        <w:spacing w:after="0" w:line="170" w:lineRule="exact"/>
        <w:rPr>
          <w:sz w:val="20"/>
          <w:szCs w:val="20"/>
          <w:color w:val="auto"/>
        </w:rPr>
      </w:pPr>
    </w:p>
    <w:p>
      <w:pPr>
        <w:ind w:left="200" w:right="220"/>
        <w:spacing w:after="0" w:line="308" w:lineRule="auto"/>
        <w:rPr>
          <w:sz w:val="20"/>
          <w:szCs w:val="20"/>
          <w:color w:val="auto"/>
        </w:rPr>
      </w:pPr>
      <w:r>
        <w:rPr>
          <w:rFonts w:ascii="Arial" w:cs="Arial" w:eastAsia="Arial" w:hAnsi="Arial"/>
          <w:sz w:val="17"/>
          <w:szCs w:val="17"/>
          <w:color w:val="auto"/>
        </w:rPr>
        <w:t>Cash flows are included in the consolidated statement of cash flows on a gross basis and the GST component of cash flows arising from investing and financing activities, which is recoverable from, or payable to, the taxation authority is classified as part of operating cash flows.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Commitments and contingencies are disclosed net of the amount of GST recoverable from, or payable to, the taxation authority.</w:t>
      </w:r>
    </w:p>
    <w:p>
      <w:pPr>
        <w:spacing w:after="0" w:line="370"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Plant and equipment</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Company’s fixed assets are stated at cost less accumulated depreciation and any accumulated impairment losses. Depreciation are computed based on the straight-line method over the estimated useful lives of the various classes of assets. The ranges of estimated useful lives for the principal classes of assets are as follows:</w:t>
      </w:r>
    </w:p>
    <w:p>
      <w:pPr>
        <w:spacing w:after="0" w:line="87" w:lineRule="exact"/>
        <w:rPr>
          <w:sz w:val="20"/>
          <w:szCs w:val="20"/>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Laboratory equipment – 5 years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Computer equipment – 5 years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Fixtures and fittings – 7 years</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Company reviews its long-lived assets for impairment annually, or when events or changes in circumstances indicate that the carrying amounts of these assets may not be recoverable. An asset is considered impaired when the fair value, which is the expected undiscounted cash flows over the remaining useful life, is less than the net book value. The excess of the net book value over its fair value is charged as impairment loss to profit and loss account.</w:t>
      </w:r>
    </w:p>
    <w:p>
      <w:pPr>
        <w:spacing w:after="0" w:line="187"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Repairs and maintenance are recognized in profit or loss during the financial period in which they are incurred. Gains and losses on disposal are determined by comparing the proceeds on disposal with the carrying amount and are included in profit or loss.</w:t>
      </w:r>
    </w:p>
    <w:p>
      <w:pPr>
        <w:spacing w:after="0" w:line="315"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Trade payables and other payables are carried at amortized cost and due to their short-term nature, they are not discounted. They represent liabilities for goods and services provided to the Company prior to the end of the financial year that are unpaid and arise when the Company becomes obliged to make future payments in respect of the purchase of these goods and services. The amounts are unsecured and are usually paid within 30 days of recognition.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loans and borrowings are initially recognized at the fair value of the consideration received less directly attributable transaction costs.</w:t>
      </w:r>
    </w:p>
    <w:p>
      <w:pPr>
        <w:spacing w:after="0" w:line="225"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After initial recognition, interest-bearing loans and borrowings are subsequently measured at amortized cost using the effective interest method. Fees paid on the establishment of loan facilities that are yield related are included as part of the carrying amount of the loans and borrowings.</w:t>
      </w:r>
    </w:p>
    <w:p>
      <w:pPr>
        <w:spacing w:after="0" w:line="124"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Borrowings are classified as current liabilities unless the Company has an unconditional right to defer settlement of the liability for at least 12 months after the reporting date.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Borrowing costs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Borrowing costs, other than borrowing costs relating to qualifying assets, are recognized as an expense when incurred.</w:t>
      </w:r>
    </w:p>
    <w:p>
      <w:pPr>
        <w:spacing w:after="0" w:line="370" w:lineRule="exact"/>
        <w:rPr>
          <w:sz w:val="20"/>
          <w:szCs w:val="20"/>
          <w:color w:val="auto"/>
        </w:rPr>
      </w:pPr>
    </w:p>
    <w:p>
      <w:pPr>
        <w:ind w:left="640" w:hanging="436"/>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Recognition, initial measurement and derecognition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Financial assets and financial liabilities are recognized when the Company becomes a party to the contractual provisions of the financial instrument and are measured initially at fair value adjusted by transactions costs, except for those carried at fair value through profit or loss, which are measured initially at fair value. Subsequent measurement of financial assets and financial liabilities are described below.</w:t>
      </w:r>
    </w:p>
    <w:p>
      <w:pPr>
        <w:spacing w:after="0" w:line="181"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Financial assets are derecognized when the contractual rights to the cash flows from the financial asset expire, or when the financial asset and all substantial risks and rewards are transferred. A financial liability is derecognized when it is extinguished, discharged, cancelled or expires.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assets</w:t>
      </w:r>
    </w:p>
    <w:p>
      <w:pPr>
        <w:spacing w:after="0" w:line="117"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For the purpose of subsequent measurement, financial assets other than those designated and effective as hedging instruments are classified into the following categories upon initial recognition:</w:t>
      </w:r>
    </w:p>
    <w:p>
      <w:pPr>
        <w:spacing w:after="0" w:line="76"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 (‘FVTPL’);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Held-To-Maturity (‘HTM’) investments;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Available-For-Sale (‘AFS’) financial assets.</w:t>
      </w:r>
    </w:p>
    <w:p>
      <w:pPr>
        <w:spacing w:after="0" w:line="225"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All financial assets except for those at FVTPL are subject to review for impairment at least at each reporting date to identify whether there is any objective evidence that a financial asset or a group of financial assets is impaired. Different criteria to determine impairment are applied for each category of financial assets, which are described below.</w:t>
      </w:r>
    </w:p>
    <w:p>
      <w:pPr>
        <w:spacing w:after="0" w:line="18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All income and expenses relating to financial assets that are recognized in the Statement of Profit or Loss and Other Comprehensive Income are presented within finance costs, finance income or other financial items, except for impairment of trade receivables which is presented within other expenses.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24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Loans and receivables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After initial recognition, these are measured at amortized cost using the effective interest method, less provision for impairment. Discounting is omitted where the effect of discounting is immaterial. The Company’s cash and cash equivalents, trade and most other receivables fall into this category of financial instruments.</w:t>
      </w:r>
    </w:p>
    <w:p>
      <w:pPr>
        <w:spacing w:after="0" w:line="1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AFS financial assets</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AFS financial assets are non-derivative financial assets that are either designated to this category or do not qualify for inclusion in any of the other categories of financial assets.</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All AFS financial assets are measured at fair value. Gains and losses are recognized in other comprehensive income and reported within the AFS reserve within equity, except for impairment losses and foreign exchange differences on monetary assets, which are recognized in profit or loss. When the asset is disposed of or is determined to be impaired the cumulative gain or loss recognized in other comprehensive income is reclassified from the equity reserve to profit or loss and presented as a reclassification adjustment within other comprehensive income. Interest calculated using the effective interest method and dividends are recognized in profit or loss within ‘finance income’.</w:t>
      </w:r>
    </w:p>
    <w:p>
      <w:pPr>
        <w:spacing w:after="0" w:line="173"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Reversals of impairment losses for AFS debt securities are recognized in profit or loss if the reversal can be objectively related to an event occurring after the impairment loss was recognized. For AFS equity investments impairment reversals are not recognized in profit loss and any subsequent increase in fair value is recognized in other comprehensive income.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Classification and subsequent measurement of financial liabilities</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Company’s financial liabilities include borrowings, trade and other payables. Financial liabilities are measured subsequently at amortized cost using the effective interest method, except for financial liabilities held for trading or designated at FVTPL, that are carried subsequently at fair value with gains or losses recognized in profit or loss. All derivative financial instruments that are not designated and effective as hedging instruments are accounted for at FVTPL.</w:t>
      </w:r>
    </w:p>
    <w:p>
      <w:pPr>
        <w:spacing w:after="0" w:line="331"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w:t>
      </w:r>
    </w:p>
    <w:p>
      <w:pPr>
        <w:spacing w:after="0" w:line="121"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and employee leave benefits (continued)</w:t>
      </w:r>
    </w:p>
    <w:p>
      <w:pPr>
        <w:spacing w:after="0" w:line="13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When the Company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w:t>
      </w:r>
    </w:p>
    <w:p>
      <w:pPr>
        <w:spacing w:after="0" w:line="181"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present obligation at the reporting date using a discounted cash flow methodology. The risks specific to the provision are factored into the cash flows and as such a risk-free government bond rate relative to the expected life of the provision is used as a discount rate. If the effect of the time value of money is material, provisions are discounted using a current pre-tax rate that reflects the time value of money and the risks specific to the liability. The increase in the provision resulting from the passage of time is recognized in finance costs.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leave benefits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Liabilities for wages and salaries, including non-monetary benefits, annual leave and accumulating sick leave expected to be settled within 12 months of the reporting date are recognized in respect of employees’ services up to the reporting date. They are measured at the amounts expected to be paid when the liabilities are settled. Expenses for non-accumulating sick leave are recognized when the leave is taken and are measured at the rates paid or payable.</w:t>
      </w:r>
    </w:p>
    <w:p>
      <w:pPr>
        <w:spacing w:after="0" w:line="291"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Company provides benefits to employees (including Key Management Personnel) in the form of share-based payments, whereby employees render services in exchange for shares or rights over shares (equity-settled transactions).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in place an Employee Share Option Plan (ESOP) which provides benefits to Senior Executives.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cost of these equity-settled transactions with employees is measured by reference to the fair value of the equity instruments at the date at which they are granted. The fair value is determined by an external valuer using a binomial model.</w:t>
      </w:r>
    </w:p>
    <w:p>
      <w:pPr>
        <w:spacing w:after="0" w:line="17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The cost of equity-settled transactions is recognized, together with a corresponding increase in equity, over the period in which the performance and/or service conditions are fulfilled (the vesting period), ending on the date on which the relevant employees become fully entitled to the award (the vesting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each subsequent reporting date until vesting, the cumulative charge to profit or loss is the product of:</w:t>
      </w:r>
    </w:p>
    <w:p>
      <w:pPr>
        <w:spacing w:after="0" w:line="131" w:lineRule="exact"/>
        <w:rPr>
          <w:sz w:val="20"/>
          <w:szCs w:val="20"/>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grant date fair value of the award;</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current best estimate of the number of awards that will vest, taking into account such factors as the likelihood of employee turnover during the vesting period and the likelihood of non-market performance conditions being met;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expired portion of the vesting period.</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charge to profit or loss for the period is the cumulative amount as calculated above less the amounts already charged in previous periods. There is a corresponding entry to equity.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transactions (continued)</w:t>
      </w:r>
    </w:p>
    <w:p>
      <w:pPr>
        <w:spacing w:after="0" w:line="13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expense recognized by Avita Medical Limited in relation to equity-settled awards only represents the expense associated with grants to employees of the parent. The expense recognized by the Company is the total expense associated with all such awards.</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Until an award has vested, any amounts recorded are contingent and will be adjusted if more or fewer awards vest than were originally anticipated to do so. Any award subject to a market condition is considered to vest irrespective of whether or not that market condition is fulfilled, provided that all other conditions are satisfied.</w:t>
      </w:r>
    </w:p>
    <w:p>
      <w:pPr>
        <w:spacing w:after="0" w:line="18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If the terms of an equity-settled award are modified, as a minimum an expense is recognized as if the terms had not been modified. An additional expense is recognized for any modification that increases the total fair value of the share-based payment arrangement, or is otherwise beneficial to the employee, as measured at the date of modification.</w:t>
      </w:r>
    </w:p>
    <w:p>
      <w:pPr>
        <w:spacing w:after="0" w:line="181"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If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 are treated as if they were a modification of the original award, as described in the previous paragraph.</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dilutive effect, if any, of outstanding options is reflected as additional share dilution in the computation of diluted earnings per share.</w:t>
      </w:r>
    </w:p>
    <w:p>
      <w:pPr>
        <w:spacing w:after="0" w:line="370"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7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Basic loss per share is calculated as net loss attributable to members of the parent, adjusted to exclude any costs of servicing equity (other than dividends), divided by the weighted average number of ordinary shares.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 loss per share is calculated as net loss attributable to members of the parent, adjusted for:</w:t>
      </w:r>
    </w:p>
    <w:p>
      <w:pPr>
        <w:spacing w:after="0" w:line="131" w:lineRule="exact"/>
        <w:rPr>
          <w:sz w:val="20"/>
          <w:szCs w:val="20"/>
          <w:color w:val="auto"/>
        </w:rPr>
      </w:pPr>
    </w:p>
    <w:p>
      <w:pPr>
        <w:ind w:left="1060" w:hanging="316"/>
        <w:spacing w:after="0"/>
        <w:tabs>
          <w:tab w:leader="none" w:pos="10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costs of servicing equity (other than dividends);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after-tax effect of dividends and interest associated with dilutive potential ordinary shares that have been recognized as expenses;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other non-discretionary changes in revenues or expenses during the year that would result from the dilution of potential ordinary shares;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divided by the weighted average number of ordinary shares and dilutive potential ordinary shares, adjusted for any bonus element.</w:t>
      </w:r>
    </w:p>
    <w:p>
      <w:pPr>
        <w:spacing w:after="0" w:line="381" w:lineRule="exact"/>
        <w:rPr>
          <w:rFonts w:ascii="Arial" w:cs="Arial" w:eastAsia="Arial" w:hAnsi="Arial"/>
          <w:sz w:val="17"/>
          <w:szCs w:val="17"/>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Expenditures during the research phase of a project are recognized as expenses when incurred. Development costs are capitalized only when technical feasibility studies identify that the project is expected to deliver future economic benefits and these benefits can be measured reliably.</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 (continued)</w:t>
      </w:r>
    </w:p>
    <w:p>
      <w:pPr>
        <w:spacing w:after="0" w:line="13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Capitalized development costs have a finite useful life and amortized on a systematic basis based on the future economic benefits over the useful life of the project.</w:t>
      </w:r>
    </w:p>
    <w:p>
      <w:pPr>
        <w:spacing w:after="0" w:line="315"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financial year ended June 30, 2018, the Company has generated a loss for the period of A$16,519,155 (2017: A$11,511,024 and 2016: A$7,778,015) and the Company has used cash in operations of A$16,372,024 (2017: A$8,557,524 and 2016: A$7,938,557).</w:t>
      </w:r>
    </w:p>
    <w:p>
      <w:pPr>
        <w:spacing w:after="0" w:line="187"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During the year ended June 30, 2018 and subsequent to year end, the Company completed a series of equity transactions totaling gross proceeds of A$74,775,545 which were used to fund operations. Of the total gross proceeds, A$29,760,645 was received in transactions completed during the year ended June 30, 2018, and A$45,014,900 was received in transactions completely subsequent to June 30, 2018.</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October 11, 2017 the Company completed a placement of 100,982,978 fully paid ordinary shares at a price of A$0.045 per share raising gross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proceeds of A$4,544,234. On November 7, 2017 the Company completed a rights offering of 276,502,853 fully paid ordinary shares at a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A$0.045 per share raising gross proceeds of A$12,442,628. On June 6, 2018 the Company completed the first tranche of an institutional placement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it issued 255,475,665 fully paid ordinary shares at a price of A$0.050 per share raising gross proceeds of A$12,773,783. The institutional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placement included a second tranche totaling A$3.250 million of gross proceeds, contingent upon shareholder approval. Shareholder approval for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Tranche 2 was received at an Extraordinary General Meeting held on July 23, 2018, and the Company issued 65 million shares at a price of A$0.050 per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and received gross proceeds of A$3,250,000 on July 26, 2018.</w:t>
      </w:r>
    </w:p>
    <w:p>
      <w:pPr>
        <w:spacing w:after="0" w:line="211"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2010 the Company complete a Share Purchase Plan under which it issued 22,061,250 shares of stock at a price of A$0.080 per share and received gross proceeds of A$1,764,900.</w:t>
      </w:r>
    </w:p>
    <w:p>
      <w:pPr>
        <w:spacing w:after="0" w:line="16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also benefits from cash inflows from the series of BARDA contracts, the first of which was awarded to the Company in September 2015. These payments from BARDA offset the costs from various activities undertaken to support the FDA regulatory approval process for RECELL in the U.S., preparation for the planned commercial launch of RECELL in the U.S., and other RECELL clinical programs in the U.S. Another anticipated source of capital for the Company is the potential triggering of the BARDA contract covering the initial purchase, storage and delivery of RECELL devices in the amount of US$7,594,620 (~A$10.2m).</w:t>
      </w:r>
    </w:p>
    <w:p>
      <w:pPr>
        <w:spacing w:after="0" w:line="18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31"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through raising capital by issuing securities in the Company, and it is expected that similar funding will be obtained to provide working capital as and when required. If the Company is unable to raise capital in the future, the Company may need to curtail expenditures by scaling back certain research and development or other programs.</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a result of the above, the directors are satisfied that there is sufficient working capital to support the committed research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26"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The preparation of the financial statements requires management to make judgements, estimates and assumptions that affect the reported amounts in the financial statements. Management continually evaluates its judgements and estimates in relation to assets, liabilities, contingent liabilities, revenue and expenses. Management bases its judgements and estimates on historical experience and on other various factors it believes to be reasonable under the circumstances, the result of which form the basis of the carrying value of assets and liabilities that are not readily apparent from other sources. Actual results may differ from these estimates under different assumptions and conditions.</w:t>
      </w:r>
    </w:p>
    <w:p>
      <w:pPr>
        <w:spacing w:after="0" w:line="173"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Management has identified the following critical accounting policies for which significant judgements, estimates and assumptions are made. Actual results may differ from these estimates under different assumptions and conditions and may materially affect financial results or the financial position reported in future periods.</w:t>
      </w:r>
    </w:p>
    <w:p>
      <w:pPr>
        <w:spacing w:after="0" w:line="326"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estimates and assumptions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payment transactions</w:t>
      </w:r>
    </w:p>
    <w:p>
      <w:pPr>
        <w:spacing w:after="0" w:line="117"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The Company measures the cost of equity-settled transactions with employees by reference to the fair value of the equity instruments at the date at which they are granted. The fair value is determined by using a binomial model, using the assumptions detailed in note 18 (g).</w:t>
      </w:r>
    </w:p>
    <w:p>
      <w:pPr>
        <w:spacing w:after="0" w:line="14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accounting estimates and assumptions relating to equity-settled share-based payments would have no impact on the carrying amounts of assets and liabilities within the next annual reporting period but may impact expenses and equity.</w:t>
      </w:r>
    </w:p>
    <w:p>
      <w:pPr>
        <w:spacing w:after="0" w:line="315"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Estimation of useful lives of assets</w:t>
      </w:r>
    </w:p>
    <w:p>
      <w:pPr>
        <w:spacing w:after="0" w:line="117"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estimation of the useful lives of assets has been based on historical experience. In addition, the condition of the assets is assessed at least once per year and considered against the remaining useful life. Adjustments to useful lives are made when considered necessary. Depreciation charges are included in note 4(d).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of non-financial assets other than goodwill</w:t>
      </w:r>
    </w:p>
    <w:p>
      <w:pPr>
        <w:spacing w:after="0" w:line="11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Company assesses impairment of all assets at each reporting date by evaluating conditions specific to the Company and to the particular asset that may lead to impairment. These include product and manufacturing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 (CONTINUED)</w:t>
      </w:r>
    </w:p>
    <w:p>
      <w:pPr>
        <w:spacing w:after="0" w:line="131"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(continued)</w:t>
      </w:r>
    </w:p>
    <w:p>
      <w:pPr>
        <w:spacing w:after="0" w:line="135"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performance, technology, economic and political environments and future product expectations. If an impairment trigger exists, the recoverable amount of the asset is determined. This involves value in use calculations, which incorporate a number of key estimates and assumptions.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Company’s accounting policy for taxation requires management’s judgement as to the types of arrangements considered to be a tax on income in contrast to an operating cost. Judgement is also required in assessing whether deferred tax assets and certain deferred tax liabilities are recognized on the consolidated statement of financial position. Deferred tax assets, including those arising from unrecouped tax losses, capital losses and temporary differences, are recognized only where it is considered more likely than not that they will be recovered, which is dependent on the generation of sufficient future taxable profits.</w:t>
      </w:r>
    </w:p>
    <w:p>
      <w:pPr>
        <w:spacing w:after="0" w:line="18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Assumptions about the generation of future taxable profits depend on management’s estimates of future cash flows. These depend on estimates of future production and sales volumes, operating costs, capital expenditure, dividends and other capital management transactions. Judgements are also required about the application of income tax legislation. These judgements and assumptions are subject to risk and uncertainty, hence there is a possibility that changes in circumstances will alter expectations, which may impact the amount of deferred tax assets and deferred tax liabilities recognized on the consolidated statement of financial position and the amount of other tax losses and temporary differences not yet recognized. In such circumstances, some or all of the carrying amounts of recognized deferred tax assets and liabilities may require adjustment, resulting in a corresponding credit or charge to profit or loss.</w:t>
      </w:r>
    </w:p>
    <w:p>
      <w:pPr>
        <w:spacing w:after="0" w:line="334"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REVENUES AND EXPENSES</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780" w:type="dxa"/>
            <w:vAlign w:val="bottom"/>
            <w:gridSpan w:val="2"/>
            <w:vMerge w:val="restart"/>
          </w:tcPr>
          <w:p>
            <w:pPr>
              <w:jc w:val="center"/>
              <w:ind w:left="2716"/>
              <w:spacing w:after="0"/>
              <w:rPr>
                <w:sz w:val="20"/>
                <w:szCs w:val="20"/>
                <w:color w:val="auto"/>
              </w:rPr>
            </w:pPr>
            <w:r>
              <w:rPr>
                <w:rFonts w:ascii="Arial" w:cs="Arial" w:eastAsia="Arial" w:hAnsi="Arial"/>
                <w:sz w:val="14"/>
                <w:szCs w:val="14"/>
                <w:b w:val="1"/>
                <w:bCs w:val="1"/>
                <w:color w:val="auto"/>
                <w:w w:val="96"/>
              </w:rPr>
              <w:t>2018</w:t>
            </w:r>
          </w:p>
        </w:tc>
        <w:tc>
          <w:tcPr>
            <w:tcW w:w="178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1"/>
              </w:rPr>
              <w:t>Year Ended June 30,</w:t>
            </w:r>
          </w:p>
        </w:tc>
        <w:tc>
          <w:tcPr>
            <w:tcW w:w="1140" w:type="dxa"/>
            <w:vAlign w:val="bottom"/>
            <w:gridSpan w:val="2"/>
            <w:vMerge w:val="restart"/>
          </w:tcPr>
          <w:p>
            <w:pPr>
              <w:jc w:val="center"/>
              <w:ind w:left="76"/>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14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6"/>
              </w:rPr>
              <w:t>2017</w:t>
            </w:r>
          </w:p>
        </w:tc>
        <w:tc>
          <w:tcPr>
            <w:tcW w:w="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  Revenue</w:t>
            </w:r>
          </w:p>
        </w:tc>
        <w:tc>
          <w:tcPr>
            <w:tcW w:w="2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00"/>
              <w:spacing w:after="0"/>
              <w:rPr>
                <w:sz w:val="20"/>
                <w:szCs w:val="20"/>
                <w:color w:val="auto"/>
              </w:rPr>
            </w:pPr>
            <w:r>
              <w:rPr>
                <w:rFonts w:ascii="Arial" w:cs="Arial" w:eastAsia="Arial" w:hAnsi="Arial"/>
                <w:sz w:val="18"/>
                <w:szCs w:val="18"/>
                <w:color w:val="auto"/>
              </w:rPr>
              <w:t>Sale of goods</w:t>
            </w:r>
          </w:p>
        </w:tc>
        <w:tc>
          <w:tcPr>
            <w:tcW w:w="3780" w:type="dxa"/>
            <w:vAlign w:val="bottom"/>
            <w:gridSpan w:val="2"/>
          </w:tcPr>
          <w:p>
            <w:pPr>
              <w:jc w:val="center"/>
              <w:ind w:left="2736"/>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1,198,861</w:t>
            </w:r>
          </w:p>
        </w:tc>
        <w:tc>
          <w:tcPr>
            <w:tcW w:w="1780" w:type="dxa"/>
            <w:vAlign w:val="bottom"/>
            <w:gridSpan w:val="3"/>
          </w:tcPr>
          <w:p>
            <w:pPr>
              <w:jc w:val="center"/>
              <w:ind w:left="79"/>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901,376</w:t>
            </w:r>
          </w:p>
        </w:tc>
        <w:tc>
          <w:tcPr>
            <w:tcW w:w="1200" w:type="dxa"/>
            <w:vAlign w:val="bottom"/>
            <w:gridSpan w:val="3"/>
          </w:tcPr>
          <w:p>
            <w:pPr>
              <w:jc w:val="center"/>
              <w:ind w:left="36"/>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1,002,007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3780" w:type="dxa"/>
            <w:vAlign w:val="bottom"/>
            <w:gridSpan w:val="2"/>
            <w:shd w:val="clear" w:color="auto" w:fill="CCEEFF"/>
          </w:tcPr>
          <w:p>
            <w:pPr>
              <w:jc w:val="center"/>
              <w:ind w:left="273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1,198,861</w:t>
            </w:r>
          </w:p>
        </w:tc>
        <w:tc>
          <w:tcPr>
            <w:tcW w:w="1780" w:type="dxa"/>
            <w:vAlign w:val="bottom"/>
            <w:gridSpan w:val="3"/>
            <w:shd w:val="clear" w:color="auto" w:fill="CCEEFF"/>
          </w:tcPr>
          <w:p>
            <w:pPr>
              <w:jc w:val="center"/>
              <w:ind w:left="79"/>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901,376</w:t>
            </w:r>
          </w:p>
        </w:tc>
        <w:tc>
          <w:tcPr>
            <w:tcW w:w="120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1,002,007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The Company had been granted a BARDA contract in September 2015, wherein BARDA will fund the Company to support the ongoing U.S. clinical regulatory program towards FDA Premarket Approval and Compassionate Use program, and clinical and health economics research in U.S. pediatric burn care. The objectives support BARDA’s overarching goal of building burn care preparedness, by securing effective medical countermeasures for burn injuries for use in case of a mass casualty.</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Year Ended June 30,</w:t>
            </w:r>
          </w:p>
        </w:tc>
        <w:tc>
          <w:tcPr>
            <w:tcW w:w="114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14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w:t>
            </w:r>
          </w:p>
        </w:tc>
        <w:tc>
          <w:tcPr>
            <w:tcW w:w="328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Other income</w:t>
            </w:r>
          </w:p>
        </w:tc>
        <w:tc>
          <w:tcPr>
            <w:tcW w:w="3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BARDA income</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A$10,104,081</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A$6,886,236</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A$2,424,357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344,734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Total other income</w:t>
            </w:r>
          </w:p>
        </w:tc>
        <w:tc>
          <w:tcPr>
            <w:tcW w:w="34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10,172,698</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7,230,970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2,544,517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40" w:type="dxa"/>
            <w:vAlign w:val="bottom"/>
            <w:gridSpan w:val="2"/>
          </w:tcPr>
          <w:p>
            <w:pPr>
              <w:jc w:val="right"/>
              <w:ind w:right="237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86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REVENUES AND EXPENSES (CONTINUED)</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June 30,</w:t>
            </w: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0" w:type="dxa"/>
            <w:vAlign w:val="bottom"/>
            <w:gridSpan w:val="2"/>
            <w:vMerge w:val="continue"/>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w:t>
            </w:r>
          </w:p>
        </w:tc>
        <w:tc>
          <w:tcPr>
            <w:tcW w:w="786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Finance costs</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480" w:type="dxa"/>
            <w:vAlign w:val="bottom"/>
          </w:tcPr>
          <w:p>
            <w:pPr>
              <w:ind w:left="400"/>
              <w:spacing w:after="0"/>
              <w:rPr>
                <w:sz w:val="20"/>
                <w:szCs w:val="20"/>
                <w:color w:val="auto"/>
              </w:rPr>
            </w:pPr>
            <w:r>
              <w:rPr>
                <w:rFonts w:ascii="Arial" w:cs="Arial" w:eastAsia="Arial" w:hAnsi="Arial"/>
                <w:sz w:val="18"/>
                <w:szCs w:val="18"/>
                <w:color w:val="auto"/>
              </w:rPr>
              <w:t>Other loans</w:t>
            </w:r>
          </w:p>
        </w:tc>
        <w:tc>
          <w:tcPr>
            <w:tcW w:w="4420" w:type="dxa"/>
            <w:vAlign w:val="bottom"/>
            <w:gridSpan w:val="2"/>
          </w:tcPr>
          <w:p>
            <w:pPr>
              <w:ind w:left="368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26,586</w:t>
            </w:r>
          </w:p>
        </w:tc>
        <w:tc>
          <w:tcPr>
            <w:tcW w:w="118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12,754</w:t>
            </w:r>
          </w:p>
        </w:tc>
        <w:tc>
          <w:tcPr>
            <w:tcW w:w="94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368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26,586</w:t>
            </w: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12,754</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80" w:type="dxa"/>
            <w:vAlign w:val="bottom"/>
          </w:tcPr>
          <w:p>
            <w:pPr>
              <w:spacing w:after="0"/>
              <w:rPr>
                <w:sz w:val="24"/>
                <w:szCs w:val="24"/>
                <w:color w:val="auto"/>
              </w:rPr>
            </w:pPr>
          </w:p>
        </w:tc>
        <w:tc>
          <w:tcPr>
            <w:tcW w:w="36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192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Year Ended June 30,</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283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283210"/>
                    </a:xfrm>
                    <a:prstGeom prst="rect">
                      <a:avLst/>
                    </a:prstGeom>
                    <a:noFill/>
                  </pic:spPr>
                </pic:pic>
              </a:graphicData>
            </a:graphic>
          </wp:anchor>
        </w:drawing>
      </w:r>
    </w:p>
    <w:p>
      <w:pPr>
        <w:ind w:left="900" w:right="6280" w:hanging="696"/>
        <w:spacing w:after="0" w:line="249" w:lineRule="auto"/>
        <w:tabs>
          <w:tab w:leader="none" w:pos="9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Depreciation, impairment and amortization included in profit or loss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color w:val="auto"/>
                <w:w w:val="91"/>
              </w:rPr>
              <w:t>A$143,546</w:t>
            </w:r>
          </w:p>
        </w:tc>
        <w:tc>
          <w:tcPr>
            <w:tcW w:w="500" w:type="dxa"/>
            <w:vAlign w:val="bottom"/>
          </w:tcPr>
          <w:p>
            <w:pPr>
              <w:spacing w:after="0"/>
              <w:rPr>
                <w:sz w:val="19"/>
                <w:szCs w:val="19"/>
                <w:color w:val="auto"/>
              </w:rPr>
            </w:pPr>
          </w:p>
        </w:tc>
        <w:tc>
          <w:tcPr>
            <w:tcW w:w="1200" w:type="dxa"/>
            <w:vAlign w:val="bottom"/>
            <w:gridSpan w:val="4"/>
          </w:tcPr>
          <w:p>
            <w:pPr>
              <w:ind w:left="40"/>
              <w:spacing w:after="0"/>
              <w:rPr>
                <w:sz w:val="20"/>
                <w:szCs w:val="20"/>
                <w:color w:val="auto"/>
              </w:rPr>
            </w:pPr>
            <w:r>
              <w:rPr>
                <w:rFonts w:ascii="Arial" w:cs="Arial" w:eastAsia="Arial" w:hAnsi="Arial"/>
                <w:sz w:val="18"/>
                <w:szCs w:val="18"/>
                <w:color w:val="auto"/>
              </w:rPr>
              <w:t>A$139,703</w:t>
            </w:r>
          </w:p>
        </w:tc>
        <w:tc>
          <w:tcPr>
            <w:tcW w:w="18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A$83,724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(Profit)/Loss on disposal of plant and equipment</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7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(1,347)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143,546</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138,356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84,164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60" w:type="dxa"/>
            <w:vAlign w:val="bottom"/>
            <w:gridSpan w:val="4"/>
            <w:vMerge w:val="restart"/>
          </w:tcPr>
          <w:p>
            <w:pPr>
              <w:jc w:val="center"/>
              <w:ind w:left="968"/>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24"/>
                <w:szCs w:val="24"/>
                <w:color w:val="auto"/>
              </w:rPr>
            </w:pPr>
          </w:p>
        </w:tc>
        <w:tc>
          <w:tcPr>
            <w:tcW w:w="1700" w:type="dxa"/>
            <w:vAlign w:val="bottom"/>
            <w:gridSpan w:val="5"/>
          </w:tcPr>
          <w:p>
            <w:pPr>
              <w:jc w:val="center"/>
              <w:ind w:left="45"/>
              <w:spacing w:after="0"/>
              <w:rPr>
                <w:sz w:val="20"/>
                <w:szCs w:val="20"/>
                <w:color w:val="auto"/>
              </w:rPr>
            </w:pPr>
            <w:r>
              <w:rPr>
                <w:rFonts w:ascii="Arial" w:cs="Arial" w:eastAsia="Arial" w:hAnsi="Arial"/>
                <w:sz w:val="14"/>
                <w:szCs w:val="14"/>
                <w:b w:val="1"/>
                <w:bCs w:val="1"/>
                <w:color w:val="auto"/>
                <w:w w:val="91"/>
              </w:rPr>
              <w:t>Year Ended June 30,</w:t>
            </w:r>
          </w:p>
        </w:tc>
        <w:tc>
          <w:tcPr>
            <w:tcW w:w="100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center"/>
              <w:ind w:left="40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59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Cost of sales</w:t>
            </w:r>
          </w:p>
        </w:tc>
        <w:tc>
          <w:tcPr>
            <w:tcW w:w="1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511,646</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463,285</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401,568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60" w:type="dxa"/>
            <w:vAlign w:val="bottom"/>
            <w:gridSpan w:val="4"/>
            <w:vMerge w:val="restart"/>
          </w:tcPr>
          <w:p>
            <w:pPr>
              <w:jc w:val="center"/>
              <w:ind w:left="94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24"/>
                <w:szCs w:val="24"/>
                <w:color w:val="auto"/>
              </w:rPr>
            </w:pPr>
          </w:p>
        </w:tc>
        <w:tc>
          <w:tcPr>
            <w:tcW w:w="1700" w:type="dxa"/>
            <w:vAlign w:val="bottom"/>
            <w:gridSpan w:val="5"/>
          </w:tcPr>
          <w:p>
            <w:pPr>
              <w:jc w:val="center"/>
              <w:ind w:left="25"/>
              <w:spacing w:after="0"/>
              <w:rPr>
                <w:sz w:val="20"/>
                <w:szCs w:val="20"/>
                <w:color w:val="auto"/>
              </w:rPr>
            </w:pPr>
            <w:r>
              <w:rPr>
                <w:rFonts w:ascii="Arial" w:cs="Arial" w:eastAsia="Arial" w:hAnsi="Arial"/>
                <w:sz w:val="14"/>
                <w:szCs w:val="14"/>
                <w:b w:val="1"/>
                <w:bCs w:val="1"/>
                <w:color w:val="auto"/>
                <w:w w:val="93"/>
              </w:rPr>
              <w:t>Year Ended June 30,</w:t>
            </w:r>
          </w:p>
        </w:tc>
        <w:tc>
          <w:tcPr>
            <w:tcW w:w="100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tcPr>
          <w:p>
            <w:pPr>
              <w:jc w:val="center"/>
              <w:ind w:left="40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w:t>
            </w:r>
          </w:p>
        </w:tc>
        <w:tc>
          <w:tcPr>
            <w:tcW w:w="59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Lease payments and other expenses included in profit or loss</w:t>
            </w:r>
          </w:p>
        </w:tc>
        <w:tc>
          <w:tcPr>
            <w:tcW w:w="1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463,095</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418,193</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A$</w:t>
            </w:r>
            <w:r>
              <w:rPr>
                <w:rFonts w:ascii="Arial" w:cs="Arial" w:eastAsia="Arial" w:hAnsi="Arial"/>
                <w:sz w:val="18"/>
                <w:szCs w:val="18"/>
                <w:color w:val="auto"/>
                <w:w w:val="91"/>
              </w:rPr>
              <w:t>283,412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60" w:type="dxa"/>
            <w:vAlign w:val="bottom"/>
            <w:gridSpan w:val="4"/>
            <w:vMerge w:val="restart"/>
          </w:tcPr>
          <w:p>
            <w:pPr>
              <w:ind w:left="112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Year Ended June 30,</w:t>
            </w:r>
          </w:p>
        </w:tc>
        <w:tc>
          <w:tcPr>
            <w:tcW w:w="100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8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820" w:hanging="616"/>
        <w:spacing w:after="0"/>
        <w:tabs>
          <w:tab w:leader="none" w:pos="8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 expense</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5460" w:type="dxa"/>
            <w:vAlign w:val="bottom"/>
          </w:tcPr>
          <w:p>
            <w:pPr>
              <w:ind w:left="600"/>
              <w:spacing w:after="0"/>
              <w:rPr>
                <w:sz w:val="20"/>
                <w:szCs w:val="20"/>
                <w:color w:val="auto"/>
              </w:rPr>
            </w:pPr>
            <w:r>
              <w:rPr>
                <w:rFonts w:ascii="Arial" w:cs="Arial" w:eastAsia="Arial" w:hAnsi="Arial"/>
                <w:sz w:val="18"/>
                <w:szCs w:val="18"/>
                <w:color w:val="auto"/>
              </w:rPr>
              <w:t>Salaries and wages</w:t>
            </w:r>
          </w:p>
        </w:tc>
        <w:tc>
          <w:tcPr>
            <w:tcW w:w="1840" w:type="dxa"/>
            <w:vAlign w:val="bottom"/>
            <w:gridSpan w:val="2"/>
          </w:tcPr>
          <w:p>
            <w:pPr>
              <w:ind w:left="1620"/>
              <w:spacing w:after="0"/>
              <w:rPr>
                <w:sz w:val="20"/>
                <w:szCs w:val="20"/>
                <w:color w:val="auto"/>
              </w:rPr>
            </w:pPr>
            <w:r>
              <w:rPr>
                <w:rFonts w:ascii="Arial" w:cs="Arial" w:eastAsia="Arial" w:hAnsi="Arial"/>
                <w:sz w:val="18"/>
                <w:szCs w:val="18"/>
                <w:color w:val="auto"/>
                <w:w w:val="90"/>
              </w:rPr>
              <w:t>A$</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8,057,869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A$6,143,458</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A$4,669,718</w:t>
            </w:r>
          </w:p>
        </w:tc>
      </w:tr>
      <w:tr>
        <w:trPr>
          <w:trHeight w:val="216"/>
        </w:trPr>
        <w:tc>
          <w:tcPr>
            <w:tcW w:w="5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Share-based expenses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1,835,157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60" w:type="dxa"/>
            <w:vAlign w:val="bottom"/>
            <w:shd w:val="clear" w:color="auto" w:fill="CCEEFF"/>
          </w:tcPr>
          <w:p>
            <w:pPr>
              <w:spacing w:after="0"/>
              <w:rPr>
                <w:sz w:val="18"/>
                <w:szCs w:val="18"/>
                <w:color w:val="auto"/>
              </w:rPr>
            </w:pPr>
          </w:p>
        </w:tc>
      </w:tr>
      <w:tr>
        <w:trPr>
          <w:trHeight w:val="223"/>
        </w:trPr>
        <w:tc>
          <w:tcPr>
            <w:tcW w:w="5460" w:type="dxa"/>
            <w:vAlign w:val="bottom"/>
          </w:tcPr>
          <w:p>
            <w:pPr>
              <w:ind w:left="600"/>
              <w:spacing w:after="0"/>
              <w:rPr>
                <w:sz w:val="20"/>
                <w:szCs w:val="20"/>
                <w:color w:val="auto"/>
              </w:rPr>
            </w:pPr>
            <w:r>
              <w:rPr>
                <w:rFonts w:ascii="Arial" w:cs="Arial" w:eastAsia="Arial" w:hAnsi="Arial"/>
                <w:sz w:val="18"/>
                <w:szCs w:val="18"/>
                <w:color w:val="auto"/>
              </w:rPr>
              <w:t>Defined contribution superannuation expense</w:t>
            </w:r>
          </w:p>
        </w:tc>
        <w:tc>
          <w:tcPr>
            <w:tcW w:w="1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374,435</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341,586</w:t>
            </w:r>
          </w:p>
        </w:tc>
        <w:tc>
          <w:tcPr>
            <w:tcW w:w="4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311,435</w:t>
            </w:r>
          </w:p>
        </w:tc>
        <w:tc>
          <w:tcPr>
            <w:tcW w:w="6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2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10,267,461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8,072,287</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$ 5,937,811</w:t>
            </w:r>
          </w:p>
        </w:tc>
      </w:tr>
      <w:tr>
        <w:trPr>
          <w:trHeight w:val="20"/>
        </w:trPr>
        <w:tc>
          <w:tcPr>
            <w:tcW w:w="5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Basic loss per share amounts are calculated by dividing the net loss for the year by the weighted average number of ordinary shares outstanding during the year.</w:t>
      </w:r>
    </w:p>
    <w:p>
      <w:pPr>
        <w:spacing w:after="0" w:line="17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Diluted earnings per share amounts are calculated by dividing the net loss for the year by the weighted average number of ordinary shares outstanding during the year plus the weighted average number of ordinary shares that would be issued on the conversion of all the dilutive potential ordinary shares into ordinary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reflects the income and share data used in the basic and diluted loss per share computations: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14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A</w:t>
            </w:r>
            <w:r>
              <w:rPr>
                <w:rFonts w:ascii="Arial" w:cs="Arial" w:eastAsia="Arial" w:hAnsi="Arial"/>
                <w:sz w:val="18"/>
                <w:szCs w:val="18"/>
                <w:color w:val="auto"/>
                <w:w w:val="89"/>
              </w:rPr>
              <w:t>$ (16,519,155</w:t>
            </w:r>
          </w:p>
        </w:tc>
        <w:tc>
          <w:tcPr>
            <w:tcW w:w="340" w:type="dxa"/>
            <w:vAlign w:val="bottom"/>
            <w:tcBorders>
              <w:top w:val="single" w:sz="8" w:color="CCEEFF"/>
            </w:tcBorders>
            <w:shd w:val="clear" w:color="auto" w:fill="CCEEFF"/>
          </w:tcPr>
          <w:p>
            <w:pPr>
              <w:jc w:val="right"/>
              <w:ind w:right="26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 (11,511,024</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  (7,778,015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number of ordinary shares for basic and diluted loss per</w:t>
            </w: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934,312,458</w:t>
            </w:r>
          </w:p>
        </w:tc>
        <w:tc>
          <w:tcPr>
            <w:tcW w:w="3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669,930,538</w:t>
            </w:r>
          </w:p>
        </w:tc>
        <w:tc>
          <w:tcPr>
            <w:tcW w:w="3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498,786,987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5320"/>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 (CONTINUED)</w:t>
      </w:r>
    </w:p>
    <w:p>
      <w:pPr>
        <w:spacing w:after="0" w:line="13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Transactions involving ordinary shares or potential ordinary shares that would change the number of ordinary shares or potential ordinary shares outstanding between the reporting date and the date of the completion of these financial statements are disclosed in Note 25 to the consolidated financial statements.</w:t>
      </w:r>
    </w:p>
    <w:p>
      <w:pPr>
        <w:spacing w:after="0" w:line="1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A total of 29,131,664 options (2017: 24,797,286 and 2016: 11,147,289) were not included in the dilutive loss per share calculation as they are anti-dilutive.</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5760" w:type="dxa"/>
            <w:vAlign w:val="bottom"/>
          </w:tcPr>
          <w:p>
            <w:pPr>
              <w:ind w:left="160"/>
              <w:spacing w:after="0"/>
              <w:rPr>
                <w:sz w:val="20"/>
                <w:szCs w:val="20"/>
                <w:color w:val="auto"/>
              </w:rPr>
            </w:pPr>
            <w:r>
              <w:rPr>
                <w:rFonts w:ascii="Arial" w:cs="Arial" w:eastAsia="Arial" w:hAnsi="Arial"/>
                <w:sz w:val="18"/>
                <w:szCs w:val="18"/>
                <w:b w:val="1"/>
                <w:bCs w:val="1"/>
                <w:color w:val="auto"/>
              </w:rPr>
              <w:t>INCOME TAX</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1"/>
                <w:szCs w:val="21"/>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57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Income tax expense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The major components of income tax benefit 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income tax benefit: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Current income tax benefit – R&amp;D Claim</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(1,420,752)</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w w:val="99"/>
              </w:rPr>
              <w:t>A$</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(1,048,634)</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A$</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 prior year tax</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Income tax benefit reported in profit or loss – R&amp;D Claim</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(1,385,796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(1,048,634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(971,881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  Numerical reconciliation of income tax expense to prima facie tax</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payable</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760" w:type="dxa"/>
            <w:vAlign w:val="bottom"/>
            <w:gridSpan w:val="4"/>
          </w:tcPr>
          <w:p>
            <w:pPr>
              <w:ind w:left="360"/>
              <w:spacing w:after="0"/>
              <w:rPr>
                <w:sz w:val="20"/>
                <w:szCs w:val="20"/>
                <w:color w:val="auto"/>
              </w:rPr>
            </w:pPr>
            <w:r>
              <w:rPr>
                <w:rFonts w:ascii="Arial" w:cs="Arial" w:eastAsia="Arial" w:hAnsi="Arial"/>
                <w:sz w:val="18"/>
                <w:szCs w:val="18"/>
                <w:color w:val="auto"/>
              </w:rPr>
              <w:t>A$(17,904,569)</w:t>
            </w:r>
          </w:p>
        </w:tc>
        <w:tc>
          <w:tcPr>
            <w:tcW w:w="1740" w:type="dxa"/>
            <w:vAlign w:val="bottom"/>
            <w:gridSpan w:val="4"/>
          </w:tcPr>
          <w:p>
            <w:pPr>
              <w:ind w:left="300"/>
              <w:spacing w:after="0"/>
              <w:rPr>
                <w:sz w:val="20"/>
                <w:szCs w:val="20"/>
                <w:color w:val="auto"/>
              </w:rPr>
            </w:pPr>
            <w:r>
              <w:rPr>
                <w:rFonts w:ascii="Arial" w:cs="Arial" w:eastAsia="Arial" w:hAnsi="Arial"/>
                <w:sz w:val="18"/>
                <w:szCs w:val="18"/>
                <w:color w:val="auto"/>
              </w:rPr>
              <w:t>A$(12,559,261)</w:t>
            </w:r>
          </w:p>
        </w:tc>
        <w:tc>
          <w:tcPr>
            <w:tcW w:w="1500" w:type="dxa"/>
            <w:vAlign w:val="bottom"/>
            <w:gridSpan w:val="4"/>
          </w:tcPr>
          <w:p>
            <w:pPr>
              <w:ind w:left="280"/>
              <w:spacing w:after="0"/>
              <w:rPr>
                <w:sz w:val="20"/>
                <w:szCs w:val="20"/>
                <w:color w:val="auto"/>
              </w:rPr>
            </w:pPr>
            <w:r>
              <w:rPr>
                <w:rFonts w:ascii="Arial" w:cs="Arial" w:eastAsia="Arial" w:hAnsi="Arial"/>
                <w:sz w:val="18"/>
                <w:szCs w:val="18"/>
                <w:color w:val="auto"/>
                <w:w w:val="96"/>
              </w:rPr>
              <w:t>A$(11,243,843)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period from discontinued operations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(17,904,569)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(12,559,261)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(8,749,896)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the Australian rate of 27.5% (2017: 27.5% and 2016: 30%)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(4,923,756)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(3,767,778)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(2,624,969)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w w:val="96"/>
              </w:rPr>
              <w:t>Tax effect of amounts which are not deductible/(taxable) in calculating taxable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income: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1,464,746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Tax losses not brought to account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3,537,629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2,974,980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offset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(1,420,751)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(1,048,634)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Adjustment for prior year research and development tax offset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34,955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due to change in tax rate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(1,240,836)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(1,048,634)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Movement in deferred tax asset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rPr>
              <w:t>Deferred tax assets not brought to account as realization is not considered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probable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(144,960)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(41,629)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(451,777)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(1,385,796)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(1,048,634)</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(971,881)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tcPr>
          <w:p>
            <w:pPr>
              <w:ind w:left="5060"/>
              <w:spacing w:after="0"/>
              <w:rPr>
                <w:sz w:val="20"/>
                <w:szCs w:val="20"/>
                <w:color w:val="auto"/>
              </w:rPr>
            </w:pPr>
            <w:r>
              <w:rPr>
                <w:rFonts w:ascii="Arial" w:cs="Arial" w:eastAsia="Arial" w:hAnsi="Arial"/>
                <w:sz w:val="18"/>
                <w:szCs w:val="18"/>
                <w:color w:val="auto"/>
              </w:rPr>
              <w:t>F-26</w:t>
            </w: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4340" w:type="dxa"/>
            <w:vAlign w:val="bottom"/>
          </w:tcPr>
          <w:p>
            <w:pPr>
              <w:ind w:left="280"/>
              <w:spacing w:after="0"/>
              <w:rPr>
                <w:sz w:val="20"/>
                <w:szCs w:val="20"/>
                <w:color w:val="auto"/>
              </w:rPr>
            </w:pPr>
            <w:r>
              <w:rPr>
                <w:rFonts w:ascii="Arial" w:cs="Arial" w:eastAsia="Arial" w:hAnsi="Arial"/>
                <w:sz w:val="18"/>
                <w:szCs w:val="18"/>
                <w:b w:val="1"/>
                <w:bCs w:val="1"/>
                <w:color w:val="auto"/>
              </w:rPr>
              <w:t>INCOME TAX (CONTINUED)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6"/>
          </w:tcPr>
          <w:p>
            <w:pPr>
              <w:ind w:left="40"/>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  Non-current assets – Deferred tax assets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w w:val="92"/>
              </w:rPr>
              <w:t>The balance comprises temporary differences attributable to:</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A$</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122,243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10,155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1,025,616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735,400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2,378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w w:val="96"/>
              </w:rPr>
              <w:t>Set off deferred tax liabilities pursuant to set-off provisions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1,160,392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796,092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gridSpan w:val="7"/>
          </w:tcPr>
          <w:p>
            <w:pPr>
              <w:spacing w:after="0"/>
              <w:rPr>
                <w:sz w:val="20"/>
                <w:szCs w:val="20"/>
                <w:color w:val="auto"/>
              </w:rPr>
            </w:pPr>
            <w:r>
              <w:rPr>
                <w:rFonts w:ascii="Arial" w:cs="Arial" w:eastAsia="Arial" w:hAnsi="Arial"/>
                <w:sz w:val="18"/>
                <w:szCs w:val="18"/>
                <w:color w:val="auto"/>
                <w:w w:val="98"/>
              </w:rPr>
              <w:t>Deferred tax assets not brought to account as realization is not considered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probable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500"/>
              <w:spacing w:after="0"/>
              <w:rPr>
                <w:sz w:val="20"/>
                <w:szCs w:val="20"/>
                <w:color w:val="auto"/>
              </w:rPr>
            </w:pPr>
            <w:r>
              <w:rPr>
                <w:rFonts w:ascii="Arial" w:cs="Arial" w:eastAsia="Arial" w:hAnsi="Arial"/>
                <w:sz w:val="18"/>
                <w:szCs w:val="18"/>
                <w:color w:val="auto"/>
                <w:w w:val="89"/>
              </w:rPr>
              <w:t>(1,160,392)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(796,092)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(707,322)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 recognized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A$</w:t>
            </w:r>
          </w:p>
        </w:tc>
        <w:tc>
          <w:tcPr>
            <w:tcW w:w="3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5"/>
              </w:rPr>
              <w:t>A$</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86"/>
              </w:rPr>
              <w:t>A$</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Movements – Consolidated</w:t>
            </w:r>
          </w:p>
        </w:tc>
        <w:tc>
          <w:tcPr>
            <w:tcW w:w="140" w:type="dxa"/>
            <w:vAlign w:val="bottom"/>
          </w:tcPr>
          <w:p>
            <w:pPr>
              <w:spacing w:after="0"/>
              <w:rPr>
                <w:sz w:val="24"/>
                <w:szCs w:val="24"/>
                <w:color w:val="auto"/>
              </w:rPr>
            </w:pPr>
          </w:p>
        </w:tc>
        <w:tc>
          <w:tcPr>
            <w:tcW w:w="12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7"/>
              </w:rPr>
              <w:t>Provisions</w:t>
            </w:r>
          </w:p>
        </w:tc>
        <w:tc>
          <w:tcPr>
            <w:tcW w:w="160" w:type="dxa"/>
            <w:vAlign w:val="bottom"/>
          </w:tcPr>
          <w:p>
            <w:pPr>
              <w:spacing w:after="0"/>
              <w:rPr>
                <w:sz w:val="24"/>
                <w:szCs w:val="2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Plant and</w:t>
            </w:r>
          </w:p>
        </w:tc>
        <w:tc>
          <w:tcPr>
            <w:tcW w:w="380" w:type="dxa"/>
            <w:vAlign w:val="bottom"/>
          </w:tcPr>
          <w:p>
            <w:pPr>
              <w:spacing w:after="0"/>
              <w:rPr>
                <w:sz w:val="24"/>
                <w:szCs w:val="24"/>
                <w:color w:val="auto"/>
              </w:rPr>
            </w:pP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Intangible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equipment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assets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56,525</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A$15,713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963,007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A$(1,164)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A$1,034,081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25,459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(1,808)</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(351,664)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(326,849)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2016</w:t>
            </w: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13,905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(Charged) / credited to the consolidated statement of</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(33,561)</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(960)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June 30, 2017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48,423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12,945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796,002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gridSpan w:val="3"/>
          </w:tcPr>
          <w:p>
            <w:pPr>
              <w:spacing w:after="0"/>
              <w:rPr>
                <w:sz w:val="20"/>
                <w:szCs w:val="20"/>
                <w:color w:val="auto"/>
              </w:rPr>
            </w:pPr>
            <w:r>
              <w:rPr>
                <w:rFonts w:ascii="Arial" w:cs="Arial" w:eastAsia="Arial" w:hAnsi="Arial"/>
                <w:sz w:val="18"/>
                <w:szCs w:val="18"/>
                <w:color w:val="auto"/>
              </w:rPr>
              <w:t>(Charged) / credited to the consolidated statement of</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profit or loss and other comprehensive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73,730</w:t>
            </w:r>
          </w:p>
        </w:tc>
        <w:tc>
          <w:tcPr>
            <w:tcW w:w="380" w:type="dxa"/>
            <w:vAlign w:val="bottom"/>
          </w:tcPr>
          <w:p>
            <w:pPr>
              <w:spacing w:after="0"/>
              <w:rPr>
                <w:sz w:val="20"/>
                <w:szCs w:val="20"/>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(2,790)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(219,044)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 credited directly to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At June 30, 2018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122,153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10,155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1,025,616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$ 2,378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1,160,302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F-27</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8040" w:firstLine="4"/>
        <w:spacing w:after="0" w:line="385" w:lineRule="auto"/>
        <w:tabs>
          <w:tab w:leader="none" w:pos="63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 Tax losses</w:t>
      </w:r>
    </w:p>
    <w:p>
      <w:pPr>
        <w:spacing w:after="0" w:line="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has income tax losses for which no deferred tax asset is recognized on the consolidated statement of financial position of A$111,722,828 (2017: A$100,140,383 and 2016: A$89,534,487) which are available indefinitely for offset against future taxable profits subject to continuing to meet relevant statutory tests. The total losses of the Company are broken down in the following table: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3"/>
              </w:rPr>
              <w:t>Jurisdiction</w:t>
            </w:r>
          </w:p>
        </w:tc>
        <w:tc>
          <w:tcPr>
            <w:tcW w:w="3740" w:type="dxa"/>
            <w:vAlign w:val="bottom"/>
            <w:vMerge w:val="restart"/>
          </w:tcPr>
          <w:p>
            <w:pPr>
              <w:spacing w:after="0"/>
              <w:rPr>
                <w:sz w:val="14"/>
                <w:szCs w:val="14"/>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Total Losses</w:t>
            </w:r>
          </w:p>
        </w:tc>
        <w:tc>
          <w:tcPr>
            <w:tcW w:w="82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Relevant Tax</w:t>
            </w:r>
          </w:p>
        </w:tc>
        <w:tc>
          <w:tcPr>
            <w:tcW w:w="380" w:type="dxa"/>
            <w:vAlign w:val="bottom"/>
          </w:tcPr>
          <w:p>
            <w:pPr>
              <w:spacing w:after="0"/>
              <w:rPr>
                <w:sz w:val="14"/>
                <w:szCs w:val="14"/>
                <w:color w:val="auto"/>
              </w:rPr>
            </w:pPr>
          </w:p>
        </w:tc>
        <w:tc>
          <w:tcPr>
            <w:tcW w:w="11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Relevant Tax</w:t>
            </w:r>
          </w:p>
        </w:tc>
        <w:tc>
          <w:tcPr>
            <w:tcW w:w="0" w:type="dxa"/>
            <w:vAlign w:val="bottom"/>
          </w:tcPr>
          <w:p>
            <w:pPr>
              <w:spacing w:after="0"/>
              <w:rPr>
                <w:sz w:val="1"/>
                <w:szCs w:val="1"/>
                <w:color w:val="auto"/>
              </w:rPr>
            </w:pPr>
          </w:p>
        </w:tc>
      </w:tr>
      <w:tr>
        <w:trPr>
          <w:trHeight w:val="163"/>
        </w:trPr>
        <w:tc>
          <w:tcPr>
            <w:tcW w:w="760" w:type="dxa"/>
            <w:vAlign w:val="bottom"/>
            <w:tcBorders>
              <w:bottom w:val="single" w:sz="8" w:color="auto"/>
            </w:tcBorders>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rPr>
              <w:t>Rate</w:t>
            </w:r>
          </w:p>
        </w:tc>
        <w:tc>
          <w:tcPr>
            <w:tcW w:w="3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Australia</w:t>
            </w: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A$</w:t>
            </w: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42,786,807</w:t>
            </w:r>
          </w:p>
        </w:tc>
        <w:tc>
          <w:tcPr>
            <w:tcW w:w="82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27.50%</w:t>
            </w:r>
          </w:p>
        </w:tc>
        <w:tc>
          <w:tcPr>
            <w:tcW w:w="38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A$11,766,372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28,875,605</w:t>
            </w:r>
          </w:p>
        </w:tc>
        <w:tc>
          <w:tcPr>
            <w:tcW w:w="2140" w:type="dxa"/>
            <w:vAlign w:val="bottom"/>
            <w:gridSpan w:val="3"/>
          </w:tcPr>
          <w:p>
            <w:pPr>
              <w:jc w:val="right"/>
              <w:ind w:right="360"/>
              <w:spacing w:after="0"/>
              <w:rPr>
                <w:sz w:val="20"/>
                <w:szCs w:val="20"/>
                <w:color w:val="auto"/>
              </w:rPr>
            </w:pPr>
            <w:r>
              <w:rPr>
                <w:rFonts w:ascii="Arial" w:cs="Arial" w:eastAsia="Arial" w:hAnsi="Arial"/>
                <w:sz w:val="18"/>
                <w:szCs w:val="18"/>
                <w:color w:val="auto"/>
              </w:rPr>
              <w:t>21.00%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6,063,877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40,060,416</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19.00%</w:t>
            </w:r>
          </w:p>
        </w:tc>
        <w:tc>
          <w:tcPr>
            <w:tcW w:w="1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7,611,479</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111,722,828</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25,441,728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Unrecognized temporary differences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At June 30, 2018, there is no recognized or unrecognized deferred income tax liability (2017 and 2016: A$nil) for taxes that would be payable on the unremitted earnings of certain of the Company’s subsidiaries. The Company has no liability for additional taxation should unremitted earnings be remitted (2017 and 2016: A$nil).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consolidation</w:t>
      </w:r>
    </w:p>
    <w:p>
      <w:pPr>
        <w:spacing w:after="0" w:line="135"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Members of the tax consolidated group and the tax sharing arrangement</w:t>
      </w:r>
    </w:p>
    <w:p>
      <w:pPr>
        <w:spacing w:after="0" w:line="117"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Avita Medical Limited and its 100% owned Australian resident subsidiaries formed a tax consolidated group with effect from July 1, 2003. Avita Medical Limited is the parent entity of the tax consolidated group. Members of the group have not entered into a tax sharing arrangement or a tax funding arrangement.</w:t>
      </w:r>
    </w:p>
    <w:p>
      <w:pPr>
        <w:spacing w:after="0" w:line="330"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Tax effect accounting by members of the tax consolidated group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amounts have been recognized as tax consolidation contribution adjustments in preparing the accounts of Avita Medical Limited.</w:t>
      </w:r>
    </w:p>
    <w:p>
      <w:pPr>
        <w:spacing w:after="0" w:line="370"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CASH AND CASH EQUIVALENTS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gridSpan w:val="2"/>
          </w:tcPr>
          <w:p>
            <w:pPr>
              <w:ind w:left="980"/>
              <w:spacing w:after="0"/>
              <w:rPr>
                <w:sz w:val="20"/>
                <w:szCs w:val="20"/>
                <w:color w:val="auto"/>
              </w:rPr>
            </w:pPr>
            <w:r>
              <w:rPr>
                <w:rFonts w:ascii="Arial" w:cs="Arial" w:eastAsia="Arial" w:hAnsi="Arial"/>
                <w:sz w:val="14"/>
                <w:szCs w:val="14"/>
                <w:b w:val="1"/>
                <w:bCs w:val="1"/>
                <w:color w:val="auto"/>
                <w:w w:val="90"/>
              </w:rPr>
              <w:t>As of June 30,</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20" w:type="dxa"/>
            <w:vAlign w:val="bottom"/>
            <w:gridSpan w:val="2"/>
          </w:tcPr>
          <w:p>
            <w:pPr>
              <w:jc w:val="center"/>
              <w:ind w:left="2476"/>
              <w:spacing w:after="0"/>
              <w:rPr>
                <w:sz w:val="20"/>
                <w:szCs w:val="20"/>
                <w:color w:val="auto"/>
              </w:rPr>
            </w:pPr>
            <w:r>
              <w:rPr>
                <w:rFonts w:ascii="Arial" w:cs="Arial" w:eastAsia="Arial" w:hAnsi="Arial"/>
                <w:sz w:val="14"/>
                <w:szCs w:val="14"/>
                <w:b w:val="1"/>
                <w:bCs w:val="1"/>
                <w:color w:val="auto"/>
                <w:w w:val="96"/>
              </w:rPr>
              <w:t>2018</w:t>
            </w:r>
          </w:p>
        </w:tc>
        <w:tc>
          <w:tcPr>
            <w:tcW w:w="8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A$14,825,532</w:t>
            </w:r>
          </w:p>
        </w:tc>
        <w:tc>
          <w:tcPr>
            <w:tcW w:w="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A$3,790,491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Short term deposits</w:t>
            </w:r>
          </w:p>
        </w:tc>
        <w:tc>
          <w:tcPr>
            <w:tcW w:w="2580" w:type="dxa"/>
            <w:vAlign w:val="bottom"/>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jc w:val="center"/>
              <w:ind w:left="167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40" w:type="dxa"/>
            <w:vAlign w:val="bottom"/>
            <w:gridSpan w:val="3"/>
          </w:tcPr>
          <w:p>
            <w:pPr>
              <w:ind w:left="1100"/>
              <w:spacing w:after="0"/>
              <w:rPr>
                <w:sz w:val="20"/>
                <w:szCs w:val="20"/>
                <w:color w:val="auto"/>
              </w:rPr>
            </w:pPr>
            <w:r>
              <w:rPr>
                <w:rFonts w:ascii="Arial" w:cs="Arial" w:eastAsia="Arial" w:hAnsi="Arial"/>
                <w:sz w:val="18"/>
                <w:szCs w:val="18"/>
                <w:color w:val="auto"/>
              </w:rPr>
              <w:t>F-28</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ind w:left="68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1"/>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Allowance for doubtful debts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(23,452)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R&amp;D Tax claim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2,434,430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1,048,634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BARDA and other 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2,762,958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851,747</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Carrying amount of trade and other receivables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8"/>
              </w:rPr>
              <w:t>A$</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5,437,357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2,070,534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w:t>
      </w:r>
    </w:p>
    <w:p>
      <w:pPr>
        <w:spacing w:after="0" w:line="121"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Trade receivables are non-interest bearing and are generally on 30 to 90-day terms. An allowance for impairment loss is made when there is objective evidence that the Company will not be able to collect the debts. Bad debts are written off when identified. Financial difficulties of the debtor, default payments or debts more than 90 days overdue are considered objective evidence of impairment. The amount of the impairment loss is the receivable carrying amount compared to the present value of estimated future cash flows, discounted at the original effective interest rate.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gain of A$nil (2017: A$nil) has been recognized by the Company in the current year on recovery of these previously impaired receivables.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Movements in the allowance for impairment loss were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As of June 30,</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Pr>
          <w:p>
            <w:pPr>
              <w:spacing w:after="0"/>
              <w:rPr>
                <w:sz w:val="14"/>
                <w:szCs w:val="14"/>
                <w:color w:val="auto"/>
              </w:rPr>
            </w:pPr>
          </w:p>
        </w:tc>
        <w:tc>
          <w:tcPr>
            <w:tcW w:w="980" w:type="dxa"/>
            <w:vAlign w:val="bottom"/>
            <w:gridSpan w:val="3"/>
          </w:tcPr>
          <w:p>
            <w:pPr>
              <w:ind w:left="42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A$ 88,859</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32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Received during the year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Write off during the year</w:t>
            </w:r>
          </w:p>
        </w:tc>
        <w:tc>
          <w:tcPr>
            <w:tcW w:w="8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19"/>
              <w:spacing w:after="0"/>
              <w:rPr>
                <w:sz w:val="20"/>
                <w:szCs w:val="20"/>
                <w:color w:val="auto"/>
              </w:rPr>
            </w:pPr>
            <w:r>
              <w:rPr>
                <w:rFonts w:ascii="Arial" w:cs="Arial" w:eastAsia="Arial" w:hAnsi="Arial"/>
                <w:sz w:val="18"/>
                <w:szCs w:val="18"/>
                <w:color w:val="auto"/>
              </w:rPr>
              <w:t>(88,859)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Charge for the year</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23,452</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0"/>
              </w:rPr>
              <w:t>88,859</w:t>
            </w: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b w:val="1"/>
                <w:bCs w:val="1"/>
                <w:u w:val="single" w:color="auto"/>
                <w:color w:val="auto"/>
                <w:w w:val="96"/>
              </w:rPr>
              <w:t>A</w:t>
            </w:r>
            <w:r>
              <w:rPr>
                <w:rFonts w:ascii="Arial" w:cs="Arial" w:eastAsia="Arial" w:hAnsi="Arial"/>
                <w:sz w:val="18"/>
                <w:szCs w:val="18"/>
                <w:b w:val="1"/>
                <w:bCs w:val="1"/>
                <w:color w:val="auto"/>
                <w:w w:val="96"/>
              </w:rPr>
              <w:t>$ 23,452</w:t>
            </w:r>
          </w:p>
        </w:tc>
        <w:tc>
          <w:tcPr>
            <w:tcW w:w="6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88,859</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4"/>
            <w:vMerge w:val="restart"/>
          </w:tcPr>
          <w:p>
            <w:pPr>
              <w:spacing w:after="0"/>
              <w:rPr>
                <w:sz w:val="20"/>
                <w:szCs w:val="20"/>
                <w:color w:val="auto"/>
              </w:rPr>
            </w:pPr>
            <w:r>
              <w:rPr>
                <w:rFonts w:ascii="Arial" w:cs="Arial" w:eastAsia="Arial" w:hAnsi="Arial"/>
                <w:sz w:val="18"/>
                <w:szCs w:val="18"/>
                <w:color w:val="auto"/>
              </w:rPr>
              <w:t>At June 30, the aging analysis of trade receivables is as follows:</w:t>
            </w: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gridSpan w:val="2"/>
            <w:vMerge w:val="restart"/>
          </w:tcPr>
          <w:p>
            <w:pPr>
              <w:jc w:val="right"/>
              <w:ind w:right="397"/>
              <w:spacing w:after="0"/>
              <w:rPr>
                <w:sz w:val="20"/>
                <w:szCs w:val="20"/>
                <w:color w:val="auto"/>
              </w:rPr>
            </w:pPr>
            <w:r>
              <w:rPr>
                <w:rFonts w:ascii="Arial" w:cs="Arial" w:eastAsia="Arial" w:hAnsi="Arial"/>
                <w:sz w:val="14"/>
                <w:szCs w:val="14"/>
                <w:b w:val="1"/>
                <w:bCs w:val="1"/>
                <w:color w:val="auto"/>
              </w:rPr>
              <w:t>0-30</w:t>
            </w: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31-60</w:t>
            </w:r>
          </w:p>
        </w:tc>
        <w:tc>
          <w:tcPr>
            <w:tcW w:w="6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61-90</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+91</w:t>
            </w: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7"/>
              </w:rPr>
              <w:t>days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days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88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800" w:type="dxa"/>
            <w:vAlign w:val="bottom"/>
          </w:tcPr>
          <w:p>
            <w:pPr>
              <w:jc w:val="right"/>
              <w:ind w:right="377"/>
              <w:spacing w:after="0"/>
              <w:rPr>
                <w:sz w:val="20"/>
                <w:szCs w:val="20"/>
                <w:color w:val="auto"/>
              </w:rPr>
            </w:pPr>
            <w:r>
              <w:rPr>
                <w:rFonts w:ascii="Arial" w:cs="Arial" w:eastAsia="Arial" w:hAnsi="Arial"/>
                <w:sz w:val="14"/>
                <w:szCs w:val="14"/>
                <w:b w:val="1"/>
                <w:bCs w:val="1"/>
                <w:color w:val="auto"/>
              </w:rPr>
              <w:t>days</w:t>
            </w: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days</w:t>
            </w: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days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PDNI*</w:t>
            </w: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rPr>
              <w:t>CI**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940" w:type="dxa"/>
            <w:vAlign w:val="bottom"/>
            <w:shd w:val="clear" w:color="auto" w:fill="CCEEFF"/>
          </w:tcPr>
          <w:p>
            <w:pPr>
              <w:spacing w:after="0"/>
              <w:rPr>
                <w:sz w:val="18"/>
                <w:szCs w:val="18"/>
                <w:color w:val="auto"/>
              </w:rPr>
            </w:pPr>
          </w:p>
        </w:tc>
        <w:tc>
          <w:tcPr>
            <w:tcW w:w="486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Consolidated</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263,421</w:t>
            </w:r>
          </w:p>
        </w:tc>
        <w:tc>
          <w:tcPr>
            <w:tcW w:w="9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129,979</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0"/>
              </w:rPr>
              <w:t>82,406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9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42,792</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940" w:type="dxa"/>
            <w:vAlign w:val="bottom"/>
          </w:tcPr>
          <w:p>
            <w:pPr>
              <w:spacing w:after="0"/>
              <w:rPr>
                <w:sz w:val="20"/>
                <w:szCs w:val="20"/>
                <w:color w:val="auto"/>
              </w:rPr>
            </w:pPr>
          </w:p>
        </w:tc>
        <w:tc>
          <w:tcPr>
            <w:tcW w:w="4860" w:type="dxa"/>
            <w:vAlign w:val="bottom"/>
          </w:tcPr>
          <w:p>
            <w:pPr>
              <w:ind w:left="3780"/>
              <w:spacing w:after="0"/>
              <w:rPr>
                <w:sz w:val="20"/>
                <w:szCs w:val="20"/>
                <w:color w:val="auto"/>
              </w:rPr>
            </w:pPr>
            <w:r>
              <w:rPr>
                <w:rFonts w:ascii="Arial" w:cs="Arial" w:eastAsia="Arial" w:hAnsi="Arial"/>
                <w:sz w:val="18"/>
                <w:szCs w:val="18"/>
                <w:color w:val="auto"/>
              </w:rPr>
              <w:t>Consolidated</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259,012</w:t>
            </w:r>
          </w:p>
        </w:tc>
        <w:tc>
          <w:tcPr>
            <w:tcW w:w="980" w:type="dxa"/>
            <w:vAlign w:val="bottom"/>
            <w:gridSpan w:val="2"/>
          </w:tcPr>
          <w:p>
            <w:pPr>
              <w:jc w:val="right"/>
              <w:ind w:right="157"/>
              <w:spacing w:after="0"/>
              <w:rPr>
                <w:sz w:val="20"/>
                <w:szCs w:val="20"/>
                <w:color w:val="auto"/>
              </w:rPr>
            </w:pPr>
            <w:r>
              <w:rPr>
                <w:rFonts w:ascii="Arial" w:cs="Arial" w:eastAsia="Arial" w:hAnsi="Arial"/>
                <w:sz w:val="18"/>
                <w:szCs w:val="18"/>
                <w:color w:val="auto"/>
              </w:rPr>
              <w:t>95,180</w:t>
            </w:r>
          </w:p>
        </w:tc>
        <w:tc>
          <w:tcPr>
            <w:tcW w:w="660" w:type="dxa"/>
            <w:vAlign w:val="bottom"/>
          </w:tcPr>
          <w:p>
            <w:pPr>
              <w:jc w:val="right"/>
              <w:ind w:right="59"/>
              <w:spacing w:after="0"/>
              <w:rPr>
                <w:sz w:val="20"/>
                <w:szCs w:val="20"/>
                <w:color w:val="auto"/>
              </w:rPr>
            </w:pPr>
            <w:r>
              <w:rPr>
                <w:rFonts w:ascii="Arial" w:cs="Arial" w:eastAsia="Arial" w:hAnsi="Arial"/>
                <w:sz w:val="18"/>
                <w:szCs w:val="18"/>
                <w:color w:val="auto"/>
                <w:w w:val="90"/>
              </w:rPr>
              <w:t>32,866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40,374</w:t>
            </w: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1,733</w:t>
            </w:r>
          </w:p>
        </w:tc>
        <w:tc>
          <w:tcPr>
            <w:tcW w:w="740" w:type="dxa"/>
            <w:vAlign w:val="bottom"/>
          </w:tcPr>
          <w:p>
            <w:pPr>
              <w:jc w:val="right"/>
              <w:ind w:right="1"/>
              <w:spacing w:after="0"/>
              <w:rPr>
                <w:sz w:val="20"/>
                <w:szCs w:val="20"/>
                <w:color w:val="auto"/>
              </w:rPr>
            </w:pPr>
            <w:r>
              <w:rPr>
                <w:rFonts w:ascii="Arial" w:cs="Arial" w:eastAsia="Arial" w:hAnsi="Arial"/>
                <w:sz w:val="18"/>
                <w:szCs w:val="18"/>
                <w:color w:val="auto"/>
              </w:rPr>
              <w:t>88,859</w:t>
            </w:r>
          </w:p>
        </w:tc>
        <w:tc>
          <w:tcPr>
            <w:tcW w:w="0" w:type="dxa"/>
            <w:vAlign w:val="bottom"/>
          </w:tcPr>
          <w:p>
            <w:pPr>
              <w:spacing w:after="0"/>
              <w:rPr>
                <w:sz w:val="1"/>
                <w:szCs w:val="1"/>
                <w:color w:val="auto"/>
              </w:rPr>
            </w:pPr>
          </w:p>
        </w:tc>
      </w:tr>
      <w:tr>
        <w:trPr>
          <w:trHeight w:val="431"/>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Past due not impaired (“PDNI”)</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5800" w:type="dxa"/>
            <w:vAlign w:val="bottom"/>
            <w:gridSpan w:val="2"/>
          </w:tcPr>
          <w:p>
            <w:pPr>
              <w:ind w:left="40"/>
              <w:spacing w:after="0"/>
              <w:rPr>
                <w:sz w:val="20"/>
                <w:szCs w:val="20"/>
                <w:color w:val="auto"/>
              </w:rPr>
            </w:pPr>
            <w:r>
              <w:rPr>
                <w:rFonts w:ascii="Arial" w:cs="Arial" w:eastAsia="Arial" w:hAnsi="Arial"/>
                <w:sz w:val="18"/>
                <w:szCs w:val="18"/>
                <w:color w:val="auto"/>
              </w:rPr>
              <w:t>Considered impaired (“CI”)</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 Company’s trade receivables past due but not considered impaired amounted to A$23,452 at June 30, 2018 (2017: A$nil). Payment terms on these amounts have not been re-negotiated however each operating unit has been in direct contact with the relevant debtor and is satisfied that payment will be received in full.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TRADE AND OTHER RECEIVABLES (CONTINUED)</w:t>
      </w:r>
    </w:p>
    <w:p>
      <w:pPr>
        <w:spacing w:after="0" w:line="131" w:lineRule="exact"/>
        <w:rPr>
          <w:sz w:val="20"/>
          <w:szCs w:val="20"/>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impairment loss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Other balances within trade and other receivables which have similar terms as trade receivables do not contain impaired assets and are not past due. It is expected that these other balances will be received when due.</w:t>
      </w:r>
    </w:p>
    <w:p>
      <w:pPr>
        <w:spacing w:after="0" w:line="315"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credit risk</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Due to the short-term nature of these receivables, their carrying value is assumed to approximate their fair value. The maximum exposure to credit risk is the fair value of receivables. Collateral is not held as security, nor is it the Company’s policy to transfer (on-sell) receivables to special purpose entities.</w:t>
      </w:r>
    </w:p>
    <w:p>
      <w:pPr>
        <w:spacing w:after="0" w:line="326"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and interest rate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Detail regarding foreign exchange and interest rate risk exposure is disclosed in Note 20.</w:t>
      </w:r>
    </w:p>
    <w:p>
      <w:pPr>
        <w:spacing w:after="0" w:line="37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8"/>
          <w:szCs w:val="18"/>
          <w:b w:val="1"/>
          <w:bCs w:val="1"/>
          <w:color w:val="auto"/>
        </w:rPr>
        <w:t>CURRENT ASSETS – INVENTORIES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 at cost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778,947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Finished goods at cost</w:t>
            </w:r>
          </w:p>
        </w:tc>
        <w:tc>
          <w:tcPr>
            <w:tcW w:w="1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376,879</w:t>
            </w:r>
          </w:p>
        </w:tc>
        <w:tc>
          <w:tcPr>
            <w:tcW w:w="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 at cost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1,155,826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1,037,490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 provision of A$42,412 (2017: A$1,660 and 2016: A$1,766) has been allocated against raw materials to reduce the carrying amount of certain inventory items to nil net realizable value. The change in provision of inventory has been included in the cost of sales line item as a cost of inventories in the consolidated statement of profit or loss and other comprehensive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Inventory expense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Inventories recognized as an expense as a result of expiration for the year ended June 30, 2018 totaled A$38,107 (2017: A$408,052 and 2016:</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A$182,150).</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24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4460" w:firstLine="4"/>
        <w:spacing w:after="0" w:line="488" w:lineRule="auto"/>
        <w:tabs>
          <w:tab w:leader="none" w:pos="632"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NON-CURRENT ASSETS – PLANT AND EQUIPMENT Reconciliation of carrying amounts at the beginning and end of the period</w:t>
      </w:r>
    </w:p>
    <w:p>
      <w:pPr>
        <w:spacing w:after="0" w:line="2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2018</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2017,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387,380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2018,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2018</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A$1,448,142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(705,559)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Plant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Equipment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June 30, 2017</w:t>
            </w:r>
          </w:p>
        </w:tc>
        <w:tc>
          <w:tcPr>
            <w:tcW w:w="1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At July 1, 2016, net of accumulated depreciation</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A$</w:t>
            </w:r>
          </w:p>
        </w:tc>
        <w:tc>
          <w:tcPr>
            <w:tcW w:w="700" w:type="dxa"/>
            <w:vAlign w:val="bottom"/>
          </w:tcPr>
          <w:p>
            <w:pPr>
              <w:jc w:val="right"/>
              <w:spacing w:after="0"/>
              <w:rPr>
                <w:sz w:val="20"/>
                <w:szCs w:val="20"/>
                <w:color w:val="auto"/>
              </w:rPr>
            </w:pPr>
            <w:r>
              <w:rPr>
                <w:rFonts w:ascii="Arial" w:cs="Arial" w:eastAsia="Arial" w:hAnsi="Arial"/>
                <w:sz w:val="18"/>
                <w:szCs w:val="18"/>
                <w:color w:val="auto"/>
              </w:rPr>
              <w:t>94,491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charge for the year</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(139,703)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2017, net of accumulated depreciation</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2017</w:t>
            </w: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7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A$1,307,367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(919,987)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carrying amount</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CURRENT LIABILITIES – TRADE AND OTHER PAYABLES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ind w:left="700"/>
              <w:spacing w:after="0"/>
              <w:rPr>
                <w:sz w:val="20"/>
                <w:szCs w:val="20"/>
                <w:color w:val="auto"/>
              </w:rPr>
            </w:pPr>
            <w:r>
              <w:rPr>
                <w:rFonts w:ascii="Arial" w:cs="Arial" w:eastAsia="Arial" w:hAnsi="Arial"/>
                <w:sz w:val="14"/>
                <w:szCs w:val="14"/>
                <w:b w:val="1"/>
                <w:bCs w:val="1"/>
                <w:color w:val="auto"/>
              </w:rPr>
              <w:t>As of June 30,</w:t>
            </w: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271,913</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Accruals and other payables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3,215,669</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1,373,694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trade and other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3,487,582</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5"/>
              </w:rPr>
              <w:t>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2,363,734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Due to the short-term nature of these payables, their carrying value is assumed to approximate their fair value.</w:t>
      </w:r>
    </w:p>
    <w:p>
      <w:pPr>
        <w:spacing w:after="0" w:line="370"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foreign exchange and liquidity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Information regarding interest rate, foreign exchange and liquidity risk exposure is set out in Note 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340"/>
          </w:cols>
          <w:pgMar w:left="240" w:top="459" w:right="1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12.</w:t>
        <w:tab/>
        <w:t>CURRENT LIABILITIES – PROVISIONS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gridSpan w:val="4"/>
          </w:tcPr>
          <w:p>
            <w:pPr>
              <w:ind w:left="80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annual leave (i)</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A$376,535</w:t>
            </w:r>
          </w:p>
        </w:tc>
        <w:tc>
          <w:tcPr>
            <w:tcW w:w="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A$136,822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Provision for long service leave (ii)</w:t>
            </w:r>
          </w:p>
        </w:tc>
        <w:tc>
          <w:tcPr>
            <w:tcW w:w="16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395,535</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182,355</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benefits</w:t>
      </w:r>
    </w:p>
    <w:p>
      <w:pPr>
        <w:spacing w:after="0" w:line="135" w:lineRule="exact"/>
        <w:rPr>
          <w:sz w:val="20"/>
          <w:szCs w:val="20"/>
          <w:color w:val="auto"/>
        </w:rPr>
      </w:pPr>
    </w:p>
    <w:p>
      <w:pPr>
        <w:ind w:left="1060" w:hanging="424"/>
        <w:spacing w:after="0"/>
        <w:tabs>
          <w:tab w:leader="none" w:pos="10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provision is recognized for annual leave due to employees at the end of the year.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provision is recognized for long service leave due to employees at the end of the year.</w:t>
      </w:r>
    </w:p>
    <w:p>
      <w:pPr>
        <w:spacing w:after="0" w:line="369" w:lineRule="exact"/>
        <w:rPr>
          <w:rFonts w:ascii="Arial" w:cs="Arial" w:eastAsia="Arial" w:hAnsi="Arial"/>
          <w:sz w:val="18"/>
          <w:szCs w:val="18"/>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7"/>
          </w:tcPr>
          <w:p>
            <w:pPr>
              <w:ind w:left="8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Authorized, issued and fully paid</w:t>
            </w: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89"/>
              </w:rPr>
              <w:t>162,801,028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134,806,022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Fully paid ordinary shares carry one vote per share and carry the right to dividends.</w:t>
            </w: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00" w:type="dxa"/>
            <w:vAlign w:val="bottom"/>
            <w:gridSpan w:val="3"/>
          </w:tcPr>
          <w:p>
            <w:pPr>
              <w:ind w:left="1320"/>
              <w:spacing w:after="0"/>
              <w:rPr>
                <w:sz w:val="20"/>
                <w:szCs w:val="20"/>
                <w:color w:val="auto"/>
              </w:rPr>
            </w:pPr>
            <w:r>
              <w:rPr>
                <w:rFonts w:ascii="Arial" w:cs="Arial" w:eastAsia="Arial" w:hAnsi="Arial"/>
                <w:sz w:val="14"/>
                <w:szCs w:val="14"/>
                <w:i w:val="1"/>
                <w:iCs w:val="1"/>
                <w:color w:val="auto"/>
              </w:rPr>
              <w:t>Movement in ordinary shares on issue</w:t>
            </w: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Number</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July 1, 2016</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532,751,995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126,264,372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New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139,467,859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9,048,102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50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ind w:left="1320"/>
              <w:spacing w:after="0"/>
              <w:rPr>
                <w:sz w:val="20"/>
                <w:szCs w:val="20"/>
                <w:color w:val="auto"/>
              </w:rPr>
            </w:pPr>
            <w:r>
              <w:rPr>
                <w:rFonts w:ascii="Arial" w:cs="Arial" w:eastAsia="Arial" w:hAnsi="Arial"/>
                <w:sz w:val="18"/>
                <w:szCs w:val="18"/>
                <w:color w:val="auto"/>
              </w:rPr>
              <w:t>At July 1, 2017</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673,219,854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134,806,022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633,658,471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29,846,859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Cancelled shares</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(29,500,000)</w:t>
            </w:r>
          </w:p>
        </w:tc>
        <w:tc>
          <w:tcPr>
            <w:tcW w:w="40" w:type="dxa"/>
            <w:vAlign w:val="bottom"/>
          </w:tcPr>
          <w:p>
            <w:pPr>
              <w:spacing w:after="0"/>
              <w:rPr>
                <w:sz w:val="18"/>
                <w:szCs w:val="18"/>
                <w:color w:val="auto"/>
              </w:rPr>
            </w:pPr>
          </w:p>
        </w:tc>
        <w:tc>
          <w:tcPr>
            <w:tcW w:w="120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issue costs</w:t>
            </w:r>
          </w:p>
        </w:tc>
        <w:tc>
          <w:tcPr>
            <w:tcW w:w="150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(1,851,853)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June 30, 2018</w:t>
            </w: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1,277,378,325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162,801,028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When managing capital, management’s objective is to ensure the entity continues as a going concern as well as to maintain optimal returns to shareholders and benefits for other stakeholders. Management also aims to maintain a capital structure that ensures the lowest cost of capital available to the entity. The Company regularly reviews the capital structure and seeks to take advantage of available opportunities to improve outcomes for the Company and its shareholders.</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For the year ended 30 June 2018, there were no dividends paid and management has no plans to commence the payment of dividends. Management has no current plans to issue further shares on the market but will continue to assess market conditions and the company’s cash flow requirements to ensure the company is appropriately funded.</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Company monitors capital on the basis of the gearing ratio, however there is no significant external borrowing at the reporting date. Neither the Company nor any of the subsidiaries are subject to externally imposed capital requirement.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LOSSES AND RESERVES</w:t>
      </w:r>
    </w:p>
    <w:p>
      <w:pPr>
        <w:spacing w:after="0" w:line="131"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Movements in accumulated losses were as follows: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300" w:type="dxa"/>
            <w:vAlign w:val="bottom"/>
            <w:gridSpan w:val="4"/>
          </w:tcPr>
          <w:p>
            <w:pPr>
              <w:ind w:left="116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July 1</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84"/>
              </w:rPr>
              <w:t>A$ (132,218,352)</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6"/>
              </w:rPr>
              <w:t>A$ (121,108,408)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owners of Avita Medical Limited</w:t>
            </w:r>
          </w:p>
        </w:tc>
        <w:tc>
          <w:tcPr>
            <w:tcW w:w="1980" w:type="dxa"/>
            <w:vAlign w:val="bottom"/>
            <w:gridSpan w:val="2"/>
          </w:tcPr>
          <w:p>
            <w:pPr>
              <w:jc w:val="right"/>
              <w:ind w:right="720"/>
              <w:spacing w:after="0"/>
              <w:rPr>
                <w:sz w:val="20"/>
                <w:szCs w:val="20"/>
                <w:color w:val="auto"/>
              </w:rPr>
            </w:pPr>
            <w:r>
              <w:rPr>
                <w:rFonts w:ascii="Arial" w:cs="Arial" w:eastAsia="Arial" w:hAnsi="Arial"/>
                <w:sz w:val="18"/>
                <w:szCs w:val="18"/>
                <w:color w:val="auto"/>
              </w:rPr>
              <w:t>(16,519,155)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(11,511,024)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expired / lapsed options</w:t>
            </w:r>
          </w:p>
        </w:tc>
        <w:tc>
          <w:tcPr>
            <w:tcW w:w="19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141,188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401,080</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Cancelled options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780" w:type="dxa"/>
            <w:vAlign w:val="bottom"/>
          </w:tcPr>
          <w:p>
            <w:pPr>
              <w:spacing w:after="0"/>
              <w:rPr>
                <w:sz w:val="19"/>
                <w:szCs w:val="19"/>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xml:space="preserve"> (148,592,879)</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xml:space="preserve"> (132,218,352)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(b)</w:t>
        <w:tab/>
        <w:t>Nature and purpose of reserves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equity benefits reserve</w:t>
      </w:r>
    </w:p>
    <w:p>
      <w:pPr>
        <w:spacing w:after="0" w:line="11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employee equity benefits reserve is used to record the value of share-based payments provided to employees, including Key Management Personnel, as part of their remuneration. Refer to note 17 for further details of these plans.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translation reserve</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foreign currency translation reserve is used to record exchange differences arising from the translation of the financial statements of foreign subsidiaries.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Available for sales reserve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Available for sale reserve is used to record the gain from measuring financial assets at fair value.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580"/>
          </w:cols>
          <w:pgMar w:left="240" w:top="459" w:right="10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 OF CASH FLOWS RECONCILIATION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Reconciliation of net loss after tax to net cash flows from operations</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from ordinary activities after tax</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A$(16,519,155)</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(11,511,024)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A$(7,778,015)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 for non-cash items: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143,546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139,703</w:t>
            </w: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expensed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1,835,157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956,658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 options cancelled classified as financing activities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62,681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R&amp;D claim accrual</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(1,385,414)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Foreign exchange differences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592,385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(453,892)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on disposal of PPE</w:t>
            </w:r>
          </w:p>
        </w:tc>
        <w:tc>
          <w:tcPr>
            <w:tcW w:w="66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Changes in assets and liabilities:</w:t>
            </w: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inventories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(118,336)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333,132</w:t>
            </w:r>
          </w:p>
        </w:tc>
        <w:tc>
          <w:tcPr>
            <w:tcW w:w="3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(776,105)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receivables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(1,980,566)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(49,040)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 decrease in prepayments</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(473,690)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(156,756)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and other payables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1,258,186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1,125,116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Increase/(decrease) in provisions</w:t>
            </w: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213,182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(25,898)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(16,372,024)</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(8,557,524)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(7,938,557)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w:t>
      </w:r>
    </w:p>
    <w:p>
      <w:pPr>
        <w:spacing w:after="0" w:line="131"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consolidated financial statements include the financial statements of Avita Medical Limited and the subsidiaries listed in the following table:</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94"/>
              </w:rPr>
              <w:t>% Equity</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7"/>
              </w:rPr>
              <w:t>%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interest at</w:t>
            </w: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i w:val="1"/>
                <w:iCs w:val="1"/>
                <w:color w:val="auto"/>
                <w:w w:val="94"/>
              </w:rPr>
              <w:t>interest 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20" w:type="dxa"/>
            <w:vAlign w:val="bottom"/>
          </w:tcPr>
          <w:p>
            <w:pPr>
              <w:jc w:val="center"/>
              <w:ind w:left="774"/>
              <w:spacing w:after="0" w:line="149" w:lineRule="exact"/>
              <w:rPr>
                <w:sz w:val="20"/>
                <w:szCs w:val="20"/>
                <w:color w:val="auto"/>
              </w:rPr>
            </w:pPr>
            <w:r>
              <w:rPr>
                <w:rFonts w:ascii="Arial" w:cs="Arial" w:eastAsia="Arial" w:hAnsi="Arial"/>
                <w:sz w:val="14"/>
                <w:szCs w:val="14"/>
                <w:i w:val="1"/>
                <w:iCs w:val="1"/>
                <w:color w:val="auto"/>
                <w:w w:val="95"/>
              </w:rPr>
              <w:t>Country of</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000" w:type="dxa"/>
            <w:vAlign w:val="bottom"/>
          </w:tcPr>
          <w:p>
            <w:pPr>
              <w:jc w:val="right"/>
              <w:ind w:right="178"/>
              <w:spacing w:after="0" w:line="149" w:lineRule="exact"/>
              <w:rPr>
                <w:sz w:val="20"/>
                <w:szCs w:val="20"/>
                <w:color w:val="auto"/>
              </w:rPr>
            </w:pPr>
            <w:r>
              <w:rPr>
                <w:rFonts w:ascii="Arial" w:cs="Arial" w:eastAsia="Arial" w:hAnsi="Arial"/>
                <w:sz w:val="14"/>
                <w:szCs w:val="14"/>
                <w:i w:val="1"/>
                <w:iCs w:val="1"/>
                <w:color w:val="auto"/>
              </w:rPr>
              <w:t>June 30,</w:t>
            </w:r>
          </w:p>
        </w:tc>
        <w:tc>
          <w:tcPr>
            <w:tcW w:w="1240" w:type="dxa"/>
            <w:vAlign w:val="bottom"/>
          </w:tcPr>
          <w:p>
            <w:pPr>
              <w:jc w:val="right"/>
              <w:ind w:right="398"/>
              <w:spacing w:after="0" w:line="149" w:lineRule="exact"/>
              <w:rPr>
                <w:sz w:val="20"/>
                <w:szCs w:val="20"/>
                <w:color w:val="auto"/>
              </w:rPr>
            </w:pPr>
            <w:r>
              <w:rPr>
                <w:rFonts w:ascii="Arial" w:cs="Arial" w:eastAsia="Arial" w:hAnsi="Arial"/>
                <w:sz w:val="14"/>
                <w:szCs w:val="14"/>
                <w:i w:val="1"/>
                <w:iCs w:val="1"/>
                <w:color w:val="auto"/>
              </w:rPr>
              <w:t>June 30,</w:t>
            </w:r>
          </w:p>
        </w:tc>
        <w:tc>
          <w:tcPr>
            <w:tcW w:w="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w w:val="96"/>
              </w:rPr>
              <w:t>Investment ($)</w:t>
            </w:r>
          </w:p>
        </w:tc>
        <w:tc>
          <w:tcPr>
            <w:tcW w:w="42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Investment ($)</w:t>
            </w:r>
          </w:p>
        </w:tc>
      </w:tr>
      <w:tr>
        <w:trPr>
          <w:trHeight w:val="181"/>
        </w:trPr>
        <w:tc>
          <w:tcPr>
            <w:tcW w:w="3240" w:type="dxa"/>
            <w:vAlign w:val="bottom"/>
            <w:gridSpan w:val="2"/>
          </w:tcPr>
          <w:p>
            <w:pPr>
              <w:spacing w:after="0"/>
              <w:rPr>
                <w:sz w:val="20"/>
                <w:szCs w:val="20"/>
                <w:color w:val="auto"/>
              </w:rPr>
            </w:pPr>
            <w:r>
              <w:rPr>
                <w:rFonts w:ascii="Arial" w:cs="Arial" w:eastAsia="Arial" w:hAnsi="Arial"/>
                <w:sz w:val="14"/>
                <w:szCs w:val="14"/>
                <w:i w:val="1"/>
                <w:iCs w:val="1"/>
                <w:color w:val="auto"/>
              </w:rPr>
              <w:t>Name</w:t>
            </w:r>
          </w:p>
        </w:tc>
        <w:tc>
          <w:tcPr>
            <w:tcW w:w="2120" w:type="dxa"/>
            <w:vAlign w:val="bottom"/>
          </w:tcPr>
          <w:p>
            <w:pPr>
              <w:jc w:val="center"/>
              <w:ind w:left="774"/>
              <w:spacing w:after="0"/>
              <w:rPr>
                <w:sz w:val="20"/>
                <w:szCs w:val="20"/>
                <w:color w:val="auto"/>
              </w:rPr>
            </w:pPr>
            <w:r>
              <w:rPr>
                <w:rFonts w:ascii="Arial" w:cs="Arial" w:eastAsia="Arial" w:hAnsi="Arial"/>
                <w:sz w:val="14"/>
                <w:szCs w:val="14"/>
                <w:i w:val="1"/>
                <w:iCs w:val="1"/>
                <w:color w:val="auto"/>
              </w:rPr>
              <w:t>Incorporation</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2018</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auto"/>
                <w:w w:val="89"/>
              </w:rPr>
              <w:t>2017</w:t>
            </w:r>
          </w:p>
        </w:tc>
        <w:tc>
          <w:tcPr>
            <w:tcW w:w="1240" w:type="dxa"/>
            <w:vAlign w:val="bottom"/>
          </w:tcPr>
          <w:p>
            <w:pPr>
              <w:jc w:val="center"/>
              <w:ind w:right="138"/>
              <w:spacing w:after="0"/>
              <w:rPr>
                <w:sz w:val="20"/>
                <w:szCs w:val="20"/>
                <w:color w:val="auto"/>
              </w:rPr>
            </w:pPr>
            <w:r>
              <w:rPr>
                <w:rFonts w:ascii="Arial" w:cs="Arial" w:eastAsia="Arial" w:hAnsi="Arial"/>
                <w:sz w:val="14"/>
                <w:szCs w:val="14"/>
                <w:i w:val="1"/>
                <w:iCs w:val="1"/>
                <w:color w:val="auto"/>
                <w:w w:val="96"/>
              </w:rPr>
              <w:t>2016</w:t>
            </w:r>
          </w:p>
        </w:tc>
        <w:tc>
          <w:tcPr>
            <w:tcW w:w="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i w:val="1"/>
                <w:iCs w:val="1"/>
                <w:color w:val="auto"/>
                <w:w w:val="88"/>
              </w:rPr>
              <w:t>at June 30, 2018</w:t>
            </w:r>
          </w:p>
        </w:tc>
        <w:tc>
          <w:tcPr>
            <w:tcW w:w="1460" w:type="dxa"/>
            <w:vAlign w:val="bottom"/>
            <w:gridSpan w:val="4"/>
          </w:tcPr>
          <w:p>
            <w:pPr>
              <w:ind w:left="420"/>
              <w:spacing w:after="0"/>
              <w:rPr>
                <w:sz w:val="20"/>
                <w:szCs w:val="20"/>
                <w:color w:val="auto"/>
              </w:rPr>
            </w:pPr>
            <w:r>
              <w:rPr>
                <w:rFonts w:ascii="Arial" w:cs="Arial" w:eastAsia="Arial" w:hAnsi="Arial"/>
                <w:sz w:val="14"/>
                <w:szCs w:val="14"/>
                <w:i w:val="1"/>
                <w:iCs w:val="1"/>
                <w:color w:val="auto"/>
                <w:w w:val="97"/>
              </w:rPr>
              <w:t>at June 30, 2017</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C3 Operations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Avita Medical Europe Ltd</w:t>
            </w:r>
          </w:p>
        </w:tc>
        <w:tc>
          <w:tcPr>
            <w:tcW w:w="2120" w:type="dxa"/>
            <w:vAlign w:val="bottom"/>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120" w:type="dxa"/>
            <w:vAlign w:val="bottom"/>
          </w:tcPr>
          <w:p>
            <w:pPr>
              <w:jc w:val="center"/>
              <w:ind w:left="834"/>
              <w:spacing w:after="0"/>
              <w:rPr>
                <w:sz w:val="20"/>
                <w:szCs w:val="20"/>
                <w:color w:val="auto"/>
              </w:rPr>
            </w:pPr>
            <w:r>
              <w:rPr>
                <w:rFonts w:ascii="Arial" w:cs="Arial" w:eastAsia="Arial" w:hAnsi="Arial"/>
                <w:sz w:val="18"/>
                <w:szCs w:val="18"/>
                <w:color w:val="auto"/>
                <w:w w:val="95"/>
              </w:rPr>
              <w:t>Kingdom</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Avita Medical Americas LLC</w:t>
            </w:r>
          </w:p>
        </w:tc>
        <w:tc>
          <w:tcPr>
            <w:tcW w:w="2120" w:type="dxa"/>
            <w:vAlign w:val="bottom"/>
            <w:shd w:val="clear" w:color="auto" w:fill="CCEEFF"/>
          </w:tcPr>
          <w:p>
            <w:pPr>
              <w:jc w:val="center"/>
              <w:ind w:left="834"/>
              <w:spacing w:after="0" w:line="201" w:lineRule="exact"/>
              <w:rPr>
                <w:sz w:val="20"/>
                <w:szCs w:val="20"/>
                <w:color w:val="auto"/>
              </w:rPr>
            </w:pPr>
            <w:r>
              <w:rPr>
                <w:rFonts w:ascii="Arial" w:cs="Arial" w:eastAsia="Arial" w:hAnsi="Arial"/>
                <w:sz w:val="18"/>
                <w:szCs w:val="18"/>
                <w:color w:val="auto"/>
                <w:w w:val="92"/>
              </w:rPr>
              <w:t>United</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line="201" w:lineRule="exact"/>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line="201" w:lineRule="exact"/>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12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86"/>
              </w:rPr>
              <w:t>States</w:t>
            </w:r>
          </w:p>
        </w:tc>
        <w:tc>
          <w:tcPr>
            <w:tcW w:w="1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Infamed Pty Limited</w:t>
            </w:r>
          </w:p>
        </w:tc>
        <w:tc>
          <w:tcPr>
            <w:tcW w:w="2120" w:type="dxa"/>
            <w:vAlign w:val="bottom"/>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Visiomed Group Pty Ltd</w:t>
            </w:r>
          </w:p>
        </w:tc>
        <w:tc>
          <w:tcPr>
            <w:tcW w:w="212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4"/>
              </w:rPr>
              <w:t>Australia</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4,643,888</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4,643,888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5"/>
              </w:rPr>
              <w:t>A</w:t>
            </w:r>
            <w:r>
              <w:rPr>
                <w:rFonts w:ascii="Arial" w:cs="Arial" w:eastAsia="Arial" w:hAnsi="Arial"/>
                <w:sz w:val="18"/>
                <w:szCs w:val="18"/>
                <w:b w:val="1"/>
                <w:bCs w:val="1"/>
                <w:color w:val="auto"/>
                <w:w w:val="85"/>
              </w:rPr>
              <w:t>$ 4,643,888</w:t>
            </w:r>
          </w:p>
        </w:tc>
        <w:tc>
          <w:tcPr>
            <w:tcW w:w="420" w:type="dxa"/>
            <w:vAlign w:val="bottom"/>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u w:val="single" w:color="auto"/>
                <w:color w:val="auto"/>
                <w:w w:val="88"/>
              </w:rPr>
              <w:t>A</w:t>
            </w:r>
            <w:r>
              <w:rPr>
                <w:rFonts w:ascii="Arial" w:cs="Arial" w:eastAsia="Arial" w:hAnsi="Arial"/>
                <w:sz w:val="18"/>
                <w:szCs w:val="18"/>
                <w:b w:val="1"/>
                <w:bCs w:val="1"/>
                <w:color w:val="auto"/>
                <w:w w:val="88"/>
              </w:rPr>
              <w:t>$ 4,643,888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Ultimate parent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Avita Medical Limited is the ultimate parent entity in the wholly-owned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 (CONTINUED)</w:t>
      </w:r>
    </w:p>
    <w:p>
      <w:pPr>
        <w:spacing w:after="0" w:line="131"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 Personnel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remuneration paid to key management personnel of the Company during year is detailed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18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1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5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A$3,770,141</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A$2,933,510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A$1,904,993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Post-employment employee benefits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90,512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112,034</w:t>
            </w:r>
          </w:p>
        </w:tc>
        <w:tc>
          <w:tcPr>
            <w:tcW w:w="3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Share-based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1,596,368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1,215,809</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w:t>
            </w:r>
            <w:r>
              <w:rPr>
                <w:rFonts w:ascii="Arial" w:cs="Arial" w:eastAsia="Arial" w:hAnsi="Arial"/>
                <w:sz w:val="18"/>
                <w:szCs w:val="18"/>
                <w:b w:val="1"/>
                <w:bCs w:val="1"/>
                <w:color w:val="auto"/>
                <w:w w:val="92"/>
              </w:rPr>
              <w:t>5,457,021</w:t>
            </w: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4,261,353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2,916,438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Refer to the remuneration report contained the Directors’ Report for details of the remuneration paid or payable to each member of the Company’s key management personnel for the year ended June 30, 2018.</w:t>
      </w:r>
    </w:p>
    <w:p>
      <w:pPr>
        <w:spacing w:after="0" w:line="17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year ended June 30, 2018 were A$157,728 Consultancy fees (2017: A$128,987 and 2016: A$59,675) paid under normal terms and conditions to Bioscience Managers Pty Ltd of which Mr. Curnock Cook is an officer and Dr. Michael Perry is a director.</w:t>
      </w:r>
    </w:p>
    <w:p>
      <w:pPr>
        <w:spacing w:after="0" w:line="326"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Subsidiaries of the Company</w:t>
      </w:r>
    </w:p>
    <w:p>
      <w:pPr>
        <w:spacing w:after="0" w:line="117"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During the reporting period, inter-company other revenue was made of A$2,819,592 (2017: A$2,087,051 and 2016: A$1,995,041) by Avita Medical Europe Ltd and Avita Medical Americas LLC to Avita Medical Limited. These have been eliminated on consolidation.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Contributions to superannuation funds on behalf of employees are disclosed in note 4(g).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Terms and conditions of transactions with related parties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balances at year end are unsecured, interest free and settlement occurs in cash.</w:t>
      </w:r>
    </w:p>
    <w:p>
      <w:pPr>
        <w:spacing w:after="0" w:line="370"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w:t>
      </w:r>
    </w:p>
    <w:p>
      <w:pPr>
        <w:spacing w:after="0" w:line="131"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80" w:type="dxa"/>
            <w:vAlign w:val="bottom"/>
            <w:gridSpan w:val="2"/>
            <w:vMerge w:val="restart"/>
          </w:tcPr>
          <w:p>
            <w:pPr>
              <w:jc w:val="center"/>
              <w:ind w:left="1619"/>
              <w:spacing w:after="0"/>
              <w:rPr>
                <w:sz w:val="20"/>
                <w:szCs w:val="20"/>
                <w:color w:val="auto"/>
              </w:rPr>
            </w:pPr>
            <w:r>
              <w:rPr>
                <w:rFonts w:ascii="Arial" w:cs="Arial" w:eastAsia="Arial" w:hAnsi="Arial"/>
                <w:sz w:val="14"/>
                <w:szCs w:val="14"/>
                <w:b w:val="1"/>
                <w:bCs w:val="1"/>
                <w:color w:val="auto"/>
                <w:w w:val="96"/>
              </w:rPr>
              <w:t>2018</w:t>
            </w:r>
          </w:p>
        </w:tc>
        <w:tc>
          <w:tcPr>
            <w:tcW w:w="19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June 30,</w:t>
            </w:r>
          </w:p>
        </w:tc>
        <w:tc>
          <w:tcPr>
            <w:tcW w:w="112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60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Expenses arising from equity-settled share-based payment transactions</w:t>
            </w:r>
          </w:p>
        </w:tc>
        <w:tc>
          <w:tcPr>
            <w:tcW w:w="1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1,835,157</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1,587,243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956,658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7"/>
              </w:rPr>
              <w:t>Total expense arising from share-based payment transactions</w:t>
            </w:r>
          </w:p>
        </w:tc>
        <w:tc>
          <w:tcPr>
            <w:tcW w:w="17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1,835,157</w:t>
            </w:r>
          </w:p>
        </w:tc>
        <w:tc>
          <w:tcPr>
            <w:tcW w:w="64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1,587,243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956,648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F-35</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share-based payment plans are described below. There have been share-based plan forfeitures during fiscal 2018 and 2017.</w:t>
      </w:r>
    </w:p>
    <w:p>
      <w:pPr>
        <w:spacing w:after="0" w:line="370" w:lineRule="exact"/>
        <w:rPr>
          <w:sz w:val="20"/>
          <w:szCs w:val="20"/>
          <w:color w:val="auto"/>
        </w:rPr>
      </w:pPr>
    </w:p>
    <w:p>
      <w:pPr>
        <w:ind w:left="200" w:right="7840" w:firstLine="4"/>
        <w:spacing w:after="0" w:line="453" w:lineRule="auto"/>
        <w:tabs>
          <w:tab w:leader="none" w:pos="632"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Types of share-based payment plans Employee Share Option Plan (ESOP)</w:t>
      </w:r>
    </w:p>
    <w:p>
      <w:pPr>
        <w:spacing w:after="0" w:line="1"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Share options are granted to Senior Executives and employees under the Employee Share Option Plan at the discretion of the Board. The exercise price of the options is based on a weighted average market price of the shares preceding the date of grant. The options vest at the time of grant and the contractual life of each option granted is ten years. There are no cash settlement alternatives.</w:t>
      </w:r>
    </w:p>
    <w:p>
      <w:pPr>
        <w:spacing w:after="0" w:line="18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Subject to shareholder approval, options may also be granted to Directors at the discretion of the Board. The exercise price of the options is based on a weighted average market price of the shares preceding the date of grant. The options vest either at the time of grant or are subject to performance conditions at the discretion of the Board and the contractual life of each option granted is three years. There are no cash settlement alternatives.</w:t>
      </w:r>
    </w:p>
    <w:p>
      <w:pPr>
        <w:spacing w:after="0" w:line="291"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table illustrates the number (No) and weighted average exercise price (WAEP) of, and movements in, share options issued during the year: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i w:val="1"/>
                <w:iCs w:val="1"/>
                <w:color w:val="auto"/>
              </w:rPr>
              <w:t>2018</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2018</w:t>
            </w:r>
          </w:p>
        </w:tc>
        <w:tc>
          <w:tcPr>
            <w:tcW w:w="1140" w:type="dxa"/>
            <w:vAlign w:val="bottom"/>
            <w:gridSpan w:val="2"/>
          </w:tcPr>
          <w:p>
            <w:pPr>
              <w:jc w:val="right"/>
              <w:ind w:right="216"/>
              <w:spacing w:after="0"/>
              <w:rPr>
                <w:sz w:val="20"/>
                <w:szCs w:val="20"/>
                <w:color w:val="auto"/>
              </w:rPr>
            </w:pPr>
            <w:r>
              <w:rPr>
                <w:rFonts w:ascii="Arial" w:cs="Arial" w:eastAsia="Arial" w:hAnsi="Arial"/>
                <w:sz w:val="14"/>
                <w:szCs w:val="14"/>
                <w:b w:val="1"/>
                <w:bCs w:val="1"/>
                <w:i w:val="1"/>
                <w:iCs w:val="1"/>
                <w:color w:val="auto"/>
              </w:rPr>
              <w:t>2017</w:t>
            </w:r>
          </w:p>
        </w:tc>
        <w:tc>
          <w:tcPr>
            <w:tcW w:w="180" w:type="dxa"/>
            <w:vAlign w:val="bottom"/>
          </w:tcPr>
          <w:p>
            <w:pPr>
              <w:spacing w:after="0"/>
              <w:rPr>
                <w:sz w:val="14"/>
                <w:szCs w:val="14"/>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4"/>
                <w:szCs w:val="14"/>
                <w:b w:val="1"/>
                <w:bCs w:val="1"/>
                <w:i w:val="1"/>
                <w:iCs w:val="1"/>
                <w:color w:val="auto"/>
              </w:rPr>
              <w:t>2017</w:t>
            </w:r>
          </w:p>
        </w:tc>
        <w:tc>
          <w:tcPr>
            <w:tcW w:w="1120" w:type="dxa"/>
            <w:vAlign w:val="bottom"/>
            <w:gridSpan w:val="2"/>
          </w:tcPr>
          <w:p>
            <w:pPr>
              <w:jc w:val="right"/>
              <w:ind w:right="214"/>
              <w:spacing w:after="0"/>
              <w:rPr>
                <w:sz w:val="20"/>
                <w:szCs w:val="20"/>
                <w:color w:val="auto"/>
              </w:rPr>
            </w:pPr>
            <w:r>
              <w:rPr>
                <w:rFonts w:ascii="Arial" w:cs="Arial" w:eastAsia="Arial" w:hAnsi="Arial"/>
                <w:sz w:val="14"/>
                <w:szCs w:val="14"/>
                <w:b w:val="1"/>
                <w:bCs w:val="1"/>
                <w:i w:val="1"/>
                <w:iCs w:val="1"/>
                <w:color w:val="auto"/>
              </w:rPr>
              <w:t>2016</w:t>
            </w:r>
          </w:p>
        </w:tc>
        <w:tc>
          <w:tcPr>
            <w:tcW w:w="180" w:type="dxa"/>
            <w:vAlign w:val="bottom"/>
          </w:tcPr>
          <w:p>
            <w:pPr>
              <w:spacing w:after="0"/>
              <w:rPr>
                <w:sz w:val="14"/>
                <w:szCs w:val="14"/>
                <w:color w:val="auto"/>
              </w:rPr>
            </w:pPr>
          </w:p>
        </w:tc>
        <w:tc>
          <w:tcPr>
            <w:tcW w:w="780" w:type="dxa"/>
            <w:vAlign w:val="bottom"/>
            <w:gridSpan w:val="3"/>
          </w:tcPr>
          <w:p>
            <w:pPr>
              <w:jc w:val="right"/>
              <w:ind w:right="90"/>
              <w:spacing w:after="0"/>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i w:val="1"/>
                <w:iCs w:val="1"/>
                <w:color w:val="auto"/>
              </w:rPr>
              <w:t>WAEP</w:t>
            </w:r>
          </w:p>
        </w:tc>
        <w:tc>
          <w:tcPr>
            <w:tcW w:w="26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No</w:t>
            </w:r>
          </w:p>
        </w:tc>
        <w:tc>
          <w:tcPr>
            <w:tcW w:w="1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WAEP</w:t>
            </w: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the beginning of the year</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24,797,286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11,147,289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9,441,250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Expired during the year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(3,937,289)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(4,710,000)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(1,450,000)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Forfeiture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(838,333)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20,859,997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the end of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29,131,664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0.078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24,797,286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0.084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11,147,289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86"/>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0.149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at the reporting date, there were 29,131,664 unissued ordinary shares under options represented by: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1,110,000 exercisable at A$0.08 expiring December 31, 2018 issued to an employee on July 1,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17,910,415 exercisable at A$0.085 expiring May 18, 2027 issued to employees on May 18,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1,072,916 exercisable at A$0.082 expiring May 26, 2027 issued to an employee on May 26,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1,038,333 exercisable at A$0.08 expiring June 27, 2027 issued to employees on June 27,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A$0.063 expiring September 6, 2027 issued to an employee on September 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4,000,000 exercisable at A$0.061 expiring January 3, 2028 issued to an employee on January 3,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Option holders do not have any right, by virtue of the option, to participate in any share issue of the Company or any related corporate body.</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Summaries of options granted under ESOP arrangements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 as a result of the exercise of options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financial year and up to the date of this report, no options were exercised to acquire fully paid ordinary shares in the Company.</w:t>
      </w:r>
    </w:p>
    <w:p>
      <w:pPr>
        <w:spacing w:after="0" w:line="370" w:lineRule="exact"/>
        <w:rPr>
          <w:sz w:val="20"/>
          <w:szCs w:val="20"/>
          <w:color w:val="auto"/>
        </w:rPr>
      </w:pPr>
    </w:p>
    <w:p>
      <w:pPr>
        <w:ind w:left="640" w:hanging="436"/>
        <w:spacing w:after="0"/>
        <w:tabs>
          <w:tab w:leader="none" w:pos="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remaining contractual life</w:t>
      </w:r>
    </w:p>
    <w:p>
      <w:pPr>
        <w:spacing w:after="0" w:line="12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weighted average remaining contractual life for the share options outstanding as at June 30, 2018 is 9.52 years (2017: 9.39 years and 2016: 2.88 years).</w:t>
      </w:r>
    </w:p>
    <w:p>
      <w:pPr>
        <w:spacing w:after="0" w:line="315"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Range of exercise price</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range of exercise prices for options outstanding at the end of the year was A$0.061—A$0.126 (2017: A$0.079—A$0.14 and 2016: A$0.10— A$0.175).</w:t>
      </w:r>
    </w:p>
    <w:p>
      <w:pPr>
        <w:spacing w:after="0" w:line="17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As the range of exercise prices is wide, refer to Section (c) above for further information in assessing the number and timing of additional shares that may be issued and the cash that may be received upon exercise of those options.</w:t>
      </w:r>
    </w:p>
    <w:p>
      <w:pPr>
        <w:spacing w:after="0" w:line="315"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fair value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weighted average fair value of options granted during the year was A$247,089 (2017: A$578,879 and 2016: A$191,589). The total fair value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options granted during the year is A$247,089 (2017: A$578,879 and 2016: A$191,589).</w:t>
      </w:r>
    </w:p>
    <w:p>
      <w:pPr>
        <w:spacing w:after="0" w:line="355" w:lineRule="exact"/>
        <w:rPr>
          <w:sz w:val="20"/>
          <w:szCs w:val="20"/>
          <w:color w:val="auto"/>
        </w:rPr>
      </w:pPr>
    </w:p>
    <w:p>
      <w:pPr>
        <w:ind w:left="200" w:right="7260" w:firstLine="4"/>
        <w:spacing w:after="0" w:line="378" w:lineRule="auto"/>
        <w:tabs>
          <w:tab w:leader="none" w:pos="63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1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24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firstLine="4"/>
        <w:spacing w:after="0" w:line="277" w:lineRule="auto"/>
        <w:tabs>
          <w:tab w:leader="none" w:pos="355"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On May 18, 2017, 17,910,415 options were granted to employees at an exercise price of A$0.085 expiring on May 18,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05/18/2017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05/18/2017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40" w:type="dxa"/>
            <w:vAlign w:val="bottom"/>
            <w:gridSpan w:val="2"/>
          </w:tcPr>
          <w:p>
            <w:pPr>
              <w:ind w:left="14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700" w:type="dxa"/>
            <w:vAlign w:val="bottom"/>
          </w:tcPr>
          <w:p>
            <w:pPr>
              <w:spacing w:after="0"/>
              <w:rPr>
                <w:sz w:val="18"/>
                <w:szCs w:val="18"/>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volatility (%)</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40" w:type="dxa"/>
            <w:vAlign w:val="bottom"/>
            <w:gridSpan w:val="2"/>
          </w:tcPr>
          <w:p>
            <w:pPr>
              <w:ind w:left="14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0.085</w:t>
            </w:r>
          </w:p>
        </w:tc>
        <w:tc>
          <w:tcPr>
            <w:tcW w:w="700" w:type="dxa"/>
            <w:vAlign w:val="bottom"/>
          </w:tcPr>
          <w:p>
            <w:pPr>
              <w:spacing w:after="0"/>
              <w:rPr>
                <w:sz w:val="20"/>
                <w:szCs w:val="20"/>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0.085</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7,808,333 options were unvested.</w:t>
      </w:r>
    </w:p>
    <w:p>
      <w:pPr>
        <w:spacing w:after="0" w:line="225" w:lineRule="exact"/>
        <w:rPr>
          <w:sz w:val="20"/>
          <w:szCs w:val="20"/>
          <w:color w:val="auto"/>
        </w:rPr>
      </w:pPr>
    </w:p>
    <w:p>
      <w:pPr>
        <w:ind w:left="200" w:right="40" w:firstLine="4"/>
        <w:spacing w:after="0" w:line="277" w:lineRule="auto"/>
        <w:tabs>
          <w:tab w:leader="none" w:pos="405"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On May 26, 2017, 1,072,916 options were granted to employees at an exercise price of A$0.082 expiring on May 26,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05/26/2017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05/26/2017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640" w:type="dxa"/>
            <w:vAlign w:val="bottom"/>
            <w:gridSpan w:val="2"/>
          </w:tcPr>
          <w:p>
            <w:pPr>
              <w:ind w:left="14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0.086</w:t>
            </w:r>
          </w:p>
        </w:tc>
        <w:tc>
          <w:tcPr>
            <w:tcW w:w="700" w:type="dxa"/>
            <w:vAlign w:val="bottom"/>
          </w:tcPr>
          <w:p>
            <w:pPr>
              <w:spacing w:after="0"/>
              <w:rPr>
                <w:sz w:val="18"/>
                <w:szCs w:val="18"/>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volatility (%)</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6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640" w:type="dxa"/>
            <w:vAlign w:val="bottom"/>
            <w:gridSpan w:val="2"/>
          </w:tcPr>
          <w:p>
            <w:pPr>
              <w:ind w:left="14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700" w:type="dxa"/>
            <w:vAlign w:val="bottom"/>
          </w:tcPr>
          <w:p>
            <w:pPr>
              <w:spacing w:after="0"/>
              <w:rPr>
                <w:sz w:val="20"/>
                <w:szCs w:val="20"/>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938,333 options were unvested.</w:t>
      </w:r>
    </w:p>
    <w:p>
      <w:pPr>
        <w:spacing w:after="0" w:line="225" w:lineRule="exact"/>
        <w:rPr>
          <w:sz w:val="20"/>
          <w:szCs w:val="20"/>
          <w:color w:val="auto"/>
        </w:rPr>
      </w:pPr>
    </w:p>
    <w:p>
      <w:pPr>
        <w:ind w:left="200" w:right="80" w:firstLine="4"/>
        <w:spacing w:after="0" w:line="277" w:lineRule="auto"/>
        <w:tabs>
          <w:tab w:leader="none" w:pos="455"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On June 27, 2017, 1,876,666 options were granted to employees at an exercise price of A$0.08 expiring on June 27,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06/27/2017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06/27/2017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0.067</w:t>
            </w:r>
          </w:p>
        </w:tc>
        <w:tc>
          <w:tcPr>
            <w:tcW w:w="700" w:type="dxa"/>
            <w:vAlign w:val="bottom"/>
          </w:tcPr>
          <w:p>
            <w:pPr>
              <w:spacing w:after="0"/>
              <w:rPr>
                <w:sz w:val="18"/>
                <w:szCs w:val="18"/>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7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040" w:type="dxa"/>
            <w:vAlign w:val="bottom"/>
            <w:gridSpan w:val="2"/>
          </w:tcPr>
          <w:p>
            <w:pPr>
              <w:ind w:left="18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700" w:type="dxa"/>
            <w:vAlign w:val="bottom"/>
          </w:tcPr>
          <w:p>
            <w:pPr>
              <w:spacing w:after="0"/>
              <w:rPr>
                <w:sz w:val="20"/>
                <w:szCs w:val="20"/>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40" w:type="dxa"/>
            <w:vAlign w:val="bottom"/>
            <w:gridSpan w:val="2"/>
          </w:tcPr>
          <w:p>
            <w:pPr>
              <w:ind w:left="1040"/>
              <w:spacing w:after="0"/>
              <w:rPr>
                <w:sz w:val="20"/>
                <w:szCs w:val="20"/>
                <w:color w:val="auto"/>
              </w:rPr>
            </w:pPr>
            <w:r>
              <w:rPr>
                <w:rFonts w:ascii="Arial" w:cs="Arial" w:eastAsia="Arial" w:hAnsi="Arial"/>
                <w:sz w:val="18"/>
                <w:szCs w:val="18"/>
                <w:color w:val="auto"/>
              </w:rPr>
              <w:t>F-38</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623,000 options were unvested.</w:t>
      </w:r>
    </w:p>
    <w:p>
      <w:pPr>
        <w:spacing w:after="0" w:line="117" w:lineRule="exact"/>
        <w:rPr>
          <w:sz w:val="20"/>
          <w:szCs w:val="20"/>
          <w:color w:val="auto"/>
        </w:rPr>
      </w:pPr>
    </w:p>
    <w:p>
      <w:pPr>
        <w:ind w:left="200" w:right="100" w:firstLine="4"/>
        <w:spacing w:after="0" w:line="277" w:lineRule="auto"/>
        <w:tabs>
          <w:tab w:leader="none" w:pos="445"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On July 1, 2017, 1,110,000 options were granted to employee at an exercise price of A$0.08 expiring on December 31, 2018.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07/01/2017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0.031</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1,110,000 options were unvested.</w:t>
      </w:r>
    </w:p>
    <w:p>
      <w:pPr>
        <w:spacing w:after="0" w:line="225" w:lineRule="exact"/>
        <w:rPr>
          <w:sz w:val="20"/>
          <w:szCs w:val="20"/>
          <w:color w:val="auto"/>
        </w:rPr>
      </w:pPr>
    </w:p>
    <w:p>
      <w:pPr>
        <w:ind w:left="200" w:right="20" w:firstLine="4"/>
        <w:spacing w:after="0" w:line="277" w:lineRule="auto"/>
        <w:tabs>
          <w:tab w:leader="none" w:pos="39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September 6, 2017, 4,000,000 options were granted to employee at an exercise price of A$0.063 expiring on September 6, 2027.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09/06/2017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0.056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volatility (%)</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282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0.063</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225" w:lineRule="exact"/>
        <w:rPr>
          <w:sz w:val="20"/>
          <w:szCs w:val="20"/>
          <w:color w:val="auto"/>
        </w:rPr>
      </w:pPr>
    </w:p>
    <w:p>
      <w:pPr>
        <w:ind w:left="200" w:firstLine="4"/>
        <w:spacing w:after="0" w:line="277" w:lineRule="auto"/>
        <w:tabs>
          <w:tab w:leader="none" w:pos="4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January 3, 2018, 4,000,000 options were granted to employee at an exercise price of A$0.061 expiring on January 3, 2028. The following table lists the inputs to the models used for the options granted to employees each year:</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01/03/2018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 (%)</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438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4380" w:type="dxa"/>
            <w:vAlign w:val="bottom"/>
            <w:gridSpan w:val="2"/>
          </w:tcPr>
          <w:p>
            <w:pPr>
              <w:ind w:left="4140"/>
              <w:spacing w:after="0"/>
              <w:rPr>
                <w:sz w:val="20"/>
                <w:szCs w:val="20"/>
                <w:color w:val="auto"/>
              </w:rPr>
            </w:pPr>
            <w:r>
              <w:rPr>
                <w:rFonts w:ascii="Arial" w:cs="Arial" w:eastAsia="Arial" w:hAnsi="Arial"/>
                <w:sz w:val="18"/>
                <w:szCs w:val="18"/>
                <w:color w:val="auto"/>
                <w:w w:val="99"/>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380" w:type="dxa"/>
            <w:vAlign w:val="bottom"/>
            <w:gridSpan w:val="2"/>
          </w:tcPr>
          <w:p>
            <w:pPr>
              <w:ind w:left="1040"/>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PLANS (CONTINUED)</w:t>
      </w:r>
    </w:p>
    <w:p>
      <w:pPr>
        <w:spacing w:after="0" w:line="131" w:lineRule="exact"/>
        <w:rPr>
          <w:sz w:val="20"/>
          <w:szCs w:val="20"/>
          <w:color w:val="auto"/>
        </w:rPr>
      </w:pPr>
    </w:p>
    <w:p>
      <w:pPr>
        <w:ind w:left="640" w:hanging="436"/>
        <w:spacing w:after="0"/>
        <w:tabs>
          <w:tab w:leader="none" w:pos="6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year end, 4,000,000 options were unvested.</w:t>
      </w:r>
    </w:p>
    <w:p>
      <w:pPr>
        <w:spacing w:after="0" w:line="370" w:lineRule="exact"/>
        <w:rPr>
          <w:sz w:val="20"/>
          <w:szCs w:val="20"/>
          <w:color w:val="auto"/>
        </w:rPr>
      </w:pPr>
    </w:p>
    <w:p>
      <w:pPr>
        <w:ind w:left="640" w:hanging="436"/>
        <w:spacing w:after="0"/>
        <w:tabs>
          <w:tab w:leader="none" w:pos="6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November 30, 2017, 50,000,000 LTI’s were issued to Dr. Michael Perry based on the following milestones:</w:t>
      </w:r>
    </w:p>
    <w:p>
      <w:pPr>
        <w:spacing w:after="0" w:line="131" w:lineRule="exact"/>
        <w:rPr>
          <w:sz w:val="20"/>
          <w:szCs w:val="20"/>
          <w:color w:val="auto"/>
        </w:rPr>
      </w:pPr>
    </w:p>
    <w:p>
      <w:pPr>
        <w:ind w:left="1060" w:hanging="424"/>
        <w:spacing w:after="0"/>
        <w:tabs>
          <w:tab w:leader="none" w:pos="10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Tenure – a total of 16,666,666 LTIs issued but to vest over the three-year period commencing July 1, 2017;</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Share Price – a total of 16,666,666 LTIs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86"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Milestone performance – a total of 16,666,668 LTIs issued, but to vest in two equal tranches with one tranche to vest upon the achievement of the following milestones:</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0.122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r>
        <w:trPr>
          <w:trHeight w:val="37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Tranche 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7"/>
              </w:rPr>
              <w:t>Tranche 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Tranche 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Tranche 8</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11/30/2017</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0.061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0"/>
              </w:rPr>
              <w:t>A$</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nil</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Vesting hurdle</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0.183</w:t>
            </w:r>
          </w:p>
        </w:tc>
        <w:tc>
          <w:tcPr>
            <w:tcW w:w="52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0.244</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Expiry period</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11/30/2027</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11/30/2027</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Dividend yield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r>
    </w:tbl>
    <w:p>
      <w:pPr>
        <w:spacing w:after="0" w:line="332" w:lineRule="exact"/>
        <w:rPr>
          <w:sz w:val="20"/>
          <w:szCs w:val="20"/>
          <w:color w:val="auto"/>
        </w:rPr>
      </w:pPr>
    </w:p>
    <w:p>
      <w:pPr>
        <w:ind w:left="640" w:hanging="436"/>
        <w:spacing w:after="0"/>
        <w:tabs>
          <w:tab w:leader="none" w:pos="6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Operating segments are identified on the basis of internal reports about components of the Company that are regularly reviewed by the chief operating decision maker to allocate resources to the segment and to assess its performance. The Company’s chief operating decision maker has been identified as the Chief Executive Officer.</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operating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Asia Pacific operating segment derives its revenues from the sale of the RECELL System.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Europe operating segment derives its revenues from the sale of the RECELL System.</w:t>
      </w:r>
    </w:p>
    <w:p>
      <w:pPr>
        <w:spacing w:after="0" w:line="22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America operating segment derives its revenues primarily from fees received under its contracts with BARDA. The RECELL System was not approved for sale within the U.S. until subsequent to June 30, 2018, on September 20, 2018.</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Unallocated</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060" w:hanging="316"/>
        <w:spacing w:after="0"/>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Amortization of intellectual property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segment information provided to the Chief Executive Officer for the reportable segments for the year ended June 30, 2018 is as follows:</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i w:val="1"/>
                <w:iCs w:val="1"/>
                <w:color w:val="auto"/>
              </w:rPr>
              <w:t>EMEA</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i w:val="1"/>
                <w:iCs w:val="1"/>
                <w:color w:val="auto"/>
                <w:w w:val="85"/>
              </w:rPr>
              <w:t>Americas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488,955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from external customers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10,104,082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10,107,043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revenue and other income per consolidated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w w:val="97"/>
              </w:rPr>
              <w:t>statement of profit or loss and other comprehensive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income</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769,459</w:t>
            </w: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492,354</w:t>
            </w:r>
          </w:p>
        </w:tc>
        <w:tc>
          <w:tcPr>
            <w:tcW w:w="300" w:type="dxa"/>
            <w:vAlign w:val="bottom"/>
          </w:tcPr>
          <w:p>
            <w:pPr>
              <w:spacing w:after="0"/>
              <w:rPr>
                <w:sz w:val="20"/>
                <w:szCs w:val="20"/>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w w:val="95"/>
              </w:rPr>
              <w:t>A$</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10,109,749</w:t>
            </w:r>
          </w:p>
        </w:tc>
        <w:tc>
          <w:tcPr>
            <w:tcW w:w="5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11,371,562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net loss before tax benefit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(1,341,200)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(2,181,622)</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(9,539,296)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(13,062,118)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Reconciliation of segment net result before tax to loss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(4,842,833)</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benefit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(17,904,951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revenue in its Americas including Canada operating segment includes A$9,650,783 from BARDA, representing 85%.</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13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Revenue is attributed to geographic location based on the location of the customers. The percentages of external revenues from external customers that are attributable to foreign countries are as shown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84.6%</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w w:val="96"/>
              </w:rPr>
              <w:t>Asia Pacific</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5"/>
          </w:tcPr>
          <w:p>
            <w:pPr>
              <w:jc w:val="right"/>
              <w:ind w:right="620"/>
              <w:spacing w:after="0"/>
              <w:rPr>
                <w:sz w:val="20"/>
                <w:szCs w:val="20"/>
                <w:color w:val="auto"/>
              </w:rPr>
            </w:pPr>
            <w:r>
              <w:rPr>
                <w:rFonts w:ascii="Arial" w:cs="Arial" w:eastAsia="Arial" w:hAnsi="Arial"/>
                <w:sz w:val="14"/>
                <w:szCs w:val="14"/>
                <w:b w:val="1"/>
                <w:bCs w:val="1"/>
                <w:i w:val="1"/>
                <w:iCs w:val="1"/>
                <w:color w:val="auto"/>
              </w:rPr>
              <w:t>EMEA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ind w:left="100"/>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A$532,926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w w:val="94"/>
              </w:rPr>
              <w:t>A$579,081</w:t>
            </w:r>
          </w:p>
        </w:tc>
        <w:tc>
          <w:tcPr>
            <w:tcW w:w="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A$7,079,653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6"/>
              </w:rPr>
              <w:t>A$18,191,660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non-current assets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8"/>
                <w:szCs w:val="18"/>
                <w:color w:val="auto"/>
                <w:w w:val="88"/>
              </w:rPr>
              <w:t>5,662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18,215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703,100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726,977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4,098,377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w w:val="89"/>
              </w:rPr>
              <w:t>Total assets per the consolidated statement of financial position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23,017,014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operating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4"/>
              </w:rPr>
              <w:t>A$189,531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6"/>
          </w:tcPr>
          <w:p>
            <w:pPr>
              <w:jc w:val="right"/>
              <w:ind w:right="420"/>
              <w:spacing w:after="0"/>
              <w:rPr>
                <w:sz w:val="20"/>
                <w:szCs w:val="20"/>
                <w:color w:val="auto"/>
              </w:rPr>
            </w:pPr>
            <w:r>
              <w:rPr>
                <w:rFonts w:ascii="Arial" w:cs="Arial" w:eastAsia="Arial" w:hAnsi="Arial"/>
                <w:sz w:val="18"/>
                <w:szCs w:val="18"/>
                <w:color w:val="auto"/>
                <w:w w:val="94"/>
              </w:rPr>
              <w:t>A$176,461</w:t>
            </w:r>
          </w:p>
        </w:tc>
        <w:tc>
          <w:tcPr>
            <w:tcW w:w="80" w:type="dxa"/>
            <w:vAlign w:val="bottom"/>
          </w:tcPr>
          <w:p>
            <w:pPr>
              <w:spacing w:after="0"/>
              <w:rPr>
                <w:sz w:val="18"/>
                <w:szCs w:val="18"/>
                <w:color w:val="auto"/>
              </w:rPr>
            </w:pPr>
          </w:p>
        </w:tc>
        <w:tc>
          <w:tcPr>
            <w:tcW w:w="1240" w:type="dxa"/>
            <w:vAlign w:val="bottom"/>
            <w:gridSpan w:val="6"/>
          </w:tcPr>
          <w:p>
            <w:pPr>
              <w:jc w:val="right"/>
              <w:ind w:right="160"/>
              <w:spacing w:after="0"/>
              <w:rPr>
                <w:sz w:val="20"/>
                <w:szCs w:val="20"/>
                <w:color w:val="auto"/>
              </w:rPr>
            </w:pPr>
            <w:r>
              <w:rPr>
                <w:rFonts w:ascii="Arial" w:cs="Arial" w:eastAsia="Arial" w:hAnsi="Arial"/>
                <w:sz w:val="18"/>
                <w:szCs w:val="18"/>
                <w:color w:val="auto"/>
              </w:rPr>
              <w:t>A$3,314,423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3"/>
          </w:tcPr>
          <w:p>
            <w:pPr>
              <w:ind w:left="40"/>
              <w:spacing w:after="0"/>
              <w:rPr>
                <w:sz w:val="20"/>
                <w:szCs w:val="20"/>
                <w:color w:val="auto"/>
              </w:rPr>
            </w:pPr>
            <w:r>
              <w:rPr>
                <w:rFonts w:ascii="Arial" w:cs="Arial" w:eastAsia="Arial" w:hAnsi="Arial"/>
                <w:sz w:val="18"/>
                <w:szCs w:val="18"/>
                <w:color w:val="auto"/>
                <w:w w:val="99"/>
              </w:rPr>
              <w:t>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3,680,415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9"/>
              </w:rPr>
              <w:t>Total liabilities per the consolidated statement of financial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ind w:left="4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4,017,455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rPr>
              <w:t>Asia Pacific</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5"/>
          </w:tcPr>
          <w:p>
            <w:pPr>
              <w:jc w:val="right"/>
              <w:ind w:right="800"/>
              <w:spacing w:after="0"/>
              <w:rPr>
                <w:sz w:val="20"/>
                <w:szCs w:val="20"/>
                <w:color w:val="auto"/>
              </w:rPr>
            </w:pPr>
            <w:r>
              <w:rPr>
                <w:rFonts w:ascii="Arial" w:cs="Arial" w:eastAsia="Arial" w:hAnsi="Arial"/>
                <w:sz w:val="14"/>
                <w:szCs w:val="14"/>
                <w:b w:val="1"/>
                <w:bCs w:val="1"/>
                <w:i w:val="1"/>
                <w:iCs w:val="1"/>
                <w:color w:val="auto"/>
                <w:w w:val="98"/>
              </w:rPr>
              <w:t>EMEA</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Americas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goods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452,662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448,714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0"/>
              </w:rPr>
              <w:t>A$</w:t>
            </w:r>
          </w:p>
        </w:tc>
        <w:tc>
          <w:tcPr>
            <w:tcW w:w="4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revenues from external customers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w w:val="86"/>
              </w:rPr>
              <w:t>197,488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6,886,236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7,107,261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w w:val="86"/>
              </w:rPr>
              <w:t>116,559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w w:val="96"/>
              </w:rPr>
              <w:t>Total revenue and other income per consolidated statement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36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gridSpan w:val="2"/>
          </w:tcPr>
          <w:p>
            <w:pPr>
              <w:ind w:left="160"/>
              <w:spacing w:after="0"/>
              <w:rPr>
                <w:sz w:val="20"/>
                <w:szCs w:val="20"/>
                <w:color w:val="auto"/>
              </w:rPr>
            </w:pPr>
            <w:r>
              <w:rPr>
                <w:rFonts w:ascii="Arial" w:cs="Arial" w:eastAsia="Arial" w:hAnsi="Arial"/>
                <w:sz w:val="18"/>
                <w:szCs w:val="18"/>
                <w:b w:val="1"/>
                <w:bCs w:val="1"/>
                <w:color w:val="auto"/>
                <w:w w:val="86"/>
              </w:rPr>
              <w:t>766,709</w:t>
            </w:r>
          </w:p>
        </w:tc>
        <w:tc>
          <w:tcPr>
            <w:tcW w:w="260" w:type="dxa"/>
            <w:vAlign w:val="bottom"/>
          </w:tcPr>
          <w:p>
            <w:pPr>
              <w:spacing w:after="0"/>
              <w:rPr>
                <w:sz w:val="20"/>
                <w:szCs w:val="20"/>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473,469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7"/>
          </w:tcPr>
          <w:p>
            <w:pPr>
              <w:ind w:left="8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$ 6,892,168</w:t>
            </w:r>
          </w:p>
        </w:tc>
        <w:tc>
          <w:tcPr>
            <w:tcW w:w="720" w:type="dxa"/>
            <w:vAlign w:val="bottom"/>
            <w:gridSpan w:val="5"/>
          </w:tcPr>
          <w:p>
            <w:pPr>
              <w:ind w:left="34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8,132,346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136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A$(1,559,592)</w:t>
            </w:r>
          </w:p>
        </w:tc>
        <w:tc>
          <w:tcPr>
            <w:tcW w:w="1840" w:type="dxa"/>
            <w:vAlign w:val="bottom"/>
            <w:gridSpan w:val="8"/>
            <w:shd w:val="clear" w:color="auto" w:fill="CCEEFF"/>
          </w:tcPr>
          <w:p>
            <w:pPr>
              <w:ind w:left="320"/>
              <w:spacing w:after="0"/>
              <w:rPr>
                <w:sz w:val="20"/>
                <w:szCs w:val="20"/>
                <w:color w:val="auto"/>
              </w:rPr>
            </w:pPr>
            <w:r>
              <w:rPr>
                <w:rFonts w:ascii="Arial" w:cs="Arial" w:eastAsia="Arial" w:hAnsi="Arial"/>
                <w:sz w:val="18"/>
                <w:szCs w:val="18"/>
                <w:color w:val="auto"/>
              </w:rPr>
              <w:t>A$(2,836,165)</w:t>
            </w:r>
          </w:p>
        </w:tc>
        <w:tc>
          <w:tcPr>
            <w:tcW w:w="132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A$(2,373,062)</w:t>
            </w:r>
          </w:p>
        </w:tc>
        <w:tc>
          <w:tcPr>
            <w:tcW w:w="158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rPr>
              <w:t>A$ (6,768,819)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before income tax:</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charges including share-based expenses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(5,790,442)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(12,559,261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8"/>
                <w:szCs w:val="18"/>
                <w:color w:val="auto"/>
              </w:rPr>
              <w:t>F-42</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18.</w:t>
        <w:tab/>
        <w:t>SEGMENT INFORMATION (CONTINUED)</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A$227,359</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A$1,166,946</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A$2,342,846</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A$3,737,150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non-current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8"/>
              </w:rPr>
              <w:t>6,624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360,380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assets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assets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7,280,541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tcPr>
          <w:p>
            <w:pPr>
              <w:spacing w:after="0"/>
              <w:rPr>
                <w:sz w:val="18"/>
                <w:szCs w:val="18"/>
                <w:color w:val="auto"/>
              </w:rPr>
            </w:pPr>
          </w:p>
        </w:tc>
        <w:tc>
          <w:tcPr>
            <w:tcW w:w="134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A$153,502</w:t>
            </w:r>
          </w:p>
        </w:tc>
        <w:tc>
          <w:tcPr>
            <w:tcW w:w="2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760" w:type="dxa"/>
            <w:vAlign w:val="bottom"/>
          </w:tcPr>
          <w:p>
            <w:pPr>
              <w:jc w:val="right"/>
              <w:spacing w:after="0"/>
              <w:rPr>
                <w:sz w:val="20"/>
                <w:szCs w:val="20"/>
                <w:color w:val="auto"/>
              </w:rPr>
            </w:pPr>
            <w:r>
              <w:rPr>
                <w:rFonts w:ascii="Arial" w:cs="Arial" w:eastAsia="Arial" w:hAnsi="Arial"/>
                <w:sz w:val="18"/>
                <w:szCs w:val="18"/>
                <w:color w:val="auto"/>
              </w:rPr>
              <w:t>468,996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A$1,743,657</w:t>
            </w:r>
          </w:p>
        </w:tc>
        <w:tc>
          <w:tcPr>
            <w:tcW w:w="520" w:type="dxa"/>
            <w:vAlign w:val="bottom"/>
          </w:tcPr>
          <w:p>
            <w:pPr>
              <w:spacing w:after="0"/>
              <w:rPr>
                <w:sz w:val="18"/>
                <w:szCs w:val="18"/>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color w:val="auto"/>
                <w:w w:val="93"/>
              </w:rPr>
              <w:t>A$2,366,155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5"/>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2,546,089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i w:val="1"/>
                <w:iCs w:val="1"/>
                <w:color w:val="auto"/>
                <w:w w:val="89"/>
              </w:rPr>
              <w:t>Asia Pacific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5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565,906</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revenues from external customers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2,431,321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2,434,153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109,789</w:t>
            </w: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3"/>
              </w:rPr>
              <w:t>Total revenue and other income per consolidated statement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of profit or loss and other comprehensive income</w:t>
            </w:r>
          </w:p>
        </w:tc>
        <w:tc>
          <w:tcPr>
            <w:tcW w:w="26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548,248</w:t>
            </w:r>
          </w:p>
        </w:tc>
        <w:tc>
          <w:tcPr>
            <w:tcW w:w="320" w:type="dxa"/>
            <w:vAlign w:val="bottom"/>
          </w:tcPr>
          <w:p>
            <w:pPr>
              <w:spacing w:after="0"/>
              <w:rPr>
                <w:sz w:val="20"/>
                <w:szCs w:val="20"/>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566,872</w:t>
            </w:r>
          </w:p>
        </w:tc>
        <w:tc>
          <w:tcPr>
            <w:tcW w:w="300" w:type="dxa"/>
            <w:vAlign w:val="bottom"/>
          </w:tcPr>
          <w:p>
            <w:pPr>
              <w:spacing w:after="0"/>
              <w:rPr>
                <w:sz w:val="20"/>
                <w:szCs w:val="20"/>
                <w:color w:val="auto"/>
              </w:rPr>
            </w:pPr>
          </w:p>
        </w:tc>
        <w:tc>
          <w:tcPr>
            <w:tcW w:w="1340" w:type="dxa"/>
            <w:vAlign w:val="bottom"/>
            <w:gridSpan w:val="5"/>
          </w:tcPr>
          <w:p>
            <w:pPr>
              <w:ind w:left="260"/>
              <w:spacing w:after="0"/>
              <w:rPr>
                <w:sz w:val="20"/>
                <w:szCs w:val="20"/>
                <w:color w:val="auto"/>
              </w:rPr>
            </w:pPr>
            <w:r>
              <w:rPr>
                <w:rFonts w:ascii="Arial" w:cs="Arial" w:eastAsia="Arial" w:hAnsi="Arial"/>
                <w:sz w:val="18"/>
                <w:szCs w:val="18"/>
                <w:b w:val="1"/>
                <w:bCs w:val="1"/>
                <w:u w:val="single" w:color="auto"/>
                <w:color w:val="auto"/>
                <w:w w:val="98"/>
              </w:rPr>
              <w:t>A</w:t>
            </w:r>
            <w:r>
              <w:rPr>
                <w:rFonts w:ascii="Arial" w:cs="Arial" w:eastAsia="Arial" w:hAnsi="Arial"/>
                <w:sz w:val="18"/>
                <w:szCs w:val="18"/>
                <w:b w:val="1"/>
                <w:bCs w:val="1"/>
                <w:color w:val="auto"/>
                <w:w w:val="98"/>
              </w:rPr>
              <w:t>$ 2,431,405</w:t>
            </w:r>
          </w:p>
        </w:tc>
        <w:tc>
          <w:tcPr>
            <w:tcW w:w="780" w:type="dxa"/>
            <w:vAlign w:val="bottom"/>
            <w:gridSpan w:val="3"/>
          </w:tcPr>
          <w:p>
            <w:pPr>
              <w:ind w:left="5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3,546,524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net operating loss before tax</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A$(1,553,744)</w:t>
            </w:r>
          </w:p>
        </w:tc>
        <w:tc>
          <w:tcPr>
            <w:tcW w:w="15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A$(3,222,858)</w:t>
            </w: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A$(1,461,569)</w:t>
            </w:r>
          </w:p>
        </w:tc>
        <w:tc>
          <w:tcPr>
            <w:tcW w:w="7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(6,238,171)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of segment net result before tax to loss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b w:val="1"/>
                <w:bCs w:val="1"/>
                <w:color w:val="auto"/>
              </w:rPr>
              <w:t>before income tax:</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Corporate charges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(5,005,672)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(11,243,843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7"/>
            <w:vMerge w:val="restart"/>
          </w:tcPr>
          <w:p>
            <w:pPr>
              <w:ind w:left="460"/>
              <w:spacing w:after="0"/>
              <w:rPr>
                <w:sz w:val="20"/>
                <w:szCs w:val="20"/>
                <w:color w:val="auto"/>
              </w:rPr>
            </w:pPr>
            <w:r>
              <w:rPr>
                <w:rFonts w:ascii="Arial" w:cs="Arial" w:eastAsia="Arial" w:hAnsi="Arial"/>
                <w:sz w:val="14"/>
                <w:szCs w:val="14"/>
                <w:b w:val="1"/>
                <w:bCs w:val="1"/>
                <w:i w:val="1"/>
                <w:iCs w:val="1"/>
                <w:color w:val="auto"/>
              </w:rPr>
              <w:t>Continuing Operations</w:t>
            </w: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7"/>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i w:val="1"/>
                <w:iCs w:val="1"/>
                <w:color w:val="auto"/>
                <w:w w:val="91"/>
              </w:rPr>
              <w:t>Asia Pacific</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i w:val="1"/>
                <w:iCs w:val="1"/>
                <w:color w:val="auto"/>
                <w:w w:val="98"/>
              </w:rPr>
              <w:t>EMEA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Americas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Segment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A$254,672</w:t>
            </w:r>
          </w:p>
        </w:tc>
        <w:tc>
          <w:tcPr>
            <w:tcW w:w="28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3"/>
              </w:rPr>
              <w:t>A$1,649,931</w:t>
            </w:r>
          </w:p>
        </w:tc>
        <w:tc>
          <w:tcPr>
            <w:tcW w:w="2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A$2,746,915</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A$4,651,518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assets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3,951,391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assets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8,602,909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liabilities</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2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color w:val="auto"/>
                <w:w w:val="94"/>
              </w:rPr>
              <w:t>A$163,992</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622,146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727,167</w:t>
            </w:r>
          </w:p>
        </w:tc>
        <w:tc>
          <w:tcPr>
            <w:tcW w:w="5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color w:val="auto"/>
                <w:w w:val="93"/>
              </w:rPr>
              <w:t>A$1,513,305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Unallocated liabilities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Total liabilities per the consolidated statement of financial</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position</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gridSpan w:val="5"/>
            <w:shd w:val="clear" w:color="auto" w:fill="CCEEFF"/>
          </w:tcPr>
          <w:p>
            <w:pPr>
              <w:jc w:val="center"/>
              <w:ind w:left="5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1,750,392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1"/>
              </w:rPr>
              <w:t>F-43</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principal financial instruments comprise receivables, payables, cash and short-term deposits.</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Company manages its exposure to key financial risks, including interest rate and foreign currency risk in accordance with the Company’s financial risk management policy. The objective of the policy is to support the delivery of the Company’s financial targets whilst protecting future financial security.</w:t>
      </w:r>
    </w:p>
    <w:p>
      <w:pPr>
        <w:spacing w:after="0" w:line="18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main risks arising from the Company’s financial instruments are interest rate risk, foreign currency risk, credit risk and liquidity risk. The Company uses different methods to measure and manage different types of risk to which it is exposed. These include monitoring levels of exposure to interest rate and foreign exchange risk and assessments of market forecasts for interest rates and foreign exchange. Ageing analyses and monitoring of specific credit allowances are undertaken to manage credit risk, and liquidity risk is monitored through the development of future rolling cash flow forecasts. The Board reviews and agrees policies for managing each of these risks as summarized below.</w:t>
      </w:r>
    </w:p>
    <w:p>
      <w:pPr>
        <w:spacing w:after="0" w:line="173"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Primary responsibility for identification and control of financial risks rests with the Finance Manager under the authority of the Board. The Board reviews and agrees policies for managing each of the risks identified below including foreign currency and interest rate risk, credit allowances and future cash flow forecast projections.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reporting date, the Company had the following financial assets and liabilities: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June 30,</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gridSpan w:val="2"/>
          </w:tcPr>
          <w:p>
            <w:pPr>
              <w:jc w:val="center"/>
              <w:ind w:left="1594"/>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80" w:type="dxa"/>
            <w:vAlign w:val="bottom"/>
            <w:gridSpan w:val="3"/>
          </w:tcPr>
          <w:p>
            <w:pPr>
              <w:jc w:val="center"/>
              <w:ind w:left="734"/>
              <w:spacing w:after="0"/>
              <w:rPr>
                <w:sz w:val="20"/>
                <w:szCs w:val="20"/>
                <w:color w:val="auto"/>
              </w:rPr>
            </w:pPr>
            <w:r>
              <w:rPr>
                <w:rFonts w:ascii="Arial" w:cs="Arial" w:eastAsia="Arial" w:hAnsi="Arial"/>
                <w:sz w:val="18"/>
                <w:szCs w:val="18"/>
                <w:color w:val="auto"/>
                <w:w w:val="92"/>
              </w:rPr>
              <w:t>A$14,825,532</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5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(3,487,582)</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Provisions</w:t>
            </w:r>
          </w:p>
        </w:tc>
        <w:tc>
          <w:tcPr>
            <w:tcW w:w="16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(395,535)</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(182,355)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w:t>
            </w:r>
          </w:p>
        </w:tc>
        <w:tc>
          <w:tcPr>
            <w:tcW w:w="1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16,379,772</w:t>
            </w:r>
          </w:p>
        </w:tc>
        <w:tc>
          <w:tcPr>
            <w:tcW w:w="11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$ 3,314,936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Exposures and Responses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exposure to market interest rates relates primarily to short-term deposits with a floating interest rate. At reporting date, the Company had the following mix of financial assets exposed to Australian Variable interest rate risk:</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gridSpan w:val="2"/>
          </w:tcPr>
          <w:p>
            <w:pPr>
              <w:ind w:left="960"/>
              <w:spacing w:after="0"/>
              <w:rPr>
                <w:sz w:val="20"/>
                <w:szCs w:val="20"/>
                <w:color w:val="auto"/>
              </w:rPr>
            </w:pPr>
            <w:r>
              <w:rPr>
                <w:rFonts w:ascii="Arial" w:cs="Arial" w:eastAsia="Arial" w:hAnsi="Arial"/>
                <w:sz w:val="14"/>
                <w:szCs w:val="14"/>
                <w:b w:val="1"/>
                <w:bCs w:val="1"/>
                <w:color w:val="auto"/>
                <w:w w:val="90"/>
              </w:rPr>
              <w:t>As of June 30,</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60" w:type="dxa"/>
            <w:vAlign w:val="bottom"/>
            <w:gridSpan w:val="2"/>
          </w:tcPr>
          <w:p>
            <w:pPr>
              <w:jc w:val="center"/>
              <w:ind w:left="1696"/>
              <w:spacing w:after="0"/>
              <w:rPr>
                <w:sz w:val="20"/>
                <w:szCs w:val="20"/>
                <w:color w:val="auto"/>
              </w:rPr>
            </w:pPr>
            <w:r>
              <w:rPr>
                <w:rFonts w:ascii="Arial" w:cs="Arial" w:eastAsia="Arial" w:hAnsi="Arial"/>
                <w:sz w:val="14"/>
                <w:szCs w:val="14"/>
                <w:b w:val="1"/>
                <w:bCs w:val="1"/>
                <w:color w:val="auto"/>
                <w:w w:val="89"/>
              </w:rPr>
              <w:t>2018</w:t>
            </w:r>
          </w:p>
        </w:tc>
        <w:tc>
          <w:tcPr>
            <w:tcW w:w="8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60" w:type="dxa"/>
            <w:vAlign w:val="bottom"/>
            <w:gridSpan w:val="3"/>
          </w:tcPr>
          <w:p>
            <w:pPr>
              <w:jc w:val="center"/>
              <w:ind w:left="896"/>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14,825,532</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u w:val="single" w:color="auto"/>
                <w:color w:val="auto"/>
                <w:w w:val="93"/>
              </w:rPr>
              <w:t>A$</w:t>
            </w:r>
            <w:r>
              <w:rPr>
                <w:rFonts w:ascii="Arial" w:cs="Arial" w:eastAsia="Arial" w:hAnsi="Arial"/>
                <w:sz w:val="18"/>
                <w:szCs w:val="18"/>
                <w:color w:val="auto"/>
                <w:w w:val="93"/>
              </w:rPr>
              <w:t>3,790,491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3660" w:type="dxa"/>
            <w:vAlign w:val="bottom"/>
            <w:gridSpan w:val="3"/>
            <w:shd w:val="clear" w:color="auto" w:fill="CCEEFF"/>
          </w:tcPr>
          <w:p>
            <w:pPr>
              <w:jc w:val="center"/>
              <w:ind w:left="896"/>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14,825,532</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3,790,491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The Company’s policy is to manage its finance costs and revenue using a mix of fixed and variable interest rates depending on the forecast funding requirements of the Company. At June 30, 2018 and 2017, there were no cash and cash equivalents recorded at a fixed rate of interest.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following sensitivity analysis is based on the interest rate exposures in existence at the reporting date. The 1% sensitivity is based on reasonably possible changes over a financial year, using the observed range of historical rates for the preceding three-year period.</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At June 30, 2018, if interest rates had moved, as illustrated in the table below, with all other variables held constant, post tax loss and equity would have been affected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Judgements of reasonably possible</w:t>
            </w:r>
          </w:p>
        </w:tc>
        <w:tc>
          <w:tcPr>
            <w:tcW w:w="1320" w:type="dxa"/>
            <w:vAlign w:val="bottom"/>
          </w:tcPr>
          <w:p>
            <w:pPr>
              <w:spacing w:after="0"/>
              <w:rPr>
                <w:sz w:val="14"/>
                <w:szCs w:val="14"/>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Post Tax Loss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8"/>
              </w:rPr>
              <w:t>Equity</w:t>
            </w:r>
          </w:p>
        </w:tc>
      </w:tr>
      <w:tr>
        <w:trPr>
          <w:trHeight w:val="162"/>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movements:</w:t>
            </w:r>
          </w:p>
        </w:tc>
        <w:tc>
          <w:tcPr>
            <w:tcW w:w="1320" w:type="dxa"/>
            <w:vAlign w:val="bottom"/>
          </w:tcPr>
          <w:p>
            <w:pPr>
              <w:spacing w:after="0"/>
              <w:rPr>
                <w:sz w:val="14"/>
                <w:szCs w:val="14"/>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9"/>
              </w:rPr>
              <w:t>(Higher)/Lower</w:t>
            </w:r>
          </w:p>
        </w:tc>
        <w:tc>
          <w:tcPr>
            <w:tcW w:w="300" w:type="dxa"/>
            <w:vAlign w:val="bottom"/>
          </w:tcPr>
          <w:p>
            <w:pPr>
              <w:spacing w:after="0"/>
              <w:rPr>
                <w:sz w:val="14"/>
                <w:szCs w:val="1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7"/>
              </w:rPr>
              <w:t>Higher/(Lower)</w:t>
            </w: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100" w:type="dxa"/>
            <w:vAlign w:val="bottom"/>
            <w:gridSpan w:val="2"/>
          </w:tcPr>
          <w:p>
            <w:pPr>
              <w:ind w:left="560"/>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118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380" w:type="dxa"/>
            <w:vAlign w:val="bottom"/>
            <w:gridSpan w:val="2"/>
          </w:tcPr>
          <w:p>
            <w:pPr>
              <w:ind w:left="8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 (100 basis points)</w:t>
            </w:r>
          </w:p>
        </w:tc>
        <w:tc>
          <w:tcPr>
            <w:tcW w:w="1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A$ 148,255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A$ 148,255</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A$ 37,905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 (100 basis points)</w:t>
            </w:r>
          </w:p>
        </w:tc>
        <w:tc>
          <w:tcPr>
            <w:tcW w:w="2540" w:type="dxa"/>
            <w:vAlign w:val="bottom"/>
            <w:gridSpan w:val="3"/>
          </w:tcPr>
          <w:p>
            <w:pPr>
              <w:jc w:val="right"/>
              <w:ind w:right="300"/>
              <w:spacing w:after="0"/>
              <w:rPr>
                <w:sz w:val="20"/>
                <w:szCs w:val="20"/>
                <w:color w:val="auto"/>
              </w:rPr>
            </w:pPr>
            <w:r>
              <w:rPr>
                <w:rFonts w:ascii="Arial" w:cs="Arial" w:eastAsia="Arial" w:hAnsi="Arial"/>
                <w:sz w:val="18"/>
                <w:szCs w:val="18"/>
                <w:color w:val="auto"/>
              </w:rPr>
              <w:t>(148,255)</w:t>
            </w:r>
          </w:p>
        </w:tc>
        <w:tc>
          <w:tcPr>
            <w:tcW w:w="1440" w:type="dxa"/>
            <w:vAlign w:val="bottom"/>
            <w:gridSpan w:val="3"/>
          </w:tcPr>
          <w:p>
            <w:pPr>
              <w:ind w:left="540"/>
              <w:spacing w:after="0"/>
              <w:rPr>
                <w:sz w:val="20"/>
                <w:szCs w:val="20"/>
                <w:color w:val="auto"/>
              </w:rPr>
            </w:pPr>
            <w:r>
              <w:rPr>
                <w:rFonts w:ascii="Arial" w:cs="Arial" w:eastAsia="Arial" w:hAnsi="Arial"/>
                <w:sz w:val="18"/>
                <w:szCs w:val="18"/>
                <w:color w:val="auto"/>
              </w:rPr>
              <w:t>(37,905)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(148,255)</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w w:val="95"/>
              </w:rPr>
              <w:t>(37,905)</w:t>
            </w: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movements in loss are due to higher/lower finance revenue from variable rate cash balances.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Company has investment operations in Europe and the United States. The Company’s consolidated statement of financial position can be affected by movements in exchange rates and the Company does not currently hedge this exposure.</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Company also has transactional currency exposures. Such exposures arise from sales or purchases by an operating entity in currencies other than the functional currency.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Approximately 93% (2017: 94% and 2016: 87%) of the Company’s sales are denominated in currencies other than the functional currency, whilst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approximately 74% (2017: 60% and 2016: 51%) of costs are denominated in the functional currency.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June 30, 2018, the Company had the following exposure to foreign currencies: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June 30,</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gridSpan w:val="2"/>
          </w:tcPr>
          <w:p>
            <w:pPr>
              <w:jc w:val="center"/>
              <w:ind w:left="1596"/>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580" w:type="dxa"/>
            <w:vAlign w:val="bottom"/>
            <w:gridSpan w:val="3"/>
          </w:tcPr>
          <w:p>
            <w:pPr>
              <w:jc w:val="center"/>
              <w:ind w:left="736"/>
              <w:spacing w:after="0"/>
              <w:rPr>
                <w:sz w:val="20"/>
                <w:szCs w:val="20"/>
                <w:color w:val="auto"/>
              </w:rPr>
            </w:pPr>
            <w:r>
              <w:rPr>
                <w:rFonts w:ascii="Arial" w:cs="Arial" w:eastAsia="Arial" w:hAnsi="Arial"/>
                <w:sz w:val="18"/>
                <w:szCs w:val="18"/>
                <w:color w:val="auto"/>
                <w:w w:val="92"/>
              </w:rPr>
              <w:t>A$13,046,513</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A$ 1,726,568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2,847,542</w:t>
            </w:r>
          </w:p>
        </w:tc>
        <w:tc>
          <w:tcPr>
            <w:tcW w:w="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15,894,055</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6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(3,356,546)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(1,209,902)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exposure</w:t>
            </w:r>
          </w:p>
        </w:tc>
        <w:tc>
          <w:tcPr>
            <w:tcW w:w="1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12,537,509</w:t>
            </w:r>
          </w:p>
        </w:tc>
        <w:tc>
          <w:tcPr>
            <w:tcW w:w="11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$ 1,443,167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spacing w:after="0" w:line="308" w:lineRule="auto"/>
        <w:rPr>
          <w:sz w:val="20"/>
          <w:szCs w:val="20"/>
          <w:color w:val="auto"/>
        </w:rPr>
      </w:pPr>
      <w:r>
        <w:rPr>
          <w:rFonts w:ascii="Arial" w:cs="Arial" w:eastAsia="Arial" w:hAnsi="Arial"/>
          <w:sz w:val="17"/>
          <w:szCs w:val="17"/>
          <w:color w:val="auto"/>
        </w:rPr>
        <w:t>The following sensitivity is based on the foreign currency risk exposures in existence at the reporting date. The percentage sensitivity is based on reasonably possible changes over a financial year, using the observed range of historical rates for the preceding two-year period.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At June 30, 2018, had the Australian Dollar moved, as illustrated in the table below, with all other variables held constant, post tax loss and equity would have been affected as follows: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Judgments of reasonably possible</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Post Tax Loss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movements:</w:t>
            </w:r>
          </w:p>
        </w:tc>
        <w:tc>
          <w:tcPr>
            <w:tcW w:w="17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48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1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48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Higher/(Lower)</w:t>
            </w: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AUD/GBP + 10%</w:t>
            </w:r>
          </w:p>
        </w:tc>
        <w:tc>
          <w:tcPr>
            <w:tcW w:w="7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A$   54,761</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   54,761</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A$ (62,731)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A$ (74,765)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AUD/GBP – 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27,380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31,366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AUD/USD +10%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(67,791)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(70,732)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1,827,003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(67,791)</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AUD/USD – 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913,502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33,895</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AUD/EUR +10%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(13,795)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(22,151)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(13,795)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AUD/EUR – 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80"/>
        <w:spacing w:after="0" w:line="277" w:lineRule="auto"/>
        <w:rPr>
          <w:sz w:val="20"/>
          <w:szCs w:val="20"/>
          <w:color w:val="auto"/>
        </w:rPr>
      </w:pPr>
      <w:r>
        <w:rPr>
          <w:rFonts w:ascii="Arial" w:cs="Arial" w:eastAsia="Arial" w:hAnsi="Arial"/>
          <w:sz w:val="18"/>
          <w:szCs w:val="18"/>
          <w:color w:val="auto"/>
        </w:rPr>
        <w:t>Management believe the reporting date risk exposures are representative of the risk exposure inherent in the financial instruments. The Company has no processes and objectives for managing foreign exchange risks.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Credit risk arises from the financial assets of the Company, which comprise cash and cash equivalents and trade and other receivables. The Company’s exposure to credit risk arises from potential default of the counter party, with a maximum exposure equal to the carrying amount of these instruments.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hold any credit derivatives to offset its credit exposure.</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 Company trades only with recognized, creditworthy third parties, and as such collateral is not requested nor is it the Company’s policy to securitize its trade and other receivables.</w:t>
      </w:r>
    </w:p>
    <w:p>
      <w:pPr>
        <w:spacing w:after="0" w:line="17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It is the Company’s policy that all customers who wish to trade on credit terms are subject to credit verification procedures including an assessment of their independent credit rating, financial position, past experience and industry reputation. Risk limits are set for each individual customer in accordance with parameters set by the Board. These risk limits are regularly monitored.</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addition, receivable balances are monitored on an on-going basis with the result that the Company’s exposure to bad debts is not significant.</w:t>
      </w:r>
    </w:p>
    <w:p>
      <w:pPr>
        <w:spacing w:after="0" w:line="23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 significant balance of cash is held in National Australia Bank. This is a highly rated institution which effectively manages its risk profile and therefore the Company considers its cash balances to be secure.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is no concentration of debt amongst the creditors.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Company’s objective is to maintain a balance between continuity of funding and flexibility through the use of bank overdrafts, bank loans and finance leases.</w:t>
      </w:r>
    </w:p>
    <w:p>
      <w:pPr>
        <w:spacing w:after="0" w:line="17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The table below reflects all contractually fixed pay-offs and receivables for settlement, repayments and interest resulting from recognized financial assets and liabilities. For all obligations, the respective undiscounted cash flows for the respective upcoming fiscal years are presented. Cash flows for financial assets and liabilities without fixed amount or timing are based on the conditions existing at June 30, 2018.</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remaining contractual maturities of the Company’s financial liabilities are: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4"/>
          </w:tcPr>
          <w:p>
            <w:pPr>
              <w:ind w:left="920"/>
              <w:spacing w:after="0"/>
              <w:rPr>
                <w:sz w:val="20"/>
                <w:szCs w:val="20"/>
                <w:color w:val="auto"/>
              </w:rPr>
            </w:pPr>
            <w:r>
              <w:rPr>
                <w:rFonts w:ascii="Arial" w:cs="Arial" w:eastAsia="Arial" w:hAnsi="Arial"/>
                <w:sz w:val="14"/>
                <w:szCs w:val="14"/>
                <w:b w:val="1"/>
                <w:bCs w:val="1"/>
                <w:color w:val="auto"/>
              </w:rPr>
              <w:t>As of June 30,</w:t>
            </w: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 months or less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A$3,487,582</w:t>
            </w:r>
          </w:p>
        </w:tc>
        <w:tc>
          <w:tcPr>
            <w:tcW w:w="8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A$2,363,734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6-12 months</w:t>
            </w:r>
          </w:p>
        </w:tc>
        <w:tc>
          <w:tcPr>
            <w:tcW w:w="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3,487,582</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2,363,734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Maturity analysis of financial assets and liabilities are based on management’s expectation.</w:t>
      </w:r>
    </w:p>
    <w:p>
      <w:pPr>
        <w:spacing w:after="0" w:line="225"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risk implied from the values shown in the table below, reflects a balanced view of cash inflows and outflows. Trade payables and other financial liabilities mainly originate from the financing of assets used in our on-going operations such as property, plant, equipment and investments in working capital including inventories and trade receivables. These assets are considered in the Company’s overall liquidity risk.</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2018</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&lt; 6 months</w:t>
            </w: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6-12 months</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1-5 years</w:t>
            </w:r>
          </w:p>
        </w:tc>
        <w:tc>
          <w:tcPr>
            <w:tcW w:w="7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00" w:type="dxa"/>
            <w:vAlign w:val="bottom"/>
            <w:gridSpan w:val="5"/>
          </w:tcPr>
          <w:p>
            <w:pPr>
              <w:jc w:val="center"/>
              <w:ind w:left="730"/>
              <w:spacing w:after="0"/>
              <w:rPr>
                <w:sz w:val="20"/>
                <w:szCs w:val="20"/>
                <w:color w:val="auto"/>
              </w:rPr>
            </w:pPr>
            <w:r>
              <w:rPr>
                <w:rFonts w:ascii="Arial" w:cs="Arial" w:eastAsia="Arial" w:hAnsi="Arial"/>
                <w:sz w:val="18"/>
                <w:szCs w:val="18"/>
                <w:color w:val="auto"/>
                <w:w w:val="92"/>
              </w:rPr>
              <w:t>A$14,825,532</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A$</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A$ —</w:t>
            </w:r>
          </w:p>
        </w:tc>
        <w:tc>
          <w:tcPr>
            <w:tcW w:w="182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A$14,825,532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7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20,262,889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20,262,889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2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(3,487,582)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(3,487,582)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2700" w:type="dxa"/>
            <w:vAlign w:val="bottom"/>
            <w:gridSpan w:val="5"/>
            <w:shd w:val="clear" w:color="auto" w:fill="CCEEFF"/>
          </w:tcPr>
          <w:p>
            <w:pPr>
              <w:jc w:val="center"/>
              <w:ind w:left="73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lef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w:t>
            </w:r>
          </w:p>
        </w:tc>
        <w:tc>
          <w:tcPr>
            <w:tcW w:w="1820" w:type="dxa"/>
            <w:vAlign w:val="bottom"/>
            <w:tcBorders>
              <w:left w:val="single" w:sz="8" w:color="CCEEFF"/>
            </w:tcBorders>
            <w:gridSpan w:val="3"/>
            <w:shd w:val="clear" w:color="auto" w:fill="CCEEFF"/>
          </w:tcPr>
          <w:p>
            <w:pPr>
              <w:jc w:val="center"/>
              <w:ind w:left="490"/>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16,775,307</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2017</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&lt; 6 months</w:t>
            </w:r>
          </w:p>
        </w:tc>
        <w:tc>
          <w:tcPr>
            <w:tcW w:w="36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6-12 months</w:t>
            </w:r>
          </w:p>
        </w:tc>
        <w:tc>
          <w:tcPr>
            <w:tcW w:w="7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1-5 years</w:t>
            </w:r>
          </w:p>
        </w:tc>
        <w:tc>
          <w:tcPr>
            <w:tcW w:w="7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spacing w:after="0"/>
              <w:rPr>
                <w:sz w:val="18"/>
                <w:szCs w:val="18"/>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8"/>
                <w:szCs w:val="18"/>
                <w:color w:val="auto"/>
                <w:w w:val="93"/>
              </w:rPr>
              <w:t>A$ 3,790,491</w:t>
            </w:r>
          </w:p>
        </w:tc>
        <w:tc>
          <w:tcPr>
            <w:tcW w:w="3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A$ —</w:t>
            </w:r>
          </w:p>
        </w:tc>
        <w:tc>
          <w:tcPr>
            <w:tcW w:w="7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A$ 3,790,491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2,070,534</w:t>
            </w: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2,070,534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5,861,025</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5,861,025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40" w:type="dxa"/>
            <w:vAlign w:val="bottom"/>
            <w:gridSpan w:val="2"/>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(2,363,734)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(2,363,734)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maturity</w:t>
            </w:r>
          </w:p>
        </w:tc>
        <w:tc>
          <w:tcPr>
            <w:tcW w:w="12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b w:val="1"/>
                <w:bCs w:val="1"/>
                <w:u w:val="single" w:color="auto"/>
                <w:color w:val="auto"/>
                <w:w w:val="92"/>
              </w:rPr>
              <w:t>A</w:t>
            </w:r>
            <w:r>
              <w:rPr>
                <w:rFonts w:ascii="Arial" w:cs="Arial" w:eastAsia="Arial" w:hAnsi="Arial"/>
                <w:sz w:val="18"/>
                <w:szCs w:val="18"/>
                <w:b w:val="1"/>
                <w:bCs w:val="1"/>
                <w:color w:val="auto"/>
                <w:w w:val="92"/>
              </w:rPr>
              <w:t>$ 3,497,291</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 —</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$ 3,497,291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F-47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right="7160" w:firstLine="4"/>
        <w:spacing w:after="0" w:line="378" w:lineRule="auto"/>
        <w:tabs>
          <w:tab w:leader="none" w:pos="632"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Finance leases as lessee</w:t>
      </w:r>
    </w:p>
    <w:p>
      <w:pPr>
        <w:ind w:left="200" w:right="160"/>
        <w:spacing w:after="0" w:line="264" w:lineRule="auto"/>
        <w:rPr>
          <w:sz w:val="20"/>
          <w:szCs w:val="20"/>
          <w:color w:val="auto"/>
        </w:rPr>
      </w:pPr>
      <w:r>
        <w:rPr>
          <w:rFonts w:ascii="Arial" w:cs="Arial" w:eastAsia="Arial" w:hAnsi="Arial"/>
          <w:sz w:val="18"/>
          <w:szCs w:val="18"/>
          <w:color w:val="auto"/>
        </w:rPr>
        <w:t>The Company’s furniture and IT equipment are held under lease arrangements. As of June 30, 2018, the net carrying amount of the furniture and IT equipment held under lease arrangements is A$159,043 (2017: A$66,408 and 2016: A$nil). The Company’s finance lease liabilities, which are secured by the related assets held under finance leases, are classified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lease liabilities</w:t>
            </w: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Current:</w:t>
            </w: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gridSpan w:val="3"/>
          </w:tcPr>
          <w:p>
            <w:pPr>
              <w:spacing w:after="0"/>
              <w:rPr>
                <w:sz w:val="20"/>
                <w:szCs w:val="20"/>
                <w:color w:val="auto"/>
              </w:rPr>
            </w:pPr>
            <w:r>
              <w:rPr>
                <w:rFonts w:ascii="Arial" w:cs="Arial" w:eastAsia="Arial" w:hAnsi="Arial"/>
                <w:sz w:val="18"/>
                <w:szCs w:val="18"/>
                <w:b w:val="1"/>
                <w:bCs w:val="1"/>
                <w:color w:val="auto"/>
                <w:w w:val="86"/>
              </w:rPr>
              <w:t>A$</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86,883</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72,160</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1"/>
              </w:rPr>
              <w:t>A$</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159,043</w:t>
            </w: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60" w:type="dxa"/>
            <w:vAlign w:val="bottom"/>
            <w:gridSpan w:val="7"/>
          </w:tcPr>
          <w:p>
            <w:pPr>
              <w:ind w:left="800"/>
              <w:spacing w:after="0"/>
              <w:rPr>
                <w:sz w:val="20"/>
                <w:szCs w:val="20"/>
                <w:color w:val="auto"/>
              </w:rPr>
            </w:pPr>
            <w:r>
              <w:rPr>
                <w:rFonts w:ascii="Arial" w:cs="Arial" w:eastAsia="Arial" w:hAnsi="Arial"/>
                <w:sz w:val="14"/>
                <w:szCs w:val="14"/>
                <w:color w:val="auto"/>
              </w:rPr>
              <w:t>Minimum Lease Payment Due</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540" w:type="dxa"/>
            <w:vAlign w:val="bottom"/>
            <w:gridSpan w:val="3"/>
          </w:tcPr>
          <w:p>
            <w:pPr>
              <w:jc w:val="right"/>
              <w:ind w:right="600"/>
              <w:spacing w:after="0"/>
              <w:rPr>
                <w:sz w:val="20"/>
                <w:szCs w:val="20"/>
                <w:color w:val="auto"/>
              </w:rPr>
            </w:pPr>
            <w:r>
              <w:rPr>
                <w:rFonts w:ascii="Arial" w:cs="Arial" w:eastAsia="Arial" w:hAnsi="Arial"/>
                <w:sz w:val="14"/>
                <w:szCs w:val="14"/>
                <w:color w:val="auto"/>
              </w:rPr>
              <w:t>Within 1 Year</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w w:val="92"/>
              </w:rPr>
              <w:t>1-5 Years</w:t>
            </w:r>
          </w:p>
        </w:tc>
        <w:tc>
          <w:tcPr>
            <w:tcW w:w="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w w:val="95"/>
              </w:rPr>
              <w:t>After 5 Years</w:t>
            </w:r>
          </w:p>
        </w:tc>
        <w:tc>
          <w:tcPr>
            <w:tcW w:w="5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June 30, 2018</w:t>
            </w:r>
          </w:p>
        </w:tc>
        <w:tc>
          <w:tcPr>
            <w:tcW w:w="1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114,650</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92,515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207,165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charges</w:t>
            </w:r>
          </w:p>
        </w:tc>
        <w:tc>
          <w:tcPr>
            <w:tcW w:w="2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(27,767)</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(20,355)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(48,122)</w:t>
            </w: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Net Present Values</w:t>
            </w:r>
          </w:p>
        </w:tc>
        <w:tc>
          <w:tcPr>
            <w:tcW w:w="1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86,883</w:t>
            </w:r>
          </w:p>
        </w:tc>
        <w:tc>
          <w:tcPr>
            <w:tcW w:w="5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159,043</w:t>
            </w:r>
          </w:p>
        </w:tc>
        <w:tc>
          <w:tcPr>
            <w:tcW w:w="100" w:type="dxa"/>
            <w:vAlign w:val="bottom"/>
          </w:tcPr>
          <w:p>
            <w:pPr>
              <w:spacing w:after="0"/>
              <w:rPr>
                <w:sz w:val="18"/>
                <w:szCs w:val="18"/>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leases as lessee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leases space under operating leases. Future minimum lease payments as of June 30, 2018 are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color w:val="auto"/>
                <w:w w:val="94"/>
              </w:rPr>
              <w:t>Minimum Lease Payment Due</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Within 1 Year</w:t>
            </w:r>
          </w:p>
        </w:tc>
        <w:tc>
          <w:tcPr>
            <w:tcW w:w="6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1-5 Years</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After 5 Years</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2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525,919</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856,541</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1,382,460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June 30, 2017</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344,431</w:t>
            </w:r>
          </w:p>
        </w:tc>
        <w:tc>
          <w:tcPr>
            <w:tcW w:w="1280" w:type="dxa"/>
            <w:vAlign w:val="bottom"/>
            <w:gridSpan w:val="2"/>
          </w:tcPr>
          <w:p>
            <w:pPr>
              <w:ind w:left="680"/>
              <w:spacing w:after="0"/>
              <w:rPr>
                <w:sz w:val="20"/>
                <w:szCs w:val="20"/>
                <w:color w:val="auto"/>
              </w:rPr>
            </w:pPr>
            <w:r>
              <w:rPr>
                <w:rFonts w:ascii="Arial" w:cs="Arial" w:eastAsia="Arial" w:hAnsi="Arial"/>
                <w:sz w:val="18"/>
                <w:szCs w:val="18"/>
                <w:color w:val="auto"/>
                <w:w w:val="89"/>
              </w:rPr>
              <w:t>879,079</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1,223,509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190,706</w:t>
            </w:r>
          </w:p>
        </w:tc>
        <w:tc>
          <w:tcPr>
            <w:tcW w:w="12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89"/>
              </w:rPr>
              <w:t>438,554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629,260</w:t>
            </w:r>
          </w:p>
        </w:tc>
        <w:tc>
          <w:tcPr>
            <w:tcW w:w="4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640" w:hanging="436"/>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REMUNERATION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auditors of Avita Medical Limited and its subsidiaries are Grant Thornton Audit Pty Ltd.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88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1"/>
              </w:rPr>
              <w:t>Year ended June 30,</w:t>
            </w:r>
          </w:p>
        </w:tc>
        <w:tc>
          <w:tcPr>
            <w:tcW w:w="10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6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Amounts received or due and receivable by Grant Thornton Audit Pty Ltd for:</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line="201" w:lineRule="exact"/>
              <w:rPr>
                <w:sz w:val="20"/>
                <w:szCs w:val="20"/>
                <w:color w:val="auto"/>
              </w:rPr>
            </w:pPr>
            <w:r>
              <w:rPr>
                <w:rFonts w:ascii="Arial" w:cs="Arial" w:eastAsia="Arial" w:hAnsi="Arial"/>
                <w:sz w:val="18"/>
                <w:szCs w:val="18"/>
                <w:color w:val="auto"/>
              </w:rPr>
              <w:t>An audit or review of the financial report of the Company and any other entity in the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Company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A$182,440</w:t>
            </w:r>
          </w:p>
        </w:tc>
        <w:tc>
          <w:tcPr>
            <w:tcW w:w="1880" w:type="dxa"/>
            <w:vAlign w:val="bottom"/>
            <w:gridSpan w:val="3"/>
          </w:tcPr>
          <w:p>
            <w:pPr>
              <w:jc w:val="center"/>
              <w:ind w:left="139"/>
              <w:spacing w:after="0"/>
              <w:rPr>
                <w:sz w:val="20"/>
                <w:szCs w:val="20"/>
                <w:color w:val="auto"/>
              </w:rPr>
            </w:pPr>
            <w:r>
              <w:rPr>
                <w:rFonts w:ascii="Arial" w:cs="Arial" w:eastAsia="Arial" w:hAnsi="Arial"/>
                <w:sz w:val="18"/>
                <w:szCs w:val="18"/>
                <w:color w:val="auto"/>
                <w:w w:val="94"/>
              </w:rPr>
              <w:t>A$120,366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A$131,586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Other services in relation to the entity and any other entity in the Company - Taxation</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229,251</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183,001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161,983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22.</w:t>
        <w:tab/>
        <w:t>PARENT ENTITY INFORMATION</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380" w:type="dxa"/>
            <w:vAlign w:val="bottom"/>
            <w:gridSpan w:val="2"/>
          </w:tcPr>
          <w:p>
            <w:pPr>
              <w:spacing w:after="0"/>
              <w:rPr>
                <w:sz w:val="20"/>
                <w:szCs w:val="20"/>
                <w:color w:val="auto"/>
              </w:rPr>
            </w:pPr>
            <w:r>
              <w:rPr>
                <w:rFonts w:ascii="Arial" w:cs="Arial" w:eastAsia="Arial" w:hAnsi="Arial"/>
                <w:sz w:val="14"/>
                <w:szCs w:val="14"/>
                <w:color w:val="auto"/>
              </w:rPr>
              <w:t>Information relating to Avita Medical Limited: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ind w:left="900"/>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4,098,378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3,156,011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(337,040)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(337,040)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380" w:type="dxa"/>
            <w:vAlign w:val="bottom"/>
            <w:gridSpan w:val="2"/>
          </w:tcPr>
          <w:p>
            <w:pPr>
              <w:spacing w:after="0"/>
              <w:rPr>
                <w:sz w:val="20"/>
                <w:szCs w:val="20"/>
                <w:color w:val="auto"/>
              </w:rPr>
            </w:pPr>
            <w:r>
              <w:rPr>
                <w:rFonts w:ascii="Arial" w:cs="Arial" w:eastAsia="Arial" w:hAnsi="Arial"/>
                <w:sz w:val="18"/>
                <w:szCs w:val="18"/>
                <w:color w:val="auto"/>
              </w:rPr>
              <w:t>Issued capital</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380" w:type="dxa"/>
            <w:vAlign w:val="bottom"/>
          </w:tcPr>
          <w:p>
            <w:pPr>
              <w:spacing w:after="0"/>
              <w:rPr>
                <w:sz w:val="24"/>
                <w:szCs w:val="24"/>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(163,541,196)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(135,034,498)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Share option reserves</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4,501,506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5"/>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3,761,338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86"/>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80" w:type="dxa"/>
            <w:vAlign w:val="bottom"/>
            <w:gridSpan w:val="2"/>
          </w:tcPr>
          <w:p>
            <w:pPr>
              <w:spacing w:after="0"/>
              <w:rPr>
                <w:sz w:val="20"/>
                <w:szCs w:val="20"/>
                <w:color w:val="auto"/>
              </w:rPr>
            </w:pPr>
            <w:r>
              <w:rPr>
                <w:rFonts w:ascii="Arial" w:cs="Arial" w:eastAsia="Arial" w:hAnsi="Arial"/>
                <w:sz w:val="18"/>
                <w:szCs w:val="18"/>
                <w:color w:val="auto"/>
              </w:rPr>
              <w:t>Loss of parent entity after income tax</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w w:val="99"/>
              </w:rPr>
              <w:t>A$</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(3,258,675)</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w w:val="90"/>
              </w:rPr>
              <w:t>A$</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of the parent entity</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A$</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(3,258,675)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(4,741,808)</w:t>
            </w:r>
          </w:p>
        </w:tc>
        <w:tc>
          <w:tcPr>
            <w:tcW w:w="0" w:type="dxa"/>
            <w:vAlign w:val="bottom"/>
          </w:tcPr>
          <w:p>
            <w:pPr>
              <w:spacing w:after="0"/>
              <w:rPr>
                <w:sz w:val="1"/>
                <w:szCs w:val="1"/>
                <w:color w:val="auto"/>
              </w:rPr>
            </w:pPr>
          </w:p>
        </w:tc>
      </w:tr>
      <w:tr>
        <w:trPr>
          <w:trHeight w:val="324"/>
        </w:trPr>
        <w:tc>
          <w:tcPr>
            <w:tcW w:w="7380" w:type="dxa"/>
            <w:vAlign w:val="bottom"/>
            <w:gridSpan w:val="2"/>
          </w:tcPr>
          <w:p>
            <w:pPr>
              <w:spacing w:after="0"/>
              <w:rPr>
                <w:sz w:val="20"/>
                <w:szCs w:val="20"/>
                <w:color w:val="auto"/>
              </w:rPr>
            </w:pPr>
            <w:r>
              <w:rPr>
                <w:rFonts w:ascii="Arial" w:cs="Arial" w:eastAsia="Arial" w:hAnsi="Arial"/>
                <w:sz w:val="18"/>
                <w:szCs w:val="18"/>
                <w:color w:val="auto"/>
              </w:rPr>
              <w:t>Details of any contingent liabilities of the parent entity</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Details of any contractual commitments by the parent entity for the acquisition of property, plant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equipment</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period, the parent entity impaired A$21,368,073 (2017: A$5,983,551) of intercompany loans to subsidiaries and investments in subsidiaries.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impairment charges are eliminated on consolidation.</w:t>
      </w:r>
    </w:p>
    <w:p>
      <w:pPr>
        <w:spacing w:after="0" w:line="355" w:lineRule="exact"/>
        <w:rPr>
          <w:sz w:val="20"/>
          <w:szCs w:val="20"/>
          <w:color w:val="auto"/>
        </w:rPr>
      </w:pPr>
    </w:p>
    <w:p>
      <w:pPr>
        <w:ind w:left="640" w:hanging="436"/>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entities are party to a deed of cross guarantee under which each company guarantees the debts of the others:</w:t>
      </w:r>
    </w:p>
    <w:p>
      <w:pPr>
        <w:spacing w:after="0" w:line="131" w:lineRule="exact"/>
        <w:rPr>
          <w:sz w:val="20"/>
          <w:szCs w:val="20"/>
          <w:color w:val="auto"/>
        </w:rPr>
      </w:pPr>
    </w:p>
    <w:p>
      <w:pPr>
        <w:ind w:left="1060" w:hanging="316"/>
        <w:spacing w:after="0"/>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Avita Medical Limited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C3 Operations Pty Ltd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Visiomed Group Pty Ltd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Infamed Pty Limited</w:t>
      </w:r>
    </w:p>
    <w:p>
      <w:pPr>
        <w:spacing w:after="0" w:line="225"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By entering into the deed, the wholly owned entities have been relieved from the requirement to prepare a financial report and Directors’ Report under Australian Securities and Investments Commission (‘ASIC’) Corporations (Wholly-owned Companies) Instrument 2016/785. The above companies represent a ‘Closed Group’ for the purposes of the Class Order, and as there are no other parties to the Deed of Cross guarantee that are controlled by Avita Medical Limited, they also represent the ‘Extended Closed Group’.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3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Set out below is a consolidated statement of profit or loss and other comprehensive income and consolidated statement of financial position of the ‘Closed Group’.</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1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 of goods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90"/>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revenue</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769,459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582,620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(331,244)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(243,708)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438,215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2,226,911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(4,660,971)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(3,085,503)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(3,782,183)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(2,365,647)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Impairment of inter-company loans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(21,368,073)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(5,983,551)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(7,515,021)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(1,250,976)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Finance costs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(26,884,853)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(11,746,342)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(11,849,884)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Profit from discontinued operations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1,385,796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(25,499,057</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(10,697,708</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(10,608,208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980" w:type="dxa"/>
            <w:vAlign w:val="bottom"/>
            <w:gridSpan w:val="2"/>
          </w:tcPr>
          <w:p>
            <w:pPr>
              <w:ind w:left="720"/>
              <w:spacing w:after="0"/>
              <w:rPr>
                <w:sz w:val="20"/>
                <w:szCs w:val="20"/>
                <w:color w:val="auto"/>
              </w:rPr>
            </w:pPr>
            <w:r>
              <w:rPr>
                <w:rFonts w:ascii="Arial" w:cs="Arial" w:eastAsia="Arial" w:hAnsi="Arial"/>
                <w:sz w:val="18"/>
                <w:szCs w:val="18"/>
                <w:color w:val="auto"/>
              </w:rPr>
              <w:t>F-50</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DEED OF CROSS GUARANTEE (CONTINUED)</w:t>
      </w:r>
    </w:p>
    <w:p>
      <w:pPr>
        <w:spacing w:after="0" w:line="126"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As of June 30,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tcPr>
          <w:p>
            <w:pPr>
              <w:ind w:left="1460"/>
              <w:spacing w:after="0"/>
              <w:rPr>
                <w:sz w:val="20"/>
                <w:szCs w:val="20"/>
                <w:color w:val="auto"/>
              </w:rPr>
            </w:pPr>
            <w:r>
              <w:rPr>
                <w:rFonts w:ascii="Arial" w:cs="Arial" w:eastAsia="Arial" w:hAnsi="Arial"/>
                <w:sz w:val="18"/>
                <w:szCs w:val="18"/>
                <w:color w:val="auto"/>
                <w:w w:val="99"/>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1,779,019</w:t>
            </w:r>
          </w:p>
        </w:tc>
        <w:tc>
          <w:tcPr>
            <w:tcW w:w="9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w w:val="90"/>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2,063,923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2,589,816</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Prepayments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130,055</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4,631,304</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4,636,966</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477,366</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526,571</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526,571</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4,110,395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Contributed equity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162,801,028</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134,806,022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89"/>
              </w:rPr>
              <w:t>(163,194,156)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(134,977,180)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Reserves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4,503,523</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4,110,395</w:t>
            </w:r>
          </w:p>
        </w:tc>
        <w:tc>
          <w:tcPr>
            <w:tcW w:w="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3,063,183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24.</w:t>
        <w:tab/>
        <w:t>INVESTMENTS</w:t>
      </w:r>
    </w:p>
    <w:p>
      <w:pPr>
        <w:spacing w:after="0" w:line="11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3"/>
          </w:tcPr>
          <w:p>
            <w:pPr>
              <w:ind w:left="420"/>
              <w:spacing w:after="0"/>
              <w:rPr>
                <w:sz w:val="20"/>
                <w:szCs w:val="20"/>
                <w:color w:val="auto"/>
              </w:rPr>
            </w:pPr>
            <w:r>
              <w:rPr>
                <w:rFonts w:ascii="Arial" w:cs="Arial" w:eastAsia="Arial" w:hAnsi="Arial"/>
                <w:sz w:val="14"/>
                <w:szCs w:val="14"/>
                <w:b w:val="1"/>
                <w:bCs w:val="1"/>
                <w:color w:val="auto"/>
              </w:rPr>
              <w:t>As of 30 June</w:t>
            </w: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MVP shares</w:t>
            </w:r>
          </w:p>
        </w:tc>
        <w:tc>
          <w:tcPr>
            <w:tcW w:w="2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$453,892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Fair value gain on investment</w:t>
            </w:r>
          </w:p>
        </w:tc>
        <w:tc>
          <w:tcPr>
            <w:tcW w:w="21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of investment</w:t>
            </w:r>
          </w:p>
        </w:tc>
        <w:tc>
          <w:tcPr>
            <w:tcW w:w="2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719,153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2016 Investments of $719,153 was due to the holding in escrow of 117,894 shares of Medical Developments International Ltd (ASX: MVP) originating from the sale of Avita’s Respiratory Business in February 2016. Consideration for the divestment was $2,029,478 in cash plus the MVP shares which were valued at $453,892 at the closing of the transaction on February 5, 2016. The statement of profit and loss reflects a fair value gain of $265,261 in other comprehensive income on these escrowed shares, as these shares had a fair value at the reporting date of $719,153.</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240" w:top="459"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234" w:lineRule="exact"/>
        <w:rPr>
          <w:sz w:val="20"/>
          <w:szCs w:val="20"/>
          <w:color w:val="auto"/>
        </w:rPr>
      </w:pPr>
    </w:p>
    <w:p>
      <w:pPr>
        <w:ind w:left="640" w:hanging="436"/>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135"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As of June 30, 2016, all MVP shares have been sold for proceeds amounting to $627,837 resulting in a loss of $91,316 which was recognised in administrative expenses.</w:t>
      </w:r>
    </w:p>
    <w:p>
      <w:pPr>
        <w:spacing w:after="0" w:line="315" w:lineRule="exact"/>
        <w:rPr>
          <w:sz w:val="20"/>
          <w:szCs w:val="20"/>
          <w:color w:val="auto"/>
        </w:rPr>
      </w:pPr>
    </w:p>
    <w:p>
      <w:pPr>
        <w:ind w:left="640" w:hanging="436"/>
        <w:spacing w:after="0"/>
        <w:tabs>
          <w:tab w:leader="none" w:pos="6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2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On September 20, 2018, the U.S. Food and Drug Administration (FDA) approved the Company’s application to market the RECELL System to treat patients with acute thermal burns in the U.S.</w:t>
      </w:r>
    </w:p>
    <w:p>
      <w:pPr>
        <w:spacing w:after="0" w:line="17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Subsequent to June 30, 2018 the Company completed a series of equity transactions in in which the Company received a total of A$45,014,900 in gross proceeds. During the year ended June 30, 2018 the Company completed an institutional placement of shares to international and Australian institutional and sophisticated investors. The institutional placement included a second tranche totaling A$3.250 million of gross proceeds, contingent upon shareholder approval. Shareholder approval for Tranche 2 was received at an Extraordinary General Meeting held on July 23, 2018, and the net proceeds of A$3.041 million were received by the Company on July 26, 2018. Shareholder approval for Tranche 2 was received at an Extraordinary General Meeting held on July 23, 2018, and the Company issued 65 million shares at a price of A$0.050 per share and received gross proceeds of A$3,250,000 on July 26, 2018. Also subsequent to year end, on December 4, 2018 the Company completed the first tranche of an institutional placement of in which it issued 310,047,015 fully paid ordinary shares at a price of A$0.080 per share raising gross proceeds of A$24,803,761. The institutional placement included a second tranche totaling A$15.196 million of gross proceeds, contingent upon shareholder approval. Shareholder approval for Tranche 2 was received at an Extraordinary General Meeting held on January 14, 2019, and the Company issued 189,952,985 shares at a price of A$0.080 per share and received gross proceeds of A$15,196,239 on January 14, 2019. In addition, on January 11, 2019 the Company complete a Share Purchase Plan under which it issued 22,061,250 shares of stock at a price of A$0.080 per share and received gross proceeds of A$1,764,900.</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PROFIT OR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OTHER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Continuing operations</w:t>
            </w: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Sale of goods</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w w:val="90"/>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1,813,195</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(570,315)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(264,833)</w:t>
            </w:r>
          </w:p>
        </w:tc>
        <w:tc>
          <w:tcPr>
            <w:tcW w:w="0" w:type="dxa"/>
            <w:vAlign w:val="bottom"/>
          </w:tcPr>
          <w:p>
            <w:pPr>
              <w:spacing w:after="0"/>
              <w:rPr>
                <w:sz w:val="1"/>
                <w:szCs w:val="1"/>
                <w:color w:val="auto"/>
              </w:rPr>
            </w:pPr>
          </w:p>
        </w:tc>
      </w:tr>
      <w:tr>
        <w:trPr>
          <w:trHeight w:val="228"/>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1,242,880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18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5,009,137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w:t>
            </w:r>
          </w:p>
        </w:tc>
        <w:tc>
          <w:tcPr>
            <w:tcW w:w="184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5,112,763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Operating costs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(6,931,241)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(2,815,698)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(7,080,042)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(5,058,518)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administrative expenses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(6,865,250)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(2,873,511)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(1,043,694)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operating costs</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(21,935,034)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(11,487,836)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(7,250,597)</w:t>
            </w:r>
          </w:p>
        </w:tc>
        <w:tc>
          <w:tcPr>
            <w:tcW w:w="0" w:type="dxa"/>
            <w:vAlign w:val="bottom"/>
          </w:tcPr>
          <w:p>
            <w:pPr>
              <w:spacing w:after="0"/>
              <w:rPr>
                <w:sz w:val="1"/>
                <w:szCs w:val="1"/>
                <w:color w:val="auto"/>
              </w:rPr>
            </w:pPr>
          </w:p>
        </w:tc>
      </w:tr>
      <w:tr>
        <w:trPr>
          <w:trHeight w:val="32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1,374,144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for the period, net of tax</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1,374,144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(55,390)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for the period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A</w:t>
            </w:r>
            <w:r>
              <w:rPr>
                <w:rFonts w:ascii="Arial" w:cs="Arial" w:eastAsia="Arial" w:hAnsi="Arial"/>
                <w:sz w:val="18"/>
                <w:szCs w:val="18"/>
                <w:color w:val="auto"/>
                <w:w w:val="8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 attributable to owners of the parent</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(15,579,391)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(7,250,597)</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attributable to owners of the parent</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(14,205,247</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A</w:t>
            </w:r>
            <w:r>
              <w:rPr>
                <w:rFonts w:ascii="Arial" w:cs="Arial" w:eastAsia="Arial" w:hAnsi="Arial"/>
                <w:sz w:val="18"/>
                <w:szCs w:val="18"/>
                <w:b w:val="1"/>
                <w:bCs w:val="1"/>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(7,305,987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 from continuing operations</w:t>
            </w:r>
          </w:p>
        </w:tc>
        <w:tc>
          <w:tcPr>
            <w:tcW w:w="1840" w:type="dxa"/>
            <w:vAlign w:val="bottom"/>
          </w:tcPr>
          <w:p>
            <w:pPr>
              <w:spacing w:after="0"/>
              <w:rPr>
                <w:sz w:val="20"/>
                <w:szCs w:val="20"/>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A$</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(1.59) cents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A$</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6"/>
              </w:rPr>
              <w:t>(0.91) cents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FINANCIAL POSITION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300" w:type="dxa"/>
            <w:vAlign w:val="bottom"/>
          </w:tcPr>
          <w:p>
            <w:pPr>
              <w:jc w:val="right"/>
              <w:ind w:right="199"/>
              <w:spacing w:after="0"/>
              <w:rPr>
                <w:sz w:val="20"/>
                <w:szCs w:val="20"/>
                <w:color w:val="auto"/>
              </w:rPr>
            </w:pPr>
            <w:r>
              <w:rPr>
                <w:rFonts w:ascii="Arial" w:cs="Arial" w:eastAsia="Arial" w:hAnsi="Arial"/>
                <w:sz w:val="14"/>
                <w:szCs w:val="14"/>
                <w:b w:val="1"/>
                <w:bCs w:val="1"/>
                <w:color w:val="auto"/>
              </w:rPr>
              <w:t>Note</w:t>
            </w:r>
          </w:p>
        </w:tc>
        <w:tc>
          <w:tcPr>
            <w:tcW w:w="2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4"/>
                <w:szCs w:val="14"/>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30,342,360</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2,536,923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5,437,357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34,953,776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22,274,431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Intangible assets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1,393,606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36,347,382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23,017,014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533,660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5,017,066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3,883,117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Finance lease</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5,100,098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4,017,455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equity holders of the parent: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Contributed equity</w:t>
            </w:r>
          </w:p>
        </w:tc>
        <w:tc>
          <w:tcPr>
            <w:tcW w:w="2300" w:type="dxa"/>
            <w:vAlign w:val="bottom"/>
          </w:tcPr>
          <w:p>
            <w:pPr>
              <w:jc w:val="right"/>
              <w:ind w:right="239"/>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188,210,306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162,801,028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(164,172,270)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(148,592,879)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Reserves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7,209,248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31,247,284</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18,999,559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7"/>
          </w:tcPr>
          <w:p>
            <w:pPr>
              <w:ind w:left="3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6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to suppliers and employees</w:t>
            </w:r>
          </w:p>
        </w:tc>
        <w:tc>
          <w:tcPr>
            <w:tcW w:w="3440" w:type="dxa"/>
            <w:vAlign w:val="bottom"/>
            <w:gridSpan w:val="4"/>
          </w:tcPr>
          <w:p>
            <w:pPr>
              <w:ind w:left="2260"/>
              <w:spacing w:after="0"/>
              <w:rPr>
                <w:sz w:val="20"/>
                <w:szCs w:val="20"/>
                <w:color w:val="auto"/>
              </w:rPr>
            </w:pPr>
            <w:r>
              <w:rPr>
                <w:rFonts w:ascii="Arial" w:cs="Arial" w:eastAsia="Arial" w:hAnsi="Arial"/>
                <w:sz w:val="18"/>
                <w:szCs w:val="18"/>
                <w:color w:val="auto"/>
                <w:w w:val="93"/>
              </w:rPr>
              <w:t>A$(20,305,643)</w:t>
            </w:r>
          </w:p>
        </w:tc>
        <w:tc>
          <w:tcPr>
            <w:tcW w:w="1780" w:type="dxa"/>
            <w:vAlign w:val="bottom"/>
            <w:gridSpan w:val="5"/>
          </w:tcPr>
          <w:p>
            <w:pPr>
              <w:jc w:val="right"/>
              <w:ind w:right="60"/>
              <w:spacing w:after="0"/>
              <w:rPr>
                <w:sz w:val="20"/>
                <w:szCs w:val="20"/>
                <w:color w:val="auto"/>
              </w:rPr>
            </w:pPr>
            <w:r>
              <w:rPr>
                <w:rFonts w:ascii="Arial" w:cs="Arial" w:eastAsia="Arial" w:hAnsi="Arial"/>
                <w:sz w:val="18"/>
                <w:szCs w:val="18"/>
                <w:color w:val="auto"/>
              </w:rPr>
              <w:t>A$(11,943,480)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BARDA receipts and other income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6,104,306</w:t>
            </w:r>
          </w:p>
        </w:tc>
        <w:tc>
          <w:tcPr>
            <w:tcW w:w="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3,676,182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Receipts from customers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1,204,802</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367,933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R&amp;D tax refunds received</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2,440,803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97,253</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260" w:type="dxa"/>
            <w:vAlign w:val="bottom"/>
          </w:tcPr>
          <w:p>
            <w:pPr>
              <w:spacing w:after="0"/>
              <w:rPr>
                <w:sz w:val="20"/>
                <w:szCs w:val="20"/>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(10,458,479)</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(7,875,025)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Payments for plant &amp; equipment</w:t>
            </w:r>
          </w:p>
        </w:tc>
        <w:tc>
          <w:tcPr>
            <w:tcW w:w="226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(722,472)</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(63,672)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(722,472)</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28,053,762</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Capital raising expenses</w:t>
            </w:r>
          </w:p>
        </w:tc>
        <w:tc>
          <w:tcPr>
            <w:tcW w:w="226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(2,689,423)</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(1,048,359)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25,364,339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15,980,605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14,183,388</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8,041,908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14,825,532</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3,790,491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Impact of foreign exchange</w:t>
            </w:r>
          </w:p>
        </w:tc>
        <w:tc>
          <w:tcPr>
            <w:tcW w:w="2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1,333,440</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$ 30,342,360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$ 11,777,009</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60" w:type="dxa"/>
            <w:vAlign w:val="bottom"/>
            <w:gridSpan w:val="6"/>
          </w:tcPr>
          <w:p>
            <w:pPr>
              <w:spacing w:after="0"/>
              <w:rPr>
                <w:sz w:val="20"/>
                <w:szCs w:val="20"/>
                <w:color w:val="auto"/>
              </w:rPr>
            </w:pPr>
            <w:r>
              <w:rPr>
                <w:rFonts w:ascii="Arial" w:cs="Arial" w:eastAsia="Arial" w:hAnsi="Arial"/>
                <w:sz w:val="18"/>
                <w:szCs w:val="18"/>
                <w:color w:val="auto"/>
                <w:w w:val="99"/>
              </w:rPr>
              <w:t>For the purpose of the half-year Statement of Cash Flows, cash and cash equivalents are comprised of the following: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7"/>
          </w:tcPr>
          <w:p>
            <w:pPr>
              <w:ind w:left="7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6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2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A$29,084,452</w:t>
            </w:r>
          </w:p>
        </w:tc>
        <w:tc>
          <w:tcPr>
            <w:tcW w:w="5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A$ 1,403,330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Short-term deposits</w:t>
            </w:r>
          </w:p>
        </w:tc>
        <w:tc>
          <w:tcPr>
            <w:tcW w:w="240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1,257,908</w:t>
            </w:r>
          </w:p>
        </w:tc>
        <w:tc>
          <w:tcPr>
            <w:tcW w:w="68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10,373,679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2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30,342,360</w:t>
            </w:r>
          </w:p>
        </w:tc>
        <w:tc>
          <w:tcPr>
            <w:tcW w:w="5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6"/>
              </w:rPr>
              <w:t>A$</w:t>
            </w:r>
            <w:r>
              <w:rPr>
                <w:rFonts w:ascii="Arial" w:cs="Arial" w:eastAsia="Arial" w:hAnsi="Arial"/>
                <w:sz w:val="18"/>
                <w:szCs w:val="18"/>
                <w:b w:val="1"/>
                <w:bCs w:val="1"/>
                <w:color w:val="auto"/>
                <w:w w:val="96"/>
              </w:rPr>
              <w:t xml:space="preserve"> 11,777,009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Share-based</w:t>
            </w:r>
          </w:p>
        </w:tc>
        <w:tc>
          <w:tcPr>
            <w:tcW w:w="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Contributed</w:t>
            </w:r>
          </w:p>
        </w:tc>
        <w:tc>
          <w:tcPr>
            <w:tcW w:w="28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payment</w:t>
            </w:r>
          </w:p>
        </w:tc>
        <w:tc>
          <w:tcPr>
            <w:tcW w:w="3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8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28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reserve</w:t>
            </w:r>
          </w:p>
        </w:tc>
        <w:tc>
          <w:tcPr>
            <w:tcW w:w="3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2018</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A$162,801,028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 (148,592,879)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A$4,505,148</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A$  286,262</w:t>
            </w: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A$ 18,999,559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Loss for the period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center"/>
              <w:ind w:left="452"/>
              <w:spacing w:after="0"/>
              <w:rPr>
                <w:sz w:val="20"/>
                <w:szCs w:val="20"/>
                <w:color w:val="auto"/>
              </w:rPr>
            </w:pPr>
            <w:r>
              <w:rPr>
                <w:rFonts w:ascii="Arial" w:cs="Arial" w:eastAsia="Arial" w:hAnsi="Arial"/>
                <w:sz w:val="18"/>
                <w:szCs w:val="18"/>
                <w:color w:val="auto"/>
                <w:w w:val="90"/>
              </w:rPr>
              <w:t>(15,579,391)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(15,579,391)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top w:val="single" w:sz="8" w:color="auto"/>
              <w:bottom w:val="single" w:sz="8" w:color="auto"/>
            </w:tcBorders>
            <w:gridSpan w:val="2"/>
          </w:tcPr>
          <w:p>
            <w:pPr>
              <w:jc w:val="center"/>
              <w:ind w:left="254"/>
              <w:spacing w:after="0"/>
              <w:rPr>
                <w:sz w:val="20"/>
                <w:szCs w:val="20"/>
                <w:color w:val="auto"/>
              </w:rPr>
            </w:pPr>
            <w:r>
              <w:rPr>
                <w:rFonts w:ascii="Arial" w:cs="Arial" w:eastAsia="Arial" w:hAnsi="Arial"/>
                <w:sz w:val="18"/>
                <w:szCs w:val="18"/>
                <w:b w:val="1"/>
                <w:bCs w:val="1"/>
                <w:color w:val="auto"/>
                <w:w w:val="86"/>
              </w:rPr>
              <w:t>(15,579,391)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1,374,144</w:t>
            </w:r>
          </w:p>
        </w:tc>
        <w:tc>
          <w:tcPr>
            <w:tcW w:w="3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(14,205,247)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Transactions with owners in their capacity</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as owners:</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Share-based payments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1,043,694</w:t>
            </w: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1,043,694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(2,689,423)</w:t>
            </w:r>
          </w:p>
        </w:tc>
        <w:tc>
          <w:tcPr>
            <w:tcW w:w="280" w:type="dxa"/>
            <w:vAlign w:val="bottom"/>
          </w:tcPr>
          <w:p>
            <w:pPr>
              <w:spacing w:after="0"/>
              <w:rPr>
                <w:sz w:val="18"/>
                <w:szCs w:val="18"/>
                <w:color w:val="auto"/>
              </w:rPr>
            </w:pPr>
          </w:p>
        </w:tc>
        <w:tc>
          <w:tcPr>
            <w:tcW w:w="134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(2,689,423)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center"/>
              <w:ind w:left="76"/>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188,210,306</w:t>
            </w:r>
          </w:p>
        </w:tc>
        <w:tc>
          <w:tcPr>
            <w:tcW w:w="1620" w:type="dxa"/>
            <w:vAlign w:val="bottom"/>
            <w:gridSpan w:val="4"/>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 xml:space="preserve"> (164,172,270)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5,548,842</w:t>
            </w:r>
          </w:p>
        </w:tc>
        <w:tc>
          <w:tcPr>
            <w:tcW w:w="130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1,660,406</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$ 31,247,284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Share-based</w:t>
            </w:r>
          </w:p>
        </w:tc>
        <w:tc>
          <w:tcPr>
            <w:tcW w:w="34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Foreign</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jc w:val="center"/>
              <w:ind w:right="600"/>
              <w:spacing w:after="0"/>
              <w:rPr>
                <w:sz w:val="20"/>
                <w:szCs w:val="20"/>
                <w:color w:val="auto"/>
              </w:rPr>
            </w:pPr>
            <w:r>
              <w:rPr>
                <w:rFonts w:ascii="Arial" w:cs="Arial" w:eastAsia="Arial" w:hAnsi="Arial"/>
                <w:sz w:val="14"/>
                <w:szCs w:val="14"/>
                <w:b w:val="1"/>
                <w:bCs w:val="1"/>
                <w:color w:val="auto"/>
                <w:w w:val="95"/>
              </w:rPr>
              <w:t>Contributed</w:t>
            </w:r>
          </w:p>
        </w:tc>
        <w:tc>
          <w:tcPr>
            <w:tcW w:w="16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currency</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payment</w:t>
            </w:r>
          </w:p>
        </w:tc>
        <w:tc>
          <w:tcPr>
            <w:tcW w:w="3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8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6"/>
              </w:rPr>
              <w:t>equity</w:t>
            </w:r>
          </w:p>
        </w:tc>
        <w:tc>
          <w:tcPr>
            <w:tcW w:w="280" w:type="dxa"/>
            <w:vAlign w:val="bottom"/>
          </w:tcPr>
          <w:p>
            <w:pPr>
              <w:spacing w:after="0"/>
              <w:rPr>
                <w:sz w:val="14"/>
                <w:szCs w:val="14"/>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34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reserve</w:t>
            </w:r>
          </w:p>
        </w:tc>
        <w:tc>
          <w:tcPr>
            <w:tcW w:w="3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July 1, 2017</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A$134,806,022</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$A(132,218,352)</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A$ 2,811,179</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A$(277,017)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A$ 5,121,832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Loss for the period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(7,250,597)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(7,250,597)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(55,390)</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(55,390)</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w w:val="98"/>
              </w:rPr>
              <w:t>Total comprehensive loss for the period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left="294"/>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spacing w:after="0"/>
              <w:rPr>
                <w:sz w:val="20"/>
                <w:szCs w:val="20"/>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(7,250,597)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(55,390)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(7,305,987)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4"/>
              </w:rPr>
              <w:t>Transactions with owners in their capacity as</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owners:</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Share-based payments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340" w:type="dxa"/>
            <w:vAlign w:val="bottom"/>
            <w:gridSpan w:val="3"/>
          </w:tcPr>
          <w:p>
            <w:pPr>
              <w:jc w:val="center"/>
              <w:ind w:left="154"/>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726,855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726,855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New shares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17,028,964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share placement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250"/>
              <w:spacing w:after="0"/>
              <w:rPr>
                <w:sz w:val="20"/>
                <w:szCs w:val="20"/>
                <w:color w:val="auto"/>
              </w:rPr>
            </w:pPr>
            <w:r>
              <w:rPr>
                <w:rFonts w:ascii="Arial" w:cs="Arial" w:eastAsia="Arial" w:hAnsi="Arial"/>
                <w:sz w:val="18"/>
                <w:szCs w:val="18"/>
                <w:color w:val="auto"/>
              </w:rPr>
              <w:t>(1,048,359)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(1,048,359)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Transfer of expired options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(141,188)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2017</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89"/>
              </w:rPr>
              <w:t>A$</w:t>
            </w:r>
            <w:r>
              <w:rPr>
                <w:rFonts w:ascii="Arial" w:cs="Arial" w:eastAsia="Arial" w:hAnsi="Arial"/>
                <w:sz w:val="18"/>
                <w:szCs w:val="18"/>
                <w:b w:val="1"/>
                <w:bCs w:val="1"/>
                <w:color w:val="auto"/>
                <w:w w:val="89"/>
              </w:rPr>
              <w:t>150,786,627</w:t>
            </w:r>
          </w:p>
        </w:tc>
        <w:tc>
          <w:tcPr>
            <w:tcW w:w="460" w:type="dxa"/>
            <w:vAlign w:val="bottom"/>
            <w:gridSpan w:val="2"/>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4"/>
              </w:rPr>
              <w:t>A$</w:t>
            </w:r>
            <w:r>
              <w:rPr>
                <w:rFonts w:ascii="Arial" w:cs="Arial" w:eastAsia="Arial" w:hAnsi="Arial"/>
                <w:sz w:val="18"/>
                <w:szCs w:val="18"/>
                <w:b w:val="1"/>
                <w:bCs w:val="1"/>
                <w:color w:val="auto"/>
                <w:w w:val="94"/>
              </w:rPr>
              <w:t>(139,327,761</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3,396,846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(332,407</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14,523,305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form part of the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w:t>
      </w:r>
    </w:p>
    <w:p>
      <w:pPr>
        <w:spacing w:after="0" w:line="131" w:lineRule="exact"/>
        <w:rPr>
          <w:sz w:val="20"/>
          <w:szCs w:val="20"/>
          <w:color w:val="auto"/>
        </w:rPr>
      </w:pPr>
    </w:p>
    <w:p>
      <w:pPr>
        <w:ind w:left="640" w:hanging="436"/>
        <w:spacing w:after="0"/>
        <w:tabs>
          <w:tab w:leader="none" w:pos="6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This general purpose condensed financial report for the half-year ended December 31, 2018 has been prepared in accordance with International Accounting Standards Board (IASB). The Company is a for-profit entity for financial reporting purposes under Australian Accounting Standards. The Parent Company’s functional and presentation currency is AUD ($).</w:t>
      </w:r>
    </w:p>
    <w:p>
      <w:pPr>
        <w:spacing w:after="0" w:line="181"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This half-year financial report does not include all notes of the type normally included within the annual financial report and therefore cannot be expected to provide as full an understanding of the financial performance, financial position and financing and investing activities of the consolidated entity as the full financial report.</w:t>
      </w:r>
    </w:p>
    <w:p>
      <w:pPr>
        <w:spacing w:after="0" w:line="181"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 xml:space="preserve">It is recommended that the half-year financial report be read in conjunction with the annual report for the year ended June 30, 2018 and considered together with any subsequent public announcements made by Avita Medical Limited in accordance with the continuous disclosure obligations of the </w:t>
      </w:r>
      <w:r>
        <w:rPr>
          <w:rFonts w:ascii="Arial" w:cs="Arial" w:eastAsia="Arial" w:hAnsi="Arial"/>
          <w:sz w:val="18"/>
          <w:szCs w:val="18"/>
          <w:i w:val="1"/>
          <w:iCs w:val="1"/>
          <w:color w:val="auto"/>
        </w:rPr>
        <w:t>ASX listing rules</w:t>
      </w:r>
      <w:r>
        <w:rPr>
          <w:rFonts w:ascii="Arial" w:cs="Arial" w:eastAsia="Arial" w:hAnsi="Arial"/>
          <w:sz w:val="18"/>
          <w:szCs w:val="18"/>
          <w:color w:val="auto"/>
        </w:rPr>
        <w:t>.</w:t>
      </w:r>
    </w:p>
    <w:p>
      <w:pPr>
        <w:spacing w:after="0" w:line="18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This financial report has been prepared on the going concern basis. The accounting policies have been applied consistently throughout the Company for the purposes of preparation of these interim financial statements. Certain items on the Consolidated Financial Statements and notes for the prior periods have been reclassified to conform to the current period presentation.</w:t>
      </w:r>
    </w:p>
    <w:p>
      <w:pPr>
        <w:spacing w:after="0" w:line="326"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w:t>
      </w:r>
    </w:p>
    <w:p>
      <w:pPr>
        <w:spacing w:after="0" w:line="121"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The interim financial statements have been prepared in accordance with the same accounting policies adopted in the Company’s last annual financial statements for the year ended June 30, 2018, except as described below. Note that the changes in accounting policies specified below only apply to the current period. The accounting policies included in the Company’s last annual financial statements for the year ended June 30, 2018 are the relevant policies for the purposes of comparatives.</w:t>
      </w:r>
    </w:p>
    <w:p>
      <w:pPr>
        <w:spacing w:after="0" w:line="18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IFRS 15 Revenue from Contracts with Customers and IFRS 9 Financial Instruments (2014) became effective for periods beginning on or after January 1, 2018. Accordingly, the Company applied IFRS 15 and IFRS 9 for the interim period ended December 31, 2018. Changes to the Company’s accounting policies arising from these standards are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9 Financial Instruments</w:t>
      </w:r>
    </w:p>
    <w:p>
      <w:pPr>
        <w:spacing w:after="0" w:line="12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IFRS 9 Financial Instruments replaces IAS 39 Financial Instruments: Recognition and Measurement requirements. It makes major changes to the previous guidance on the classification and measurement of financial assets and introduces an ‘expected credit loss’ model for impairment of financial assets.</w:t>
      </w:r>
    </w:p>
    <w:p>
      <w:pPr>
        <w:spacing w:after="0" w:line="181"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15 – Revenue from contracts with customers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Revenue is comprised mainly from funding from BARDA and from the sale of goods. To determine whether to recognize revenue, the Company follows a five-step process:</w:t>
      </w:r>
    </w:p>
    <w:p>
      <w:pPr>
        <w:spacing w:after="0" w:line="76" w:lineRule="exact"/>
        <w:rPr>
          <w:sz w:val="20"/>
          <w:szCs w:val="20"/>
          <w:color w:val="auto"/>
        </w:rPr>
      </w:pPr>
    </w:p>
    <w:p>
      <w:pPr>
        <w:ind w:left="1060" w:hanging="424"/>
        <w:spacing w:after="0"/>
        <w:tabs>
          <w:tab w:leader="none" w:pos="10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Identifying the contract with a customer,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Identifying the performance obligations,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Allocating the transaction price to the performance obligation,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Recognizing revenue when performance obligation is satisfied.</w:t>
      </w:r>
    </w:p>
    <w:p>
      <w:pPr>
        <w:spacing w:after="0" w:line="225"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Revenue from the sales of goods is recognized at a point in time, when the Company satisfies performance obligations by transferring the promised goods to its customers. The Company recognizes contract liabilities for consideration received in respect of unsatisfied performance obligations and reports these amounts as other liabilities in the statement of financial position. Similarly, if the Company satisfies a performance obligation before it receives the consideration, the Company recognizes either a contract asset or a receivable in its statement of financial position, depending on whether something other than the passage of time is required before the consideration is due.</w:t>
      </w:r>
    </w:p>
    <w:p>
      <w:pPr>
        <w:spacing w:after="0" w:line="173"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adoption of this standard has no impact on the current or previous reporting period and as such there have been no adjustments to the opening balance of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Standards issued but not yet effective and not been adopted early by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16:</w:t>
      </w:r>
    </w:p>
    <w:p>
      <w:pPr>
        <w:spacing w:after="0" w:line="131" w:lineRule="exact"/>
        <w:rPr>
          <w:sz w:val="20"/>
          <w:szCs w:val="20"/>
          <w:color w:val="auto"/>
        </w:rPr>
      </w:pPr>
    </w:p>
    <w:p>
      <w:pPr>
        <w:ind w:left="1060" w:hanging="316"/>
        <w:spacing w:after="0"/>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replaces IAS 17 Leases and some lease-related Interpretations,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requires all leases to be accounted for ‘on-balance sheet’ by lessees, other than short-term and low value asset leases,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provides new guidance on the application of the definition of lease and on sale and lease back accounting,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largely retains the existing lessor accounting requirements in IAS 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requires new and different disclosures about leases.</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 number of new and revised standards became effective for the first time to annual periods beginning on or after January 1, 2017. Information on the more significant standard is presented below.</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Based on the entity’s assessment, it is expected that the first-time adoption of IFRS 16 for the year ending June 30, 2020 will have a material impact on the transactions and balances recognized in the financial statements, in particular:</w:t>
      </w:r>
    </w:p>
    <w:p>
      <w:pPr>
        <w:spacing w:after="0" w:line="76" w:lineRule="exact"/>
        <w:rPr>
          <w:sz w:val="20"/>
          <w:szCs w:val="20"/>
          <w:color w:val="auto"/>
        </w:rPr>
      </w:pPr>
    </w:p>
    <w:p>
      <w:pPr>
        <w:ind w:left="1060" w:right="80" w:hanging="316"/>
        <w:spacing w:after="0" w:line="277" w:lineRule="auto"/>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lease assets and financial liabilities on the balance sheet will increase by A$1,108,610 and A$1,195,801 respectively (based on the facts at the date of the assessment),</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there will be a reduction in the reported equity as the carrying amount of lease assets will reduce more quickly than the carrying amount of lease liabilities,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240" w:top="459" w:right="5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policy (continued)</w:t>
      </w:r>
    </w:p>
    <w:p>
      <w:pPr>
        <w:spacing w:after="0" w:line="134" w:lineRule="exact"/>
        <w:rPr>
          <w:rFonts w:ascii="Arial" w:cs="Arial" w:eastAsia="Arial" w:hAnsi="Arial"/>
          <w:sz w:val="18"/>
          <w:szCs w:val="18"/>
          <w:b w:val="1"/>
          <w:bCs w:val="1"/>
          <w:color w:val="auto"/>
        </w:rPr>
      </w:pPr>
    </w:p>
    <w:p>
      <w:pPr>
        <w:ind w:left="1060" w:hanging="316"/>
        <w:spacing w:after="0" w:line="342" w:lineRule="auto"/>
        <w:tabs>
          <w:tab w:leader="none" w:pos="106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Loss for the period in the statement of profit or loss and other comprehensive income will be higher as the implicit interest in lease payments for former off-balance sheet leases will be presented as part of finance costs rather than being included in operating expenses,</w:t>
      </w:r>
    </w:p>
    <w:p>
      <w:pPr>
        <w:spacing w:after="0" w:line="29" w:lineRule="exact"/>
        <w:rPr>
          <w:rFonts w:ascii="Arial" w:cs="Arial" w:eastAsia="Arial" w:hAnsi="Arial"/>
          <w:sz w:val="16"/>
          <w:szCs w:val="16"/>
          <w:color w:val="auto"/>
        </w:rPr>
      </w:pPr>
    </w:p>
    <w:p>
      <w:pPr>
        <w:ind w:left="1060" w:right="160" w:hanging="316"/>
        <w:spacing w:after="0" w:line="264" w:lineRule="auto"/>
        <w:tabs>
          <w:tab w:leader="none" w:pos="106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operating cash outflows will be lower and financing cash flows will be higher in the statement of cash flows as principal repayments on all lease liabilities will now be included in financing activities rather than operating activities. Interest can also be included within financing activities.</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These financial statements have been prepared on the basis of going concern, which contemplates the continuity of normal business activities and the realization of assets and settlement of liabilities in the ordinary course of business. During the half-year ended December 31, 2018, the Company has generated a loss for the period of A$15,579,391 (2017: A$7,250,597) and the Company has used cash in operations of A$10,458,479 (2017: A$7,875,025).</w:t>
      </w:r>
    </w:p>
    <w:p>
      <w:pPr>
        <w:spacing w:after="0" w:line="187" w:lineRule="exact"/>
        <w:rPr>
          <w:sz w:val="20"/>
          <w:szCs w:val="20"/>
          <w:color w:val="auto"/>
        </w:rPr>
      </w:pPr>
    </w:p>
    <w:p>
      <w:pPr>
        <w:jc w:val="both"/>
        <w:ind w:left="200" w:right="500"/>
        <w:spacing w:after="0" w:line="312" w:lineRule="auto"/>
        <w:rPr>
          <w:sz w:val="20"/>
          <w:szCs w:val="20"/>
          <w:color w:val="auto"/>
        </w:rPr>
      </w:pPr>
      <w:r>
        <w:rPr>
          <w:rFonts w:ascii="Arial" w:cs="Arial" w:eastAsia="Arial" w:hAnsi="Arial"/>
          <w:sz w:val="16"/>
          <w:szCs w:val="16"/>
          <w:color w:val="auto"/>
        </w:rPr>
        <w:t>During the half-year ended December 31, 2018 and subsequent to that date, the Company completed a series of equity transactions totaling gross proceeds of A$45,014,900 which were used to fund operations. Of the total gross proceeds, A$28,073,761 was received in transactions completed during the half-year ended December 31, 2018, and A$16,961,139 was received in transactions completely subsequent to that date.</w:t>
      </w:r>
    </w:p>
    <w:p>
      <w:pPr>
        <w:spacing w:after="0" w:line="147"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On June 6, 2018 the Company completed the first tranche of an institutional placement which included a second tranche totaling A$3.250 million of gross proceeds, contingent upon shareholder approval. Shareholder approval for Tranche 2 was received at an Extraordinary General Meeting held on July 23, 2018, and the Company issued 65 million shares at a price of $0.050 per share and received gross proceeds of A$3,250,000 on July 26, 2018. On December 4, 2018 the Company completed the first tranche of an institutional placement of in which it issued 310,047,015 fully paid ordinary shares at a price of A$0.080 per share raising gross proceeds of A$24,803,761. The institutional placement included a second tranche totaling</w:t>
      </w:r>
    </w:p>
    <w:p>
      <w:pPr>
        <w:spacing w:after="0" w:line="2"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color w:val="auto"/>
        </w:rPr>
        <w:t>A$15.196 million of gross proceeds,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2010 the Company completed a Share Purchase Plan under which it issued 22,061,250 shares of stock at a price of A$0.080 per share and received gross proceeds of A$1,764,900.</w:t>
      </w:r>
    </w:p>
    <w:p>
      <w:pPr>
        <w:spacing w:after="0" w:line="19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Company benefits from cash inflows from the series of BARDA contracts, the first of which was awarded to the Company in September 2015. These payments from BARDA offset costs from various activities undertaken to support the FDA regulatory approval process for RECELL in the U.S., preparation for the planned commercial launch of RECELL in the U.S., and RECELL clinical programs in the U.S. With the U.S. FDA approval of RECELL for the treatment of burns in September 2018, and the U.S. market launch of the product in January 2019, sales of goods are expected to be an increasing source of revenue in the future. Another anticipated source of revenue for the Company is the BARDA contract line item covering the initial purchase, delivery and storage of the RECELL System in the amount of US$7,594,620 (~A$10m).</w:t>
      </w:r>
    </w:p>
    <w:p>
      <w:pPr>
        <w:spacing w:after="0" w:line="178"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The Company expects to be utilizing cash reserves until U.S. and international sales of its products reach the level to fund ongoing operations. The Company has historically funded its research and development activities,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(CONTINUED)</w:t>
      </w:r>
    </w:p>
    <w:p>
      <w:pPr>
        <w:spacing w:after="0" w:line="131" w:lineRule="exact"/>
        <w:rPr>
          <w:sz w:val="20"/>
          <w:szCs w:val="20"/>
          <w:color w:val="auto"/>
        </w:rPr>
      </w:pPr>
    </w:p>
    <w:p>
      <w:pPr>
        <w:ind w:left="640" w:hanging="436"/>
        <w:spacing w:after="0"/>
        <w:tabs>
          <w:tab w:leader="none" w:pos="6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 (continued)</w:t>
      </w:r>
    </w:p>
    <w:p>
      <w:pPr>
        <w:spacing w:after="0" w:line="135"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and more recently its substantial investment in sales and marketing activities, through raising capital by issuing securities in the Company,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66"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As a result of the above, the directors are satisfied that there is sufficient working capital to support the committed research and development programs and other activities over the next 12 months and the Company has the ability to realize its assets and pay its liabilities and commitments in the normal course of business. Accordingly, the directors have prepared the financial report on a going concern basis.</w:t>
      </w:r>
    </w:p>
    <w:p>
      <w:pPr>
        <w:spacing w:after="0" w:line="310"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Half-year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Sale of goods</w:t>
            </w:r>
          </w:p>
        </w:tc>
        <w:tc>
          <w:tcPr>
            <w:tcW w:w="3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1,813,195</w:t>
            </w:r>
          </w:p>
        </w:tc>
        <w:tc>
          <w:tcPr>
            <w:tcW w:w="1060" w:type="dxa"/>
            <w:vAlign w:val="bottom"/>
            <w:gridSpan w:val="2"/>
          </w:tcPr>
          <w:p>
            <w:pPr>
              <w:ind w:left="82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1,813,195</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BARDA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A$5,009,137</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3,856,716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2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8"/>
                <w:szCs w:val="18"/>
                <w:b w:val="1"/>
                <w:bCs w:val="1"/>
                <w:color w:val="auto"/>
              </w:rPr>
              <w:t>$ 5,112,763</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3,894,311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 OR PROVIDED FOR ON ORDINARY SHARES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No amounts have been paid, declared or recommended by Avita Medical Limited by way of dividend since the commencement of the half-year, and up to the date of this report.</w:t>
      </w:r>
    </w:p>
    <w:p>
      <w:pPr>
        <w:spacing w:after="0" w:line="315" w:lineRule="exact"/>
        <w:rPr>
          <w:sz w:val="20"/>
          <w:szCs w:val="20"/>
          <w:color w:val="auto"/>
        </w:rPr>
      </w:pPr>
    </w:p>
    <w:p>
      <w:pPr>
        <w:ind w:left="640" w:hanging="436"/>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chief operating decision maker has been identified as the Chief Executive Officer.</w:t>
      </w:r>
    </w:p>
    <w:p>
      <w:pPr>
        <w:spacing w:after="0" w:line="225" w:lineRule="exact"/>
        <w:rPr>
          <w:sz w:val="20"/>
          <w:szCs w:val="20"/>
          <w:color w:val="auto"/>
        </w:rPr>
      </w:pPr>
    </w:p>
    <w:p>
      <w:pPr>
        <w:jc w:val="both"/>
        <w:ind w:left="200" w:right="200"/>
        <w:spacing w:after="0" w:line="312" w:lineRule="auto"/>
        <w:rPr>
          <w:sz w:val="20"/>
          <w:szCs w:val="20"/>
          <w:color w:val="auto"/>
        </w:rPr>
      </w:pPr>
      <w:r>
        <w:rPr>
          <w:rFonts w:ascii="Arial" w:cs="Arial" w:eastAsia="Arial" w:hAnsi="Arial"/>
          <w:sz w:val="16"/>
          <w:szCs w:val="16"/>
          <w:color w:val="auto"/>
        </w:rPr>
        <w:t>The Chief Executive Officer reviews the financial and operating performance of the business primarily from a geographic perspective. On this basis, management have identified three reportable segments being the Asia Pacific, Europe and Americas including Canada. The Chief Executive Officer monitors the performance of all these segments separately. The Company does not operate in any other geographic segment.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Chief Executive Officer assesses the performance of the operating segments based on a measure of gross margin and net profit before tax.</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Unallocated</w:t>
      </w:r>
    </w:p>
    <w:p>
      <w:pPr>
        <w:spacing w:after="0" w:line="22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following items of income and expense and associated assets are not allocated to operating segments as they are not considered part of the core operations of any segment:</w:t>
      </w:r>
    </w:p>
    <w:p>
      <w:pPr>
        <w:spacing w:after="0" w:line="76" w:lineRule="exact"/>
        <w:rPr>
          <w:sz w:val="20"/>
          <w:szCs w:val="20"/>
          <w:color w:val="auto"/>
        </w:rPr>
      </w:pPr>
    </w:p>
    <w:p>
      <w:pPr>
        <w:ind w:left="1060" w:hanging="316"/>
        <w:spacing w:after="0"/>
        <w:tabs>
          <w:tab w:leader="none" w:pos="10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Corporate revenue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Corporate charges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240" w:top="460" w:right="5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segment information provided to the Chief Executive Officer for the reportable segments for the half-year ended December 31, 2018 is as follows:</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i w:val="1"/>
                <w:iCs w:val="1"/>
                <w:color w:val="auto"/>
                <w:w w:val="98"/>
              </w:rPr>
              <w:t>Continuing Operations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Asia Pacific</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Europe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i w:val="1"/>
                <w:iCs w:val="1"/>
                <w:color w:val="auto"/>
                <w:w w:val="91"/>
              </w:rPr>
              <w:t>Americas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620" w:type="dxa"/>
            <w:vAlign w:val="bottom"/>
            <w:gridSpan w:val="3"/>
            <w:shd w:val="clear" w:color="auto" w:fill="CCEEFF"/>
          </w:tcPr>
          <w:p>
            <w:pPr>
              <w:ind w:left="4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$ 457,571</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253,633</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1,101,991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8"/>
              </w:rPr>
              <w:t>Total revenue per statement of profit of loss and other</w:t>
            </w:r>
          </w:p>
        </w:tc>
        <w:tc>
          <w:tcPr>
            <w:tcW w:w="4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457,571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253,633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1,101,991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1,813,195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5,102,941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Segment net loss before tax</w:t>
            </w:r>
          </w:p>
        </w:tc>
        <w:tc>
          <w:tcPr>
            <w:tcW w:w="1620" w:type="dxa"/>
            <w:vAlign w:val="bottom"/>
            <w:gridSpan w:val="3"/>
          </w:tcPr>
          <w:p>
            <w:pPr>
              <w:ind w:left="4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(626,901)</w:t>
            </w:r>
          </w:p>
        </w:tc>
        <w:tc>
          <w:tcPr>
            <w:tcW w:w="580" w:type="dxa"/>
            <w:vAlign w:val="bottom"/>
            <w:gridSpan w:val="2"/>
          </w:tcPr>
          <w:p>
            <w:pPr>
              <w:ind w:left="340"/>
              <w:spacing w:after="0"/>
              <w:rPr>
                <w:sz w:val="20"/>
                <w:szCs w:val="20"/>
                <w:color w:val="auto"/>
              </w:rPr>
            </w:pPr>
            <w:r>
              <w:rPr>
                <w:rFonts w:ascii="Arial" w:cs="Arial" w:eastAsia="Arial" w:hAnsi="Arial"/>
                <w:sz w:val="18"/>
                <w:szCs w:val="18"/>
                <w:u w:val="single" w:color="auto"/>
                <w:color w:val="auto"/>
                <w:w w:val="99"/>
              </w:rPr>
              <w:t>A$</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(593,225)</w:t>
            </w:r>
          </w:p>
        </w:tc>
        <w:tc>
          <w:tcPr>
            <w:tcW w:w="440" w:type="dxa"/>
            <w:vAlign w:val="bottom"/>
          </w:tcPr>
          <w:p>
            <w:pPr>
              <w:spacing w:after="0"/>
              <w:rPr>
                <w:sz w:val="19"/>
                <w:szCs w:val="19"/>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90"/>
              </w:rPr>
              <w:t>A$</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(11,948,943)</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99"/>
              </w:rPr>
              <w:t>A$</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(13,169,069)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Reconciliation of segment net result before tax to loss</w:t>
            </w:r>
          </w:p>
        </w:tc>
        <w:tc>
          <w:tcPr>
            <w:tcW w:w="4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before income tax</w:t>
            </w: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charges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(2,410,322)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(15,579,391)</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620" w:type="dxa"/>
            <w:vAlign w:val="bottom"/>
            <w:gridSpan w:val="3"/>
            <w:shd w:val="clear" w:color="auto" w:fill="CCEEFF"/>
          </w:tcPr>
          <w:p>
            <w:pPr>
              <w:ind w:left="4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$ 568,571</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401,546</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31,802,314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32,772,431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Unallocated assets</w:t>
            </w:r>
          </w:p>
        </w:tc>
        <w:tc>
          <w:tcPr>
            <w:tcW w:w="4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36,347,382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Segment liabilities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620" w:type="dxa"/>
            <w:vAlign w:val="bottom"/>
            <w:gridSpan w:val="3"/>
            <w:shd w:val="clear" w:color="auto" w:fill="CCEEFF"/>
          </w:tcPr>
          <w:p>
            <w:pPr>
              <w:ind w:left="4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$ 169,516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99"/>
              </w:rPr>
              <w:t>A</w:t>
            </w: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151,248</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4,591,266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Unallocated liabilities</w:t>
            </w:r>
          </w:p>
        </w:tc>
        <w:tc>
          <w:tcPr>
            <w:tcW w:w="4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Total liabilities per the statement of financial position</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u w:val="single" w:color="auto"/>
                <w:color w:val="auto"/>
                <w:w w:val="95"/>
              </w:rPr>
              <w:t>A</w:t>
            </w:r>
            <w:r>
              <w:rPr>
                <w:rFonts w:ascii="Arial" w:cs="Arial" w:eastAsia="Arial" w:hAnsi="Arial"/>
                <w:sz w:val="18"/>
                <w:szCs w:val="18"/>
                <w:b w:val="1"/>
                <w:bCs w:val="1"/>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5,100,098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F-61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4.</w:t>
            </w:r>
          </w:p>
        </w:tc>
        <w:tc>
          <w:tcPr>
            <w:tcW w:w="4780" w:type="dxa"/>
            <w:vAlign w:val="bottom"/>
          </w:tcPr>
          <w:p>
            <w:pPr>
              <w:ind w:left="280"/>
              <w:spacing w:after="0"/>
              <w:rPr>
                <w:sz w:val="20"/>
                <w:szCs w:val="20"/>
                <w:color w:val="auto"/>
              </w:rPr>
            </w:pPr>
            <w:r>
              <w:rPr>
                <w:rFonts w:ascii="Arial" w:cs="Arial" w:eastAsia="Arial" w:hAnsi="Arial"/>
                <w:sz w:val="18"/>
                <w:szCs w:val="18"/>
                <w:b w:val="1"/>
                <w:bCs w:val="1"/>
                <w:color w:val="auto"/>
              </w:rPr>
              <w:t>OPERATING SEGMENTS (CONTINUED)</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4"/>
          </w:tcPr>
          <w:p>
            <w:pPr>
              <w:ind w:left="200"/>
              <w:spacing w:after="0"/>
              <w:rPr>
                <w:sz w:val="20"/>
                <w:szCs w:val="20"/>
                <w:color w:val="auto"/>
              </w:rPr>
            </w:pPr>
            <w:r>
              <w:rPr>
                <w:rFonts w:ascii="Arial" w:cs="Arial" w:eastAsia="Arial" w:hAnsi="Arial"/>
                <w:sz w:val="14"/>
                <w:szCs w:val="14"/>
                <w:b w:val="1"/>
                <w:bCs w:val="1"/>
                <w:i w:val="1"/>
                <w:iCs w:val="1"/>
                <w:color w:val="auto"/>
              </w:rPr>
              <w:t>Continuing Operations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i w:val="1"/>
                <w:iCs w:val="1"/>
                <w:color w:val="auto"/>
              </w:rPr>
              <w:t>Asia Pacific</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i w:val="1"/>
                <w:iCs w:val="1"/>
                <w:color w:val="auto"/>
                <w:w w:val="99"/>
              </w:rPr>
              <w:t>Europe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i w:val="1"/>
                <w:iCs w:val="1"/>
                <w:color w:val="auto"/>
                <w:w w:val="85"/>
              </w:rPr>
              <w:t>Americas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Half-year ended December 31, 2017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$ 344,367</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263,394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Total revenue per statement of comprehensive income</w:t>
            </w:r>
          </w:p>
        </w:tc>
        <w:tc>
          <w:tcPr>
            <w:tcW w:w="3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344,367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263,394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BARDA income and other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3,856,936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3,894,311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Segment net loss before tax</w:t>
            </w:r>
          </w:p>
        </w:tc>
        <w:tc>
          <w:tcPr>
            <w:tcW w:w="1460" w:type="dxa"/>
            <w:vAlign w:val="bottom"/>
            <w:gridSpan w:val="3"/>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(688,840)</w:t>
            </w:r>
          </w:p>
        </w:tc>
        <w:tc>
          <w:tcPr>
            <w:tcW w:w="540" w:type="dxa"/>
            <w:vAlign w:val="bottom"/>
            <w:gridSpan w:val="2"/>
          </w:tcPr>
          <w:p>
            <w:pPr>
              <w:ind w:left="320"/>
              <w:spacing w:after="0"/>
              <w:rPr>
                <w:sz w:val="20"/>
                <w:szCs w:val="20"/>
                <w:color w:val="auto"/>
              </w:rPr>
            </w:pPr>
            <w:r>
              <w:rPr>
                <w:rFonts w:ascii="Arial" w:cs="Arial" w:eastAsia="Arial" w:hAnsi="Arial"/>
                <w:sz w:val="18"/>
                <w:szCs w:val="18"/>
                <w:u w:val="single" w:color="auto"/>
                <w:color w:val="auto"/>
                <w:w w:val="90"/>
              </w:rPr>
              <w:t>A$</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(1,325,927)</w:t>
            </w:r>
          </w:p>
        </w:tc>
        <w:tc>
          <w:tcPr>
            <w:tcW w:w="38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90"/>
              </w:rPr>
              <w:t>A$</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(3,098,175)</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90"/>
              </w:rPr>
              <w:t>A$</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(5,112,942)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of segment net result before tax to loss before</w:t>
            </w:r>
          </w:p>
        </w:tc>
        <w:tc>
          <w:tcPr>
            <w:tcW w:w="3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Corporate charges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(2,137,655)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(7,250,597)</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assets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assets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$ 327,350</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4,077,021</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5,096,759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assets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11,419,478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16,516,237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Segment liabilities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liabilities</w:t>
            </w:r>
          </w:p>
        </w:tc>
        <w:tc>
          <w:tcPr>
            <w:tcW w:w="146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$ 119,882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192,630</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0"/>
              </w:rPr>
              <w:t>A</w:t>
            </w:r>
            <w:r>
              <w:rPr>
                <w:rFonts w:ascii="Arial" w:cs="Arial" w:eastAsia="Arial" w:hAnsi="Arial"/>
                <w:sz w:val="18"/>
                <w:szCs w:val="18"/>
                <w:color w:val="auto"/>
                <w:w w:val="90"/>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1,526,727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0"/>
              </w:rPr>
              <w:t>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1,839,239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Unallocated liabilities</w:t>
            </w: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per the statement of financial position</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u w:val="single" w:color="auto"/>
                <w:color w:val="auto"/>
                <w:w w:val="86"/>
              </w:rPr>
              <w:t>A</w:t>
            </w:r>
            <w:r>
              <w:rPr>
                <w:rFonts w:ascii="Arial" w:cs="Arial" w:eastAsia="Arial" w:hAnsi="Arial"/>
                <w:sz w:val="18"/>
                <w:szCs w:val="18"/>
                <w:b w:val="1"/>
                <w:bCs w:val="1"/>
                <w:color w:val="auto"/>
                <w:w w:val="8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1,992,932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significant changes to the commitments and contingencies disclosed in the most recent annual financial report.</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44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CONTRIBUTED EQUITY</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 31, 2018</w:t>
            </w:r>
          </w:p>
        </w:tc>
        <w:tc>
          <w:tcPr>
            <w:tcW w:w="640" w:type="dxa"/>
            <w:vAlign w:val="bottom"/>
          </w:tcPr>
          <w:p>
            <w:pPr>
              <w:spacing w:after="0"/>
              <w:rPr>
                <w:sz w:val="23"/>
                <w:szCs w:val="23"/>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As of Jun 30, 2018</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Ordinary shares</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Issued and fully paid</w:t>
            </w:r>
          </w:p>
        </w:tc>
        <w:tc>
          <w:tcPr>
            <w:tcW w:w="30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188,210,306</w:t>
            </w:r>
          </w:p>
        </w:tc>
        <w:tc>
          <w:tcPr>
            <w:tcW w:w="64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162,801,028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Movement in ordinary shares on issue:</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At July 1, 2018</w:t>
            </w: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1,277,378,325</w:t>
            </w:r>
          </w:p>
        </w:tc>
        <w:tc>
          <w:tcPr>
            <w:tcW w:w="1920" w:type="dxa"/>
            <w:vAlign w:val="bottom"/>
            <w:gridSpan w:val="5"/>
          </w:tcPr>
          <w:p>
            <w:pPr>
              <w:jc w:val="center"/>
              <w:ind w:left="430"/>
              <w:spacing w:after="0"/>
              <w:rPr>
                <w:sz w:val="20"/>
                <w:szCs w:val="20"/>
                <w:color w:val="auto"/>
              </w:rPr>
            </w:pPr>
            <w:r>
              <w:rPr>
                <w:rFonts w:ascii="Arial" w:cs="Arial" w:eastAsia="Arial" w:hAnsi="Arial"/>
                <w:sz w:val="18"/>
                <w:szCs w:val="18"/>
                <w:color w:val="auto"/>
                <w:w w:val="91"/>
              </w:rPr>
              <w:t>A$ 162,801,028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Issue of shares</w:t>
            </w:r>
          </w:p>
        </w:tc>
        <w:tc>
          <w:tcPr>
            <w:tcW w:w="3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375,047,015</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28,098,701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Capital raising costs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(2,689,423)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19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1,652,425,340</w:t>
            </w:r>
          </w:p>
        </w:tc>
        <w:tc>
          <w:tcPr>
            <w:tcW w:w="1920" w:type="dxa"/>
            <w:vAlign w:val="bottom"/>
            <w:gridSpan w:val="5"/>
            <w:shd w:val="clear" w:color="auto" w:fill="CCEEFF"/>
          </w:tcPr>
          <w:p>
            <w:pPr>
              <w:jc w:val="center"/>
              <w:ind w:left="430"/>
              <w:spacing w:after="0"/>
              <w:rPr>
                <w:sz w:val="20"/>
                <w:szCs w:val="20"/>
                <w:color w:val="auto"/>
              </w:rPr>
            </w:pPr>
            <w:r>
              <w:rPr>
                <w:rFonts w:ascii="Arial" w:cs="Arial" w:eastAsia="Arial" w:hAnsi="Arial"/>
                <w:sz w:val="18"/>
                <w:szCs w:val="18"/>
                <w:b w:val="1"/>
                <w:bCs w:val="1"/>
                <w:u w:val="single" w:color="auto"/>
                <w:color w:val="auto"/>
                <w:w w:val="90"/>
              </w:rPr>
              <w:t>A</w:t>
            </w:r>
            <w:r>
              <w:rPr>
                <w:rFonts w:ascii="Arial" w:cs="Arial" w:eastAsia="Arial" w:hAnsi="Arial"/>
                <w:sz w:val="18"/>
                <w:szCs w:val="18"/>
                <w:b w:val="1"/>
                <w:bCs w:val="1"/>
                <w:color w:val="auto"/>
                <w:w w:val="90"/>
              </w:rPr>
              <w:t>$ 188,210,306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40" w:type="dxa"/>
            <w:vAlign w:val="bottom"/>
            <w:gridSpan w:val="4"/>
          </w:tcPr>
          <w:p>
            <w:pPr>
              <w:jc w:val="right"/>
              <w:ind w:right="2100"/>
              <w:spacing w:after="0"/>
              <w:rPr>
                <w:sz w:val="20"/>
                <w:szCs w:val="20"/>
                <w:color w:val="auto"/>
              </w:rPr>
            </w:pPr>
            <w:r>
              <w:rPr>
                <w:rFonts w:ascii="Arial" w:cs="Arial" w:eastAsia="Arial" w:hAnsi="Arial"/>
                <w:sz w:val="18"/>
                <w:szCs w:val="18"/>
                <w:color w:val="auto"/>
              </w:rPr>
              <w:t>F-62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Recognized share-based payment expenses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 recognized for employee services received during the half-year is shown in the table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4"/>
          </w:tcPr>
          <w:p>
            <w:pPr>
              <w:ind w:left="260"/>
              <w:spacing w:after="0"/>
              <w:rPr>
                <w:sz w:val="20"/>
                <w:szCs w:val="20"/>
                <w:color w:val="auto"/>
              </w:rPr>
            </w:pPr>
            <w:r>
              <w:rPr>
                <w:rFonts w:ascii="Arial" w:cs="Arial" w:eastAsia="Arial" w:hAnsi="Arial"/>
                <w:sz w:val="14"/>
                <w:szCs w:val="14"/>
                <w:b w:val="1"/>
                <w:bCs w:val="1"/>
                <w:color w:val="auto"/>
              </w:rPr>
              <w:t>Half-year ended December 31,</w:t>
            </w: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5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arising from equity-settled share-based payment transactions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A$</w:t>
            </w:r>
            <w:r>
              <w:rPr>
                <w:rFonts w:ascii="Arial" w:cs="Arial" w:eastAsia="Arial" w:hAnsi="Arial"/>
                <w:sz w:val="18"/>
                <w:szCs w:val="18"/>
                <w:color w:val="auto"/>
                <w:w w:val="92"/>
              </w:rPr>
              <w:t>1,043,694</w:t>
            </w:r>
          </w:p>
        </w:tc>
        <w:tc>
          <w:tcPr>
            <w:tcW w:w="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A$</w:t>
            </w:r>
            <w:r>
              <w:rPr>
                <w:rFonts w:ascii="Arial" w:cs="Arial" w:eastAsia="Arial" w:hAnsi="Arial"/>
                <w:sz w:val="18"/>
                <w:szCs w:val="18"/>
                <w:color w:val="auto"/>
                <w:w w:val="94"/>
              </w:rPr>
              <w:t>726,855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expense arising from share-based payment transactions</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A$</w:t>
            </w:r>
            <w:r>
              <w:rPr>
                <w:rFonts w:ascii="Arial" w:cs="Arial" w:eastAsia="Arial" w:hAnsi="Arial"/>
                <w:sz w:val="18"/>
                <w:szCs w:val="18"/>
                <w:b w:val="1"/>
                <w:bCs w:val="1"/>
                <w:color w:val="auto"/>
                <w:w w:val="91"/>
              </w:rPr>
              <w:t>1,043,694</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3"/>
              </w:rPr>
              <w:t>A$</w:t>
            </w:r>
            <w:r>
              <w:rPr>
                <w:rFonts w:ascii="Arial" w:cs="Arial" w:eastAsia="Arial" w:hAnsi="Arial"/>
                <w:sz w:val="18"/>
                <w:szCs w:val="18"/>
                <w:b w:val="1"/>
                <w:bCs w:val="1"/>
                <w:color w:val="auto"/>
                <w:w w:val="93"/>
              </w:rPr>
              <w:t>726,855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right="7360" w:firstLine="4"/>
        <w:spacing w:after="0" w:line="378" w:lineRule="auto"/>
        <w:tabs>
          <w:tab w:leader="none" w:pos="63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Equity-settled transactions</w:t>
      </w:r>
    </w:p>
    <w:p>
      <w:pPr>
        <w:ind w:left="200" w:right="240"/>
        <w:spacing w:after="0" w:line="277" w:lineRule="auto"/>
        <w:rPr>
          <w:sz w:val="20"/>
          <w:szCs w:val="20"/>
          <w:color w:val="auto"/>
        </w:rPr>
      </w:pPr>
      <w:r>
        <w:rPr>
          <w:rFonts w:ascii="Arial" w:cs="Arial" w:eastAsia="Arial" w:hAnsi="Arial"/>
          <w:sz w:val="18"/>
          <w:szCs w:val="18"/>
          <w:color w:val="auto"/>
        </w:rPr>
        <w:t>The fair value of the equity-settled share options granted under the ESOP is estimated at the date of grant using a Binomial Model taking into account the terms and conditions upon which the options were granted.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options issued in the period have vesting criteria based on the following performance conditions:</w:t>
      </w:r>
    </w:p>
    <w:p>
      <w:pPr>
        <w:spacing w:after="0" w:line="131" w:lineRule="exact"/>
        <w:rPr>
          <w:sz w:val="20"/>
          <w:szCs w:val="20"/>
          <w:color w:val="auto"/>
        </w:rPr>
      </w:pPr>
    </w:p>
    <w:p>
      <w:pPr>
        <w:ind w:left="1060" w:hanging="316"/>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Tenure with the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Revenue target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FDA PMA approval of RECELL for burns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Initial BARDA procurement under CLIN2 of the BARDA Contract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US Quotation</w:t>
      </w:r>
    </w:p>
    <w:p>
      <w:pPr>
        <w:spacing w:after="0" w:line="225" w:lineRule="exact"/>
        <w:rPr>
          <w:rFonts w:ascii="Arial" w:cs="Arial" w:eastAsia="Arial" w:hAnsi="Arial"/>
          <w:sz w:val="18"/>
          <w:szCs w:val="18"/>
          <w:color w:val="auto"/>
        </w:rPr>
      </w:pPr>
    </w:p>
    <w:p>
      <w:pPr>
        <w:ind w:left="200" w:right="1380" w:firstLine="4"/>
        <w:spacing w:after="0" w:line="525" w:lineRule="auto"/>
        <w:tabs>
          <w:tab w:leader="none" w:pos="3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On November 1, 2018, 2,000,000 options were granted to employee at an exercise price of A$0.056 expiring on November 1, 2028. The following table lists the inputs to the models used for the options granted to employee each year:</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0.056</w:t>
            </w:r>
          </w:p>
        </w:tc>
        <w:tc>
          <w:tcPr>
            <w:tcW w:w="0" w:type="dxa"/>
            <w:vAlign w:val="bottom"/>
          </w:tcPr>
          <w:p>
            <w:pPr>
              <w:spacing w:after="0"/>
              <w:rPr>
                <w:sz w:val="1"/>
                <w:szCs w:val="1"/>
                <w:color w:val="auto"/>
              </w:rPr>
            </w:pPr>
          </w:p>
        </w:tc>
      </w:tr>
      <w:tr>
        <w:trPr>
          <w:trHeight w:val="324"/>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2, 12-15,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A$0.0607</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A$0.0673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14</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15</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A$0.0748</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5640" w:type="dxa"/>
            <w:vAlign w:val="bottom"/>
          </w:tcPr>
          <w:p>
            <w:pPr>
              <w:ind w:left="3560"/>
              <w:spacing w:after="0"/>
              <w:rPr>
                <w:sz w:val="20"/>
                <w:szCs w:val="20"/>
                <w:color w:val="auto"/>
              </w:rPr>
            </w:pPr>
            <w:r>
              <w:rPr>
                <w:rFonts w:ascii="Arial" w:cs="Arial" w:eastAsia="Arial" w:hAnsi="Arial"/>
                <w:sz w:val="18"/>
                <w:szCs w:val="18"/>
                <w:color w:val="auto"/>
              </w:rPr>
              <w:t>F-63</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0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right="260" w:firstLine="4"/>
        <w:spacing w:after="0" w:line="525" w:lineRule="auto"/>
        <w:tabs>
          <w:tab w:leader="none" w:pos="40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On November 1, 2018, 12,700,000 options were granted to employees at an exercise price of A$0.057 expiring on November 1, 2028. The following table lists the inputs to the models used for the options granted to employees:</w:t>
      </w:r>
    </w:p>
    <w:tbl>
      <w:tblPr>
        <w:tblLayout w:type="fixed"/>
        <w:tblInd w:w="198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2320" w:type="dxa"/>
            <w:vAlign w:val="bottom"/>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volatility (%)</w:t>
            </w:r>
          </w:p>
        </w:tc>
        <w:tc>
          <w:tcPr>
            <w:tcW w:w="2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23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232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0.057</w:t>
            </w:r>
          </w:p>
        </w:tc>
      </w:tr>
    </w:tbl>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260" w:type="dxa"/>
            <w:vAlign w:val="bottom"/>
            <w:gridSpan w:val="4"/>
          </w:tcPr>
          <w:p>
            <w:pPr>
              <w:spacing w:after="0"/>
              <w:rPr>
                <w:sz w:val="20"/>
                <w:szCs w:val="20"/>
                <w:color w:val="auto"/>
              </w:rPr>
            </w:pPr>
            <w:r>
              <w:rPr>
                <w:rFonts w:ascii="Arial" w:cs="Arial" w:eastAsia="Arial" w:hAnsi="Arial"/>
                <w:sz w:val="18"/>
                <w:szCs w:val="18"/>
                <w:color w:val="auto"/>
              </w:rPr>
              <w:t>This represents tranches 1, 4-11, 16-19, the fair value at date of grant for each tranche is as follows: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4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A$0.0834</w:t>
            </w:r>
          </w:p>
        </w:tc>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10</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Tranche 4</w:t>
            </w:r>
          </w:p>
        </w:tc>
        <w:tc>
          <w:tcPr>
            <w:tcW w:w="2480" w:type="dxa"/>
            <w:vAlign w:val="bottom"/>
          </w:tcPr>
          <w:p>
            <w:pPr>
              <w:ind w:left="1500"/>
              <w:spacing w:after="0"/>
              <w:rPr>
                <w:sz w:val="20"/>
                <w:szCs w:val="20"/>
                <w:color w:val="auto"/>
              </w:rPr>
            </w:pPr>
            <w:r>
              <w:rPr>
                <w:rFonts w:ascii="Arial" w:cs="Arial" w:eastAsia="Arial" w:hAnsi="Arial"/>
                <w:sz w:val="18"/>
                <w:szCs w:val="18"/>
                <w:color w:val="auto"/>
              </w:rPr>
              <w:t>A$0.0593</w:t>
            </w:r>
          </w:p>
        </w:tc>
        <w:tc>
          <w:tcPr>
            <w:tcW w:w="2660" w:type="dxa"/>
            <w:vAlign w:val="bottom"/>
          </w:tcPr>
          <w:p>
            <w:pPr>
              <w:ind w:left="240"/>
              <w:spacing w:after="0"/>
              <w:rPr>
                <w:sz w:val="20"/>
                <w:szCs w:val="20"/>
                <w:color w:val="auto"/>
              </w:rPr>
            </w:pPr>
            <w:r>
              <w:rPr>
                <w:rFonts w:ascii="Arial" w:cs="Arial" w:eastAsia="Arial" w:hAnsi="Arial"/>
                <w:sz w:val="18"/>
                <w:szCs w:val="18"/>
                <w:color w:val="auto"/>
              </w:rPr>
              <w:t>Tranche 11</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4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A$0.0662</w:t>
            </w:r>
          </w:p>
        </w:tc>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16</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Tranche 6</w:t>
            </w:r>
          </w:p>
        </w:tc>
        <w:tc>
          <w:tcPr>
            <w:tcW w:w="2480" w:type="dxa"/>
            <w:vAlign w:val="bottom"/>
          </w:tcPr>
          <w:p>
            <w:pPr>
              <w:ind w:left="1500"/>
              <w:spacing w:after="0"/>
              <w:rPr>
                <w:sz w:val="20"/>
                <w:szCs w:val="20"/>
                <w:color w:val="auto"/>
              </w:rPr>
            </w:pPr>
            <w:r>
              <w:rPr>
                <w:rFonts w:ascii="Arial" w:cs="Arial" w:eastAsia="Arial" w:hAnsi="Arial"/>
                <w:sz w:val="18"/>
                <w:szCs w:val="18"/>
                <w:color w:val="auto"/>
              </w:rPr>
              <w:t>A$0.0709</w:t>
            </w:r>
          </w:p>
        </w:tc>
        <w:tc>
          <w:tcPr>
            <w:tcW w:w="2660" w:type="dxa"/>
            <w:vAlign w:val="bottom"/>
          </w:tcPr>
          <w:p>
            <w:pPr>
              <w:ind w:left="240"/>
              <w:spacing w:after="0"/>
              <w:rPr>
                <w:sz w:val="20"/>
                <w:szCs w:val="20"/>
                <w:color w:val="auto"/>
              </w:rPr>
            </w:pPr>
            <w:r>
              <w:rPr>
                <w:rFonts w:ascii="Arial" w:cs="Arial" w:eastAsia="Arial" w:hAnsi="Arial"/>
                <w:sz w:val="18"/>
                <w:szCs w:val="18"/>
                <w:color w:val="auto"/>
              </w:rPr>
              <w:t>Tranche 17</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A$0.0671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Tranche 7</w:t>
            </w:r>
          </w:p>
        </w:tc>
        <w:tc>
          <w:tcPr>
            <w:tcW w:w="24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A$0.0742</w:t>
            </w:r>
          </w:p>
        </w:tc>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Tranche 18</w:t>
            </w:r>
          </w:p>
        </w:tc>
        <w:tc>
          <w:tcPr>
            <w:tcW w:w="18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8"/>
              </w:rPr>
              <w:t>A$0.0714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Tranche 8</w:t>
            </w:r>
          </w:p>
        </w:tc>
        <w:tc>
          <w:tcPr>
            <w:tcW w:w="2480" w:type="dxa"/>
            <w:vAlign w:val="bottom"/>
          </w:tcPr>
          <w:p>
            <w:pPr>
              <w:ind w:left="1500"/>
              <w:spacing w:after="0"/>
              <w:rPr>
                <w:sz w:val="20"/>
                <w:szCs w:val="20"/>
                <w:color w:val="auto"/>
              </w:rPr>
            </w:pPr>
            <w:r>
              <w:rPr>
                <w:rFonts w:ascii="Arial" w:cs="Arial" w:eastAsia="Arial" w:hAnsi="Arial"/>
                <w:sz w:val="18"/>
                <w:szCs w:val="18"/>
                <w:color w:val="auto"/>
              </w:rPr>
              <w:t>A$0.0593</w:t>
            </w:r>
          </w:p>
        </w:tc>
        <w:tc>
          <w:tcPr>
            <w:tcW w:w="2660" w:type="dxa"/>
            <w:vAlign w:val="bottom"/>
          </w:tcPr>
          <w:p>
            <w:pPr>
              <w:ind w:left="240"/>
              <w:spacing w:after="0"/>
              <w:rPr>
                <w:sz w:val="20"/>
                <w:szCs w:val="20"/>
                <w:color w:val="auto"/>
              </w:rPr>
            </w:pPr>
            <w:r>
              <w:rPr>
                <w:rFonts w:ascii="Arial" w:cs="Arial" w:eastAsia="Arial" w:hAnsi="Arial"/>
                <w:sz w:val="18"/>
                <w:szCs w:val="18"/>
                <w:color w:val="auto"/>
              </w:rPr>
              <w:t>Tranche 19</w:t>
            </w:r>
          </w:p>
        </w:tc>
        <w:tc>
          <w:tcPr>
            <w:tcW w:w="1880" w:type="dxa"/>
            <w:vAlign w:val="bottom"/>
          </w:tcPr>
          <w:p>
            <w:pPr>
              <w:ind w:left="1100"/>
              <w:spacing w:after="0"/>
              <w:rPr>
                <w:sz w:val="20"/>
                <w:szCs w:val="20"/>
                <w:color w:val="auto"/>
              </w:rPr>
            </w:pPr>
            <w:r>
              <w:rPr>
                <w:rFonts w:ascii="Arial" w:cs="Arial" w:eastAsia="Arial" w:hAnsi="Arial"/>
                <w:sz w:val="18"/>
                <w:szCs w:val="18"/>
                <w:color w:val="auto"/>
                <w:w w:val="98"/>
              </w:rPr>
              <w:t>A$0.0747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Tranche 9</w:t>
            </w:r>
          </w:p>
        </w:tc>
        <w:tc>
          <w:tcPr>
            <w:tcW w:w="24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A$0.0662</w:t>
            </w:r>
          </w:p>
        </w:tc>
        <w:tc>
          <w:tcPr>
            <w:tcW w:w="26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00" w:firstLine="4"/>
        <w:spacing w:after="0" w:line="525" w:lineRule="auto"/>
        <w:tabs>
          <w:tab w:leader="none" w:pos="4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On November 1, 2018, 3,000,000 options were granted to employees at an exercise price of A$0.059 expiring on November 1, 2028. The following table lists the inputs to the models used for the options granted to employees:</w:t>
      </w: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9"/>
              </w:rPr>
              <w:t>11/1/2018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00" w:type="dxa"/>
            <w:vAlign w:val="bottom"/>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0.093</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volatility (%)</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9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(A$)</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A$</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0.059</w:t>
            </w: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w w:val="98"/>
              </w:rPr>
              <w:t>This represents tranches 3, 20-23, the fair value at date of grant for each tranche is as follows:</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A$0.0831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20</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A$0.0604</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21</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A$0.0669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Tranche 22</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A$0.0712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Tranche 23</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A$0.0744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20" w:hanging="5336"/>
        <w:spacing w:after="0" w:line="449" w:lineRule="auto"/>
        <w:tabs>
          <w:tab w:leader="none" w:pos="44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November 1, 2018, 17,200,000 options were granted to employees at an exercise price of A$0.089 expiring on November 1, 2028. F-64</w:t>
      </w:r>
    </w:p>
    <w:p>
      <w:pPr>
        <w:sectPr>
          <w:pgSz w:w="11900" w:h="16838" w:orient="portrait"/>
          <w:cols w:equalWidth="0" w:num="1">
            <w:col w:w="10340"/>
          </w:cols>
          <w:pgMar w:left="240" w:top="459" w:right="1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lists the inputs to the models used for the options granted to employees.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Tranche 1</w:t>
            </w:r>
          </w:p>
        </w:tc>
        <w:tc>
          <w:tcPr>
            <w:tcW w:w="38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Tranche 2</w:t>
            </w:r>
          </w:p>
        </w:tc>
        <w:tc>
          <w:tcPr>
            <w:tcW w:w="380" w:type="dxa"/>
            <w:vAlign w:val="bottom"/>
          </w:tcPr>
          <w:p>
            <w:pPr>
              <w:spacing w:after="0"/>
              <w:rPr>
                <w:sz w:val="14"/>
                <w:szCs w:val="14"/>
                <w:color w:val="auto"/>
              </w:rPr>
            </w:pPr>
          </w:p>
        </w:tc>
        <w:tc>
          <w:tcPr>
            <w:tcW w:w="1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Tranche 3</w:t>
            </w:r>
          </w:p>
        </w:tc>
        <w:tc>
          <w:tcPr>
            <w:tcW w:w="38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2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2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52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0.093</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Expected volatility (%)</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0.0587</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0.0641</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0683</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2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2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52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0.089</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200" w:right="900" w:firstLine="4"/>
        <w:spacing w:after="0" w:line="511" w:lineRule="auto"/>
        <w:tabs>
          <w:tab w:leader="none" w:pos="3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On November 30, 2018, 24,851,250 options were granted to employees at an exercise price of A$0.082 expiring on November 30, 2028. The following table lists the inputs to the models used for the options granted to employees.</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1</w:t>
            </w:r>
          </w:p>
        </w:tc>
        <w:tc>
          <w:tcPr>
            <w:tcW w:w="360" w:type="dxa"/>
            <w:vAlign w:val="bottom"/>
          </w:tcPr>
          <w:p>
            <w:pPr>
              <w:spacing w:after="0"/>
              <w:rPr>
                <w:sz w:val="14"/>
                <w:szCs w:val="1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Tranche 2</w:t>
            </w:r>
          </w:p>
        </w:tc>
        <w:tc>
          <w:tcPr>
            <w:tcW w:w="360" w:type="dxa"/>
            <w:vAlign w:val="bottom"/>
          </w:tcPr>
          <w:p>
            <w:pPr>
              <w:spacing w:after="0"/>
              <w:rPr>
                <w:sz w:val="14"/>
                <w:szCs w:val="1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Tranche 3</w:t>
            </w:r>
          </w:p>
        </w:tc>
        <w:tc>
          <w:tcPr>
            <w:tcW w:w="36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Tranche 4</w:t>
            </w: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11/1/2018</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11/1/2018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Expected volatility (%)</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0.0514</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0.0561</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0.0599</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0.0628</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500" w:type="dxa"/>
            <w:vAlign w:val="bottom"/>
          </w:tcPr>
          <w:p>
            <w:pPr>
              <w:spacing w:after="0"/>
              <w:rPr>
                <w:sz w:val="20"/>
                <w:szCs w:val="20"/>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w w:val="99"/>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480" w:type="dxa"/>
            <w:vAlign w:val="bottom"/>
          </w:tcPr>
          <w:p>
            <w:pPr>
              <w:spacing w:after="0"/>
              <w:rPr>
                <w:sz w:val="20"/>
                <w:szCs w:val="20"/>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0"/>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0.082</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200" w:right="360" w:firstLine="4"/>
        <w:spacing w:after="0" w:line="277" w:lineRule="auto"/>
        <w:tabs>
          <w:tab w:leader="none" w:pos="4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On November 30, 2018, 15,000,000 options were granted to Dr. Michael Perry at an exercise price of A$0.082 expiring on November 20, 2028 based on the following milestones: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Tenure – a total of 7,499,999 options issued for immediate vesting and over the two-year period commencing July 1, 2017;</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Company Share Price – a total of 5,000,001 options issued but to vest in three equal tranches subject to the Volume Weighted Average Price (VWAP) of Company share price (as at close of trade on the ASX on relevant date) achieving multiples of 2x, 3x and 4x the Company’s share price at the time of shareholder approval; and</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240" w:top="460"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AVITA MEDICAL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HALF-YEAR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AUSTRALIAN DOLLARS)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40" w:hanging="436"/>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 (CONTINUED)</w:t>
      </w:r>
    </w:p>
    <w:p>
      <w:pPr>
        <w:spacing w:after="0" w:line="131"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pricing model: ESOP and Investor (continued)</w:t>
      </w:r>
    </w:p>
    <w:p>
      <w:pPr>
        <w:spacing w:after="0" w:line="134" w:lineRule="exact"/>
        <w:rPr>
          <w:rFonts w:ascii="Arial" w:cs="Arial" w:eastAsia="Arial" w:hAnsi="Arial"/>
          <w:sz w:val="18"/>
          <w:szCs w:val="18"/>
          <w:b w:val="1"/>
          <w:bCs w:val="1"/>
          <w:color w:val="auto"/>
        </w:rPr>
      </w:pPr>
    </w:p>
    <w:p>
      <w:pPr>
        <w:ind w:left="1060" w:right="80" w:hanging="424"/>
        <w:spacing w:after="0" w:line="277" w:lineRule="auto"/>
        <w:tabs>
          <w:tab w:leader="none" w:pos="10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Milestone performance – a total of 2,500,000 options issued, but to vest upon the achievement of initial BARDA procurement under CLIN2 of the BARDA Contract.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Tranche 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Tranche 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Tranche 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Tranche 4</w:t>
            </w: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40" w:type="dxa"/>
            <w:vAlign w:val="bottom"/>
          </w:tcPr>
          <w:p>
            <w:pPr>
              <w:spacing w:after="0"/>
              <w:rPr>
                <w:sz w:val="18"/>
                <w:szCs w:val="18"/>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w w:val="81"/>
              </w:rPr>
              <w:t>A$</w:t>
            </w:r>
          </w:p>
        </w:tc>
        <w:tc>
          <w:tcPr>
            <w:tcW w:w="860" w:type="dxa"/>
            <w:vAlign w:val="bottom"/>
          </w:tcPr>
          <w:p>
            <w:pPr>
              <w:jc w:val="right"/>
              <w:spacing w:after="0"/>
              <w:rPr>
                <w:sz w:val="20"/>
                <w:szCs w:val="20"/>
                <w:color w:val="auto"/>
              </w:rPr>
            </w:pPr>
            <w:r>
              <w:rPr>
                <w:rFonts w:ascii="Arial" w:cs="Arial" w:eastAsia="Arial" w:hAnsi="Arial"/>
                <w:sz w:val="18"/>
                <w:szCs w:val="18"/>
                <w:color w:val="auto"/>
              </w:rPr>
              <w:t>0.082</w:t>
            </w:r>
          </w:p>
        </w:tc>
        <w:tc>
          <w:tcPr>
            <w:tcW w:w="5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6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Expected volatility (%)</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3,650</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0.049</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1"/>
              </w:rPr>
              <w:t>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0.052</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40" w:type="dxa"/>
            <w:vAlign w:val="bottom"/>
          </w:tcPr>
          <w:p>
            <w:pPr>
              <w:spacing w:after="0"/>
              <w:rPr>
                <w:sz w:val="20"/>
                <w:szCs w:val="20"/>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w w:val="81"/>
              </w:rPr>
              <w:t>A$</w:t>
            </w:r>
          </w:p>
        </w:tc>
        <w:tc>
          <w:tcPr>
            <w:tcW w:w="860" w:type="dxa"/>
            <w:vAlign w:val="bottom"/>
          </w:tcPr>
          <w:p>
            <w:pPr>
              <w:jc w:val="right"/>
              <w:spacing w:after="0"/>
              <w:rPr>
                <w:sz w:val="20"/>
                <w:szCs w:val="20"/>
                <w:color w:val="auto"/>
              </w:rPr>
            </w:pPr>
            <w:r>
              <w:rPr>
                <w:rFonts w:ascii="Arial" w:cs="Arial" w:eastAsia="Arial" w:hAnsi="Arial"/>
                <w:sz w:val="18"/>
                <w:szCs w:val="18"/>
                <w:color w:val="auto"/>
              </w:rPr>
              <w:t>0.082</w:t>
            </w:r>
          </w:p>
        </w:tc>
        <w:tc>
          <w:tcPr>
            <w:tcW w:w="54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560" w:type="dxa"/>
            <w:vAlign w:val="bottom"/>
          </w:tcPr>
          <w:p>
            <w:pPr>
              <w:spacing w:after="0"/>
              <w:rPr>
                <w:sz w:val="20"/>
                <w:szCs w:val="20"/>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220" w:type="dxa"/>
            <w:vAlign w:val="bottom"/>
          </w:tcPr>
          <w:p>
            <w:pPr>
              <w:spacing w:after="0"/>
              <w:rPr>
                <w:sz w:val="20"/>
                <w:szCs w:val="20"/>
                <w:color w:val="auto"/>
              </w:rPr>
            </w:pPr>
          </w:p>
        </w:tc>
      </w:tr>
    </w:tbl>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5</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Tranche 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w w:val="90"/>
              </w:rPr>
              <w:t>Tranche 7</w:t>
            </w:r>
          </w:p>
        </w:tc>
      </w:tr>
      <w:tr>
        <w:trPr>
          <w:trHeight w:val="210"/>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date</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11/30/2018</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11/30/2018</w:t>
            </w: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 price at date of grant</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18"/>
                <w:szCs w:val="18"/>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volatility (%)</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life of option (days)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1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date of grant</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Option exercise price (A$)</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620" w:type="dxa"/>
            <w:vAlign w:val="bottom"/>
          </w:tcPr>
          <w:p>
            <w:pPr>
              <w:spacing w:after="0"/>
              <w:rPr>
                <w:sz w:val="20"/>
                <w:szCs w:val="20"/>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w w:val="90"/>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0.082</w:t>
            </w:r>
          </w:p>
        </w:tc>
        <w:tc>
          <w:tcPr>
            <w:tcW w:w="1180" w:type="dxa"/>
            <w:vAlign w:val="bottom"/>
          </w:tcPr>
          <w:p>
            <w:pPr>
              <w:spacing w:after="0"/>
              <w:rPr>
                <w:sz w:val="20"/>
                <w:szCs w:val="20"/>
                <w:color w:val="auto"/>
              </w:rPr>
            </w:pPr>
          </w:p>
        </w:tc>
      </w:tr>
    </w:tbl>
    <w:p>
      <w:pPr>
        <w:spacing w:after="0" w:line="332" w:lineRule="exact"/>
        <w:rPr>
          <w:sz w:val="20"/>
          <w:szCs w:val="20"/>
          <w:color w:val="auto"/>
        </w:rPr>
      </w:pPr>
    </w:p>
    <w:p>
      <w:pPr>
        <w:ind w:left="640" w:hanging="436"/>
        <w:spacing w:after="0"/>
        <w:tabs>
          <w:tab w:leader="none" w:pos="6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The total amount of transactions entered into with Key Management Personnel for the half-year ended December 31, 2018 were A$51,802 Consultancy fees (2017: A$124,156) paid under normal terms and conditions to Bioscience Managers Pty Ltd of which Mr. Curnock Cook is an officer and Dr. Michael Perry is a director.</w:t>
      </w:r>
    </w:p>
    <w:p>
      <w:pPr>
        <w:spacing w:after="0" w:line="1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Details of all related party transactions have been disclosed in the annual report for the year ended 30 June 2018. There have been no new significant related party transactions during the interim period.</w:t>
      </w:r>
    </w:p>
    <w:p>
      <w:pPr>
        <w:spacing w:after="0" w:line="315" w:lineRule="exact"/>
        <w:rPr>
          <w:sz w:val="20"/>
          <w:szCs w:val="20"/>
          <w:color w:val="auto"/>
        </w:rPr>
      </w:pPr>
    </w:p>
    <w:p>
      <w:pPr>
        <w:ind w:left="640" w:hanging="436"/>
        <w:spacing w:after="0"/>
        <w:tabs>
          <w:tab w:leader="none" w:pos="6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00" w:right="140"/>
        <w:spacing w:after="0" w:line="273" w:lineRule="auto"/>
        <w:rPr>
          <w:sz w:val="20"/>
          <w:szCs w:val="20"/>
          <w:color w:val="auto"/>
        </w:rPr>
      </w:pPr>
      <w:r>
        <w:rPr>
          <w:rFonts w:ascii="Arial" w:cs="Arial" w:eastAsia="Arial" w:hAnsi="Arial"/>
          <w:sz w:val="17"/>
          <w:szCs w:val="17"/>
          <w:color w:val="auto"/>
        </w:rPr>
        <w:t>During the six months ended December 31, 2018, the Company completed an institutional placement of shares to institutional placements of shares to U.S., Australian and international institutional and sophisticated investors. The institutional placement included a second tranche contingent upon shareholder approval. Shareholder approval for Tranche 2 was received at an Extraordinary General Meeting held on January 14, 2019, and subsequent to December 31, 2018 the Company issued 189,952,985 shares at a price of A$0.080 per share and received gross proceeds of A$15,196,239 on January 14, 2019. Also subsequent to December 31, 2018, on January 11, 2019 the Company completed a Share Purchase Plan under which it issued 22,061,250 shares of stock at a price of A$0.080 per share and received gross proceeds of A$1,764,900.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sectPr>
      <w:pgSz w:w="11900" w:h="16838" w:orient="portrait"/>
      <w:cols w:equalWidth="0" w:num="1">
        <w:col w:w="11240"/>
      </w:cols>
      <w:pgMar w:left="240" w:top="46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
      <w:numFmt w:val="bullet"/>
      <w:start w:val="1"/>
    </w:lvl>
  </w:abstractNum>
  <w:abstractNum w:abstractNumId="6">
    <w:nsid w:val="78DF6A55"/>
    <w:multiLevelType w:val="hybridMultilevel"/>
    <w:lvl w:ilvl="0">
      <w:lvlJc w:val="left"/>
      <w:lvlText w:val="•"/>
      <w:numFmt w:val="bullet"/>
      <w:start w:val="1"/>
    </w:lvl>
  </w:abstractNum>
  <w:abstractNum w:abstractNumId="7">
    <w:nsid w:val="39B7AAA2"/>
    <w:multiLevelType w:val="hybridMultilevel"/>
    <w:lvl w:ilvl="0">
      <w:lvlJc w:val="left"/>
      <w:lvlText w:val="•"/>
      <w:numFmt w:val="bullet"/>
      <w:start w:val="1"/>
    </w:lvl>
  </w:abstractNum>
  <w:abstractNum w:abstractNumId="8">
    <w:nsid w:val="2B0D8DBE"/>
    <w:multiLevelType w:val="hybridMultilevel"/>
    <w:lvl w:ilvl="0">
      <w:lvlJc w:val="left"/>
      <w:lvlText w:val="•"/>
      <w:numFmt w:val="bullet"/>
      <w:start w:val="1"/>
    </w:lvl>
  </w:abstractNum>
  <w:abstractNum w:abstractNumId="9">
    <w:nsid w:val="6C80EC70"/>
    <w:multiLevelType w:val="hybridMultilevel"/>
    <w:lvl w:ilvl="0">
      <w:lvlJc w:val="left"/>
      <w:lvlText w:val="•"/>
      <w:numFmt w:val="bullet"/>
      <w:start w:val="1"/>
    </w:lvl>
  </w:abstractNum>
  <w:abstractNum w:abstractNumId="10">
    <w:nsid w:val="379E21B5"/>
    <w:multiLevelType w:val="hybridMultilevel"/>
    <w:lvl w:ilvl="0">
      <w:lvlJc w:val="left"/>
      <w:lvlText w:val="•"/>
      <w:numFmt w:val="bullet"/>
      <w:start w:val="1"/>
    </w:lvl>
  </w:abstractNum>
  <w:abstractNum w:abstractNumId="11">
    <w:nsid w:val="69E373"/>
    <w:multiLevelType w:val="hybridMultilevel"/>
    <w:lvl w:ilvl="0">
      <w:lvlJc w:val="left"/>
      <w:lvlText w:val="•"/>
      <w:numFmt w:val="bullet"/>
      <w:start w:val="1"/>
    </w:lvl>
  </w:abstractNum>
  <w:abstractNum w:abstractNumId="12">
    <w:nsid w:val="2C27173B"/>
    <w:multiLevelType w:val="hybridMultilevel"/>
    <w:lvl w:ilvl="0">
      <w:lvlJc w:val="left"/>
      <w:lvlText w:val="•"/>
      <w:numFmt w:val="bullet"/>
      <w:start w:val="1"/>
    </w:lvl>
  </w:abstractNum>
  <w:abstractNum w:abstractNumId="13">
    <w:nsid w:val="4C9B0904"/>
    <w:multiLevelType w:val="hybridMultilevel"/>
    <w:lvl w:ilvl="0">
      <w:lvlJc w:val="left"/>
      <w:lvlText w:val="•"/>
      <w:numFmt w:val="bullet"/>
      <w:start w:val="1"/>
    </w:lvl>
  </w:abstractNum>
  <w:abstractNum w:abstractNumId="14">
    <w:nsid w:val="6AA7B75C"/>
    <w:multiLevelType w:val="hybridMultilevel"/>
    <w:lvl w:ilvl="0">
      <w:lvlJc w:val="left"/>
      <w:lvlText w:val="•"/>
      <w:numFmt w:val="bullet"/>
      <w:start w:val="1"/>
    </w:lvl>
  </w:abstractNum>
  <w:abstractNum w:abstractNumId="15">
    <w:nsid w:val="1DF029D3"/>
    <w:multiLevelType w:val="hybridMultilevel"/>
    <w:lvl w:ilvl="0">
      <w:lvlJc w:val="left"/>
      <w:lvlText w:val="•"/>
      <w:numFmt w:val="bullet"/>
      <w:start w:val="1"/>
    </w:lvl>
  </w:abstractNum>
  <w:abstractNum w:abstractNumId="16">
    <w:nsid w:val="5675FF36"/>
    <w:multiLevelType w:val="hybridMultilevel"/>
    <w:lvl w:ilvl="0">
      <w:lvlJc w:val="left"/>
      <w:lvlText w:val="•"/>
      <w:numFmt w:val="bullet"/>
      <w:start w:val="1"/>
    </w:lvl>
  </w:abstractNum>
  <w:abstractNum w:abstractNumId="17">
    <w:nsid w:val="3DD15094"/>
    <w:multiLevelType w:val="hybridMultilevel"/>
    <w:lvl w:ilvl="0">
      <w:lvlJc w:val="left"/>
      <w:lvlText w:val="•"/>
      <w:numFmt w:val="bullet"/>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1)"/>
      <w:numFmt w:val="decimal"/>
      <w:start w:val="1"/>
    </w:lvl>
  </w:abstractNum>
  <w:abstractNum w:abstractNumId="23">
    <w:nsid w:val="53B0A9E"/>
    <w:multiLevelType w:val="hybridMultilevel"/>
    <w:lvl w:ilvl="0">
      <w:lvlJc w:val="left"/>
      <w:lvlText w:val="%1."/>
      <w:numFmt w:val="upperLetter"/>
      <w:start w:val="2"/>
    </w:lvl>
  </w:abstractNum>
  <w:abstractNum w:abstractNumId="24">
    <w:nsid w:val="34FD6B4F"/>
    <w:multiLevelType w:val="hybridMultilevel"/>
    <w:lvl w:ilvl="0">
      <w:lvlJc w:val="left"/>
      <w:lvlText w:val="•"/>
      <w:numFmt w:val="bullet"/>
      <w:start w:val="1"/>
    </w:lvl>
  </w:abstractNum>
  <w:abstractNum w:abstractNumId="25">
    <w:nsid w:val="5915FF32"/>
    <w:multiLevelType w:val="hybridMultilevel"/>
    <w:lvl w:ilvl="0">
      <w:lvlJc w:val="left"/>
      <w:lvlText w:val="•"/>
      <w:numFmt w:val="bullet"/>
      <w:start w:val="1"/>
    </w:lvl>
  </w:abstractNum>
  <w:abstractNum w:abstractNumId="26">
    <w:nsid w:val="56438D15"/>
    <w:multiLevelType w:val="hybridMultilevel"/>
    <w:lvl w:ilvl="0">
      <w:lvlJc w:val="left"/>
      <w:lvlText w:val="•"/>
      <w:numFmt w:val="bullet"/>
      <w:start w:val="1"/>
    </w:lvl>
  </w:abstractNum>
  <w:abstractNum w:abstractNumId="27">
    <w:nsid w:val="519E3149"/>
    <w:multiLevelType w:val="hybridMultilevel"/>
    <w:lvl w:ilvl="0">
      <w:lvlJc w:val="left"/>
      <w:lvlText w:val="•"/>
      <w:numFmt w:val="bullet"/>
      <w:start w:val="1"/>
    </w:lvl>
  </w:abstractNum>
  <w:abstractNum w:abstractNumId="28">
    <w:nsid w:val="2C6E4AFD"/>
    <w:multiLevelType w:val="hybridMultilevel"/>
    <w:lvl w:ilvl="0">
      <w:lvlJc w:val="left"/>
      <w:lvlText w:val="•"/>
      <w:numFmt w:val="bullet"/>
      <w:start w:val="1"/>
    </w:lvl>
    <w:lvl w:ilvl="1">
      <w:lvlJc w:val="left"/>
      <w:lvlText w:val="•"/>
      <w:numFmt w:val="bullet"/>
      <w:start w:val="1"/>
    </w:lvl>
  </w:abstractNum>
  <w:abstractNum w:abstractNumId="29">
    <w:nsid w:val="17A1B582"/>
    <w:multiLevelType w:val="hybridMultilevel"/>
    <w:lvl w:ilvl="0">
      <w:lvlJc w:val="left"/>
      <w:lvlText w:val="•"/>
      <w:numFmt w:val="bullet"/>
      <w:start w:val="1"/>
    </w:lvl>
  </w:abstractNum>
  <w:abstractNum w:abstractNumId="30">
    <w:nsid w:val="4DF72E4E"/>
    <w:multiLevelType w:val="hybridMultilevel"/>
    <w:lvl w:ilvl="0">
      <w:lvlJc w:val="left"/>
      <w:lvlText w:val="(%1)"/>
      <w:numFmt w:val="decimal"/>
      <w:start w:val="1"/>
    </w:lvl>
  </w:abstractNum>
  <w:abstractNum w:abstractNumId="31">
    <w:nsid w:val="5046B5A9"/>
    <w:multiLevelType w:val="hybridMultilevel"/>
    <w:lvl w:ilvl="0">
      <w:lvlJc w:val="left"/>
      <w:lvlText w:val="%1"/>
      <w:numFmt w:val="decimal"/>
      <w:start w:val="12"/>
    </w:lvl>
  </w:abstractNum>
  <w:abstractNum w:abstractNumId="32">
    <w:nsid w:val="5D888A08"/>
    <w:multiLevelType w:val="hybridMultilevel"/>
    <w:lvl w:ilvl="0">
      <w:lvlJc w:val="left"/>
      <w:lvlText w:val="%1"/>
      <w:numFmt w:val="decimal"/>
      <w:start w:val="12"/>
    </w:lvl>
  </w:abstractNum>
  <w:abstractNum w:abstractNumId="33">
    <w:nsid w:val="2A082C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4">
    <w:nsid w:val="5EC6AFD4"/>
    <w:multiLevelType w:val="hybridMultilevel"/>
    <w:lvl w:ilvl="0">
      <w:lvlJc w:val="left"/>
      <w:lvlText w:val="•"/>
      <w:numFmt w:val="bullet"/>
      <w:start w:val="1"/>
    </w:lvl>
  </w:abstractNum>
  <w:abstractNum w:abstractNumId="35">
    <w:nsid w:val="19E21BB2"/>
    <w:multiLevelType w:val="hybridMultilevel"/>
    <w:lvl w:ilvl="0">
      <w:lvlJc w:val="left"/>
      <w:lvlText w:val="(%1)"/>
      <w:numFmt w:val="decimal"/>
      <w:start w:val="1"/>
    </w:lvl>
  </w:abstractNum>
  <w:abstractNum w:abstractNumId="36">
    <w:nsid w:val="75E0858A"/>
    <w:multiLevelType w:val="hybridMultilevel"/>
    <w:lvl w:ilvl="0">
      <w:lvlJc w:val="left"/>
      <w:lvlText w:val="(%1)"/>
      <w:numFmt w:val="lowerLetter"/>
      <w:start w:val="1"/>
    </w:lvl>
  </w:abstractNum>
  <w:abstractNum w:abstractNumId="37">
    <w:nsid w:val="57A61A29"/>
    <w:multiLevelType w:val="hybridMultilevel"/>
    <w:lvl w:ilvl="0">
      <w:lvlJc w:val="left"/>
      <w:lvlText w:val="(%1)"/>
      <w:numFmt w:val="lowerLetter"/>
      <w:start w:val="3"/>
    </w:lvl>
  </w:abstractNum>
  <w:abstractNum w:abstractNumId="38">
    <w:nsid w:val="5399C654"/>
    <w:multiLevelType w:val="hybridMultilevel"/>
    <w:lvl w:ilvl="0">
      <w:lvlJc w:val="left"/>
      <w:lvlText w:val="%1."/>
      <w:numFmt w:val="decimal"/>
      <w:start w:val="1"/>
    </w:lvl>
  </w:abstractNum>
  <w:abstractNum w:abstractNumId="39">
    <w:nsid w:val="20EE1348"/>
    <w:multiLevelType w:val="hybridMultilevel"/>
    <w:lvl w:ilvl="0">
      <w:lvlJc w:val="left"/>
      <w:lvlText w:val="%1."/>
      <w:numFmt w:val="decimal"/>
      <w:start w:val="2"/>
    </w:lvl>
    <w:lvl w:ilvl="1">
      <w:lvlJc w:val="left"/>
      <w:lvlText w:val="%2."/>
      <w:numFmt w:val="lowerLetter"/>
      <w:start w:val="1"/>
    </w:lvl>
  </w:abstractNum>
  <w:abstractNum w:abstractNumId="40">
    <w:nsid w:val="4427069A"/>
    <w:multiLevelType w:val="hybridMultilevel"/>
    <w:lvl w:ilvl="0">
      <w:lvlJc w:val="left"/>
      <w:lvlText w:val="•"/>
      <w:numFmt w:val="bullet"/>
      <w:start w:val="1"/>
    </w:lvl>
  </w:abstractNum>
  <w:abstractNum w:abstractNumId="41">
    <w:nsid w:val="B37E80A"/>
    <w:multiLevelType w:val="hybridMultilevel"/>
    <w:lvl w:ilvl="0">
      <w:lvlJc w:val="left"/>
      <w:lvlText w:val="•"/>
      <w:numFmt w:val="bullet"/>
      <w:start w:val="1"/>
    </w:lvl>
  </w:abstractNum>
  <w:abstractNum w:abstractNumId="42">
    <w:nsid w:val="2157F6BC"/>
    <w:multiLevelType w:val="hybridMultilevel"/>
    <w:lvl w:ilvl="0">
      <w:lvlJc w:val="left"/>
      <w:lvlText w:val="*"/>
      <w:numFmt w:val="bullet"/>
      <w:start w:val="1"/>
    </w:lvl>
  </w:abstractNum>
  <w:abstractNum w:abstractNumId="43">
    <w:nsid w:val="704E1DD5"/>
    <w:multiLevelType w:val="hybridMultilevel"/>
    <w:lvl w:ilvl="0">
      <w:lvlJc w:val="left"/>
      <w:lvlText w:val="(%1)"/>
      <w:numFmt w:val="decimal"/>
      <w:start w:val="1"/>
    </w:lvl>
  </w:abstractNum>
  <w:abstractNum w:abstractNumId="44">
    <w:nsid w:val="57D2F10E"/>
    <w:multiLevelType w:val="hybridMultilevel"/>
    <w:lvl w:ilvl="0">
      <w:lvlJc w:val="left"/>
      <w:lvlText w:val="•"/>
      <w:numFmt w:val="bullet"/>
      <w:start w:val="1"/>
    </w:lvl>
  </w:abstractNum>
  <w:abstractNum w:abstractNumId="45">
    <w:nsid w:val="BFFAE18"/>
    <w:multiLevelType w:val="hybridMultilevel"/>
    <w:lvl w:ilvl="0">
      <w:lvlJc w:val="left"/>
      <w:lvlText w:val="•"/>
      <w:numFmt w:val="bullet"/>
      <w:start w:val="1"/>
    </w:lvl>
  </w:abstractNum>
  <w:abstractNum w:abstractNumId="46">
    <w:nsid w:val="E3E47A8"/>
    <w:multiLevelType w:val="hybridMultilevel"/>
    <w:lvl w:ilvl="0">
      <w:lvlJc w:val="left"/>
      <w:lvlText w:val="•"/>
      <w:numFmt w:val="bullet"/>
      <w:start w:val="1"/>
    </w:lvl>
  </w:abstractNum>
  <w:abstractNum w:abstractNumId="47">
    <w:nsid w:val="2E48F044"/>
    <w:multiLevelType w:val="hybridMultilevel"/>
    <w:lvl w:ilvl="0">
      <w:lvlJc w:val="left"/>
      <w:lvlText w:val="•"/>
      <w:numFmt w:val="bullet"/>
      <w:start w:val="1"/>
    </w:lvl>
  </w:abstractNum>
  <w:abstractNum w:abstractNumId="48">
    <w:nsid w:val="49D0FEAC"/>
    <w:multiLevelType w:val="hybridMultilevel"/>
    <w:lvl w:ilvl="0">
      <w:lvlJc w:val="left"/>
      <w:lvlText w:val="•"/>
      <w:numFmt w:val="bullet"/>
      <w:start w:val="1"/>
    </w:lvl>
  </w:abstractNum>
  <w:abstractNum w:abstractNumId="49">
    <w:nsid w:val="4BEE5A5B"/>
    <w:multiLevelType w:val="hybridMultilevel"/>
    <w:lvl w:ilvl="0">
      <w:lvlJc w:val="left"/>
      <w:lvlText w:val="(%1)"/>
      <w:numFmt w:val="lowerLetter"/>
      <w:start w:val="2"/>
    </w:lvl>
  </w:abstractNum>
  <w:abstractNum w:abstractNumId="50">
    <w:nsid w:val="5551B9F3"/>
    <w:multiLevelType w:val="hybridMultilevel"/>
    <w:lvl w:ilvl="0">
      <w:lvlJc w:val="left"/>
      <w:lvlText w:val="•"/>
      <w:numFmt w:val="bullet"/>
      <w:start w:val="1"/>
    </w:lvl>
  </w:abstractNum>
  <w:abstractNum w:abstractNumId="51">
    <w:nsid w:val="24F6AB8E"/>
    <w:multiLevelType w:val="hybridMultilevel"/>
    <w:lvl w:ilvl="0">
      <w:lvlJc w:val="left"/>
      <w:lvlText w:val="•"/>
      <w:numFmt w:val="bullet"/>
      <w:start w:val="1"/>
    </w:lvl>
  </w:abstractNum>
  <w:abstractNum w:abstractNumId="52">
    <w:nsid w:val="634C574C"/>
    <w:multiLevelType w:val="hybridMultilevel"/>
    <w:lvl w:ilvl="0">
      <w:lvlJc w:val="left"/>
      <w:lvlText w:val="•"/>
      <w:numFmt w:val="bullet"/>
      <w:start w:val="1"/>
    </w:lvl>
  </w:abstractNum>
  <w:abstractNum w:abstractNumId="53">
    <w:nsid w:val="24E99DD7"/>
    <w:multiLevelType w:val="hybridMultilevel"/>
    <w:lvl w:ilvl="0">
      <w:lvlJc w:val="left"/>
      <w:lvlText w:val="•"/>
      <w:numFmt w:val="bullet"/>
      <w:start w:val="1"/>
    </w:lvl>
  </w:abstractNum>
  <w:abstractNum w:abstractNumId="54">
    <w:nsid w:val="2A31B62D"/>
    <w:multiLevelType w:val="hybridMultilevel"/>
    <w:lvl w:ilvl="0">
      <w:lvlJc w:val="left"/>
      <w:lvlText w:val="•"/>
      <w:numFmt w:val="bullet"/>
      <w:start w:val="1"/>
    </w:lvl>
  </w:abstractNum>
  <w:abstractNum w:abstractNumId="55">
    <w:nsid w:val="1849C29B"/>
    <w:multiLevelType w:val="hybridMultilevel"/>
    <w:lvl w:ilvl="0">
      <w:lvlJc w:val="left"/>
      <w:lvlText w:val="•"/>
      <w:numFmt w:val="bullet"/>
      <w:start w:val="1"/>
    </w:lvl>
  </w:abstractNum>
  <w:abstractNum w:abstractNumId="56">
    <w:nsid w:val="7DFF9D09"/>
    <w:multiLevelType w:val="hybridMultilevel"/>
    <w:lvl w:ilvl="0">
      <w:lvlJc w:val="left"/>
      <w:lvlText w:val="%1."/>
      <w:numFmt w:val="decimal"/>
      <w:start w:val="1"/>
    </w:lvl>
  </w:abstractNum>
  <w:abstractNum w:abstractNumId="57">
    <w:nsid w:val="754342"/>
    <w:multiLevelType w:val="hybridMultilevel"/>
    <w:lvl w:ilvl="0">
      <w:lvlJc w:val="left"/>
      <w:lvlText w:val="%1."/>
      <w:numFmt w:val="decimal"/>
      <w:start w:val="2"/>
    </w:lvl>
  </w:abstractNum>
  <w:abstractNum w:abstractNumId="58">
    <w:nsid w:val="69E7F3E5"/>
    <w:multiLevelType w:val="hybridMultilevel"/>
    <w:lvl w:ilvl="0">
      <w:lvlJc w:val="left"/>
      <w:lvlText w:val="%1)"/>
      <w:numFmt w:val="lowerLetter"/>
      <w:start w:val="1"/>
    </w:lvl>
  </w:abstractNum>
  <w:abstractNum w:abstractNumId="59">
    <w:nsid w:val="2A6DE806"/>
    <w:multiLevelType w:val="hybridMultilevel"/>
    <w:lvl w:ilvl="0">
      <w:lvlJc w:val="left"/>
      <w:lvlText w:val="%1)"/>
      <w:numFmt w:val="lowerLetter"/>
      <w:start w:val="2"/>
    </w:lvl>
  </w:abstractNum>
  <w:abstractNum w:abstractNumId="60">
    <w:nsid w:val="1816F8C4"/>
    <w:multiLevelType w:val="hybridMultilevel"/>
    <w:lvl w:ilvl="0">
      <w:lvlJc w:val="left"/>
      <w:lvlText w:val="%1)"/>
      <w:numFmt w:val="lowerLetter"/>
      <w:start w:val="3"/>
    </w:lvl>
  </w:abstractNum>
  <w:abstractNum w:abstractNumId="61">
    <w:nsid w:val="37DF2233"/>
    <w:multiLevelType w:val="hybridMultilevel"/>
    <w:lvl w:ilvl="0">
      <w:lvlJc w:val="left"/>
      <w:lvlText w:val="%1."/>
      <w:numFmt w:val="decimal"/>
      <w:start w:val="1"/>
    </w:lvl>
  </w:abstractNum>
  <w:abstractNum w:abstractNumId="62">
    <w:nsid w:val="7AB49DAF"/>
    <w:multiLevelType w:val="hybridMultilevel"/>
    <w:lvl w:ilvl="0">
      <w:lvlJc w:val="left"/>
      <w:lvlText w:val="%1."/>
      <w:numFmt w:val="decimal"/>
      <w:start w:val="2"/>
    </w:lvl>
  </w:abstractNum>
  <w:abstractNum w:abstractNumId="63">
    <w:nsid w:val="759F82CD"/>
    <w:multiLevelType w:val="hybridMultilevel"/>
    <w:lvl w:ilvl="0">
      <w:lvlJc w:val="left"/>
      <w:lvlText w:val="%1)"/>
      <w:numFmt w:val="lowerLetter"/>
      <w:start w:val="3"/>
    </w:lvl>
    <w:lvl w:ilvl="1">
      <w:lvlJc w:val="left"/>
      <w:lvlText w:val="%2."/>
      <w:numFmt w:val="decimal"/>
      <w:start w:val="2"/>
    </w:lvl>
  </w:abstractNum>
  <w:abstractNum w:abstractNumId="64">
    <w:nsid w:val="61E74EA3"/>
    <w:multiLevelType w:val="hybridMultilevel"/>
    <w:lvl w:ilvl="0">
      <w:lvlJc w:val="left"/>
      <w:lvlText w:val="•"/>
      <w:numFmt w:val="bullet"/>
      <w:start w:val="1"/>
    </w:lvl>
  </w:abstractNum>
  <w:abstractNum w:abstractNumId="65">
    <w:nsid w:val="597B4D84"/>
    <w:multiLevelType w:val="hybridMultilevel"/>
    <w:lvl w:ilvl="0">
      <w:lvlJc w:val="left"/>
      <w:lvlText w:val="•"/>
      <w:numFmt w:val="bullet"/>
      <w:start w:val="1"/>
    </w:lvl>
  </w:abstractNum>
  <w:abstractNum w:abstractNumId="66">
    <w:nsid w:val="F819E7F"/>
    <w:multiLevelType w:val="hybridMultilevel"/>
    <w:lvl w:ilvl="0">
      <w:lvlJc w:val="left"/>
      <w:lvlText w:val="%1."/>
      <w:numFmt w:val="decimal"/>
      <w:start w:val="2"/>
    </w:lvl>
  </w:abstractNum>
  <w:abstractNum w:abstractNumId="67">
    <w:nsid w:val="57C7D42D"/>
    <w:multiLevelType w:val="hybridMultilevel"/>
    <w:lvl w:ilvl="0">
      <w:lvlJc w:val="left"/>
      <w:lvlText w:val="%1)"/>
      <w:numFmt w:val="lowerLetter"/>
      <w:start w:val="3"/>
    </w:lvl>
    <w:lvl w:ilvl="1">
      <w:lvlJc w:val="left"/>
      <w:lvlText w:val="•"/>
      <w:numFmt w:val="bullet"/>
      <w:start w:val="1"/>
    </w:lvl>
  </w:abstractNum>
  <w:abstractNum w:abstractNumId="68">
    <w:nsid w:val="312167AD"/>
    <w:multiLevelType w:val="hybridMultilevel"/>
    <w:lvl w:ilvl="0">
      <w:lvlJc w:val="left"/>
      <w:lvlText w:val="(%1)"/>
      <w:numFmt w:val="lowerLetter"/>
      <w:start w:val="4"/>
    </w:lvl>
  </w:abstractNum>
  <w:abstractNum w:abstractNumId="69">
    <w:nsid w:val="631B64D4"/>
    <w:multiLevelType w:val="hybridMultilevel"/>
    <w:lvl w:ilvl="0">
      <w:lvlJc w:val="left"/>
      <w:lvlText w:val="(%1)"/>
      <w:numFmt w:val="lowerLetter"/>
      <w:start w:val="5"/>
    </w:lvl>
  </w:abstractNum>
  <w:abstractNum w:abstractNumId="70">
    <w:nsid w:val="78B5E776"/>
    <w:multiLevelType w:val="hybridMultilevel"/>
    <w:lvl w:ilvl="0">
      <w:lvlJc w:val="left"/>
      <w:lvlText w:val="•"/>
      <w:numFmt w:val="bullet"/>
      <w:start w:val="1"/>
    </w:lvl>
  </w:abstractNum>
  <w:abstractNum w:abstractNumId="71">
    <w:nsid w:val="75486E47"/>
    <w:multiLevelType w:val="hybridMultilevel"/>
    <w:lvl w:ilvl="0">
      <w:lvlJc w:val="left"/>
      <w:lvlText w:val="%1."/>
      <w:numFmt w:val="decimal"/>
      <w:start w:val="2"/>
    </w:lvl>
  </w:abstractNum>
  <w:abstractNum w:abstractNumId="72">
    <w:nsid w:val="6E534CDE"/>
    <w:multiLevelType w:val="hybridMultilevel"/>
    <w:lvl w:ilvl="0">
      <w:lvlJc w:val="left"/>
      <w:lvlText w:val="(%1)"/>
      <w:numFmt w:val="lowerLetter"/>
      <w:start w:val="6"/>
    </w:lvl>
  </w:abstractNum>
  <w:abstractNum w:abstractNumId="73">
    <w:nsid w:val="1A0DDE32"/>
    <w:multiLevelType w:val="hybridMultilevel"/>
    <w:lvl w:ilvl="0">
      <w:lvlJc w:val="left"/>
      <w:lvlText w:val="(%1)"/>
      <w:numFmt w:val="lowerLetter"/>
      <w:start w:val="7"/>
    </w:lvl>
  </w:abstractNum>
  <w:abstractNum w:abstractNumId="74">
    <w:nsid w:val="65968C1C"/>
    <w:multiLevelType w:val="hybridMultilevel"/>
    <w:lvl w:ilvl="0">
      <w:lvlJc w:val="left"/>
      <w:lvlText w:val="(%1)"/>
      <w:numFmt w:val="lowerLetter"/>
      <w:start w:val="8"/>
    </w:lvl>
  </w:abstractNum>
  <w:abstractNum w:abstractNumId="75">
    <w:nsid w:val="46263DEC"/>
    <w:multiLevelType w:val="hybridMultilevel"/>
    <w:lvl w:ilvl="0">
      <w:lvlJc w:val="left"/>
      <w:lvlText w:val="%1."/>
      <w:numFmt w:val="decimal"/>
      <w:start w:val="2"/>
    </w:lvl>
  </w:abstractNum>
  <w:abstractNum w:abstractNumId="76">
    <w:nsid w:val="260D8C4A"/>
    <w:multiLevelType w:val="hybridMultilevel"/>
    <w:lvl w:ilvl="0">
      <w:lvlJc w:val="left"/>
      <w:lvlText w:val="(%1)"/>
      <w:numFmt w:val="lowerLetter"/>
      <w:start w:val="8"/>
    </w:lvl>
  </w:abstractNum>
  <w:abstractNum w:abstractNumId="77">
    <w:nsid w:val="73D4D3C4"/>
    <w:multiLevelType w:val="hybridMultilevel"/>
    <w:lvl w:ilvl="0">
      <w:lvlJc w:val="left"/>
      <w:lvlText w:val="(%1)"/>
      <w:numFmt w:val="lowerRoman"/>
      <w:start w:val="1"/>
    </w:lvl>
  </w:abstractNum>
  <w:abstractNum w:abstractNumId="78">
    <w:nsid w:val="746F2E30"/>
    <w:multiLevelType w:val="hybridMultilevel"/>
    <w:lvl w:ilvl="0">
      <w:lvlJc w:val="left"/>
      <w:lvlText w:val="(%1)"/>
      <w:numFmt w:val="lowerLetter"/>
      <w:start w:val="10"/>
    </w:lvl>
  </w:abstractNum>
  <w:abstractNum w:abstractNumId="79">
    <w:nsid w:val="6FDE8AF6"/>
    <w:multiLevelType w:val="hybridMultilevel"/>
    <w:lvl w:ilvl="0">
      <w:lvlJc w:val="left"/>
      <w:lvlText w:val="(%1)"/>
      <w:numFmt w:val="lowerLetter"/>
      <w:start w:val="11"/>
    </w:lvl>
  </w:abstractNum>
  <w:abstractNum w:abstractNumId="80">
    <w:nsid w:val="3FC32E20"/>
    <w:multiLevelType w:val="hybridMultilevel"/>
    <w:lvl w:ilvl="0">
      <w:lvlJc w:val="left"/>
      <w:lvlText w:val="(%1)"/>
      <w:numFmt w:val="lowerLetter"/>
      <w:start w:val="12"/>
    </w:lvl>
  </w:abstractNum>
  <w:abstractNum w:abstractNumId="81">
    <w:nsid w:val="49C0E823"/>
    <w:multiLevelType w:val="hybridMultilevel"/>
    <w:lvl w:ilvl="0">
      <w:lvlJc w:val="left"/>
      <w:lvlText w:val="%1."/>
      <w:numFmt w:val="decimal"/>
      <w:start w:val="2"/>
    </w:lvl>
  </w:abstractNum>
  <w:abstractNum w:abstractNumId="82">
    <w:nsid w:val="14D53685"/>
    <w:multiLevelType w:val="hybridMultilevel"/>
    <w:lvl w:ilvl="0">
      <w:lvlJc w:val="left"/>
      <w:lvlText w:val="(%1)"/>
      <w:numFmt w:val="lowerLetter"/>
      <w:start w:val="12"/>
    </w:lvl>
  </w:abstractNum>
  <w:abstractNum w:abstractNumId="83">
    <w:nsid w:val="230F856C"/>
    <w:multiLevelType w:val="hybridMultilevel"/>
    <w:lvl w:ilvl="0">
      <w:lvlJc w:val="left"/>
      <w:lvlText w:val="•"/>
      <w:numFmt w:val="bullet"/>
      <w:start w:val="1"/>
    </w:lvl>
  </w:abstractNum>
  <w:abstractNum w:abstractNumId="84">
    <w:nsid w:val="6EAA85FB"/>
    <w:multiLevelType w:val="hybridMultilevel"/>
    <w:lvl w:ilvl="0">
      <w:lvlJc w:val="left"/>
      <w:lvlText w:val="%1."/>
      <w:numFmt w:val="decimal"/>
      <w:start w:val="2"/>
    </w:lvl>
  </w:abstractNum>
  <w:abstractNum w:abstractNumId="85">
    <w:nsid w:val="3F06ECB2"/>
    <w:multiLevelType w:val="hybridMultilevel"/>
    <w:lvl w:ilvl="0">
      <w:lvlJc w:val="left"/>
      <w:lvlText w:val="•"/>
      <w:numFmt w:val="bullet"/>
      <w:start w:val="1"/>
    </w:lvl>
  </w:abstractNum>
  <w:abstractNum w:abstractNumId="86">
    <w:nsid w:val="3B594807"/>
    <w:multiLevelType w:val="hybridMultilevel"/>
    <w:lvl w:ilvl="0">
      <w:lvlJc w:val="left"/>
      <w:lvlText w:val="%1."/>
      <w:numFmt w:val="decimal"/>
      <w:start w:val="2"/>
    </w:lvl>
  </w:abstractNum>
  <w:abstractNum w:abstractNumId="87">
    <w:nsid w:val="6CAA2304"/>
    <w:multiLevelType w:val="hybridMultilevel"/>
    <w:lvl w:ilvl="0">
      <w:lvlJc w:val="left"/>
      <w:lvlText w:val="•"/>
      <w:numFmt w:val="bullet"/>
      <w:start w:val="1"/>
    </w:lvl>
  </w:abstractNum>
  <w:abstractNum w:abstractNumId="88">
    <w:nsid w:val="3F7C2FF4"/>
    <w:multiLevelType w:val="hybridMultilevel"/>
    <w:lvl w:ilvl="0">
      <w:lvlJc w:val="left"/>
      <w:lvlText w:val="(%1)"/>
      <w:numFmt w:val="lowerLetter"/>
      <w:start w:val="14"/>
    </w:lvl>
  </w:abstractNum>
  <w:abstractNum w:abstractNumId="89">
    <w:nsid w:val="25413BEC"/>
    <w:multiLevelType w:val="hybridMultilevel"/>
    <w:lvl w:ilvl="0">
      <w:lvlJc w:val="left"/>
      <w:lvlText w:val="•"/>
      <w:numFmt w:val="bullet"/>
      <w:start w:val="1"/>
    </w:lvl>
  </w:abstractNum>
  <w:abstractNum w:abstractNumId="90">
    <w:nsid w:val="17180B0B"/>
    <w:multiLevelType w:val="hybridMultilevel"/>
    <w:lvl w:ilvl="0">
      <w:lvlJc w:val="left"/>
      <w:lvlText w:val="(%1)"/>
      <w:numFmt w:val="lowerLetter"/>
      <w:start w:val="15"/>
    </w:lvl>
  </w:abstractNum>
  <w:abstractNum w:abstractNumId="91">
    <w:nsid w:val="579328B9"/>
    <w:multiLevelType w:val="hybridMultilevel"/>
    <w:lvl w:ilvl="0">
      <w:lvlJc w:val="left"/>
      <w:lvlText w:val="%1."/>
      <w:numFmt w:val="decimal"/>
      <w:start w:val="2"/>
    </w:lvl>
  </w:abstractNum>
  <w:abstractNum w:abstractNumId="92">
    <w:nsid w:val="5D205E20"/>
    <w:multiLevelType w:val="hybridMultilevel"/>
    <w:lvl w:ilvl="0">
      <w:lvlJc w:val="left"/>
      <w:lvlText w:val="(%1)"/>
      <w:numFmt w:val="lowerLetter"/>
      <w:start w:val="16"/>
    </w:lvl>
  </w:abstractNum>
  <w:abstractNum w:abstractNumId="93">
    <w:nsid w:val="11CCA8BA"/>
    <w:multiLevelType w:val="hybridMultilevel"/>
    <w:lvl w:ilvl="0">
      <w:lvlJc w:val="left"/>
      <w:lvlText w:val="(%1)"/>
      <w:numFmt w:val="lowerLetter"/>
      <w:start w:val="17"/>
    </w:lvl>
  </w:abstractNum>
  <w:abstractNum w:abstractNumId="94">
    <w:nsid w:val="4D32AB86"/>
    <w:multiLevelType w:val="hybridMultilevel"/>
    <w:lvl w:ilvl="0">
      <w:lvlJc w:val="left"/>
      <w:lvlText w:val="•"/>
      <w:numFmt w:val="bullet"/>
      <w:start w:val="1"/>
    </w:lvl>
  </w:abstractNum>
  <w:abstractNum w:abstractNumId="95">
    <w:nsid w:val="3F07ACC3"/>
    <w:multiLevelType w:val="hybridMultilevel"/>
    <w:lvl w:ilvl="0">
      <w:lvlJc w:val="left"/>
      <w:lvlText w:val="%1."/>
      <w:numFmt w:val="decimal"/>
      <w:start w:val="2"/>
    </w:lvl>
  </w:abstractNum>
  <w:abstractNum w:abstractNumId="96">
    <w:nsid w:val="6B47F63E"/>
    <w:multiLevelType w:val="hybridMultilevel"/>
    <w:lvl w:ilvl="0">
      <w:lvlJc w:val="left"/>
      <w:lvlText w:val="(%1)"/>
      <w:numFmt w:val="lowerLetter"/>
      <w:start w:val="17"/>
    </w:lvl>
  </w:abstractNum>
  <w:abstractNum w:abstractNumId="97">
    <w:nsid w:val="5CB44A05"/>
    <w:multiLevelType w:val="hybridMultilevel"/>
    <w:lvl w:ilvl="0">
      <w:lvlJc w:val="left"/>
      <w:lvlText w:val="(%1)"/>
      <w:numFmt w:val="lowerLetter"/>
      <w:start w:val="18"/>
    </w:lvl>
  </w:abstractNum>
  <w:abstractNum w:abstractNumId="98">
    <w:nsid w:val="16CF80F1"/>
    <w:multiLevelType w:val="hybridMultilevel"/>
    <w:lvl w:ilvl="0">
      <w:lvlJc w:val="left"/>
      <w:lvlText w:val="%1."/>
      <w:numFmt w:val="decimal"/>
      <w:start w:val="2"/>
    </w:lvl>
  </w:abstractNum>
  <w:abstractNum w:abstractNumId="99">
    <w:nsid w:val="1C695DEC"/>
    <w:multiLevelType w:val="hybridMultilevel"/>
    <w:lvl w:ilvl="0">
      <w:lvlJc w:val="left"/>
      <w:lvlText w:val="(%1)"/>
      <w:numFmt w:val="lowerLetter"/>
      <w:start w:val="18"/>
    </w:lvl>
  </w:abstractNum>
  <w:abstractNum w:abstractNumId="100">
    <w:nsid w:val="3FCFAED9"/>
    <w:multiLevelType w:val="hybridMultilevel"/>
    <w:lvl w:ilvl="0">
      <w:lvlJc w:val="left"/>
      <w:lvlText w:val="(%1)"/>
      <w:numFmt w:val="lowerLetter"/>
      <w:start w:val="19"/>
    </w:lvl>
  </w:abstractNum>
  <w:abstractNum w:abstractNumId="101">
    <w:nsid w:val="F856867"/>
    <w:multiLevelType w:val="hybridMultilevel"/>
    <w:lvl w:ilvl="0">
      <w:lvlJc w:val="left"/>
      <w:lvlText w:val="(%1)"/>
      <w:numFmt w:val="lowerRoman"/>
      <w:start w:val="1"/>
    </w:lvl>
  </w:abstractNum>
  <w:abstractNum w:abstractNumId="102">
    <w:nsid w:val="11B1CC33"/>
    <w:multiLevelType w:val="hybridMultilevel"/>
    <w:lvl w:ilvl="0">
      <w:lvlJc w:val="left"/>
      <w:lvlText w:val="%1."/>
      <w:numFmt w:val="decimal"/>
      <w:start w:val="2"/>
    </w:lvl>
  </w:abstractNum>
  <w:abstractNum w:abstractNumId="103">
    <w:nsid w:val="2E22FBB7"/>
    <w:multiLevelType w:val="hybridMultilevel"/>
    <w:lvl w:ilvl="0">
      <w:lvlJc w:val="left"/>
      <w:lvlText w:val="(%1)"/>
      <w:numFmt w:val="lowerLetter"/>
      <w:start w:val="19"/>
    </w:lvl>
  </w:abstractNum>
  <w:abstractNum w:abstractNumId="104">
    <w:nsid w:val="29934699"/>
    <w:multiLevelType w:val="hybridMultilevel"/>
    <w:lvl w:ilvl="0">
      <w:lvlJc w:val="left"/>
      <w:lvlText w:val="(%1)"/>
      <w:numFmt w:val="lowerLetter"/>
      <w:start w:val="20"/>
    </w:lvl>
  </w:abstractNum>
  <w:abstractNum w:abstractNumId="105">
    <w:nsid w:val="77485850"/>
    <w:multiLevelType w:val="hybridMultilevel"/>
    <w:lvl w:ilvl="0">
      <w:lvlJc w:val="left"/>
      <w:lvlText w:val="(%1)"/>
      <w:numFmt w:val="lowerLetter"/>
      <w:start w:val="20"/>
    </w:lvl>
    <w:lvl w:ilvl="1">
      <w:lvlJc w:val="left"/>
      <w:lvlText w:val="•"/>
      <w:numFmt w:val="bullet"/>
      <w:start w:val="1"/>
    </w:lvl>
  </w:abstractNum>
  <w:abstractNum w:abstractNumId="106">
    <w:nsid w:val="744939A3"/>
    <w:multiLevelType w:val="hybridMultilevel"/>
    <w:lvl w:ilvl="0">
      <w:lvlJc w:val="left"/>
      <w:lvlText w:val="%1."/>
      <w:numFmt w:val="decimal"/>
      <w:start w:val="2"/>
    </w:lvl>
  </w:abstractNum>
  <w:abstractNum w:abstractNumId="107">
    <w:nsid w:val="4FA0D2E3"/>
    <w:multiLevelType w:val="hybridMultilevel"/>
    <w:lvl w:ilvl="0">
      <w:lvlJc w:val="left"/>
      <w:lvlText w:val="(%1)"/>
      <w:numFmt w:val="lowerLetter"/>
      <w:start w:val="21"/>
    </w:lvl>
  </w:abstractNum>
  <w:abstractNum w:abstractNumId="108">
    <w:nsid w:val="6B1D2C14"/>
    <w:multiLevelType w:val="hybridMultilevel"/>
    <w:lvl w:ilvl="0">
      <w:lvlJc w:val="left"/>
      <w:lvlText w:val="(%1)"/>
      <w:numFmt w:val="lowerRoman"/>
      <w:start w:val="5"/>
    </w:lvl>
  </w:abstractNum>
  <w:abstractNum w:abstractNumId="109">
    <w:nsid w:val="68B867D3"/>
    <w:multiLevelType w:val="hybridMultilevel"/>
    <w:lvl w:ilvl="0">
      <w:lvlJc w:val="left"/>
      <w:lvlText w:val="%1."/>
      <w:numFmt w:val="decimal"/>
      <w:start w:val="2"/>
    </w:lvl>
  </w:abstractNum>
  <w:abstractNum w:abstractNumId="110">
    <w:nsid w:val="3F7F5DD9"/>
    <w:multiLevelType w:val="hybridMultilevel"/>
    <w:lvl w:ilvl="0">
      <w:lvlJc w:val="left"/>
      <w:lvlText w:val="(%1)"/>
      <w:numFmt w:val="lowerRoman"/>
      <w:start w:val="5"/>
    </w:lvl>
  </w:abstractNum>
  <w:abstractNum w:abstractNumId="111">
    <w:nsid w:val="2AE05A34"/>
    <w:multiLevelType w:val="hybridMultilevel"/>
    <w:lvl w:ilvl="0">
      <w:lvlJc w:val="left"/>
      <w:lvlText w:val="%1."/>
      <w:numFmt w:val="decimal"/>
      <w:start w:val="3"/>
    </w:lvl>
  </w:abstractNum>
  <w:abstractNum w:abstractNumId="112">
    <w:nsid w:val="32794FF7"/>
    <w:multiLevelType w:val="hybridMultilevel"/>
    <w:lvl w:ilvl="0">
      <w:lvlJc w:val="left"/>
      <w:lvlText w:val="(%1)"/>
      <w:numFmt w:val="lowerLetter"/>
      <w:start w:val="1"/>
    </w:lvl>
  </w:abstractNum>
  <w:abstractNum w:abstractNumId="113">
    <w:nsid w:val="5454945E"/>
    <w:multiLevelType w:val="hybridMultilevel"/>
    <w:lvl w:ilvl="0">
      <w:lvlJc w:val="left"/>
      <w:lvlText w:val="(%1)"/>
      <w:numFmt w:val="lowerLetter"/>
      <w:start w:val="2"/>
    </w:lvl>
  </w:abstractNum>
  <w:abstractNum w:abstractNumId="114">
    <w:nsid w:val="4DEFDFA0"/>
    <w:multiLevelType w:val="hybridMultilevel"/>
    <w:lvl w:ilvl="0">
      <w:lvlJc w:val="left"/>
      <w:lvlText w:val="%1."/>
      <w:numFmt w:val="decimal"/>
      <w:start w:val="3"/>
    </w:lvl>
  </w:abstractNum>
  <w:abstractNum w:abstractNumId="115">
    <w:nsid w:val="2123D5F2"/>
    <w:multiLevelType w:val="hybridMultilevel"/>
    <w:lvl w:ilvl="0">
      <w:lvlJc w:val="left"/>
      <w:lvlText w:val="(%1)"/>
      <w:numFmt w:val="lowerLetter"/>
      <w:start w:val="2"/>
    </w:lvl>
  </w:abstractNum>
  <w:abstractNum w:abstractNumId="116">
    <w:nsid w:val="135B8110"/>
    <w:multiLevelType w:val="hybridMultilevel"/>
    <w:lvl w:ilvl="0">
      <w:lvlJc w:val="left"/>
      <w:lvlText w:val="%1."/>
      <w:numFmt w:val="decimal"/>
      <w:start w:val="4"/>
    </w:lvl>
  </w:abstractNum>
  <w:abstractNum w:abstractNumId="117">
    <w:nsid w:val="94927A8"/>
    <w:multiLevelType w:val="hybridMultilevel"/>
    <w:lvl w:ilvl="0">
      <w:lvlJc w:val="left"/>
      <w:lvlText w:val="(%1)"/>
      <w:numFmt w:val="lowerLetter"/>
      <w:start w:val="4"/>
    </w:lvl>
  </w:abstractNum>
  <w:abstractNum w:abstractNumId="118">
    <w:nsid w:val="DCDF8F6"/>
    <w:multiLevelType w:val="hybridMultilevel"/>
    <w:lvl w:ilvl="0">
      <w:lvlJc w:val="left"/>
      <w:lvlText w:val="(%1)"/>
      <w:numFmt w:val="lowerLetter"/>
      <w:start w:val="7"/>
    </w:lvl>
  </w:abstractNum>
  <w:abstractNum w:abstractNumId="119">
    <w:nsid w:val="52D7B105"/>
    <w:multiLevelType w:val="hybridMultilevel"/>
    <w:lvl w:ilvl="0">
      <w:lvlJc w:val="left"/>
      <w:lvlText w:val="%1."/>
      <w:numFmt w:val="decimal"/>
      <w:start w:val="5"/>
    </w:lvl>
  </w:abstractNum>
  <w:abstractNum w:abstractNumId="120">
    <w:nsid w:val="2E8A6394"/>
    <w:multiLevelType w:val="hybridMultilevel"/>
    <w:lvl w:ilvl="0">
      <w:lvlJc w:val="left"/>
      <w:lvlText w:val="%1."/>
      <w:numFmt w:val="decimal"/>
      <w:start w:val="5"/>
    </w:lvl>
  </w:abstractNum>
  <w:abstractNum w:abstractNumId="121">
    <w:nsid w:val="24E60401"/>
    <w:multiLevelType w:val="hybridMultilevel"/>
    <w:lvl w:ilvl="0">
      <w:lvlJc w:val="left"/>
      <w:lvlText w:val="%1."/>
      <w:numFmt w:val="decimal"/>
      <w:start w:val="6"/>
    </w:lvl>
  </w:abstractNum>
  <w:abstractNum w:abstractNumId="122">
    <w:nsid w:val="2A6AD9BE"/>
    <w:multiLevelType w:val="hybridMultilevel"/>
    <w:lvl w:ilvl="0">
      <w:lvlJc w:val="left"/>
      <w:lvlText w:val="(%1)"/>
      <w:numFmt w:val="lowerRoman"/>
      <w:start w:val="1"/>
    </w:lvl>
  </w:abstractNum>
  <w:abstractNum w:abstractNumId="123">
    <w:nsid w:val="BAAC1B4"/>
    <w:multiLevelType w:val="hybridMultilevel"/>
    <w:lvl w:ilvl="0">
      <w:lvlJc w:val="left"/>
      <w:lvlText w:val="(%1)"/>
      <w:numFmt w:val="lowerRoman"/>
      <w:start w:val="2"/>
    </w:lvl>
  </w:abstractNum>
  <w:abstractNum w:abstractNumId="124">
    <w:nsid w:val="36B2ACBC"/>
    <w:multiLevelType w:val="hybridMultilevel"/>
    <w:lvl w:ilvl="0">
      <w:lvlJc w:val="left"/>
      <w:lvlText w:val="%1."/>
      <w:numFmt w:val="decimal"/>
      <w:start w:val="7"/>
    </w:lvl>
  </w:abstractNum>
  <w:abstractNum w:abstractNumId="125">
    <w:nsid w:val="779D8544"/>
    <w:multiLevelType w:val="hybridMultilevel"/>
    <w:lvl w:ilvl="0">
      <w:lvlJc w:val="left"/>
      <w:lvlText w:val="%1."/>
      <w:numFmt w:val="decimal"/>
      <w:start w:val="8"/>
    </w:lvl>
  </w:abstractNum>
  <w:abstractNum w:abstractNumId="126">
    <w:nsid w:val="4AB26E78"/>
    <w:multiLevelType w:val="hybridMultilevel"/>
    <w:lvl w:ilvl="0">
      <w:lvlJc w:val="left"/>
      <w:lvlText w:val="(%1)"/>
      <w:numFmt w:val="lowerLetter"/>
      <w:start w:val="1"/>
    </w:lvl>
  </w:abstractNum>
  <w:abstractNum w:abstractNumId="127">
    <w:nsid w:val="21FAA2FA"/>
    <w:multiLevelType w:val="hybridMultilevel"/>
    <w:lvl w:ilvl="0">
      <w:lvlJc w:val="left"/>
      <w:lvlText w:val="%1."/>
      <w:numFmt w:val="decimal"/>
      <w:start w:val="8"/>
    </w:lvl>
  </w:abstractNum>
  <w:abstractNum w:abstractNumId="128">
    <w:nsid w:val="5451CF49"/>
    <w:multiLevelType w:val="hybridMultilevel"/>
    <w:lvl w:ilvl="0">
      <w:lvlJc w:val="left"/>
      <w:lvlText w:val="(%1)"/>
      <w:numFmt w:val="lowerLetter"/>
      <w:start w:val="1"/>
    </w:lvl>
  </w:abstractNum>
  <w:abstractNum w:abstractNumId="129">
    <w:nsid w:val="6181EF69"/>
    <w:multiLevelType w:val="hybridMultilevel"/>
    <w:lvl w:ilvl="0">
      <w:lvlJc w:val="left"/>
      <w:lvlText w:val="(%1)"/>
      <w:numFmt w:val="lowerLetter"/>
      <w:start w:val="2"/>
    </w:lvl>
  </w:abstractNum>
  <w:abstractNum w:abstractNumId="130">
    <w:nsid w:val="3E6400E6"/>
    <w:multiLevelType w:val="hybridMultilevel"/>
    <w:lvl w:ilvl="0">
      <w:lvlJc w:val="left"/>
      <w:lvlText w:val="(%1)"/>
      <w:numFmt w:val="lowerLetter"/>
      <w:start w:val="3"/>
    </w:lvl>
  </w:abstractNum>
  <w:abstractNum w:abstractNumId="131">
    <w:nsid w:val="14217E23"/>
    <w:multiLevelType w:val="hybridMultilevel"/>
    <w:lvl w:ilvl="0">
      <w:lvlJc w:val="left"/>
      <w:lvlText w:val="%1."/>
      <w:numFmt w:val="decimal"/>
      <w:start w:val="10"/>
    </w:lvl>
  </w:abstractNum>
  <w:abstractNum w:abstractNumId="132">
    <w:nsid w:val="710757D0"/>
    <w:multiLevelType w:val="hybridMultilevel"/>
    <w:lvl w:ilvl="0">
      <w:lvlJc w:val="left"/>
      <w:lvlText w:val="%1."/>
      <w:numFmt w:val="decimal"/>
      <w:start w:val="11"/>
    </w:lvl>
  </w:abstractNum>
  <w:abstractNum w:abstractNumId="133">
    <w:nsid w:val="5015CD1A"/>
    <w:multiLevelType w:val="hybridMultilevel"/>
    <w:lvl w:ilvl="0">
      <w:lvlJc w:val="left"/>
      <w:lvlText w:val="(%1)"/>
      <w:numFmt w:val="lowerLetter"/>
      <w:start w:val="1"/>
    </w:lvl>
  </w:abstractNum>
  <w:abstractNum w:abstractNumId="134">
    <w:nsid w:val="424479DA"/>
    <w:multiLevelType w:val="hybridMultilevel"/>
    <w:lvl w:ilvl="0">
      <w:lvlJc w:val="left"/>
      <w:lvlText w:val="(%1)"/>
      <w:numFmt w:val="lowerLetter"/>
      <w:start w:val="2"/>
    </w:lvl>
  </w:abstractNum>
  <w:abstractNum w:abstractNumId="135">
    <w:nsid w:val="1A9A9E69"/>
    <w:multiLevelType w:val="hybridMultilevel"/>
    <w:lvl w:ilvl="0">
      <w:lvlJc w:val="left"/>
      <w:lvlText w:val="%1"/>
      <w:numFmt w:val="decimal"/>
      <w:start w:val="1"/>
    </w:lvl>
    <w:lvl w:ilvl="1">
      <w:lvlJc w:val="left"/>
      <w:lvlText w:val="(%2)"/>
      <w:numFmt w:val="lowerRoman"/>
      <w:start w:val="1"/>
    </w:lvl>
  </w:abstractNum>
  <w:abstractNum w:abstractNumId="136">
    <w:nsid w:val="475E256A"/>
    <w:multiLevelType w:val="hybridMultilevel"/>
    <w:lvl w:ilvl="0">
      <w:lvlJc w:val="left"/>
      <w:lvlText w:val="%1."/>
      <w:numFmt w:val="decimal"/>
      <w:start w:val="13"/>
    </w:lvl>
    <w:lvl w:ilvl="1">
      <w:lvlJc w:val="left"/>
      <w:lvlText w:val="%2"/>
      <w:numFmt w:val="lowerRoman"/>
      <w:start w:val="1"/>
    </w:lvl>
  </w:abstractNum>
  <w:abstractNum w:abstractNumId="137">
    <w:nsid w:val="368DB37E"/>
    <w:multiLevelType w:val="hybridMultilevel"/>
    <w:lvl w:ilvl="0">
      <w:lvlJc w:val="left"/>
      <w:lvlText w:val="%1."/>
      <w:numFmt w:val="decimal"/>
      <w:start w:val="14"/>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decimal"/>
      <w:start w:val="15"/>
    </w:lvl>
  </w:abstractNum>
  <w:abstractNum w:abstractNumId="140">
    <w:nsid w:val="1F461B51"/>
    <w:multiLevelType w:val="hybridMultilevel"/>
    <w:lvl w:ilvl="0">
      <w:lvlJc w:val="left"/>
      <w:lvlText w:val="%1."/>
      <w:numFmt w:val="decimal"/>
      <w:start w:val="16"/>
    </w:lvl>
  </w:abstractNum>
  <w:abstractNum w:abstractNumId="141">
    <w:nsid w:val="29BACF25"/>
    <w:multiLevelType w:val="hybridMultilevel"/>
    <w:lvl w:ilvl="0">
      <w:lvlJc w:val="left"/>
      <w:lvlText w:val="(%1)"/>
      <w:numFmt w:val="lowerLetter"/>
      <w:start w:val="1"/>
    </w:lvl>
  </w:abstractNum>
  <w:abstractNum w:abstractNumId="142">
    <w:nsid w:val="5D5BABB3"/>
    <w:multiLevelType w:val="hybridMultilevel"/>
    <w:lvl w:ilvl="0">
      <w:lvlJc w:val="left"/>
      <w:lvlText w:val="(%1)"/>
      <w:numFmt w:val="lowerLetter"/>
      <w:start w:val="2"/>
    </w:lvl>
  </w:abstractNum>
  <w:abstractNum w:abstractNumId="143">
    <w:nsid w:val="51BF6B48"/>
    <w:multiLevelType w:val="hybridMultilevel"/>
    <w:lvl w:ilvl="0">
      <w:lvlJc w:val="left"/>
      <w:lvlText w:val="%1."/>
      <w:numFmt w:val="decimal"/>
      <w:start w:val="16"/>
    </w:lvl>
  </w:abstractNum>
  <w:abstractNum w:abstractNumId="144">
    <w:nsid w:val="7E0F6384"/>
    <w:multiLevelType w:val="hybridMultilevel"/>
    <w:lvl w:ilvl="0">
      <w:lvlJc w:val="left"/>
      <w:lvlText w:val="(%1)"/>
      <w:numFmt w:val="lowerLetter"/>
      <w:start w:val="3"/>
    </w:lvl>
  </w:abstractNum>
  <w:abstractNum w:abstractNumId="145">
    <w:nsid w:val="2B4B8B53"/>
    <w:multiLevelType w:val="hybridMultilevel"/>
    <w:lvl w:ilvl="0">
      <w:lvlJc w:val="left"/>
      <w:lvlText w:val="(%1)"/>
      <w:numFmt w:val="lowerLetter"/>
      <w:start w:val="4"/>
    </w:lvl>
  </w:abstractNum>
  <w:abstractNum w:abstractNumId="146">
    <w:nsid w:val="72E3413A"/>
    <w:multiLevelType w:val="hybridMultilevel"/>
    <w:lvl w:ilvl="0">
      <w:lvlJc w:val="left"/>
      <w:lvlText w:val="%1."/>
      <w:numFmt w:val="decimal"/>
      <w:start w:val="17"/>
    </w:lvl>
  </w:abstractNum>
  <w:abstractNum w:abstractNumId="147">
    <w:nsid w:val="116AE494"/>
    <w:multiLevelType w:val="hybridMultilevel"/>
    <w:lvl w:ilvl="0">
      <w:lvlJc w:val="left"/>
      <w:lvlText w:val="(%1)"/>
      <w:numFmt w:val="lowerLetter"/>
      <w:start w:val="1"/>
    </w:lvl>
  </w:abstractNum>
  <w:abstractNum w:abstractNumId="148">
    <w:nsid w:val="3494B2FB"/>
    <w:multiLevelType w:val="hybridMultilevel"/>
    <w:lvl w:ilvl="0">
      <w:lvlJc w:val="left"/>
      <w:lvlText w:val="%1."/>
      <w:numFmt w:val="decimal"/>
      <w:start w:val="17"/>
    </w:lvl>
  </w:abstractNum>
  <w:abstractNum w:abstractNumId="149">
    <w:nsid w:val="B13A31"/>
    <w:multiLevelType w:val="hybridMultilevel"/>
    <w:lvl w:ilvl="0">
      <w:lvlJc w:val="left"/>
      <w:lvlText w:val="(%1)"/>
      <w:numFmt w:val="lowerLetter"/>
      <w:start w:val="1"/>
    </w:lvl>
  </w:abstractNum>
  <w:abstractNum w:abstractNumId="150">
    <w:nsid w:val="64429599"/>
    <w:multiLevelType w:val="hybridMultilevel"/>
    <w:lvl w:ilvl="0">
      <w:lvlJc w:val="left"/>
      <w:lvlText w:val="(%1)"/>
      <w:numFmt w:val="lowerLetter"/>
      <w:start w:val="2"/>
    </w:lvl>
  </w:abstractNum>
  <w:abstractNum w:abstractNumId="151">
    <w:nsid w:val="631F1690"/>
    <w:multiLevelType w:val="hybridMultilevel"/>
    <w:lvl w:ilvl="0">
      <w:lvlJc w:val="left"/>
      <w:lvlText w:val="(%1)"/>
      <w:numFmt w:val="lowerLetter"/>
      <w:start w:val="3"/>
    </w:lvl>
  </w:abstractNum>
  <w:abstractNum w:abstractNumId="152">
    <w:nsid w:val="25973E32"/>
    <w:multiLevelType w:val="hybridMultilevel"/>
    <w:lvl w:ilvl="0">
      <w:lvlJc w:val="left"/>
      <w:lvlText w:val="%1."/>
      <w:numFmt w:val="decimal"/>
      <w:start w:val="17"/>
    </w:lvl>
  </w:abstractNum>
  <w:abstractNum w:abstractNumId="153">
    <w:nsid w:val="EAD6F57"/>
    <w:multiLevelType w:val="hybridMultilevel"/>
    <w:lvl w:ilvl="0">
      <w:lvlJc w:val="left"/>
      <w:lvlText w:val="(%1)"/>
      <w:numFmt w:val="lowerLetter"/>
      <w:start w:val="3"/>
    </w:lvl>
  </w:abstractNum>
  <w:abstractNum w:abstractNumId="154">
    <w:nsid w:val="6EC9D844"/>
    <w:multiLevelType w:val="hybridMultilevel"/>
    <w:lvl w:ilvl="0">
      <w:lvlJc w:val="left"/>
      <w:lvlText w:val="(%1)"/>
      <w:numFmt w:val="lowerLetter"/>
      <w:start w:val="4"/>
    </w:lvl>
  </w:abstractNum>
  <w:abstractNum w:abstractNumId="155">
    <w:nsid w:val="5C49EAEE"/>
    <w:multiLevelType w:val="hybridMultilevel"/>
    <w:lvl w:ilvl="0">
      <w:lvlJc w:val="left"/>
      <w:lvlText w:val="(%1)"/>
      <w:numFmt w:val="lowerLetter"/>
      <w:start w:val="5"/>
    </w:lvl>
  </w:abstractNum>
  <w:abstractNum w:abstractNumId="156">
    <w:nsid w:val="64AF49B"/>
    <w:multiLevelType w:val="hybridMultilevel"/>
    <w:lvl w:ilvl="0">
      <w:lvlJc w:val="left"/>
      <w:lvlText w:val="(%1)"/>
      <w:numFmt w:val="lowerLetter"/>
      <w:start w:val="6"/>
    </w:lvl>
  </w:abstractNum>
  <w:abstractNum w:abstractNumId="157">
    <w:nsid w:val="397C46BC"/>
    <w:multiLevelType w:val="hybridMultilevel"/>
    <w:lvl w:ilvl="0">
      <w:lvlJc w:val="left"/>
      <w:lvlText w:val="(%1)"/>
      <w:numFmt w:val="lowerLetter"/>
      <w:start w:val="7"/>
    </w:lvl>
  </w:abstractNum>
  <w:abstractNum w:abstractNumId="158">
    <w:nsid w:val="7E448DE9"/>
    <w:multiLevelType w:val="hybridMultilevel"/>
    <w:lvl w:ilvl="0">
      <w:lvlJc w:val="left"/>
      <w:lvlText w:val="•"/>
      <w:numFmt w:val="bullet"/>
      <w:start w:val="1"/>
    </w:lvl>
  </w:abstractNum>
  <w:abstractNum w:abstractNumId="159">
    <w:nsid w:val="5A9CC3E5"/>
    <w:multiLevelType w:val="hybridMultilevel"/>
    <w:lvl w:ilvl="0">
      <w:lvlJc w:val="left"/>
      <w:lvlText w:val="%1."/>
      <w:numFmt w:val="decimal"/>
      <w:start w:val="17"/>
    </w:lvl>
  </w:abstractNum>
  <w:abstractNum w:abstractNumId="160">
    <w:nsid w:val="1AFE3625"/>
    <w:multiLevelType w:val="hybridMultilevel"/>
    <w:lvl w:ilvl="0">
      <w:lvlJc w:val="left"/>
      <w:lvlText w:val="(%1)"/>
      <w:numFmt w:val="lowerLetter"/>
      <w:start w:val="7"/>
    </w:lvl>
  </w:abstractNum>
  <w:abstractNum w:abstractNumId="161">
    <w:nsid w:val="3CA88ECF"/>
    <w:multiLevelType w:val="hybridMultilevel"/>
    <w:lvl w:ilvl="0">
      <w:lvlJc w:val="left"/>
      <w:lvlText w:val="%1)"/>
      <w:numFmt w:val="lowerRoman"/>
      <w:start w:val="1"/>
    </w:lvl>
  </w:abstractNum>
  <w:abstractNum w:abstractNumId="162">
    <w:nsid w:val="6EBE4208"/>
    <w:multiLevelType w:val="hybridMultilevel"/>
    <w:lvl w:ilvl="0">
      <w:lvlJc w:val="left"/>
      <w:lvlText w:val="%1)"/>
      <w:numFmt w:val="lowerRoman"/>
      <w:start w:val="2"/>
    </w:lvl>
  </w:abstractNum>
  <w:abstractNum w:abstractNumId="163">
    <w:nsid w:val="C058DF5"/>
    <w:multiLevelType w:val="hybridMultilevel"/>
    <w:lvl w:ilvl="0">
      <w:lvlJc w:val="left"/>
      <w:lvlText w:val="%1)"/>
      <w:numFmt w:val="lowerRoman"/>
      <w:start w:val="3"/>
    </w:lvl>
  </w:abstractNum>
  <w:abstractNum w:abstractNumId="164">
    <w:nsid w:val="CBE5BE9"/>
    <w:multiLevelType w:val="hybridMultilevel"/>
    <w:lvl w:ilvl="0">
      <w:lvlJc w:val="left"/>
      <w:lvlText w:val="%1."/>
      <w:numFmt w:val="decimal"/>
      <w:start w:val="17"/>
    </w:lvl>
  </w:abstractNum>
  <w:abstractNum w:abstractNumId="165">
    <w:nsid w:val="3102BBE2"/>
    <w:multiLevelType w:val="hybridMultilevel"/>
    <w:lvl w:ilvl="0">
      <w:lvlJc w:val="left"/>
      <w:lvlText w:val="(%1)"/>
      <w:numFmt w:val="lowerLetter"/>
      <w:start w:val="7"/>
    </w:lvl>
  </w:abstractNum>
  <w:abstractNum w:abstractNumId="166">
    <w:nsid w:val="26A02C5E"/>
    <w:multiLevelType w:val="hybridMultilevel"/>
    <w:lvl w:ilvl="0">
      <w:lvlJc w:val="left"/>
      <w:lvlText w:val="%1)"/>
      <w:numFmt w:val="lowerRoman"/>
      <w:start w:val="4"/>
    </w:lvl>
  </w:abstractNum>
  <w:abstractNum w:abstractNumId="167">
    <w:nsid w:val="541C8153"/>
    <w:multiLevelType w:val="hybridMultilevel"/>
    <w:lvl w:ilvl="0">
      <w:lvlJc w:val="left"/>
      <w:lvlText w:val="%1)"/>
      <w:numFmt w:val="lowerRoman"/>
      <w:start w:val="5"/>
    </w:lvl>
  </w:abstractNum>
  <w:abstractNum w:abstractNumId="168">
    <w:nsid w:val="67906F60"/>
    <w:multiLevelType w:val="hybridMultilevel"/>
    <w:lvl w:ilvl="0">
      <w:lvlJc w:val="left"/>
      <w:lvlText w:val="%1)"/>
      <w:numFmt w:val="lowerRoman"/>
      <w:start w:val="6"/>
    </w:lvl>
  </w:abstractNum>
  <w:abstractNum w:abstractNumId="169">
    <w:nsid w:val="10DB9DAA"/>
    <w:multiLevelType w:val="hybridMultilevel"/>
    <w:lvl w:ilvl="0">
      <w:lvlJc w:val="left"/>
      <w:lvlText w:val="%1."/>
      <w:numFmt w:val="decimal"/>
      <w:start w:val="17"/>
    </w:lvl>
  </w:abstractNum>
  <w:abstractNum w:abstractNumId="170">
    <w:nsid w:val="697D2D2"/>
    <w:multiLevelType w:val="hybridMultilevel"/>
    <w:lvl w:ilvl="0">
      <w:lvlJc w:val="left"/>
      <w:lvlText w:val="(%1)"/>
      <w:numFmt w:val="lowerLetter"/>
      <w:start w:val="7"/>
    </w:lvl>
  </w:abstractNum>
  <w:abstractNum w:abstractNumId="171">
    <w:nsid w:val="6D68AB2"/>
    <w:multiLevelType w:val="hybridMultilevel"/>
    <w:lvl w:ilvl="0">
      <w:lvlJc w:val="left"/>
      <w:lvlText w:val="(%1)"/>
      <w:numFmt w:val="lowerLetter"/>
      <w:start w:val="8"/>
    </w:lvl>
  </w:abstractNum>
  <w:abstractNum w:abstractNumId="172">
    <w:nsid w:val="3A966CD0"/>
    <w:multiLevelType w:val="hybridMultilevel"/>
    <w:lvl w:ilvl="0">
      <w:lvlJc w:val="left"/>
      <w:lvlText w:val="%1."/>
      <w:numFmt w:val="decimal"/>
      <w:start w:val="1"/>
    </w:lvl>
    <w:lvl w:ilvl="1">
      <w:lvlJc w:val="left"/>
      <w:lvlText w:val="%2."/>
      <w:numFmt w:val="lowerLetter"/>
      <w:start w:val="1"/>
    </w:lvl>
  </w:abstractNum>
  <w:abstractNum w:abstractNumId="173">
    <w:nsid w:val="63F37E85"/>
    <w:multiLevelType w:val="hybridMultilevel"/>
    <w:lvl w:ilvl="0">
      <w:lvlJc w:val="left"/>
      <w:lvlText w:val="%1."/>
      <w:numFmt w:val="decimal"/>
      <w:start w:val="18"/>
    </w:lvl>
  </w:abstractNum>
  <w:abstractNum w:abstractNumId="174">
    <w:nsid w:val="5895F5FA"/>
    <w:multiLevelType w:val="hybridMultilevel"/>
    <w:lvl w:ilvl="0">
      <w:lvlJc w:val="left"/>
      <w:lvlText w:val="%1."/>
      <w:numFmt w:val="decimal"/>
      <w:start w:val="18"/>
    </w:lvl>
  </w:abstractNum>
  <w:abstractNum w:abstractNumId="175">
    <w:nsid w:val="38A5D054"/>
    <w:multiLevelType w:val="hybridMultilevel"/>
    <w:lvl w:ilvl="0">
      <w:lvlJc w:val="left"/>
      <w:lvlText w:val="•"/>
      <w:numFmt w:val="bullet"/>
      <w:start w:val="1"/>
    </w:lvl>
  </w:abstractNum>
  <w:abstractNum w:abstractNumId="176">
    <w:nsid w:val="F3F09D8"/>
    <w:multiLevelType w:val="hybridMultilevel"/>
    <w:lvl w:ilvl="0">
      <w:lvlJc w:val="left"/>
      <w:lvlText w:val="%1."/>
      <w:numFmt w:val="decimal"/>
      <w:start w:val="18"/>
    </w:lvl>
  </w:abstractNum>
  <w:abstractNum w:abstractNumId="177">
    <w:nsid w:val="4B793735"/>
    <w:multiLevelType w:val="hybridMultilevel"/>
    <w:lvl w:ilvl="0">
      <w:lvlJc w:val="left"/>
      <w:lvlText w:val="%1."/>
      <w:numFmt w:val="decimal"/>
      <w:start w:val="19"/>
    </w:lvl>
  </w:abstractNum>
  <w:abstractNum w:abstractNumId="178">
    <w:nsid w:val="4A10B4E8"/>
    <w:multiLevelType w:val="hybridMultilevel"/>
    <w:lvl w:ilvl="0">
      <w:lvlJc w:val="left"/>
      <w:lvlText w:val="%1."/>
      <w:numFmt w:val="decimal"/>
      <w:start w:val="19"/>
    </w:lvl>
  </w:abstractNum>
  <w:abstractNum w:abstractNumId="179">
    <w:nsid w:val="43D3BCD4"/>
    <w:multiLevelType w:val="hybridMultilevel"/>
    <w:lvl w:ilvl="0">
      <w:lvlJc w:val="left"/>
      <w:lvlText w:val="%1."/>
      <w:numFmt w:val="decimal"/>
      <w:start w:val="19"/>
    </w:lvl>
  </w:abstractNum>
  <w:abstractNum w:abstractNumId="180">
    <w:nsid w:val="4C2A7166"/>
    <w:multiLevelType w:val="hybridMultilevel"/>
    <w:lvl w:ilvl="0">
      <w:lvlJc w:val="left"/>
      <w:lvlText w:val="%1."/>
      <w:numFmt w:val="decimal"/>
      <w:start w:val="19"/>
    </w:lvl>
  </w:abstractNum>
  <w:abstractNum w:abstractNumId="181">
    <w:nsid w:val="2E534A82"/>
    <w:multiLevelType w:val="hybridMultilevel"/>
    <w:lvl w:ilvl="0">
      <w:lvlJc w:val="left"/>
      <w:lvlText w:val="%1."/>
      <w:numFmt w:val="decimal"/>
      <w:start w:val="20"/>
    </w:lvl>
  </w:abstractNum>
  <w:abstractNum w:abstractNumId="182">
    <w:nsid w:val="26F2D364"/>
    <w:multiLevelType w:val="hybridMultilevel"/>
    <w:lvl w:ilvl="0">
      <w:lvlJc w:val="left"/>
      <w:lvlText w:val="%1."/>
      <w:numFmt w:val="decimal"/>
      <w:start w:val="21"/>
    </w:lvl>
  </w:abstractNum>
  <w:abstractNum w:abstractNumId="183">
    <w:nsid w:val="71C1AF98"/>
    <w:multiLevelType w:val="hybridMultilevel"/>
    <w:lvl w:ilvl="0">
      <w:lvlJc w:val="left"/>
      <w:lvlText w:val="%1."/>
      <w:numFmt w:val="decimal"/>
      <w:start w:val="23"/>
    </w:lvl>
  </w:abstractNum>
  <w:abstractNum w:abstractNumId="184">
    <w:nsid w:val="3D00B9D9"/>
    <w:multiLevelType w:val="hybridMultilevel"/>
    <w:lvl w:ilvl="0">
      <w:lvlJc w:val="left"/>
      <w:lvlText w:val="•"/>
      <w:numFmt w:val="bullet"/>
      <w:start w:val="1"/>
    </w:lvl>
  </w:abstractNum>
  <w:abstractNum w:abstractNumId="185">
    <w:nsid w:val="15BCABA8"/>
    <w:multiLevelType w:val="hybridMultilevel"/>
    <w:lvl w:ilvl="0">
      <w:lvlJc w:val="left"/>
      <w:lvlText w:val="%1."/>
      <w:numFmt w:val="decimal"/>
      <w:start w:val="23"/>
    </w:lvl>
  </w:abstractNum>
  <w:abstractNum w:abstractNumId="186">
    <w:nsid w:val="4E0B9A87"/>
    <w:multiLevelType w:val="hybridMultilevel"/>
    <w:lvl w:ilvl="0">
      <w:lvlJc w:val="left"/>
      <w:lvlText w:val="%1."/>
      <w:numFmt w:val="decimal"/>
      <w:start w:val="23"/>
    </w:lvl>
  </w:abstractNum>
  <w:abstractNum w:abstractNumId="187">
    <w:nsid w:val="434BAE75"/>
    <w:multiLevelType w:val="hybridMultilevel"/>
    <w:lvl w:ilvl="0">
      <w:lvlJc w:val="left"/>
      <w:lvlText w:val="%1."/>
      <w:numFmt w:val="decimal"/>
      <w:start w:val="24"/>
    </w:lvl>
  </w:abstractNum>
  <w:abstractNum w:abstractNumId="188">
    <w:nsid w:val="4F38F265"/>
    <w:multiLevelType w:val="hybridMultilevel"/>
    <w:lvl w:ilvl="0">
      <w:lvlJc w:val="left"/>
      <w:lvlText w:val="%1."/>
      <w:numFmt w:val="decimal"/>
      <w:start w:val="25"/>
    </w:lvl>
  </w:abstractNum>
  <w:abstractNum w:abstractNumId="189">
    <w:nsid w:val="4C502870"/>
    <w:multiLevelType w:val="hybridMultilevel"/>
    <w:lvl w:ilvl="0">
      <w:lvlJc w:val="left"/>
      <w:lvlText w:val="%1."/>
      <w:numFmt w:val="decimal"/>
      <w:start w:val="1"/>
    </w:lvl>
  </w:abstractNum>
  <w:abstractNum w:abstractNumId="190">
    <w:nsid w:val="1DE8725A"/>
    <w:multiLevelType w:val="hybridMultilevel"/>
    <w:lvl w:ilvl="0">
      <w:lvlJc w:val="left"/>
      <w:lvlText w:val="%1)"/>
      <w:numFmt w:val="lowerLetter"/>
      <w:start w:val="1"/>
    </w:lvl>
  </w:abstractNum>
  <w:abstractNum w:abstractNumId="191">
    <w:nsid w:val="6A37288A"/>
    <w:multiLevelType w:val="hybridMultilevel"/>
    <w:lvl w:ilvl="0">
      <w:lvlJc w:val="left"/>
      <w:lvlText w:val="%1)"/>
      <w:numFmt w:val="lowerLetter"/>
      <w:start w:val="2"/>
    </w:lvl>
  </w:abstractNum>
  <w:abstractNum w:abstractNumId="192">
    <w:nsid w:val="8F8B73F"/>
    <w:multiLevelType w:val="hybridMultilevel"/>
    <w:lvl w:ilvl="0">
      <w:lvlJc w:val="left"/>
      <w:lvlText w:val="%1."/>
      <w:numFmt w:val="decimal"/>
      <w:start w:val="1"/>
    </w:lvl>
  </w:abstractNum>
  <w:abstractNum w:abstractNumId="193">
    <w:nsid w:val="CA6B462"/>
    <w:multiLevelType w:val="hybridMultilevel"/>
    <w:lvl w:ilvl="0">
      <w:lvlJc w:val="left"/>
      <w:lvlText w:val="%1."/>
      <w:numFmt w:val="decimal"/>
      <w:start w:val="1"/>
    </w:lvl>
  </w:abstractNum>
  <w:abstractNum w:abstractNumId="194">
    <w:nsid w:val="763CB680"/>
    <w:multiLevelType w:val="hybridMultilevel"/>
    <w:lvl w:ilvl="0">
      <w:lvlJc w:val="left"/>
      <w:lvlText w:val="%1)"/>
      <w:numFmt w:val="lowerLetter"/>
      <w:start w:val="2"/>
    </w:lvl>
    <w:lvl w:ilvl="1">
      <w:lvlJc w:val="left"/>
      <w:lvlText w:val="%2."/>
      <w:numFmt w:val="decimal"/>
      <w:start w:val="2"/>
    </w:lvl>
  </w:abstractNum>
  <w:abstractNum w:abstractNumId="195">
    <w:nsid w:val="15B71329"/>
    <w:multiLevelType w:val="hybridMultilevel"/>
    <w:lvl w:ilvl="0">
      <w:lvlJc w:val="left"/>
      <w:lvlText w:val="•"/>
      <w:numFmt w:val="bullet"/>
      <w:start w:val="1"/>
    </w:lvl>
  </w:abstractNum>
  <w:abstractNum w:abstractNumId="196">
    <w:nsid w:val="3DA97044"/>
    <w:multiLevelType w:val="hybridMultilevel"/>
    <w:lvl w:ilvl="0">
      <w:lvlJc w:val="left"/>
      <w:lvlText w:val="•"/>
      <w:numFmt w:val="bullet"/>
      <w:start w:val="1"/>
    </w:lvl>
  </w:abstractNum>
  <w:abstractNum w:abstractNumId="197">
    <w:nsid w:val="1CDCE2DE"/>
    <w:multiLevelType w:val="hybridMultilevel"/>
    <w:lvl w:ilvl="0">
      <w:lvlJc w:val="left"/>
      <w:lvlText w:val="%1."/>
      <w:numFmt w:val="decimal"/>
      <w:start w:val="1"/>
    </w:lvl>
  </w:abstractNum>
  <w:abstractNum w:abstractNumId="198">
    <w:nsid w:val="69D3947C"/>
    <w:multiLevelType w:val="hybridMultilevel"/>
    <w:lvl w:ilvl="0">
      <w:lvlJc w:val="left"/>
      <w:lvlText w:val="%1)"/>
      <w:numFmt w:val="lowerLetter"/>
      <w:start w:val="2"/>
    </w:lvl>
    <w:lvl w:ilvl="1">
      <w:lvlJc w:val="left"/>
      <w:lvlText w:val="•"/>
      <w:numFmt w:val="bullet"/>
      <w:start w:val="1"/>
    </w:lvl>
  </w:abstractNum>
  <w:abstractNum w:abstractNumId="199">
    <w:nsid w:val="2539DFA5"/>
    <w:multiLevelType w:val="hybridMultilevel"/>
    <w:lvl w:ilvl="0">
      <w:lvlJc w:val="left"/>
      <w:lvlText w:val="%1."/>
      <w:numFmt w:val="decimal"/>
      <w:start w:val="1"/>
    </w:lvl>
  </w:abstractNum>
  <w:abstractNum w:abstractNumId="200">
    <w:nsid w:val="2DB88089"/>
    <w:multiLevelType w:val="hybridMultilevel"/>
    <w:lvl w:ilvl="0">
      <w:lvlJc w:val="left"/>
      <w:lvlText w:val="%1)"/>
      <w:numFmt w:val="lowerLetter"/>
      <w:start w:val="3"/>
    </w:lvl>
  </w:abstractNum>
  <w:abstractNum w:abstractNumId="201">
    <w:nsid w:val="706B674E"/>
    <w:multiLevelType w:val="hybridMultilevel"/>
    <w:lvl w:ilvl="0">
      <w:lvlJc w:val="left"/>
      <w:lvlText w:val="%1."/>
      <w:numFmt w:val="decimal"/>
      <w:start w:val="2"/>
    </w:lvl>
  </w:abstractNum>
  <w:abstractNum w:abstractNumId="202">
    <w:nsid w:val="2C106A57"/>
    <w:multiLevelType w:val="hybridMultilevel"/>
    <w:lvl w:ilvl="0">
      <w:lvlJc w:val="left"/>
      <w:lvlText w:val="%1."/>
      <w:numFmt w:val="decimal"/>
      <w:start w:val="3"/>
    </w:lvl>
  </w:abstractNum>
  <w:abstractNum w:abstractNumId="203">
    <w:nsid w:val="684EED59"/>
    <w:multiLevelType w:val="hybridMultilevel"/>
    <w:lvl w:ilvl="0">
      <w:lvlJc w:val="left"/>
      <w:lvlText w:val="%1."/>
      <w:numFmt w:val="decimal"/>
      <w:start w:val="4"/>
    </w:lvl>
  </w:abstractNum>
  <w:abstractNum w:abstractNumId="204">
    <w:nsid w:val="545EE5D3"/>
    <w:multiLevelType w:val="hybridMultilevel"/>
    <w:lvl w:ilvl="0">
      <w:lvlJc w:val="left"/>
      <w:lvlText w:val="•"/>
      <w:numFmt w:val="bullet"/>
      <w:start w:val="1"/>
    </w:lvl>
  </w:abstractNum>
  <w:abstractNum w:abstractNumId="205">
    <w:nsid w:val="4A66051"/>
    <w:multiLevelType w:val="hybridMultilevel"/>
    <w:lvl w:ilvl="0">
      <w:lvlJc w:val="left"/>
      <w:lvlText w:val="%1."/>
      <w:numFmt w:val="decimal"/>
      <w:start w:val="4"/>
    </w:lvl>
  </w:abstractNum>
  <w:abstractNum w:abstractNumId="206">
    <w:nsid w:val="20F4BDAD"/>
    <w:multiLevelType w:val="hybridMultilevel"/>
    <w:lvl w:ilvl="0">
      <w:lvlJc w:val="left"/>
      <w:lvlText w:val="%1."/>
      <w:numFmt w:val="decimal"/>
      <w:start w:val="4"/>
    </w:lvl>
  </w:abstractNum>
  <w:abstractNum w:abstractNumId="207">
    <w:nsid w:val="639DEFAC"/>
    <w:multiLevelType w:val="hybridMultilevel"/>
    <w:lvl w:ilvl="0">
      <w:lvlJc w:val="left"/>
      <w:lvlText w:val="%1."/>
      <w:numFmt w:val="decimal"/>
      <w:start w:val="5"/>
    </w:lvl>
  </w:abstractNum>
  <w:abstractNum w:abstractNumId="208">
    <w:nsid w:val="501F9786"/>
    <w:multiLevelType w:val="hybridMultilevel"/>
    <w:lvl w:ilvl="0">
      <w:lvlJc w:val="left"/>
      <w:lvlText w:val="(%1)"/>
      <w:numFmt w:val="lowerLetter"/>
      <w:start w:val="1"/>
    </w:lvl>
  </w:abstractNum>
  <w:abstractNum w:abstractNumId="209">
    <w:nsid w:val="6B057295"/>
    <w:multiLevelType w:val="hybridMultilevel"/>
    <w:lvl w:ilvl="0">
      <w:lvlJc w:val="left"/>
      <w:lvlText w:val="(%1)"/>
      <w:numFmt w:val="lowerLetter"/>
      <w:start w:val="2"/>
    </w:lvl>
  </w:abstractNum>
  <w:abstractNum w:abstractNumId="210">
    <w:nsid w:val="2771AC80"/>
    <w:multiLevelType w:val="hybridMultilevel"/>
    <w:lvl w:ilvl="0">
      <w:lvlJc w:val="left"/>
      <w:lvlText w:val="%1)"/>
      <w:numFmt w:val="lowerRoman"/>
    </w:lvl>
    <w:lvl w:ilvl="1">
      <w:lvlJc w:val="left"/>
      <w:lvlText w:val="•"/>
      <w:numFmt w:val="bullet"/>
      <w:start w:val="1"/>
    </w:lvl>
  </w:abstractNum>
  <w:abstractNum w:abstractNumId="211">
    <w:nsid w:val="1C4A08EC"/>
    <w:multiLevelType w:val="hybridMultilevel"/>
    <w:lvl w:ilvl="0">
      <w:lvlJc w:val="left"/>
      <w:lvlText w:val="%1."/>
      <w:numFmt w:val="decimal"/>
      <w:start w:val="5"/>
    </w:lvl>
  </w:abstractNum>
  <w:abstractNum w:abstractNumId="212">
    <w:nsid w:val="1958BD17"/>
    <w:multiLevelType w:val="hybridMultilevel"/>
    <w:lvl w:ilvl="0">
      <w:lvlJc w:val="left"/>
      <w:lvlText w:val="(%1)"/>
      <w:numFmt w:val="lowerLetter"/>
      <w:start w:val="2"/>
    </w:lvl>
  </w:abstractNum>
  <w:abstractNum w:abstractNumId="213">
    <w:nsid w:val="4E647FE4"/>
    <w:multiLevelType w:val="hybridMultilevel"/>
    <w:lvl w:ilvl="0">
      <w:lvlJc w:val="left"/>
      <w:lvlText w:val="%1)"/>
      <w:numFmt w:val="lowerRoman"/>
      <w:start w:val="2"/>
    </w:lvl>
  </w:abstractNum>
  <w:abstractNum w:abstractNumId="214">
    <w:nsid w:val="E0BB885"/>
    <w:multiLevelType w:val="hybridMultilevel"/>
    <w:lvl w:ilvl="0">
      <w:lvlJc w:val="left"/>
      <w:lvlText w:val="%1)"/>
      <w:numFmt w:val="lowerRoman"/>
      <w:start w:val="3"/>
    </w:lvl>
  </w:abstractNum>
  <w:abstractNum w:abstractNumId="215">
    <w:nsid w:val="565976F1"/>
    <w:multiLevelType w:val="hybridMultilevel"/>
    <w:lvl w:ilvl="0">
      <w:lvlJc w:val="left"/>
      <w:lvlText w:val="%1)"/>
      <w:numFmt w:val="lowerRoman"/>
      <w:start w:val="4"/>
    </w:lvl>
  </w:abstractNum>
  <w:abstractNum w:abstractNumId="216">
    <w:nsid w:val="64212B8C"/>
    <w:multiLevelType w:val="hybridMultilevel"/>
    <w:lvl w:ilvl="0">
      <w:lvlJc w:val="left"/>
      <w:lvlText w:val="%1."/>
      <w:numFmt w:val="decimal"/>
      <w:start w:val="5"/>
    </w:lvl>
  </w:abstractNum>
  <w:abstractNum w:abstractNumId="217">
    <w:nsid w:val="5C17530C"/>
    <w:multiLevelType w:val="hybridMultilevel"/>
    <w:lvl w:ilvl="0">
      <w:lvlJc w:val="left"/>
      <w:lvlText w:val="(%1)"/>
      <w:numFmt w:val="lowerLetter"/>
      <w:start w:val="2"/>
    </w:lvl>
  </w:abstractNum>
  <w:abstractNum w:abstractNumId="218">
    <w:nsid w:val="19A52566"/>
    <w:multiLevelType w:val="hybridMultilevel"/>
    <w:lvl w:ilvl="0">
      <w:lvlJc w:val="left"/>
      <w:lvlText w:val="%1)"/>
      <w:numFmt w:val="lowerRoman"/>
      <w:start w:val="5"/>
    </w:lvl>
  </w:abstractNum>
  <w:abstractNum w:abstractNumId="219">
    <w:nsid w:val="335A1DF1"/>
    <w:multiLevelType w:val="hybridMultilevel"/>
    <w:lvl w:ilvl="0">
      <w:lvlJc w:val="left"/>
      <w:lvlText w:val="%1)"/>
      <w:numFmt w:val="lowerRoman"/>
      <w:start w:val="6"/>
    </w:lvl>
    <w:lvl w:ilvl="1">
      <w:lvlJc w:val="left"/>
      <w:lvlText w:val="%2."/>
      <w:numFmt w:val="decimal"/>
      <w:start w:val="1"/>
    </w:lvl>
  </w:abstractNum>
  <w:abstractNum w:abstractNumId="220">
    <w:nsid w:val="28677B7C"/>
    <w:multiLevelType w:val="hybridMultilevel"/>
    <w:lvl w:ilvl="0">
      <w:lvlJc w:val="left"/>
      <w:lvlText w:val="%1."/>
      <w:numFmt w:val="decimal"/>
      <w:start w:val="5"/>
    </w:lvl>
  </w:abstractNum>
  <w:abstractNum w:abstractNumId="221">
    <w:nsid w:val="378D97C0"/>
    <w:multiLevelType w:val="hybridMultilevel"/>
    <w:lvl w:ilvl="0">
      <w:lvlJc w:val="left"/>
      <w:lvlText w:val="(%1)"/>
      <w:numFmt w:val="lowerLetter"/>
      <w:start w:val="2"/>
    </w:lvl>
    <w:lvl w:ilvl="1">
      <w:lvlJc w:val="left"/>
      <w:lvlText w:val="%2."/>
      <w:numFmt w:val="decimal"/>
      <w:start w:val="3"/>
    </w:lvl>
  </w:abstractNum>
  <w:abstractNum w:abstractNumId="222">
    <w:nsid w:val="1D91467C"/>
    <w:multiLevelType w:val="hybridMultilevel"/>
    <w:lvl w:ilvl="0">
      <w:lvlJc w:val="left"/>
      <w:lvlText w:val="%1."/>
      <w:numFmt w:val="decimal"/>
      <w:start w:val="7"/>
    </w:lvl>
  </w:abstractNum>
  <w:abstractNum w:abstractNumId="223">
    <w:nsid w:val="316032B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2019-11-30T22:14:21Z</dcterms:created>
  <dcterms:modified xsi:type="dcterms:W3CDTF">2019-11-30T22:14:21Z</dcterms:modified>
</cp:coreProperties>
</file>