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Avita Medical,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85-1021707</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69"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ind w:left="1300"/>
        <w:spacing w:after="0"/>
        <w:rPr>
          <w:sz w:val="20"/>
          <w:szCs w:val="20"/>
          <w:color w:val="auto"/>
        </w:rPr>
      </w:pPr>
      <w:r>
        <w:rPr>
          <w:rFonts w:ascii="Arial" w:cs="Arial" w:eastAsia="Arial" w:hAnsi="Arial"/>
          <w:sz w:val="10"/>
          <w:szCs w:val="10"/>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661.367.9170</w:t>
      </w:r>
    </w:p>
    <w:p>
      <w:pPr>
        <w:spacing w:after="0" w:line="42" w:lineRule="exact"/>
        <w:rPr>
          <w:sz w:val="24"/>
          <w:szCs w:val="24"/>
          <w:color w:val="auto"/>
        </w:rPr>
      </w:pPr>
    </w:p>
    <w:p>
      <w:pPr>
        <w:sectPr>
          <w:pgSz w:w="11900" w:h="16838" w:orient="portrait"/>
          <w:cols w:equalWidth="0" w:num="2">
            <w:col w:w="5340" w:space="720"/>
            <w:col w:w="2959"/>
          </w:cols>
          <w:pgMar w:left="1440" w:top="292" w:right="1440" w:bottom="1440" w:gutter="0" w:footer="0" w:header="0"/>
          <w:type w:val="continuous"/>
        </w:sectPr>
      </w:pPr>
    </w:p>
    <w:p>
      <w:pPr>
        <w:jc w:val="center"/>
        <w:ind w:left="78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38" w:lineRule="exact"/>
        <w:rPr>
          <w:sz w:val="24"/>
          <w:szCs w:val="24"/>
          <w:color w:val="auto"/>
        </w:rPr>
      </w:pPr>
    </w:p>
    <w:p>
      <w:pPr>
        <w:sectPr>
          <w:pgSz w:w="11900" w:h="16838" w:orient="portrait"/>
          <w:cols w:equalWidth="0" w:num="2">
            <w:col w:w="4600" w:space="720"/>
            <w:col w:w="369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RCEL</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40" w:right="899"/>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 Results of Operations and Financial Condition.</w:t>
      </w:r>
    </w:p>
    <w:p>
      <w:pPr>
        <w:spacing w:after="0" w:line="82" w:lineRule="exact"/>
        <w:rPr>
          <w:sz w:val="20"/>
          <w:szCs w:val="20"/>
          <w:color w:val="auto"/>
        </w:rPr>
      </w:pPr>
    </w:p>
    <w:p>
      <w:pPr>
        <w:ind w:left="840" w:right="959" w:firstLine="294"/>
        <w:spacing w:after="0" w:line="256" w:lineRule="auto"/>
        <w:rPr>
          <w:sz w:val="20"/>
          <w:szCs w:val="20"/>
          <w:color w:val="auto"/>
        </w:rPr>
      </w:pPr>
      <w:r>
        <w:rPr>
          <w:rFonts w:ascii="Arial" w:cs="Arial" w:eastAsia="Arial" w:hAnsi="Arial"/>
          <w:sz w:val="12"/>
          <w:szCs w:val="12"/>
          <w:color w:val="auto"/>
        </w:rPr>
        <w:t>On November 8, 2021, AVITA Medical, Inc. (the “Company”), reported financial results for its first quarter of fiscal year 2022, ended September 30, 2021 and certain other business updates. A copy of a press release announcing same is furnished herewith as Exhibit 99.1 to this report. The information in this Item 2.02 and in the press release furnished hereto as Exhibit 99.1 is not to be considered “filed” for purposes of the Securities Exchange Act of 1934, as amended (the “Exchange Act”), and is not incorporated by reference into the Registrant’s filings under the Securities Act of 1933, as amended (the “Securities Act”).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5.03. Amendments to Articles of Incorporation or Bylaws; Change in Fiscal Year.</w:t>
      </w:r>
    </w:p>
    <w:p>
      <w:pPr>
        <w:spacing w:after="0" w:line="82" w:lineRule="exact"/>
        <w:rPr>
          <w:sz w:val="20"/>
          <w:szCs w:val="20"/>
          <w:color w:val="auto"/>
        </w:rPr>
      </w:pPr>
    </w:p>
    <w:p>
      <w:pPr>
        <w:ind w:left="840" w:right="879" w:firstLine="294"/>
        <w:spacing w:after="0" w:line="259" w:lineRule="auto"/>
        <w:rPr>
          <w:sz w:val="20"/>
          <w:szCs w:val="20"/>
          <w:color w:val="auto"/>
        </w:rPr>
      </w:pPr>
      <w:r>
        <w:rPr>
          <w:rFonts w:ascii="Arial" w:cs="Arial" w:eastAsia="Arial" w:hAnsi="Arial"/>
          <w:sz w:val="12"/>
          <w:szCs w:val="12"/>
          <w:color w:val="auto"/>
        </w:rPr>
        <w:t>On November 8, 2021, the Company announced on its earnings call a change of fiscal year from a year beginning on July 1 and ending June 30 to a calendar year beginning on January 1 and ending December 31. The change in fiscal year results in an abbreviated fiscal year for the Company from July 1, 2021 to December 31, 2021. The Company’s first full calendar year resulting from the change will be the year ended December 31, 2022. The Company’s fiscal quarters will remain calendar quarters.</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8.01. Other Events.</w:t>
      </w:r>
    </w:p>
    <w:p>
      <w:pPr>
        <w:spacing w:after="0" w:line="82" w:lineRule="exact"/>
        <w:rPr>
          <w:sz w:val="20"/>
          <w:szCs w:val="20"/>
          <w:color w:val="auto"/>
        </w:rPr>
      </w:pPr>
    </w:p>
    <w:p>
      <w:pPr>
        <w:ind w:left="840" w:right="879" w:firstLine="294"/>
        <w:spacing w:after="0" w:line="298" w:lineRule="auto"/>
        <w:rPr>
          <w:sz w:val="20"/>
          <w:szCs w:val="20"/>
          <w:color w:val="auto"/>
        </w:rPr>
      </w:pPr>
      <w:r>
        <w:rPr>
          <w:rFonts w:ascii="Arial" w:cs="Arial" w:eastAsia="Arial" w:hAnsi="Arial"/>
          <w:sz w:val="11"/>
          <w:szCs w:val="11"/>
          <w:color w:val="auto"/>
        </w:rPr>
        <w:t>The Company has prepared an informational company presentation to be used in connection with general corporate presentations, a copy which is furnished herewith as Exhibit 99.2. The information in the company presentation furnished hereto as Exhibit 99.2 is not to be considered “filed” for purposes of the Exchange Act, and is not incorporated by reference into the Registrant’s filings under the Securities Act.</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2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20" w:type="dxa"/>
            <w:vAlign w:val="bottom"/>
          </w:tcPr>
          <w:p>
            <w:pPr>
              <w:spacing w:after="0"/>
              <w:rPr>
                <w:sz w:val="10"/>
                <w:szCs w:val="10"/>
                <w:color w:val="auto"/>
              </w:rPr>
            </w:pPr>
          </w:p>
        </w:tc>
      </w:tr>
      <w:tr>
        <w:trPr>
          <w:trHeight w:val="113"/>
        </w:trPr>
        <w:tc>
          <w:tcPr>
            <w:tcW w:w="580" w:type="dxa"/>
            <w:vAlign w:val="bottom"/>
            <w:tcBorders>
              <w:bottom w:val="single" w:sz="8" w:color="auto"/>
            </w:tcBorders>
            <w:gridSpan w:val="2"/>
          </w:tcPr>
          <w:p>
            <w:pPr>
              <w:spacing w:after="0" w:line="114" w:lineRule="exact"/>
              <w:rPr>
                <w:sz w:val="20"/>
                <w:szCs w:val="20"/>
                <w:color w:val="auto"/>
              </w:rPr>
            </w:pPr>
            <w:r>
              <w:rPr>
                <w:rFonts w:ascii="Arial" w:cs="Arial" w:eastAsia="Arial" w:hAnsi="Arial"/>
                <w:sz w:val="10"/>
                <w:szCs w:val="10"/>
                <w:b w:val="1"/>
                <w:bCs w:val="1"/>
                <w:color w:val="auto"/>
              </w:rPr>
              <w:t>No.</w:t>
            </w:r>
          </w:p>
        </w:tc>
        <w:tc>
          <w:tcPr>
            <w:tcW w:w="6760" w:type="dxa"/>
            <w:vAlign w:val="bottom"/>
            <w:tcBorders>
              <w:bottom w:val="single" w:sz="8" w:color="auto"/>
            </w:tcBorders>
            <w:gridSpan w:val="3"/>
          </w:tcPr>
          <w:p>
            <w:pPr>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178"/>
        </w:trPr>
        <w:tc>
          <w:tcPr>
            <w:tcW w:w="580" w:type="dxa"/>
            <w:vAlign w:val="bottom"/>
            <w:gridSpan w:val="2"/>
          </w:tcPr>
          <w:p>
            <w:pPr>
              <w:spacing w:after="0"/>
              <w:rPr>
                <w:sz w:val="20"/>
                <w:szCs w:val="20"/>
                <w:color w:val="auto"/>
              </w:rPr>
            </w:pPr>
            <w:r>
              <w:rPr>
                <w:rFonts w:ascii="Arial" w:cs="Arial" w:eastAsia="Arial" w:hAnsi="Arial"/>
                <w:sz w:val="12"/>
                <w:szCs w:val="12"/>
                <w:color w:val="auto"/>
              </w:rPr>
              <w:t>99.1</w:t>
            </w:r>
          </w:p>
        </w:tc>
        <w:tc>
          <w:tcPr>
            <w:tcW w:w="6760" w:type="dxa"/>
            <w:vAlign w:val="bottom"/>
            <w:gridSpan w:val="3"/>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AVITA Medical Reports First Quarter 2022 Financial Results</w:t>
              </w:r>
            </w:hyperlink>
          </w:p>
        </w:tc>
      </w:tr>
      <w:tr>
        <w:trPr>
          <w:trHeight w:val="196"/>
        </w:trPr>
        <w:tc>
          <w:tcPr>
            <w:tcW w:w="580" w:type="dxa"/>
            <w:vAlign w:val="bottom"/>
            <w:gridSpan w:val="2"/>
          </w:tcPr>
          <w:p>
            <w:pPr>
              <w:spacing w:after="0"/>
              <w:rPr>
                <w:sz w:val="20"/>
                <w:szCs w:val="20"/>
                <w:color w:val="auto"/>
              </w:rPr>
            </w:pPr>
            <w:r>
              <w:rPr>
                <w:rFonts w:ascii="Arial" w:cs="Arial" w:eastAsia="Arial" w:hAnsi="Arial"/>
                <w:sz w:val="12"/>
                <w:szCs w:val="12"/>
                <w:color w:val="auto"/>
              </w:rPr>
              <w:t>99.2</w:t>
            </w:r>
          </w:p>
        </w:tc>
        <w:tc>
          <w:tcPr>
            <w:tcW w:w="2940" w:type="dxa"/>
            <w:vAlign w:val="bottom"/>
            <w:tcBorders>
              <w:top w:val="single" w:sz="8" w:color="0000EE"/>
            </w:tcBorders>
            <w:gridSpan w:val="2"/>
          </w:tcPr>
          <w:p>
            <w:pPr>
              <w:spacing w:after="0"/>
              <w:rPr>
                <w:rFonts w:ascii="Arial" w:cs="Arial" w:eastAsia="Arial" w:hAnsi="Arial"/>
                <w:sz w:val="12"/>
                <w:szCs w:val="12"/>
                <w:color w:val="0000EE"/>
              </w:rPr>
            </w:pPr>
            <w:hyperlink w:anchor="page9">
              <w:r>
                <w:rPr>
                  <w:rFonts w:ascii="Arial" w:cs="Arial" w:eastAsia="Arial" w:hAnsi="Arial"/>
                  <w:sz w:val="12"/>
                  <w:szCs w:val="12"/>
                  <w:color w:val="0000EE"/>
                </w:rPr>
                <w:t>AVITA Medical company presentation November 2021</w:t>
              </w:r>
            </w:hyperlink>
          </w:p>
        </w:tc>
        <w:tc>
          <w:tcPr>
            <w:tcW w:w="382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223"/>
        </w:trPr>
        <w:tc>
          <w:tcPr>
            <w:tcW w:w="580" w:type="dxa"/>
            <w:vAlign w:val="bottom"/>
            <w:gridSpan w:val="2"/>
          </w:tcPr>
          <w:p>
            <w:pPr>
              <w:spacing w:after="0"/>
              <w:rPr>
                <w:sz w:val="20"/>
                <w:szCs w:val="20"/>
                <w:color w:val="auto"/>
              </w:rPr>
            </w:pPr>
            <w:r>
              <w:rPr>
                <w:rFonts w:ascii="Arial" w:cs="Arial" w:eastAsia="Arial" w:hAnsi="Arial"/>
                <w:sz w:val="12"/>
                <w:szCs w:val="12"/>
                <w:color w:val="auto"/>
              </w:rPr>
              <w:t>104</w:t>
            </w:r>
          </w:p>
        </w:tc>
        <w:tc>
          <w:tcPr>
            <w:tcW w:w="676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ectPr>
          <w:pgSz w:w="11900" w:h="16838" w:orient="portrait"/>
          <w:cols w:equalWidth="0" w:num="1">
            <w:col w:w="9019"/>
          </w:cols>
          <w:pgMar w:left="1440" w:top="24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November 8, 2021</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AVITA THERAPEUTICS, INC.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Donna Shiroma</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General Counsel</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114935</wp:posOffset>
            </wp:positionV>
            <wp:extent cx="1085850" cy="434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585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AVITA Medical Reports First Fiscal Quarter 2022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69215</wp:posOffset>
            </wp:positionV>
            <wp:extent cx="46634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29" w:lineRule="exact"/>
        <w:rPr>
          <w:sz w:val="20"/>
          <w:szCs w:val="20"/>
          <w:color w:val="auto"/>
        </w:rPr>
      </w:pPr>
    </w:p>
    <w:p>
      <w:pPr>
        <w:ind w:left="840" w:right="959"/>
        <w:spacing w:after="0" w:line="302" w:lineRule="auto"/>
        <w:rPr>
          <w:sz w:val="20"/>
          <w:szCs w:val="20"/>
          <w:color w:val="auto"/>
        </w:rPr>
      </w:pPr>
      <w:r>
        <w:rPr>
          <w:rFonts w:ascii="Arial" w:cs="Arial" w:eastAsia="Arial" w:hAnsi="Arial"/>
          <w:sz w:val="11"/>
          <w:szCs w:val="11"/>
          <w:b w:val="1"/>
          <w:bCs w:val="1"/>
          <w:color w:val="auto"/>
        </w:rPr>
        <w:t xml:space="preserve">VALENCIA, Calif, November 8, 2021 and MELBOURNE, Australia, November 9, 2021 </w:t>
      </w:r>
      <w:r>
        <w:rPr>
          <w:rFonts w:ascii="Arial" w:cs="Arial" w:eastAsia="Arial" w:hAnsi="Arial"/>
          <w:sz w:val="11"/>
          <w:szCs w:val="11"/>
          <w:color w:val="auto"/>
        </w:rPr>
        <w:t>— AVITA Medical, Inc. (NASDAQ: RCEL, ASX:AVH)</w:t>
      </w:r>
      <w:r>
        <w:rPr>
          <w:rFonts w:ascii="Arial" w:cs="Arial" w:eastAsia="Arial" w:hAnsi="Arial"/>
          <w:sz w:val="11"/>
          <w:szCs w:val="11"/>
          <w:b w:val="1"/>
          <w:bCs w:val="1"/>
          <w:color w:val="auto"/>
        </w:rPr>
        <w:t xml:space="preserve"> </w:t>
      </w:r>
      <w:r>
        <w:rPr>
          <w:rFonts w:ascii="Arial" w:cs="Arial" w:eastAsia="Arial" w:hAnsi="Arial"/>
          <w:sz w:val="11"/>
          <w:szCs w:val="11"/>
          <w:color w:val="auto"/>
        </w:rPr>
        <w:t>(the “</w:t>
      </w:r>
      <w:r>
        <w:rPr>
          <w:rFonts w:ascii="Arial" w:cs="Arial" w:eastAsia="Arial" w:hAnsi="Arial"/>
          <w:sz w:val="11"/>
          <w:szCs w:val="11"/>
          <w:b w:val="1"/>
          <w:bCs w:val="1"/>
          <w:color w:val="auto"/>
        </w:rPr>
        <w:t>Company</w:t>
      </w:r>
      <w:r>
        <w:rPr>
          <w:rFonts w:ascii="Arial" w:cs="Arial" w:eastAsia="Arial" w:hAnsi="Arial"/>
          <w:sz w:val="11"/>
          <w:szCs w:val="11"/>
          <w:color w:val="auto"/>
        </w:rPr>
        <w:t>”), a regenerative medicine company that is developing and commercializing a technology platform that enables point-of-care autologous skin restoration for multiple unmet needs, today reported financial results for its first fiscal quarter ended September 30, 2021.</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First Quarter Fiscal Year 2022 Highlights</w:t>
      </w:r>
    </w:p>
    <w:p>
      <w:pPr>
        <w:spacing w:after="0" w:line="91" w:lineRule="exact"/>
        <w:rPr>
          <w:sz w:val="20"/>
          <w:szCs w:val="20"/>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revenue increased 39% to $7.0 million compared to $5.1 million in the first fiscal quarter of 2021</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Gross profit margin improved 3% to 85% compared to the first fiscal quarter of 2021</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operating expenses decreased 18% to $12.3 million compared to $14.9 million in the first fiscal quarter of 2021</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loss of $5.9 million, or $0.24 per share compared to a net loss of $10.2 million, or $0.48 per share in the first fiscal quarter of 2021</w:t>
      </w:r>
    </w:p>
    <w:p>
      <w:pPr>
        <w:spacing w:after="0" w:line="98" w:lineRule="exact"/>
        <w:rPr>
          <w:rFonts w:ascii="Arial" w:cs="Arial" w:eastAsia="Arial" w:hAnsi="Arial"/>
          <w:sz w:val="11"/>
          <w:szCs w:val="11"/>
          <w:color w:val="auto"/>
        </w:rPr>
      </w:pPr>
    </w:p>
    <w:p>
      <w:pPr>
        <w:ind w:left="1480" w:right="107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As of September 30, 2021, the Company had $60.4 million in cash and cash equivalents and $49.5 million in short-term and long-term marketable securities, and no debt</w:t>
      </w:r>
    </w:p>
    <w:p>
      <w:pPr>
        <w:spacing w:after="0" w:line="115" w:lineRule="exact"/>
        <w:rPr>
          <w:sz w:val="20"/>
          <w:szCs w:val="20"/>
          <w:color w:val="auto"/>
        </w:rPr>
      </w:pPr>
    </w:p>
    <w:p>
      <w:pPr>
        <w:ind w:left="840" w:right="859"/>
        <w:spacing w:after="0" w:line="289" w:lineRule="auto"/>
        <w:rPr>
          <w:sz w:val="20"/>
          <w:szCs w:val="20"/>
          <w:color w:val="auto"/>
        </w:rPr>
      </w:pPr>
      <w:r>
        <w:rPr>
          <w:rFonts w:ascii="Arial" w:cs="Arial" w:eastAsia="Arial" w:hAnsi="Arial"/>
          <w:sz w:val="11"/>
          <w:szCs w:val="11"/>
          <w:color w:val="auto"/>
        </w:rPr>
        <w:t>“I am pleased with the progress we made in the overall business this quarter, despite the hospital staffing shortages that impeded RECELL usage in burn procedures,” said Dr. Mike Perry, AVITA Medical Chief Executive Officer. “We saw continued acceleration of enrollment into our soft tissue reconstruction trial, which is now close to completion with 58 of 65 subjects. We look forward to expanding into this $450 million serviceable addressable market upon approval, beginning with our existing burn center accounts and leveraging our new TPT code in the outpatient setting.”</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First Quarter of Fiscal Year 2022 Financial Results</w:t>
      </w:r>
    </w:p>
    <w:p>
      <w:pPr>
        <w:spacing w:after="0" w:line="82"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Total revenue for the three months ended September 30, 2021, was $7.0 million, an increase of $2.0 million or 39% over the $5.1 million reported for the same period in 2020. The increase was largely driven by broader utilization among our customer base as well as deeper penetration within individual customer accounts.</w:t>
      </w:r>
    </w:p>
    <w:p>
      <w:pPr>
        <w:spacing w:after="0" w:line="122" w:lineRule="exact"/>
        <w:rPr>
          <w:sz w:val="20"/>
          <w:szCs w:val="20"/>
          <w:color w:val="auto"/>
        </w:rPr>
      </w:pPr>
    </w:p>
    <w:p>
      <w:pPr>
        <w:ind w:left="840" w:right="1099"/>
        <w:spacing w:after="0" w:line="276" w:lineRule="auto"/>
        <w:rPr>
          <w:sz w:val="20"/>
          <w:szCs w:val="20"/>
          <w:color w:val="auto"/>
        </w:rPr>
      </w:pPr>
      <w:r>
        <w:rPr>
          <w:rFonts w:ascii="Arial" w:cs="Arial" w:eastAsia="Arial" w:hAnsi="Arial"/>
          <w:sz w:val="12"/>
          <w:szCs w:val="12"/>
          <w:color w:val="auto"/>
        </w:rPr>
        <w:t>Gross profit margin for the three months ended September 30, 2021, was 85% compared to 82% reported for the same period in 2020. Higher gross margin was driven by lower shipping costs and increased production at our Ventura facility.</w:t>
      </w:r>
    </w:p>
    <w:p>
      <w:pPr>
        <w:spacing w:after="0" w:line="115" w:lineRule="exact"/>
        <w:rPr>
          <w:sz w:val="20"/>
          <w:szCs w:val="20"/>
          <w:color w:val="auto"/>
        </w:rPr>
      </w:pPr>
    </w:p>
    <w:p>
      <w:pPr>
        <w:ind w:left="840" w:right="859"/>
        <w:spacing w:after="0" w:line="254" w:lineRule="auto"/>
        <w:rPr>
          <w:sz w:val="20"/>
          <w:szCs w:val="20"/>
          <w:color w:val="auto"/>
        </w:rPr>
      </w:pPr>
      <w:r>
        <w:rPr>
          <w:rFonts w:ascii="Arial" w:cs="Arial" w:eastAsia="Arial" w:hAnsi="Arial"/>
          <w:sz w:val="12"/>
          <w:szCs w:val="12"/>
          <w:color w:val="auto"/>
        </w:rPr>
        <w:t>Total operating expenses for the three months ended September 30, 2021, was $12.3 million, a decrease of $2.7 million or 18% over the $14.9 million reported for the same period in 2020. The decrease in operating expenses is primarily attributable to lower stock-based compensation and higher costs in the prior year related to the Avita group’s redomiciliation to the United States, along with severance costs associated with a former executive. This was partially offset with higher travel costs in the current year due to fewer COVID-19 related travel restrictions.Net loss for the three months ended September 30, 2021 was $5.9 million, a decrease of $4.3 million, or 42%, over the $10.2 million loss recognized during the same period last year. The decrease in net loss was driven by the lower operating expenses described above and the higher revenue during the three months ended September 30, 2021.</w:t>
      </w:r>
    </w:p>
    <w:p>
      <w:pPr>
        <w:spacing w:after="0" w:line="85" w:lineRule="exact"/>
        <w:rPr>
          <w:sz w:val="20"/>
          <w:szCs w:val="20"/>
          <w:color w:val="auto"/>
        </w:rPr>
      </w:pPr>
    </w:p>
    <w:p>
      <w:pPr>
        <w:ind w:left="840"/>
        <w:spacing w:after="0"/>
        <w:tabs>
          <w:tab w:leader="none" w:pos="7800" w:val="left"/>
        </w:tabs>
        <w:rPr>
          <w:sz w:val="20"/>
          <w:szCs w:val="20"/>
          <w:color w:val="auto"/>
        </w:rPr>
      </w:pPr>
      <w:r>
        <w:rPr>
          <w:rFonts w:ascii="Arial" w:cs="Arial" w:eastAsia="Arial" w:hAnsi="Arial"/>
          <w:sz w:val="12"/>
          <w:szCs w:val="12"/>
          <w:color w:val="auto"/>
        </w:rPr>
        <w:t>AVITA Medical, Inc. | 28159 Avenue Stanford, Suite 220 Valencia, CA 91355</w:t>
      </w:r>
      <w:r>
        <w:rPr>
          <w:sz w:val="20"/>
          <w:szCs w:val="20"/>
          <w:color w:val="auto"/>
        </w:rPr>
        <w:tab/>
      </w:r>
      <w:r>
        <w:rPr>
          <w:rFonts w:ascii="Arial" w:cs="Arial" w:eastAsia="Arial" w:hAnsi="Arial"/>
          <w:sz w:val="10"/>
          <w:szCs w:val="10"/>
          <w:color w:val="auto"/>
        </w:rPr>
        <w:t>Page 1</w:t>
      </w:r>
    </w:p>
    <w:p>
      <w:pPr>
        <w:sectPr>
          <w:pgSz w:w="11900" w:h="16838" w:orient="portrait"/>
          <w:cols w:equalWidth="0" w:num="1">
            <w:col w:w="9019"/>
          </w:cols>
          <w:pgMar w:left="1440" w:top="127" w:right="1440" w:bottom="1440" w:gutter="0" w:footer="0" w:header="0"/>
        </w:sectPr>
      </w:pPr>
    </w:p>
    <w:bookmarkStart w:id="4" w:name="page5"/>
    <w:bookmarkEnd w:id="4"/>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Second Quarter of Fiscal Year 2022 Revenue Guidance</w:t>
      </w:r>
    </w:p>
    <w:p>
      <w:pPr>
        <w:spacing w:after="0" w:line="91" w:lineRule="exact"/>
        <w:rPr>
          <w:sz w:val="20"/>
          <w:szCs w:val="20"/>
          <w:color w:val="auto"/>
        </w:rPr>
      </w:pPr>
    </w:p>
    <w:p>
      <w:pPr>
        <w:ind w:left="1480" w:right="89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revenue is expected to be approximately $7.0 million. This guidance reflects the anticipated impact of hospital staffing challenges as well uncertainty with the pandemic.</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Webcast and Conference Call Information</w:t>
      </w:r>
    </w:p>
    <w:p>
      <w:pPr>
        <w:spacing w:after="0" w:line="82" w:lineRule="exact"/>
        <w:rPr>
          <w:sz w:val="20"/>
          <w:szCs w:val="20"/>
          <w:color w:val="auto"/>
        </w:rPr>
      </w:pPr>
    </w:p>
    <w:p>
      <w:pPr>
        <w:ind w:left="840" w:right="979"/>
        <w:spacing w:after="0" w:line="259" w:lineRule="auto"/>
        <w:rPr>
          <w:sz w:val="20"/>
          <w:szCs w:val="20"/>
          <w:color w:val="auto"/>
        </w:rPr>
      </w:pPr>
      <w:r>
        <w:rPr>
          <w:rFonts w:ascii="Arial" w:cs="Arial" w:eastAsia="Arial" w:hAnsi="Arial"/>
          <w:sz w:val="12"/>
          <w:szCs w:val="12"/>
          <w:color w:val="auto"/>
        </w:rPr>
        <w:t>The Company will host a conference call to discuss the first quarter financial results after market close on Monday, November 8, 2021, at 1:30 p.m. Pacific Time / 4:30 p.m. Eastern Time (being 8.30 a.m. Australian Eastern Daylight Time on Tuesday, November 9, 2021). The conference call can be accessed live over the phone at (833) 614-1538 for U.S. callers or at (706) 634-6548 international callers, using conference ID:2592487. The live webinar can be accessed at https://ir.avitamedical.com.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Authorized for release by the Chief Financial Officer of AVITA Medical,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AVITA Medical, Inc.</w:t>
      </w:r>
    </w:p>
    <w:p>
      <w:pPr>
        <w:spacing w:after="0" w:line="82" w:lineRule="exact"/>
        <w:rPr>
          <w:sz w:val="20"/>
          <w:szCs w:val="20"/>
          <w:color w:val="auto"/>
        </w:rPr>
      </w:pPr>
    </w:p>
    <w:p>
      <w:pPr>
        <w:ind w:left="840" w:right="979"/>
        <w:spacing w:after="0" w:line="285" w:lineRule="auto"/>
        <w:rPr>
          <w:sz w:val="20"/>
          <w:szCs w:val="20"/>
          <w:color w:val="auto"/>
        </w:rPr>
      </w:pPr>
      <w:r>
        <w:rPr>
          <w:rFonts w:ascii="Arial" w:cs="Arial" w:eastAsia="Arial" w:hAnsi="Arial"/>
          <w:sz w:val="11"/>
          <w:szCs w:val="11"/>
          <w:color w:val="auto"/>
        </w:rPr>
        <w:t>AVITA Medical, Inc. is a regenerative medicine company with a technology platform positioned to address unmet medical needs in burns, chronic wounds, and aesthetics indications. AVITA Medical Inc.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9"/>
          <w:szCs w:val="9"/>
          <w:color w:val="auto"/>
        </w:rPr>
        <w:t>®</w:t>
      </w:r>
      <w:r>
        <w:rPr>
          <w:rFonts w:ascii="Arial" w:cs="Arial" w:eastAsia="Arial" w:hAnsi="Arial"/>
          <w:sz w:val="11"/>
          <w:szCs w:val="11"/>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13" w:lineRule="exact"/>
        <w:rPr>
          <w:sz w:val="20"/>
          <w:szCs w:val="20"/>
          <w:color w:val="auto"/>
        </w:rPr>
      </w:pPr>
    </w:p>
    <w:p>
      <w:pPr>
        <w:ind w:left="840" w:right="859"/>
        <w:spacing w:after="0" w:line="278" w:lineRule="auto"/>
        <w:rPr>
          <w:sz w:val="20"/>
          <w:szCs w:val="20"/>
          <w:color w:val="auto"/>
        </w:rPr>
      </w:pPr>
      <w:r>
        <w:rPr>
          <w:rFonts w:ascii="Arial" w:cs="Arial" w:eastAsia="Arial" w:hAnsi="Arial"/>
          <w:sz w:val="11"/>
          <w:szCs w:val="11"/>
          <w:color w:val="auto"/>
        </w:rPr>
        <w:t>AVITA Medicals’ first U.S. product, the RECELL</w:t>
      </w:r>
      <w:r>
        <w:rPr>
          <w:rFonts w:ascii="Arial" w:cs="Arial" w:eastAsia="Arial" w:hAnsi="Arial"/>
          <w:sz w:val="9"/>
          <w:szCs w:val="9"/>
          <w:color w:val="auto"/>
        </w:rPr>
        <w:t>®</w:t>
      </w:r>
      <w:r>
        <w:rPr>
          <w:rFonts w:ascii="Arial" w:cs="Arial" w:eastAsia="Arial" w:hAnsi="Arial"/>
          <w:sz w:val="11"/>
          <w:szCs w:val="11"/>
          <w:color w:val="auto"/>
        </w:rPr>
        <w:t xml:space="preserve"> System, was approved by the U.S. Food and Drug Administration (FDA) in September 2018. The RECELL</w:t>
      </w:r>
      <w:r>
        <w:rPr>
          <w:rFonts w:ascii="Arial" w:cs="Arial" w:eastAsia="Arial" w:hAnsi="Arial"/>
          <w:sz w:val="9"/>
          <w:szCs w:val="9"/>
          <w:color w:val="auto"/>
        </w:rPr>
        <w:t>®</w:t>
      </w:r>
      <w:r>
        <w:rPr>
          <w:rFonts w:ascii="Arial" w:cs="Arial" w:eastAsia="Arial" w:hAnsi="Arial"/>
          <w:sz w:val="11"/>
          <w:szCs w:val="11"/>
          <w:color w:val="auto"/>
        </w:rPr>
        <w:t xml:space="preserve"> System is approved for acute partial-thickness thermal burn wounds in patients 18 years of age and older or application in combination with meshed autografting for acute full-thickness thermal burn wounds in pediatric and adult patients. The RECELL</w:t>
      </w:r>
      <w:r>
        <w:rPr>
          <w:rFonts w:ascii="Arial" w:cs="Arial" w:eastAsia="Arial" w:hAnsi="Arial"/>
          <w:sz w:val="9"/>
          <w:szCs w:val="9"/>
          <w:color w:val="auto"/>
        </w:rPr>
        <w:t>®</w:t>
      </w:r>
      <w:r>
        <w:rPr>
          <w:rFonts w:ascii="Arial" w:cs="Arial" w:eastAsia="Arial" w:hAnsi="Arial"/>
          <w:sz w:val="11"/>
          <w:szCs w:val="11"/>
          <w:color w:val="auto"/>
        </w:rPr>
        <w:t xml:space="preserve"> System is used to prepare Spray-On Skin</w:t>
      </w:r>
      <w:r>
        <w:rPr>
          <w:rFonts w:ascii="Arial" w:cs="Arial" w:eastAsia="Arial" w:hAnsi="Arial"/>
          <w:sz w:val="9"/>
          <w:szCs w:val="9"/>
          <w:color w:val="auto"/>
        </w:rPr>
        <w:t>™</w:t>
      </w:r>
      <w:r>
        <w:rPr>
          <w:rFonts w:ascii="Arial" w:cs="Arial" w:eastAsia="Arial" w:hAnsi="Arial"/>
          <w:sz w:val="11"/>
          <w:szCs w:val="11"/>
          <w:color w:val="auto"/>
        </w:rPr>
        <w:t xml:space="preserve"> Cells using a small amount of a patient’s own skin, providing a new way to treat severe burns, while significantly reducing the amount of donor skin required. The RECELL</w:t>
      </w:r>
      <w:r>
        <w:rPr>
          <w:rFonts w:ascii="Arial" w:cs="Arial" w:eastAsia="Arial" w:hAnsi="Arial"/>
          <w:sz w:val="9"/>
          <w:szCs w:val="9"/>
          <w:color w:val="auto"/>
        </w:rPr>
        <w:t>®</w:t>
      </w:r>
      <w:r>
        <w:rPr>
          <w:rFonts w:ascii="Arial" w:cs="Arial" w:eastAsia="Arial" w:hAnsi="Arial"/>
          <w:sz w:val="11"/>
          <w:szCs w:val="11"/>
          <w:color w:val="auto"/>
        </w:rPr>
        <w:t xml:space="preserve">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w:t>
      </w:r>
      <w:r>
        <w:rPr>
          <w:rFonts w:ascii="Arial" w:cs="Arial" w:eastAsia="Arial" w:hAnsi="Arial"/>
          <w:sz w:val="9"/>
          <w:szCs w:val="9"/>
          <w:color w:val="auto"/>
        </w:rPr>
        <w:t>®</w:t>
      </w:r>
      <w:r>
        <w:rPr>
          <w:rFonts w:ascii="Arial" w:cs="Arial" w:eastAsia="Arial" w:hAnsi="Arial"/>
          <w:sz w:val="11"/>
          <w:szCs w:val="11"/>
          <w:color w:val="auto"/>
        </w:rPr>
        <w:t xml:space="preserve">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9"/>
          <w:szCs w:val="9"/>
          <w:color w:val="auto"/>
        </w:rPr>
        <w:t>®</w:t>
      </w:r>
      <w:r>
        <w:rPr>
          <w:rFonts w:ascii="Arial" w:cs="Arial" w:eastAsia="Arial" w:hAnsi="Arial"/>
          <w:sz w:val="11"/>
          <w:szCs w:val="11"/>
          <w:color w:val="auto"/>
        </w:rPr>
        <w:t xml:space="preserve"> Autologous Cell Harvesting Device (https://recellsystem.com/) for a full description of indications for use and important safety information including contraindications, warnings, and precautions.</w:t>
      </w:r>
    </w:p>
    <w:p>
      <w:pPr>
        <w:spacing w:after="0" w:line="119" w:lineRule="exact"/>
        <w:rPr>
          <w:sz w:val="20"/>
          <w:szCs w:val="20"/>
          <w:color w:val="auto"/>
        </w:rPr>
      </w:pPr>
    </w:p>
    <w:p>
      <w:pPr>
        <w:ind w:left="840" w:right="839"/>
        <w:spacing w:after="0" w:line="281" w:lineRule="auto"/>
        <w:rPr>
          <w:sz w:val="20"/>
          <w:szCs w:val="20"/>
          <w:color w:val="auto"/>
        </w:rPr>
      </w:pPr>
      <w:r>
        <w:rPr>
          <w:rFonts w:ascii="Arial" w:cs="Arial" w:eastAsia="Arial" w:hAnsi="Arial"/>
          <w:sz w:val="11"/>
          <w:szCs w:val="11"/>
          <w:color w:val="auto"/>
        </w:rPr>
        <w:t>In international markets, our products are marketed under the RECELL</w:t>
      </w:r>
      <w:r>
        <w:rPr>
          <w:rFonts w:ascii="Arial" w:cs="Arial" w:eastAsia="Arial" w:hAnsi="Arial"/>
          <w:sz w:val="9"/>
          <w:szCs w:val="9"/>
          <w:color w:val="auto"/>
        </w:rPr>
        <w:t>®</w:t>
      </w:r>
      <w:r>
        <w:rPr>
          <w:rFonts w:ascii="Arial" w:cs="Arial" w:eastAsia="Arial" w:hAnsi="Arial"/>
          <w:sz w:val="11"/>
          <w:szCs w:val="11"/>
          <w:color w:val="auto"/>
        </w:rPr>
        <w:t xml:space="preserve"> System brand to promote skin healing in a wide range of applications including burns, chronic wounds, and aesthetics. The RECELL</w:t>
      </w:r>
      <w:r>
        <w:rPr>
          <w:rFonts w:ascii="Arial" w:cs="Arial" w:eastAsia="Arial" w:hAnsi="Arial"/>
          <w:sz w:val="9"/>
          <w:szCs w:val="9"/>
          <w:color w:val="auto"/>
        </w:rPr>
        <w:t>®</w:t>
      </w:r>
      <w:r>
        <w:rPr>
          <w:rFonts w:ascii="Arial" w:cs="Arial" w:eastAsia="Arial" w:hAnsi="Arial"/>
          <w:sz w:val="11"/>
          <w:szCs w:val="11"/>
          <w:color w:val="auto"/>
        </w:rPr>
        <w:t xml:space="preserve"> System is TGA-registered in Australia and received CE-mark approval in Europe.</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To learn more, visit </w:t>
      </w:r>
      <w:r>
        <w:rPr>
          <w:rFonts w:ascii="Arial" w:cs="Arial" w:eastAsia="Arial" w:hAnsi="Arial"/>
          <w:sz w:val="12"/>
          <w:szCs w:val="12"/>
          <w:u w:val="single" w:color="auto"/>
          <w:color w:val="auto"/>
        </w:rPr>
        <w:t>www.avitamedical.com</w:t>
      </w:r>
      <w:r>
        <w:rPr>
          <w:rFonts w:ascii="Arial" w:cs="Arial" w:eastAsia="Arial" w:hAnsi="Arial"/>
          <w:sz w:val="12"/>
          <w:szCs w:val="12"/>
          <w:color w:val="auto"/>
        </w:rPr>
        <w:t>.</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82" w:lineRule="exact"/>
        <w:rPr>
          <w:sz w:val="20"/>
          <w:szCs w:val="20"/>
          <w:color w:val="auto"/>
        </w:rPr>
      </w:pPr>
    </w:p>
    <w:p>
      <w:pPr>
        <w:ind w:left="840" w:right="979"/>
        <w:spacing w:after="0" w:line="281" w:lineRule="auto"/>
        <w:rPr>
          <w:sz w:val="20"/>
          <w:szCs w:val="20"/>
          <w:color w:val="auto"/>
        </w:rPr>
      </w:pPr>
      <w:r>
        <w:rPr>
          <w:rFonts w:ascii="Arial" w:cs="Arial" w:eastAsia="Arial" w:hAnsi="Arial"/>
          <w:sz w:val="11"/>
          <w:szCs w:val="11"/>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goals. Forward-looking statements by their nature address matters that are, to different degrees, uncertain. Each forward- looking statement contained in this press release is subject to risks and uncertainties that could cause actual results to differ materially from those</w:t>
      </w:r>
    </w:p>
    <w:p>
      <w:pPr>
        <w:spacing w:after="0" w:line="70" w:lineRule="exact"/>
        <w:rPr>
          <w:sz w:val="20"/>
          <w:szCs w:val="20"/>
          <w:color w:val="auto"/>
        </w:rPr>
      </w:pPr>
    </w:p>
    <w:p>
      <w:pPr>
        <w:ind w:left="840"/>
        <w:spacing w:after="0"/>
        <w:tabs>
          <w:tab w:leader="none" w:pos="7800" w:val="left"/>
        </w:tabs>
        <w:rPr>
          <w:sz w:val="20"/>
          <w:szCs w:val="20"/>
          <w:color w:val="auto"/>
        </w:rPr>
      </w:pPr>
      <w:r>
        <w:rPr>
          <w:rFonts w:ascii="Arial" w:cs="Arial" w:eastAsia="Arial" w:hAnsi="Arial"/>
          <w:sz w:val="12"/>
          <w:szCs w:val="12"/>
          <w:color w:val="auto"/>
        </w:rPr>
        <w:t>AVITA Medical, Inc. | 28159 Avenue Stanford, Suite 220 Valencia, CA 91355</w:t>
      </w:r>
      <w:r>
        <w:rPr>
          <w:sz w:val="20"/>
          <w:szCs w:val="20"/>
          <w:color w:val="auto"/>
        </w:rPr>
        <w:tab/>
      </w:r>
      <w:r>
        <w:rPr>
          <w:rFonts w:ascii="Arial" w:cs="Arial" w:eastAsia="Arial" w:hAnsi="Arial"/>
          <w:sz w:val="10"/>
          <w:szCs w:val="10"/>
          <w:color w:val="auto"/>
        </w:rPr>
        <w:t>Page 2</w:t>
      </w:r>
    </w:p>
    <w:p>
      <w:pPr>
        <w:sectPr>
          <w:pgSz w:w="11900" w:h="16838" w:orient="portrait"/>
          <w:cols w:equalWidth="0" w:num="1">
            <w:col w:w="9019"/>
          </w:cols>
          <w:pgMar w:left="1440" w:top="226" w:right="1440" w:bottom="1440" w:gutter="0" w:footer="0" w:header="0"/>
        </w:sectPr>
      </w:pPr>
    </w:p>
    <w:bookmarkStart w:id="5" w:name="page6"/>
    <w:bookmarkEnd w:id="5"/>
    <w:p>
      <w:pPr>
        <w:ind w:left="840" w:right="879"/>
        <w:spacing w:after="0" w:line="281" w:lineRule="auto"/>
        <w:rPr>
          <w:sz w:val="20"/>
          <w:szCs w:val="20"/>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including, but not limited to the ongoing COVID-19 pandemic which are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FOR FURTHER INFORMATION:</w:t>
            </w:r>
          </w:p>
        </w:tc>
        <w:tc>
          <w:tcPr>
            <w:tcW w:w="1580" w:type="dxa"/>
            <w:vAlign w:val="bottom"/>
          </w:tcPr>
          <w:p>
            <w:pPr>
              <w:spacing w:after="0"/>
              <w:rPr>
                <w:sz w:val="13"/>
                <w:szCs w:val="13"/>
                <w:color w:val="auto"/>
              </w:rPr>
            </w:pPr>
          </w:p>
        </w:tc>
      </w:tr>
      <w:tr>
        <w:trPr>
          <w:trHeight w:val="212"/>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U.S. Media</w:t>
            </w:r>
          </w:p>
        </w:tc>
        <w:tc>
          <w:tcPr>
            <w:tcW w:w="1580" w:type="dxa"/>
            <w:vAlign w:val="bottom"/>
          </w:tcPr>
          <w:p>
            <w:pPr>
              <w:spacing w:after="0"/>
              <w:rPr>
                <w:sz w:val="20"/>
                <w:szCs w:val="20"/>
                <w:color w:val="auto"/>
              </w:rPr>
            </w:pPr>
            <w:r>
              <w:rPr>
                <w:rFonts w:ascii="Arial" w:cs="Arial" w:eastAsia="Arial" w:hAnsi="Arial"/>
                <w:sz w:val="12"/>
                <w:szCs w:val="12"/>
                <w:b w:val="1"/>
                <w:bCs w:val="1"/>
                <w:color w:val="auto"/>
              </w:rPr>
              <w:t>Investors</w:t>
            </w:r>
          </w:p>
        </w:tc>
      </w:tr>
      <w:tr>
        <w:trPr>
          <w:trHeight w:val="148"/>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Sam Brown, Inc.</w:t>
            </w:r>
          </w:p>
        </w:tc>
        <w:tc>
          <w:tcPr>
            <w:tcW w:w="1580" w:type="dxa"/>
            <w:vAlign w:val="bottom"/>
          </w:tcPr>
          <w:p>
            <w:pPr>
              <w:spacing w:after="0"/>
              <w:rPr>
                <w:sz w:val="20"/>
                <w:szCs w:val="20"/>
                <w:color w:val="auto"/>
              </w:rPr>
            </w:pPr>
            <w:r>
              <w:rPr>
                <w:rFonts w:ascii="Arial" w:cs="Arial" w:eastAsia="Arial" w:hAnsi="Arial"/>
                <w:sz w:val="12"/>
                <w:szCs w:val="12"/>
                <w:b w:val="1"/>
                <w:bCs w:val="1"/>
                <w:color w:val="auto"/>
              </w:rPr>
              <w:t>ICR Westwicke</w:t>
            </w: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Christy Curran</w:t>
            </w:r>
          </w:p>
        </w:tc>
        <w:tc>
          <w:tcPr>
            <w:tcW w:w="1580" w:type="dxa"/>
            <w:vAlign w:val="bottom"/>
          </w:tcPr>
          <w:p>
            <w:pPr>
              <w:spacing w:after="0"/>
              <w:rPr>
                <w:sz w:val="20"/>
                <w:szCs w:val="20"/>
                <w:color w:val="auto"/>
              </w:rPr>
            </w:pPr>
            <w:r>
              <w:rPr>
                <w:rFonts w:ascii="Arial" w:cs="Arial" w:eastAsia="Arial" w:hAnsi="Arial"/>
                <w:sz w:val="12"/>
                <w:szCs w:val="12"/>
                <w:color w:val="auto"/>
              </w:rPr>
              <w:t>Caroline Corner</w:t>
            </w: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Phone +1 615 414 8668</w:t>
            </w:r>
          </w:p>
        </w:tc>
        <w:tc>
          <w:tcPr>
            <w:tcW w:w="1580" w:type="dxa"/>
            <w:vAlign w:val="bottom"/>
          </w:tcPr>
          <w:p>
            <w:pPr>
              <w:spacing w:after="0"/>
              <w:rPr>
                <w:sz w:val="20"/>
                <w:szCs w:val="20"/>
                <w:color w:val="auto"/>
              </w:rPr>
            </w:pPr>
            <w:r>
              <w:rPr>
                <w:rFonts w:ascii="Arial" w:cs="Arial" w:eastAsia="Arial" w:hAnsi="Arial"/>
                <w:sz w:val="12"/>
                <w:szCs w:val="12"/>
                <w:color w:val="auto"/>
              </w:rPr>
              <w:t>Phone +1 415 202 5678</w:t>
            </w:r>
          </w:p>
        </w:tc>
      </w:tr>
      <w:tr>
        <w:trPr>
          <w:trHeight w:val="126"/>
        </w:trPr>
        <w:tc>
          <w:tcPr>
            <w:tcW w:w="148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2"/>
                <w:szCs w:val="12"/>
                <w:color w:val="auto"/>
                <w:w w:val="89"/>
              </w:rPr>
              <w:t>christycurran@sambrown.com</w:t>
            </w:r>
          </w:p>
        </w:tc>
        <w:tc>
          <w:tcPr>
            <w:tcW w:w="2340" w:type="dxa"/>
            <w:vAlign w:val="bottom"/>
          </w:tcPr>
          <w:p>
            <w:pPr>
              <w:spacing w:after="0"/>
              <w:rPr>
                <w:sz w:val="10"/>
                <w:szCs w:val="10"/>
                <w:color w:val="auto"/>
              </w:rPr>
            </w:pPr>
          </w:p>
        </w:tc>
        <w:tc>
          <w:tcPr>
            <w:tcW w:w="158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90"/>
              </w:rPr>
              <w:t>caroline.corner@westwicke.com</w:t>
            </w:r>
          </w:p>
        </w:tc>
      </w:tr>
      <w:tr>
        <w:trPr>
          <w:trHeight w:val="300"/>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O.U.S Media</w:t>
            </w:r>
          </w:p>
        </w:tc>
        <w:tc>
          <w:tcPr>
            <w:tcW w:w="1580" w:type="dxa"/>
            <w:vAlign w:val="bottom"/>
          </w:tcPr>
          <w:p>
            <w:pPr>
              <w:spacing w:after="0"/>
              <w:rPr>
                <w:sz w:val="24"/>
                <w:szCs w:val="24"/>
                <w:color w:val="auto"/>
              </w:rPr>
            </w:pPr>
          </w:p>
        </w:tc>
      </w:tr>
      <w:tr>
        <w:trPr>
          <w:trHeight w:val="148"/>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Monsoon Communications</w:t>
            </w:r>
          </w:p>
        </w:tc>
        <w:tc>
          <w:tcPr>
            <w:tcW w:w="1580" w:type="dxa"/>
            <w:vAlign w:val="bottom"/>
          </w:tcPr>
          <w:p>
            <w:pPr>
              <w:spacing w:after="0"/>
              <w:rPr>
                <w:sz w:val="12"/>
                <w:szCs w:val="12"/>
                <w:color w:val="auto"/>
              </w:rPr>
            </w:pP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Rudi Michelson</w:t>
            </w:r>
          </w:p>
        </w:tc>
        <w:tc>
          <w:tcPr>
            <w:tcW w:w="1580" w:type="dxa"/>
            <w:vAlign w:val="bottom"/>
          </w:tcPr>
          <w:p>
            <w:pPr>
              <w:spacing w:after="0"/>
              <w:rPr>
                <w:sz w:val="12"/>
                <w:szCs w:val="12"/>
                <w:color w:val="auto"/>
              </w:rPr>
            </w:pP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Phone +61 (0)3 9620 3333</w:t>
            </w:r>
          </w:p>
        </w:tc>
        <w:tc>
          <w:tcPr>
            <w:tcW w:w="1580" w:type="dxa"/>
            <w:vAlign w:val="bottom"/>
          </w:tcPr>
          <w:p>
            <w:pPr>
              <w:spacing w:after="0"/>
              <w:rPr>
                <w:sz w:val="12"/>
                <w:szCs w:val="12"/>
                <w:color w:val="auto"/>
              </w:rPr>
            </w:pP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Mobile +61 (0)411 402 737</w:t>
            </w:r>
          </w:p>
        </w:tc>
        <w:tc>
          <w:tcPr>
            <w:tcW w:w="1580" w:type="dxa"/>
            <w:vAlign w:val="bottom"/>
          </w:tcPr>
          <w:p>
            <w:pPr>
              <w:spacing w:after="0"/>
              <w:rPr>
                <w:sz w:val="12"/>
                <w:szCs w:val="12"/>
                <w:color w:val="auto"/>
              </w:rPr>
            </w:pPr>
          </w:p>
        </w:tc>
      </w:tr>
      <w:tr>
        <w:trPr>
          <w:trHeight w:val="126"/>
        </w:trPr>
        <w:tc>
          <w:tcPr>
            <w:tcW w:w="3820" w:type="dxa"/>
            <w:vAlign w:val="bottom"/>
            <w:gridSpan w:val="3"/>
          </w:tcPr>
          <w:p>
            <w:pPr>
              <w:spacing w:after="0" w:line="126" w:lineRule="exact"/>
              <w:rPr>
                <w:sz w:val="20"/>
                <w:szCs w:val="20"/>
                <w:color w:val="auto"/>
              </w:rPr>
            </w:pPr>
            <w:r>
              <w:rPr>
                <w:rFonts w:ascii="Arial" w:cs="Arial" w:eastAsia="Arial" w:hAnsi="Arial"/>
                <w:sz w:val="12"/>
                <w:szCs w:val="12"/>
                <w:color w:val="auto"/>
              </w:rPr>
              <w:t>rudim@monsoon.com.au</w:t>
            </w:r>
          </w:p>
        </w:tc>
        <w:tc>
          <w:tcPr>
            <w:tcW w:w="1580" w:type="dxa"/>
            <w:vAlign w:val="bottom"/>
          </w:tcPr>
          <w:p>
            <w:pPr>
              <w:spacing w:after="0"/>
              <w:rPr>
                <w:sz w:val="10"/>
                <w:szCs w:val="10"/>
                <w:color w:val="auto"/>
              </w:rPr>
            </w:pPr>
          </w:p>
        </w:tc>
      </w:tr>
      <w:tr>
        <w:trPr>
          <w:trHeight w:val="304"/>
        </w:trPr>
        <w:tc>
          <w:tcPr>
            <w:tcW w:w="12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 #</w:t>
            </w: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2"/>
                <w:szCs w:val="12"/>
                <w:color w:val="auto"/>
              </w:rPr>
              <w:t>PR2021050</w:t>
            </w:r>
          </w:p>
        </w:tc>
        <w:tc>
          <w:tcPr>
            <w:tcW w:w="1580" w:type="dxa"/>
            <w:vAlign w:val="bottom"/>
          </w:tcPr>
          <w:p>
            <w:pPr>
              <w:spacing w:after="0"/>
              <w:rPr>
                <w:sz w:val="18"/>
                <w:szCs w:val="18"/>
                <w:color w:val="auto"/>
              </w:rPr>
            </w:pPr>
          </w:p>
        </w:tc>
      </w:tr>
    </w:tbl>
    <w:p>
      <w:pPr>
        <w:spacing w:after="0" w:line="90" w:lineRule="exact"/>
        <w:rPr>
          <w:sz w:val="20"/>
          <w:szCs w:val="20"/>
          <w:color w:val="auto"/>
        </w:rPr>
      </w:pPr>
    </w:p>
    <w:p>
      <w:pPr>
        <w:ind w:left="840"/>
        <w:spacing w:after="0"/>
        <w:tabs>
          <w:tab w:leader="none" w:pos="7800" w:val="left"/>
        </w:tabs>
        <w:rPr>
          <w:sz w:val="20"/>
          <w:szCs w:val="20"/>
          <w:color w:val="auto"/>
        </w:rPr>
      </w:pPr>
      <w:r>
        <w:rPr>
          <w:rFonts w:ascii="Arial" w:cs="Arial" w:eastAsia="Arial" w:hAnsi="Arial"/>
          <w:sz w:val="12"/>
          <w:szCs w:val="12"/>
          <w:color w:val="auto"/>
        </w:rPr>
        <w:t>AVITA Medical, Inc. | 28159 Avenue Stanford, Suite 220 Valencia, CA 91355</w:t>
      </w:r>
      <w:r>
        <w:rPr>
          <w:sz w:val="20"/>
          <w:szCs w:val="20"/>
          <w:color w:val="auto"/>
        </w:rPr>
        <w:tab/>
      </w:r>
      <w:r>
        <w:rPr>
          <w:rFonts w:ascii="Arial" w:cs="Arial" w:eastAsia="Arial" w:hAnsi="Arial"/>
          <w:sz w:val="10"/>
          <w:szCs w:val="10"/>
          <w:color w:val="auto"/>
        </w:rPr>
        <w:t>Page 3</w:t>
      </w:r>
    </w:p>
    <w:p>
      <w:pPr>
        <w:sectPr>
          <w:pgSz w:w="11900" w:h="16838" w:orient="portrait"/>
          <w:cols w:equalWidth="0" w:num="1">
            <w:col w:w="9019"/>
          </w:cols>
          <w:pgMar w:left="1440" w:top="230"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AVITA MEDICAL,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As of</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560" w:type="dxa"/>
            <w:vAlign w:val="bottom"/>
          </w:tcPr>
          <w:p>
            <w:pPr>
              <w:spacing w:after="0"/>
              <w:rPr>
                <w:sz w:val="7"/>
                <w:szCs w:val="7"/>
                <w:color w:val="auto"/>
              </w:rPr>
            </w:pPr>
          </w:p>
        </w:tc>
        <w:tc>
          <w:tcPr>
            <w:tcW w:w="114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September 30, 2021</w:t>
            </w:r>
          </w:p>
        </w:tc>
        <w:tc>
          <w:tcPr>
            <w:tcW w:w="56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w w:val="82"/>
              </w:rPr>
              <w:t>June 30, 2021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5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60" w:type="dxa"/>
            <w:vAlign w:val="bottom"/>
          </w:tcPr>
          <w:p>
            <w:pPr>
              <w:ind w:left="240"/>
              <w:spacing w:after="0"/>
              <w:rPr>
                <w:sz w:val="20"/>
                <w:szCs w:val="20"/>
                <w:color w:val="auto"/>
              </w:rPr>
            </w:pPr>
            <w:r>
              <w:rPr>
                <w:rFonts w:ascii="Arial" w:cs="Arial" w:eastAsia="Arial" w:hAnsi="Arial"/>
                <w:sz w:val="12"/>
                <w:szCs w:val="12"/>
                <w:color w:val="auto"/>
              </w:rPr>
              <w:t>Cash and cash equivalents</w:t>
            </w: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60,484</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110,746</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Marketable securities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29,703</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560" w:type="dxa"/>
            <w:vAlign w:val="bottom"/>
          </w:tcPr>
          <w:p>
            <w:pPr>
              <w:ind w:left="240"/>
              <w:spacing w:after="0"/>
              <w:rPr>
                <w:sz w:val="20"/>
                <w:szCs w:val="20"/>
                <w:color w:val="auto"/>
              </w:rPr>
            </w:pPr>
            <w:r>
              <w:rPr>
                <w:rFonts w:ascii="Arial" w:cs="Arial" w:eastAsia="Arial" w:hAnsi="Arial"/>
                <w:sz w:val="12"/>
                <w:szCs w:val="12"/>
                <w:color w:val="auto"/>
              </w:rPr>
              <w:t>Accounts receivable, net</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3,118</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3,467</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BARDA receivables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603</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3,936</w:t>
            </w:r>
          </w:p>
        </w:tc>
        <w:tc>
          <w:tcPr>
            <w:tcW w:w="0" w:type="dxa"/>
            <w:vAlign w:val="bottom"/>
          </w:tcPr>
          <w:p>
            <w:pPr>
              <w:spacing w:after="0"/>
              <w:rPr>
                <w:sz w:val="1"/>
                <w:szCs w:val="1"/>
                <w:color w:val="auto"/>
              </w:rPr>
            </w:pPr>
          </w:p>
        </w:tc>
      </w:tr>
      <w:tr>
        <w:trPr>
          <w:trHeight w:val="144"/>
        </w:trPr>
        <w:tc>
          <w:tcPr>
            <w:tcW w:w="5560" w:type="dxa"/>
            <w:vAlign w:val="bottom"/>
          </w:tcPr>
          <w:p>
            <w:pPr>
              <w:ind w:left="240"/>
              <w:spacing w:after="0"/>
              <w:rPr>
                <w:sz w:val="20"/>
                <w:szCs w:val="20"/>
                <w:color w:val="auto"/>
              </w:rPr>
            </w:pPr>
            <w:r>
              <w:rPr>
                <w:rFonts w:ascii="Arial" w:cs="Arial" w:eastAsia="Arial" w:hAnsi="Arial"/>
                <w:sz w:val="12"/>
                <w:szCs w:val="12"/>
                <w:color w:val="auto"/>
              </w:rPr>
              <w:t>Prepaids and other current assets</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1,129</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1,333</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Restricted cash</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201</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4"/>
        </w:trPr>
        <w:tc>
          <w:tcPr>
            <w:tcW w:w="5560" w:type="dxa"/>
            <w:vAlign w:val="bottom"/>
          </w:tcPr>
          <w:p>
            <w:pPr>
              <w:ind w:left="240"/>
              <w:spacing w:after="0"/>
              <w:rPr>
                <w:sz w:val="20"/>
                <w:szCs w:val="20"/>
                <w:color w:val="auto"/>
              </w:rPr>
            </w:pPr>
            <w:r>
              <w:rPr>
                <w:rFonts w:ascii="Arial" w:cs="Arial" w:eastAsia="Arial" w:hAnsi="Arial"/>
                <w:sz w:val="12"/>
                <w:szCs w:val="12"/>
                <w:color w:val="auto"/>
              </w:rPr>
              <w:t>Inventory</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1,892</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1,647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Total current assets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97,130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121,330</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Marketable securities, long-term</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19,801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Plant and equipment, net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1,357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1,458</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1,710</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1,480</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472</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Other long-term assets</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703</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121,173</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125,501</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2,439</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3,120</w:t>
            </w:r>
          </w:p>
        </w:tc>
        <w:tc>
          <w:tcPr>
            <w:tcW w:w="0" w:type="dxa"/>
            <w:vAlign w:val="bottom"/>
          </w:tcPr>
          <w:p>
            <w:pPr>
              <w:spacing w:after="0"/>
              <w:rPr>
                <w:sz w:val="1"/>
                <w:szCs w:val="1"/>
                <w:color w:val="auto"/>
              </w:rPr>
            </w:pPr>
          </w:p>
        </w:tc>
      </w:tr>
      <w:tr>
        <w:trPr>
          <w:trHeight w:val="144"/>
        </w:trPr>
        <w:tc>
          <w:tcPr>
            <w:tcW w:w="5560" w:type="dxa"/>
            <w:vAlign w:val="bottom"/>
          </w:tcPr>
          <w:p>
            <w:pPr>
              <w:ind w:left="240"/>
              <w:spacing w:after="0"/>
              <w:rPr>
                <w:sz w:val="20"/>
                <w:szCs w:val="20"/>
                <w:color w:val="auto"/>
              </w:rPr>
            </w:pPr>
            <w:r>
              <w:rPr>
                <w:rFonts w:ascii="Arial" w:cs="Arial" w:eastAsia="Arial" w:hAnsi="Arial"/>
                <w:sz w:val="12"/>
                <w:szCs w:val="12"/>
                <w:color w:val="auto"/>
              </w:rPr>
              <w:t>Accrued wages and fringe benefits</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3,663</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3,321</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Other current liabilities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951</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949</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2"/>
                <w:szCs w:val="12"/>
                <w:color w:val="auto"/>
              </w:rPr>
              <w:t>Total current liabilities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7,053</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7,390</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Contract liabilities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1,018</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1,075</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Operating lease liabilities, long term</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1,107</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878</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2"/>
                <w:szCs w:val="12"/>
                <w:color w:val="auto"/>
              </w:rPr>
              <w:t>Total liabilities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9,681</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9,846</w:t>
            </w: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Contingencies (Note 10)</w:t>
            </w: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Shareholders’ Equity:</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8"/>
              </w:rPr>
              <w:t>Common stock, $0.0001 par value per share, 200,000,000 shares authorized, 24,925,118 and 24,895,864</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shares issued and outstanding at September 30, 2021 and June 30, 2021, respectively</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5560" w:type="dxa"/>
            <w:vAlign w:val="bottom"/>
          </w:tcPr>
          <w:p>
            <w:pPr>
              <w:spacing w:after="0" w:line="135" w:lineRule="exact"/>
              <w:rPr>
                <w:sz w:val="20"/>
                <w:szCs w:val="20"/>
                <w:color w:val="auto"/>
              </w:rPr>
            </w:pPr>
            <w:r>
              <w:rPr>
                <w:rFonts w:ascii="Arial" w:cs="Arial" w:eastAsia="Arial" w:hAnsi="Arial"/>
                <w:sz w:val="12"/>
                <w:szCs w:val="12"/>
                <w:color w:val="auto"/>
                <w:w w:val="93"/>
              </w:rPr>
              <w:t>Preferred stock, $0.0001 par value per share, 10,000,000 shares authorized, no shares issued or outstanding at</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560" w:type="dxa"/>
            <w:vAlign w:val="bottom"/>
          </w:tcPr>
          <w:p>
            <w:pPr>
              <w:ind w:left="120"/>
              <w:spacing w:after="0"/>
              <w:rPr>
                <w:sz w:val="20"/>
                <w:szCs w:val="20"/>
                <w:color w:val="auto"/>
              </w:rPr>
            </w:pPr>
            <w:r>
              <w:rPr>
                <w:rFonts w:ascii="Arial" w:cs="Arial" w:eastAsia="Arial" w:hAnsi="Arial"/>
                <w:sz w:val="12"/>
                <w:szCs w:val="12"/>
                <w:color w:val="auto"/>
              </w:rPr>
              <w:t>September 30, 2021 and June 30, 2021</w:t>
            </w:r>
          </w:p>
        </w:tc>
        <w:tc>
          <w:tcPr>
            <w:tcW w:w="22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330,734</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328,889</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Accumulated other comprehensive income</w:t>
            </w: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8,199</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8,259</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(227,444)</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(221,496)</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2"/>
                <w:szCs w:val="12"/>
                <w:color w:val="auto"/>
              </w:rPr>
              <w:t>Total shareholders’ equity</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111,492</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115,655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and shareholders’ equity</w:t>
            </w: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121,173</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125,501</w:t>
            </w:r>
          </w:p>
        </w:tc>
        <w:tc>
          <w:tcPr>
            <w:tcW w:w="0" w:type="dxa"/>
            <w:vAlign w:val="bottom"/>
          </w:tcPr>
          <w:p>
            <w:pPr>
              <w:spacing w:after="0"/>
              <w:rPr>
                <w:sz w:val="1"/>
                <w:szCs w:val="1"/>
                <w:color w:val="auto"/>
              </w:rPr>
            </w:pPr>
          </w:p>
        </w:tc>
      </w:tr>
      <w:tr>
        <w:trPr>
          <w:trHeight w:val="297"/>
        </w:trPr>
        <w:tc>
          <w:tcPr>
            <w:tcW w:w="5560" w:type="dxa"/>
            <w:vAlign w:val="bottom"/>
          </w:tcPr>
          <w:p>
            <w:pPr>
              <w:spacing w:after="0"/>
              <w:rPr>
                <w:sz w:val="20"/>
                <w:szCs w:val="20"/>
                <w:color w:val="auto"/>
              </w:rPr>
            </w:pPr>
            <w:r>
              <w:rPr>
                <w:rFonts w:ascii="Arial" w:cs="Arial" w:eastAsia="Arial" w:hAnsi="Arial"/>
                <w:sz w:val="12"/>
                <w:szCs w:val="12"/>
                <w:color w:val="auto"/>
              </w:rPr>
              <w:t>The accompanying notes form part of the consolidated financial statements</w:t>
            </w: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2"/>
                <w:szCs w:val="12"/>
                <w:color w:val="auto"/>
              </w:rPr>
              <w:t>AVITA Medical, Inc. | 28159 Avenue Stanford, Suite 220 Valencia, CA 91355</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Page 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AVITA MEDICAL,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w w:val="87"/>
              </w:rPr>
              <w:t>Three Months Ended September 30,</w:t>
            </w:r>
          </w:p>
        </w:tc>
        <w:tc>
          <w:tcPr>
            <w:tcW w:w="0" w:type="dxa"/>
            <w:vAlign w:val="bottom"/>
          </w:tcPr>
          <w:p>
            <w:pPr>
              <w:spacing w:after="0"/>
              <w:rPr>
                <w:sz w:val="1"/>
                <w:szCs w:val="1"/>
                <w:color w:val="auto"/>
              </w:rPr>
            </w:pPr>
          </w:p>
        </w:tc>
      </w:tr>
      <w:tr>
        <w:trPr>
          <w:trHeight w:val="88"/>
        </w:trPr>
        <w:tc>
          <w:tcPr>
            <w:tcW w:w="562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181"/>
              <w:spacing w:after="0" w:line="88" w:lineRule="exact"/>
              <w:rPr>
                <w:sz w:val="20"/>
                <w:szCs w:val="20"/>
                <w:color w:val="auto"/>
              </w:rPr>
            </w:pPr>
            <w:r>
              <w:rPr>
                <w:rFonts w:ascii="Arial" w:cs="Arial" w:eastAsia="Arial" w:hAnsi="Arial"/>
                <w:sz w:val="10"/>
                <w:szCs w:val="10"/>
                <w:b w:val="1"/>
                <w:bCs w:val="1"/>
                <w:color w:val="auto"/>
              </w:rPr>
              <w:t>2021</w:t>
            </w:r>
          </w:p>
        </w:tc>
        <w:tc>
          <w:tcPr>
            <w:tcW w:w="28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18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7,020</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5,060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Cost of sales</w:t>
            </w:r>
          </w:p>
        </w:tc>
        <w:tc>
          <w:tcPr>
            <w:tcW w:w="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(1,088)</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(929)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Gross profit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4,131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2"/>
                <w:szCs w:val="12"/>
                <w:color w:val="auto"/>
              </w:rPr>
              <w:t>BARDA income</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596</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 xml:space="preserve">Sales and marketing expenses </w:t>
            </w:r>
            <w:r>
              <w:rPr>
                <w:rFonts w:ascii="Arial" w:cs="Arial" w:eastAsia="Arial" w:hAnsi="Arial"/>
                <w:sz w:val="10"/>
                <w:szCs w:val="10"/>
                <w:color w:val="auto"/>
              </w:rPr>
              <w:t>(1)</w:t>
            </w:r>
          </w:p>
        </w:tc>
        <w:tc>
          <w:tcPr>
            <w:tcW w:w="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(3,518)</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(3,265)</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 xml:space="preserve">General and administrative expenses </w:t>
            </w:r>
            <w:r>
              <w:rPr>
                <w:rFonts w:ascii="Arial" w:cs="Arial" w:eastAsia="Arial" w:hAnsi="Arial"/>
                <w:sz w:val="10"/>
                <w:szCs w:val="10"/>
                <w:color w:val="auto"/>
              </w:rPr>
              <w:t>(1)</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(5,349)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(8,302)</w:t>
            </w: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 xml:space="preserve">Research and development expenses </w:t>
            </w:r>
            <w:r>
              <w:rPr>
                <w:rFonts w:ascii="Arial" w:cs="Arial" w:eastAsia="Arial" w:hAnsi="Arial"/>
                <w:sz w:val="10"/>
                <w:szCs w:val="10"/>
                <w:color w:val="auto"/>
              </w:rPr>
              <w:t>(1)</w:t>
            </w:r>
          </w:p>
        </w:tc>
        <w:tc>
          <w:tcPr>
            <w:tcW w:w="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(3,388)</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(3,374)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(12,255)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(14,941)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2"/>
                <w:szCs w:val="12"/>
                <w:color w:val="auto"/>
              </w:rPr>
              <w:t>Operating loss</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(5,949)</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(10,214)</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Other income</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(5,942)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(10,217)</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Income tax expense</w:t>
            </w:r>
          </w:p>
        </w:tc>
        <w:tc>
          <w:tcPr>
            <w:tcW w:w="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(10,227)</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20"/>
                <w:szCs w:val="20"/>
                <w:color w:val="auto"/>
              </w:rPr>
            </w:pPr>
            <w:r>
              <w:rPr>
                <w:rFonts w:ascii="Arial" w:cs="Arial" w:eastAsia="Arial" w:hAnsi="Arial"/>
                <w:sz w:val="12"/>
                <w:szCs w:val="12"/>
                <w:color w:val="auto"/>
              </w:rPr>
              <w:t>Net loss per common share:</w:t>
            </w: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Basic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(0.48)</w:t>
            </w: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Diluted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(0.24)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(0.48)</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common shares: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40"/>
              <w:spacing w:after="0"/>
              <w:rPr>
                <w:sz w:val="20"/>
                <w:szCs w:val="20"/>
                <w:color w:val="auto"/>
              </w:rPr>
            </w:pPr>
            <w:r>
              <w:rPr>
                <w:rFonts w:ascii="Arial" w:cs="Arial" w:eastAsia="Arial" w:hAnsi="Arial"/>
                <w:sz w:val="12"/>
                <w:szCs w:val="12"/>
                <w:color w:val="auto"/>
              </w:rPr>
              <w:t>Basic</w:t>
            </w:r>
          </w:p>
        </w:tc>
        <w:tc>
          <w:tcPr>
            <w:tcW w:w="6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24,905,403</w:t>
            </w: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21,503,643</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Diluted</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24,905,403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21,503,643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20" w:hanging="288"/>
        <w:spacing w:after="0"/>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operating expenses include impact of share-based compensation as follows:</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5"/>
          </w:tcPr>
          <w:p>
            <w:pPr>
              <w:jc w:val="right"/>
              <w:ind w:right="140"/>
              <w:spacing w:after="0"/>
              <w:rPr>
                <w:sz w:val="20"/>
                <w:szCs w:val="20"/>
                <w:color w:val="auto"/>
              </w:rPr>
            </w:pPr>
            <w:r>
              <w:rPr>
                <w:rFonts w:ascii="Arial" w:cs="Arial" w:eastAsia="Arial" w:hAnsi="Arial"/>
                <w:sz w:val="10"/>
                <w:szCs w:val="10"/>
                <w:b w:val="1"/>
                <w:bCs w:val="1"/>
                <w:color w:val="auto"/>
                <w:w w:val="85"/>
              </w:rPr>
              <w:t>Three-months ended September 30,</w:t>
            </w:r>
          </w:p>
        </w:tc>
      </w:tr>
      <w:tr>
        <w:trPr>
          <w:trHeight w:val="88"/>
        </w:trPr>
        <w:tc>
          <w:tcPr>
            <w:tcW w:w="562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64"/>
              <w:spacing w:after="0" w:line="88" w:lineRule="exact"/>
              <w:rPr>
                <w:sz w:val="20"/>
                <w:szCs w:val="20"/>
                <w:color w:val="auto"/>
              </w:rPr>
            </w:pPr>
            <w:r>
              <w:rPr>
                <w:rFonts w:ascii="Arial" w:cs="Arial" w:eastAsia="Arial" w:hAnsi="Arial"/>
                <w:sz w:val="10"/>
                <w:szCs w:val="10"/>
                <w:b w:val="1"/>
                <w:bCs w:val="1"/>
                <w:color w:val="auto"/>
              </w:rPr>
              <w:t>2021</w:t>
            </w:r>
          </w:p>
        </w:tc>
        <w:tc>
          <w:tcPr>
            <w:tcW w:w="40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62"/>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5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Sales and marketing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291</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330</w:t>
            </w:r>
          </w:p>
        </w:tc>
        <w:tc>
          <w:tcPr>
            <w:tcW w:w="40" w:type="dxa"/>
            <w:vAlign w:val="bottom"/>
            <w:shd w:val="clear" w:color="auto" w:fill="CCEEFF"/>
          </w:tcPr>
          <w:p>
            <w:pPr>
              <w:spacing w:after="0"/>
              <w:rPr>
                <w:sz w:val="11"/>
                <w:szCs w:val="11"/>
                <w:color w:val="auto"/>
              </w:rPr>
            </w:pPr>
          </w:p>
        </w:tc>
      </w:tr>
      <w:tr>
        <w:trPr>
          <w:trHeight w:val="144"/>
        </w:trPr>
        <w:tc>
          <w:tcPr>
            <w:tcW w:w="5620" w:type="dxa"/>
            <w:vAlign w:val="bottom"/>
          </w:tcPr>
          <w:p>
            <w:pPr>
              <w:spacing w:after="0"/>
              <w:rPr>
                <w:sz w:val="20"/>
                <w:szCs w:val="20"/>
                <w:color w:val="auto"/>
              </w:rPr>
            </w:pPr>
            <w:r>
              <w:rPr>
                <w:rFonts w:ascii="Arial" w:cs="Arial" w:eastAsia="Arial" w:hAnsi="Arial"/>
                <w:sz w:val="12"/>
                <w:szCs w:val="12"/>
                <w:color w:val="auto"/>
              </w:rPr>
              <w:t>General and administrative expenses</w:t>
            </w:r>
          </w:p>
        </w:tc>
        <w:tc>
          <w:tcPr>
            <w:tcW w:w="10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1,251</w:t>
            </w: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2,766</w:t>
            </w:r>
          </w:p>
        </w:tc>
      </w:tr>
      <w:tr>
        <w:trPr>
          <w:trHeight w:val="144"/>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40" w:type="dxa"/>
            <w:vAlign w:val="bottom"/>
            <w:shd w:val="clear" w:color="auto" w:fill="CCEEFF"/>
          </w:tcPr>
          <w:p>
            <w:pPr>
              <w:spacing w:after="0"/>
              <w:rPr>
                <w:sz w:val="12"/>
                <w:szCs w:val="12"/>
                <w:color w:val="auto"/>
              </w:rPr>
            </w:pPr>
          </w:p>
        </w:tc>
      </w:tr>
      <w:tr>
        <w:trPr>
          <w:trHeight w:val="149"/>
        </w:trPr>
        <w:tc>
          <w:tcPr>
            <w:tcW w:w="5620" w:type="dxa"/>
            <w:vAlign w:val="bottom"/>
          </w:tcPr>
          <w:p>
            <w:pPr>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1,842</w:t>
            </w:r>
          </w:p>
        </w:tc>
        <w:tc>
          <w:tcPr>
            <w:tcW w:w="40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3,266</w:t>
            </w:r>
          </w:p>
        </w:tc>
        <w:tc>
          <w:tcPr>
            <w:tcW w:w="40" w:type="dxa"/>
            <w:vAlign w:val="bottom"/>
          </w:tcPr>
          <w:p>
            <w:pPr>
              <w:spacing w:after="0"/>
              <w:rPr>
                <w:sz w:val="12"/>
                <w:szCs w:val="12"/>
                <w:color w:val="auto"/>
              </w:rPr>
            </w:pPr>
          </w:p>
        </w:tc>
      </w:tr>
      <w:tr>
        <w:trPr>
          <w:trHeight w:val="252"/>
        </w:trPr>
        <w:tc>
          <w:tcPr>
            <w:tcW w:w="5620" w:type="dxa"/>
            <w:vAlign w:val="bottom"/>
          </w:tcPr>
          <w:p>
            <w:pPr>
              <w:spacing w:after="0"/>
              <w:rPr>
                <w:sz w:val="20"/>
                <w:szCs w:val="20"/>
                <w:color w:val="auto"/>
              </w:rPr>
            </w:pPr>
            <w:r>
              <w:rPr>
                <w:rFonts w:ascii="Arial" w:cs="Arial" w:eastAsia="Arial" w:hAnsi="Arial"/>
                <w:sz w:val="12"/>
                <w:szCs w:val="12"/>
                <w:color w:val="auto"/>
              </w:rPr>
              <w:t>AVITA Medical, Inc. | 28159 Avenue Stanford, Suite 220 Valencia, CA 91355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Page 5</w:t>
            </w:r>
          </w:p>
        </w:tc>
      </w:tr>
    </w:tbl>
    <w:p>
      <w:pPr>
        <w:sectPr>
          <w:pgSz w:w="11900" w:h="16838" w:orient="portrait"/>
          <w:cols w:equalWidth="0" w:num="1">
            <w:col w:w="9019"/>
          </w:cols>
          <w:pgMar w:left="1440" w:top="226" w:right="1440" w:bottom="144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2021-11-12T06:59:06Z</dcterms:created>
  <dcterms:modified xsi:type="dcterms:W3CDTF">2021-11-12T06:59:06Z</dcterms:modified>
</cp:coreProperties>
</file>