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(d) Election of Directors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Effective January 1, 2026, the Board of Directors (the “Board”) of AVITA Medical, Inc. (the "Company") appointed Joe Woody to the Board to serve until the Company’s 2026 Annual Meeting of Stockholders. Mr. Woody will serve as a member of each of the Board's committees.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has determined that Mr. Woody meets the independence standards adopted by the Board in compliance with Item 407(a) of Regulation S-K. Mr. Woody does not have (i) any arrangement or understanding with any other person pursuant to which they were appointed as a director of the Board, or (ii) any family relationship with any director of the Board or executive officer of the Company or any person nominated or chosen by the Company to become a director or executive officer. Mr. Woody does not have any direct or indirect material interest in any transaction required to be disclosed pursuant to Item 404(a) of Regulation S-K.</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Joe Woody is a seasoned healthcare executive with more than two decades of leadership experience across the medical technology sector, most recently serving as CEO of Avanos Medical from 2017 to 2024, and previously, as President and CEO of Acelity Holdings. His background spans multiple senior executive roles, including with Covidien and Smith &amp; Nephew. Mr. Woody also served on the Board of Directors of AdvaMed, Inc., the largest trade association in the U.S. for the medical device, diagnostics, and digital health technology sectors, for over a decade.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to the Board, the Company entered into an offer letter with Mr. Woody, effective January 1, 2026 (the "Offer Letter"), which provides for Mr. Woody to receive cash in the amount of $92,500 annually as consideration for his Board services. Mr. Woody will also receive an initial equity grant, dated January 20, 2026, equal in value to $210,000, with approximately 30% granted as stock options and the remaining approximate 70% granted as restricted stock units, and will be eligible to receive an annual equity grant; with all such equity grants being subject to shareholder approval.</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copy of the Offer Letter is attached hereto as Exhibit 10.1 and is incorporated herein by reference. In connection with his services on the Board, the Company also entered into an indemnification agreement with Mr. Woody on the Company’s standard form of indemnification agreement pursuant to the rules of the Australian Securities Exchange.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announcing Mr. Woody's appointment to the Board on January 5, 2026.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0"/>
                <w:szCs w:val="20"/>
                <w:color w:val="auto"/>
              </w:rPr>
            </w:pPr>
          </w:p>
        </w:tc>
        <w:tc>
          <w:tcPr>
            <w:tcW w:w="9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 of Exhibit</w:t>
            </w:r>
          </w:p>
        </w:tc>
        <w:tc>
          <w:tcPr>
            <w:tcW w:w="20" w:type="dxa"/>
            <w:vAlign w:val="bottom"/>
          </w:tcPr>
          <w:p>
            <w:pPr>
              <w:spacing w:after="0"/>
              <w:rPr>
                <w:sz w:val="20"/>
                <w:szCs w:val="20"/>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0"/>
                <w:szCs w:val="20"/>
                <w:color w:val="auto"/>
              </w:rPr>
            </w:pPr>
          </w:p>
        </w:tc>
        <w:tc>
          <w:tcPr>
            <w:tcW w:w="63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Offer Letter, dated November 20, 2025, between AVITA Medical, Inc. and Joe Woody</w:t>
            </w:r>
          </w:p>
        </w:tc>
        <w:tc>
          <w:tcPr>
            <w:tcW w:w="3700" w:type="dxa"/>
            <w:vAlign w:val="bottom"/>
            <w:gridSpan w:val="2"/>
          </w:tcPr>
          <w:p>
            <w:pPr>
              <w:spacing w:after="0"/>
              <w:rPr>
                <w:sz w:val="20"/>
                <w:szCs w:val="20"/>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2"/>
                <w:szCs w:val="22"/>
                <w:color w:val="auto"/>
              </w:rPr>
            </w:pPr>
          </w:p>
        </w:tc>
        <w:tc>
          <w:tcPr>
            <w:tcW w:w="49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Press release, dated January 5, 2026, issued by AVITA Medical, Inc.</w:t>
            </w:r>
          </w:p>
        </w:tc>
        <w:tc>
          <w:tcPr>
            <w:tcW w:w="5020" w:type="dxa"/>
            <w:vAlign w:val="bottom"/>
            <w:gridSpan w:val="3"/>
          </w:tcPr>
          <w:p>
            <w:pPr>
              <w:spacing w:after="0"/>
              <w:rPr>
                <w:sz w:val="22"/>
                <w:szCs w:val="22"/>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62635" cy="916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63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3C4952"/>
        </w:rPr>
        <w:t>28159 Avenue Stanford, Suite 220 Valencia, CA 91355</w:t>
      </w:r>
    </w:p>
    <w:p>
      <w:pPr>
        <w:spacing w:after="0" w:line="154" w:lineRule="exact"/>
        <w:rPr>
          <w:sz w:val="20"/>
          <w:szCs w:val="20"/>
          <w:color w:val="auto"/>
        </w:rPr>
      </w:pPr>
    </w:p>
    <w:p>
      <w:pPr>
        <w:jc w:val="right"/>
        <w:ind w:right="100"/>
        <w:spacing w:after="0"/>
        <w:tabs>
          <w:tab w:leader="none" w:pos="1480" w:val="left"/>
        </w:tabs>
        <w:rPr>
          <w:sz w:val="20"/>
          <w:szCs w:val="20"/>
          <w:color w:val="auto"/>
        </w:rPr>
      </w:pPr>
      <w:r>
        <w:rPr>
          <w:rFonts w:ascii="Arial" w:cs="Arial" w:eastAsia="Arial" w:hAnsi="Arial"/>
          <w:sz w:val="13"/>
          <w:szCs w:val="13"/>
          <w:color w:val="3C4952"/>
        </w:rPr>
        <w:t xml:space="preserve">T </w:t>
      </w:r>
      <w:r>
        <w:rPr>
          <w:rFonts w:ascii="Arial" w:cs="Arial" w:eastAsia="Arial" w:hAnsi="Arial"/>
          <w:sz w:val="16"/>
          <w:szCs w:val="16"/>
          <w:color w:val="3C4952"/>
        </w:rPr>
        <w:t>833.462.8482</w:t>
      </w:r>
      <w:r>
        <w:rPr>
          <w:rFonts w:ascii="Arial" w:cs="Arial" w:eastAsia="Arial" w:hAnsi="Arial"/>
          <w:sz w:val="13"/>
          <w:szCs w:val="13"/>
          <w:color w:val="3C4952"/>
        </w:rPr>
        <w:tab/>
        <w:t xml:space="preserve">W </w:t>
      </w:r>
      <w:r>
        <w:rPr>
          <w:rFonts w:ascii="Arial" w:cs="Arial" w:eastAsia="Arial" w:hAnsi="Arial"/>
          <w:sz w:val="16"/>
          <w:szCs w:val="16"/>
          <w:color w:val="318CDD"/>
        </w:rPr>
        <w:t>avitamedical.com</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November 20,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Appointment to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Dear Mr. Woody,</w:t>
      </w:r>
    </w:p>
    <w:p>
      <w:pPr>
        <w:spacing w:after="0" w:line="214" w:lineRule="exact"/>
        <w:rPr>
          <w:sz w:val="20"/>
          <w:szCs w:val="20"/>
          <w:color w:val="auto"/>
        </w:rPr>
      </w:pPr>
    </w:p>
    <w:p>
      <w:pPr>
        <w:ind w:left="20" w:right="1120" w:firstLine="376"/>
        <w:spacing w:after="0" w:line="247" w:lineRule="auto"/>
        <w:rPr>
          <w:sz w:val="20"/>
          <w:szCs w:val="20"/>
          <w:color w:val="auto"/>
        </w:rPr>
      </w:pPr>
      <w:r>
        <w:rPr>
          <w:rFonts w:ascii="Arial" w:cs="Arial" w:eastAsia="Arial" w:hAnsi="Arial"/>
          <w:sz w:val="20"/>
          <w:szCs w:val="20"/>
          <w:color w:val="auto"/>
        </w:rPr>
        <w:t>I am pleased to confirm our offer regarding your appointment as a non-executive member (a “</w:t>
      </w:r>
      <w:r>
        <w:rPr>
          <w:rFonts w:ascii="Arial" w:cs="Arial" w:eastAsia="Arial" w:hAnsi="Arial"/>
          <w:sz w:val="20"/>
          <w:szCs w:val="20"/>
          <w:b w:val="1"/>
          <w:bCs w:val="1"/>
          <w:color w:val="auto"/>
        </w:rPr>
        <w:t>Non-Executive</w:t>
      </w:r>
      <w:r>
        <w:rPr>
          <w:rFonts w:ascii="Arial" w:cs="Arial" w:eastAsia="Arial" w:hAnsi="Arial"/>
          <w:sz w:val="20"/>
          <w:szCs w:val="20"/>
          <w:color w:val="auto"/>
        </w:rPr>
        <w:t xml:space="preserve"> </w:t>
      </w:r>
      <w:r>
        <w:rPr>
          <w:rFonts w:ascii="Arial" w:cs="Arial" w:eastAsia="Arial" w:hAnsi="Arial"/>
          <w:sz w:val="20"/>
          <w:szCs w:val="20"/>
          <w:b w:val="1"/>
          <w:bCs w:val="1"/>
          <w:color w:val="auto"/>
        </w:rPr>
        <w:t>Director</w:t>
      </w:r>
      <w:r>
        <w:rPr>
          <w:rFonts w:ascii="Arial" w:cs="Arial" w:eastAsia="Arial" w:hAnsi="Arial"/>
          <w:sz w:val="20"/>
          <w:szCs w:val="20"/>
          <w:color w:val="auto"/>
        </w:rPr>
        <w:t>”)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AVITA Medical,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which will commence effective January 1, 2026 (the “</w:t>
      </w:r>
      <w:r>
        <w:rPr>
          <w:rFonts w:ascii="Arial" w:cs="Arial" w:eastAsia="Arial" w:hAnsi="Arial"/>
          <w:sz w:val="20"/>
          <w:szCs w:val="20"/>
          <w:b w:val="1"/>
          <w:bCs w:val="1"/>
          <w:color w:val="auto"/>
        </w:rPr>
        <w:t>Effective Date</w:t>
      </w:r>
      <w:r>
        <w:rPr>
          <w:rFonts w:ascii="Arial" w:cs="Arial" w:eastAsia="Arial" w:hAnsi="Arial"/>
          <w:sz w:val="20"/>
          <w:szCs w:val="20"/>
          <w:color w:val="auto"/>
        </w:rPr>
        <w:t>”), on the following terms:</w:t>
      </w:r>
    </w:p>
    <w:p>
      <w:pPr>
        <w:spacing w:after="0" w:line="167" w:lineRule="exact"/>
        <w:rPr>
          <w:sz w:val="20"/>
          <w:szCs w:val="20"/>
          <w:color w:val="auto"/>
        </w:rPr>
      </w:pPr>
    </w:p>
    <w:p>
      <w:pPr>
        <w:ind w:left="740" w:hanging="372"/>
        <w:spacing w:after="0"/>
        <w:tabs>
          <w:tab w:leader="none" w:pos="740" w:val="left"/>
        </w:tabs>
        <w:numPr>
          <w:ilvl w:val="0"/>
          <w:numId w:val="2"/>
        </w:numPr>
        <w:rPr>
          <w:rFonts w:ascii="Calibri" w:cs="Calibri" w:eastAsia="Calibri" w:hAnsi="Calibri"/>
          <w:sz w:val="20"/>
          <w:szCs w:val="20"/>
          <w:b w:val="1"/>
          <w:bCs w:val="1"/>
          <w:color w:val="auto"/>
        </w:rPr>
      </w:pPr>
      <w:r>
        <w:rPr>
          <w:rFonts w:ascii="Arial" w:cs="Arial" w:eastAsia="Arial" w:hAnsi="Arial"/>
          <w:sz w:val="20"/>
          <w:szCs w:val="20"/>
          <w:b w:val="1"/>
          <w:bCs w:val="1"/>
          <w:color w:val="auto"/>
        </w:rPr>
        <w:t>Position.</w:t>
      </w:r>
    </w:p>
    <w:p>
      <w:pPr>
        <w:spacing w:after="0" w:line="230" w:lineRule="exact"/>
        <w:rPr>
          <w:sz w:val="20"/>
          <w:szCs w:val="20"/>
          <w:color w:val="auto"/>
        </w:rPr>
      </w:pPr>
    </w:p>
    <w:p>
      <w:pPr>
        <w:ind w:right="1200" w:firstLine="374"/>
        <w:spacing w:after="0" w:line="233" w:lineRule="auto"/>
        <w:rPr>
          <w:sz w:val="20"/>
          <w:szCs w:val="20"/>
          <w:color w:val="auto"/>
        </w:rPr>
      </w:pPr>
      <w:r>
        <w:rPr>
          <w:rFonts w:ascii="Arial" w:cs="Arial" w:eastAsia="Arial" w:hAnsi="Arial"/>
          <w:sz w:val="20"/>
          <w:szCs w:val="20"/>
          <w:color w:val="auto"/>
        </w:rPr>
        <w:t>Your position as a Non-Executive Director will require formal acceptance of this appointment, by executing this letter agreement as of a date no later than December 5, 2025. The Board has acted formally to elect you effective as of the Effective Date. Upon receipt of your executed copy of this letter agreement, the Board Secretary will provide you with relevant documents and other on-boarding information. Your term as a Non-Executive Director will commence on the Effective Date, and you will be subject to annual re-election at the Company’s annual shareholder meeting which takes place on or around June of each year.</w:t>
      </w:r>
    </w:p>
    <w:p>
      <w:pPr>
        <w:spacing w:after="0" w:line="184" w:lineRule="exact"/>
        <w:rPr>
          <w:sz w:val="20"/>
          <w:szCs w:val="20"/>
          <w:color w:val="auto"/>
        </w:rPr>
      </w:pPr>
    </w:p>
    <w:p>
      <w:pPr>
        <w:ind w:left="740" w:hanging="372"/>
        <w:spacing w:after="0"/>
        <w:tabs>
          <w:tab w:leader="none" w:pos="740" w:val="left"/>
        </w:tabs>
        <w:numPr>
          <w:ilvl w:val="0"/>
          <w:numId w:val="3"/>
        </w:numPr>
        <w:rPr>
          <w:rFonts w:ascii="Calibri" w:cs="Calibri" w:eastAsia="Calibri" w:hAnsi="Calibri"/>
          <w:sz w:val="20"/>
          <w:szCs w:val="20"/>
          <w:b w:val="1"/>
          <w:bCs w:val="1"/>
          <w:color w:val="auto"/>
        </w:rPr>
      </w:pPr>
      <w:r>
        <w:rPr>
          <w:rFonts w:ascii="Arial" w:cs="Arial" w:eastAsia="Arial" w:hAnsi="Arial"/>
          <w:sz w:val="20"/>
          <w:szCs w:val="20"/>
          <w:b w:val="1"/>
          <w:bCs w:val="1"/>
          <w:color w:val="auto"/>
        </w:rPr>
        <w:t>Duties</w:t>
      </w:r>
    </w:p>
    <w:p>
      <w:pPr>
        <w:spacing w:after="0" w:line="270" w:lineRule="exact"/>
        <w:rPr>
          <w:rFonts w:ascii="Calibri" w:cs="Calibri" w:eastAsia="Calibri" w:hAnsi="Calibri"/>
          <w:sz w:val="20"/>
          <w:szCs w:val="20"/>
          <w:b w:val="1"/>
          <w:bCs w:val="1"/>
          <w:color w:val="auto"/>
        </w:rPr>
      </w:pPr>
    </w:p>
    <w:p>
      <w:pPr>
        <w:ind w:left="720" w:right="1300" w:hanging="338"/>
        <w:spacing w:after="0" w:line="229" w:lineRule="auto"/>
        <w:tabs>
          <w:tab w:leader="none" w:pos="720" w:val="left"/>
        </w:tabs>
        <w:numPr>
          <w:ilvl w:val="1"/>
          <w:numId w:val="3"/>
        </w:numPr>
        <w:rPr>
          <w:rFonts w:ascii="Calibri" w:cs="Calibri" w:eastAsia="Calibri" w:hAnsi="Calibri"/>
          <w:sz w:val="20"/>
          <w:szCs w:val="20"/>
          <w:color w:val="auto"/>
        </w:rPr>
      </w:pPr>
      <w:r>
        <w:rPr>
          <w:rFonts w:ascii="Arial" w:cs="Arial" w:eastAsia="Arial" w:hAnsi="Arial"/>
          <w:sz w:val="20"/>
          <w:szCs w:val="20"/>
          <w:color w:val="auto"/>
        </w:rPr>
        <w:t>As a Non-Executive Director, your duties involve commitment of your time to Board and Board Committee meetings. We currently have four in-person meetings per year (one/quarter) which is subject to examination each year; this examination may result in a change to the frequency of the meetings, or the addition of meetings (including strategy session(s) of the Board). The Board has three Committees, to one or more of which you may be appointed, and upon such appointment, for which you will be required to attend the meetings of such Board Committee(s). Currently, we have four in-person Board Committee meetings per year, which may increase. In addition to these quarterly in-person Board and Board Committee meetings, additional meetings or other events may require your attendance via video and/or teleconferencing.</w:t>
      </w:r>
    </w:p>
    <w:p>
      <w:pPr>
        <w:spacing w:after="0" w:line="185" w:lineRule="exact"/>
        <w:rPr>
          <w:rFonts w:ascii="Calibri" w:cs="Calibri" w:eastAsia="Calibri" w:hAnsi="Calibri"/>
          <w:sz w:val="20"/>
          <w:szCs w:val="20"/>
          <w:color w:val="auto"/>
        </w:rPr>
      </w:pPr>
    </w:p>
    <w:p>
      <w:pPr>
        <w:ind w:left="720" w:right="1360" w:hanging="338"/>
        <w:spacing w:after="0" w:line="243" w:lineRule="auto"/>
        <w:tabs>
          <w:tab w:leader="none" w:pos="720" w:val="left"/>
        </w:tabs>
        <w:numPr>
          <w:ilvl w:val="1"/>
          <w:numId w:val="3"/>
        </w:numPr>
        <w:rPr>
          <w:rFonts w:ascii="Calibri" w:cs="Calibri" w:eastAsia="Calibri" w:hAnsi="Calibri"/>
          <w:sz w:val="20"/>
          <w:szCs w:val="20"/>
          <w:color w:val="auto"/>
        </w:rPr>
      </w:pPr>
      <w:r>
        <w:rPr>
          <w:rFonts w:ascii="Arial" w:cs="Arial" w:eastAsia="Arial" w:hAnsi="Arial"/>
          <w:sz w:val="20"/>
          <w:szCs w:val="20"/>
          <w:color w:val="auto"/>
        </w:rPr>
        <w:t>The Company understands and agrees that during your term as a Non-Executive Director you may serve in other capacities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00" w:right="1380"/>
        <w:spacing w:after="0" w:line="233" w:lineRule="auto"/>
        <w:rPr>
          <w:sz w:val="20"/>
          <w:szCs w:val="20"/>
          <w:color w:val="auto"/>
        </w:rPr>
      </w:pPr>
      <w:r>
        <w:rPr>
          <w:rFonts w:ascii="Arial" w:cs="Arial" w:eastAsia="Arial" w:hAnsi="Arial"/>
          <w:sz w:val="20"/>
          <w:szCs w:val="20"/>
          <w:color w:val="auto"/>
        </w:rPr>
        <w:t>including as an executive, consultant or advisor, and that you may also serve in like capacities for other companies not affiliated with the Company that are not Company competitors, subject to your obligations contained in this letter agreement. Any such potential new appointments should be discussed with the Chair of the Nominating and Corporate Governance Committee prior to acceptance, to allow consideration of matters including any potential conflict of interest and the allocation of your time needed to serve as a Non-Executive Director.</w:t>
      </w:r>
    </w:p>
    <w:p>
      <w:pPr>
        <w:spacing w:after="0" w:line="184" w:lineRule="exact"/>
        <w:rPr>
          <w:sz w:val="20"/>
          <w:szCs w:val="20"/>
          <w:color w:val="auto"/>
        </w:rPr>
      </w:pPr>
    </w:p>
    <w:p>
      <w:pPr>
        <w:ind w:left="720" w:hanging="372"/>
        <w:spacing w:after="0"/>
        <w:tabs>
          <w:tab w:leader="none" w:pos="720" w:val="left"/>
        </w:tabs>
        <w:numPr>
          <w:ilvl w:val="0"/>
          <w:numId w:val="4"/>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Remuneration.</w:t>
      </w:r>
    </w:p>
    <w:p>
      <w:pPr>
        <w:spacing w:after="0" w:line="230" w:lineRule="exact"/>
        <w:rPr>
          <w:sz w:val="20"/>
          <w:szCs w:val="20"/>
          <w:color w:val="auto"/>
        </w:rPr>
      </w:pPr>
    </w:p>
    <w:p>
      <w:pPr>
        <w:ind w:right="1340" w:firstLine="376"/>
        <w:spacing w:after="0" w:line="230" w:lineRule="auto"/>
        <w:rPr>
          <w:sz w:val="20"/>
          <w:szCs w:val="20"/>
          <w:color w:val="auto"/>
        </w:rPr>
      </w:pPr>
      <w:r>
        <w:rPr>
          <w:rFonts w:ascii="Arial" w:cs="Arial" w:eastAsia="Arial" w:hAnsi="Arial"/>
          <w:sz w:val="20"/>
          <w:szCs w:val="20"/>
          <w:color w:val="auto"/>
        </w:rPr>
        <w:t>In consideration for your services to the Company as a Non-Executive Director, your remuneration is comprised of an annual cash component of US $70,000, with additional cash fees paid for participation on one or more Board committees to be discussed in due course. The equity component of your remuneration is comprised of an initial equity grant equal in value to $210,000, with 30% granted as stock options and 70% granted as restricted stock units. Starting in 2026, your remuneration will be comprised of an annual equity grant component equal in value to $125,000, with 30% granted as stock options and 70% granted as restricted stock units. Remuneration for Non-Executive Directors is reviewed periodically by an outside compensation consulting firm with reference to board compensation of peer companies, and the equity component of Non-Executive Director remuneration is subject to approval at the Company’s annual shareholder meeting.</w:t>
      </w:r>
    </w:p>
    <w:p>
      <w:pPr>
        <w:spacing w:after="0" w:line="188" w:lineRule="exact"/>
        <w:rPr>
          <w:sz w:val="20"/>
          <w:szCs w:val="20"/>
          <w:color w:val="auto"/>
        </w:rPr>
      </w:pPr>
    </w:p>
    <w:p>
      <w:pPr>
        <w:ind w:left="720" w:hanging="372"/>
        <w:spacing w:after="0"/>
        <w:tabs>
          <w:tab w:leader="none" w:pos="72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Expenses.</w:t>
      </w:r>
    </w:p>
    <w:p>
      <w:pPr>
        <w:spacing w:after="0" w:line="230" w:lineRule="exact"/>
        <w:rPr>
          <w:sz w:val="20"/>
          <w:szCs w:val="20"/>
          <w:color w:val="auto"/>
        </w:rPr>
      </w:pPr>
    </w:p>
    <w:p>
      <w:pPr>
        <w:ind w:right="1220" w:firstLine="376"/>
        <w:spacing w:after="0" w:line="237" w:lineRule="auto"/>
        <w:rPr>
          <w:sz w:val="20"/>
          <w:szCs w:val="20"/>
          <w:color w:val="auto"/>
        </w:rPr>
      </w:pPr>
      <w:r>
        <w:rPr>
          <w:rFonts w:ascii="Arial" w:cs="Arial" w:eastAsia="Arial" w:hAnsi="Arial"/>
          <w:sz w:val="20"/>
          <w:szCs w:val="20"/>
          <w:color w:val="auto"/>
        </w:rPr>
        <w:t>As a Non-Executive Director, you are entitled to reimbursement for reasonable Company-related expenditures incurred by you, including your travel to and from Board meetings, after receipt by the Company of an itemized expense report, together with receipts or other reasonable proof of such expenses. Travel is typically coordinated through the office of the Company’s Chief Executive Officer.</w:t>
      </w:r>
    </w:p>
    <w:p>
      <w:pPr>
        <w:spacing w:after="0" w:line="183" w:lineRule="exact"/>
        <w:rPr>
          <w:sz w:val="20"/>
          <w:szCs w:val="20"/>
          <w:color w:val="auto"/>
        </w:rPr>
      </w:pPr>
    </w:p>
    <w:p>
      <w:pPr>
        <w:ind w:left="720" w:hanging="372"/>
        <w:spacing w:after="0"/>
        <w:tabs>
          <w:tab w:leader="none" w:pos="720" w:val="left"/>
        </w:tabs>
        <w:numPr>
          <w:ilvl w:val="0"/>
          <w:numId w:val="6"/>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Representations and Warranties.</w:t>
      </w:r>
    </w:p>
    <w:p>
      <w:pPr>
        <w:spacing w:after="0" w:line="243" w:lineRule="exact"/>
        <w:rPr>
          <w:rFonts w:ascii="Calibri" w:cs="Calibri" w:eastAsia="Calibri" w:hAnsi="Calibri"/>
          <w:sz w:val="20"/>
          <w:szCs w:val="20"/>
          <w:b w:val="1"/>
          <w:bCs w:val="1"/>
          <w:color w:val="auto"/>
        </w:rPr>
      </w:pPr>
    </w:p>
    <w:p>
      <w:pPr>
        <w:ind w:left="700" w:right="1460" w:hanging="338"/>
        <w:spacing w:after="0" w:line="230" w:lineRule="auto"/>
        <w:tabs>
          <w:tab w:leader="none" w:pos="700" w:val="left"/>
        </w:tabs>
        <w:numPr>
          <w:ilvl w:val="1"/>
          <w:numId w:val="6"/>
        </w:numPr>
        <w:rPr>
          <w:rFonts w:ascii="Calibri" w:cs="Calibri" w:eastAsia="Calibri" w:hAnsi="Calibri"/>
          <w:sz w:val="20"/>
          <w:szCs w:val="20"/>
          <w:color w:val="auto"/>
        </w:rPr>
      </w:pPr>
      <w:r>
        <w:rPr>
          <w:rFonts w:ascii="Arial" w:cs="Arial" w:eastAsia="Arial" w:hAnsi="Arial"/>
          <w:sz w:val="20"/>
          <w:szCs w:val="20"/>
          <w:color w:val="auto"/>
        </w:rPr>
        <w:t>You represent and warrant that (i) your performance of your obligations under this letter agreement will not infringe any intellectual property, publicity or privacy rights of any third party, (ii) neither your relationship with the Company as a Non-Executive Director,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prior, written consent.</w:t>
      </w:r>
    </w:p>
    <w:p>
      <w:pPr>
        <w:spacing w:after="0" w:line="185" w:lineRule="exact"/>
        <w:rPr>
          <w:rFonts w:ascii="Calibri" w:cs="Calibri" w:eastAsia="Calibri" w:hAnsi="Calibri"/>
          <w:sz w:val="20"/>
          <w:szCs w:val="20"/>
          <w:color w:val="auto"/>
        </w:rPr>
      </w:pPr>
    </w:p>
    <w:p>
      <w:pPr>
        <w:ind w:left="700" w:right="1440" w:hanging="338"/>
        <w:spacing w:after="0" w:line="227" w:lineRule="auto"/>
        <w:tabs>
          <w:tab w:leader="none" w:pos="700" w:val="left"/>
        </w:tabs>
        <w:numPr>
          <w:ilvl w:val="1"/>
          <w:numId w:val="6"/>
        </w:numPr>
        <w:rPr>
          <w:rFonts w:ascii="Calibri" w:cs="Calibri" w:eastAsia="Calibri" w:hAnsi="Calibri"/>
          <w:sz w:val="20"/>
          <w:szCs w:val="20"/>
          <w:color w:val="auto"/>
        </w:rPr>
      </w:pPr>
      <w:r>
        <w:rPr>
          <w:rFonts w:ascii="Arial" w:cs="Arial" w:eastAsia="Arial" w:hAnsi="Arial"/>
          <w:sz w:val="20"/>
          <w:szCs w:val="20"/>
          <w:color w:val="auto"/>
        </w:rPr>
        <w:t>You further understand that your role as a Non-Executive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6"/>
          <w:szCs w:val="2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715645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4" w:right="339" w:bottom="1440" w:gutter="0" w:footer="0" w:header="0"/>
        </w:sectPr>
      </w:pPr>
    </w:p>
    <w:bookmarkStart w:id="5" w:name="page6"/>
    <w:bookmarkEnd w:id="5"/>
    <w:p>
      <w:pPr>
        <w:ind w:left="720" w:right="1360"/>
        <w:spacing w:after="0" w:line="231" w:lineRule="auto"/>
        <w:rPr>
          <w:sz w:val="20"/>
          <w:szCs w:val="20"/>
          <w:color w:val="auto"/>
        </w:rPr>
      </w:pPr>
      <w:r>
        <w:rPr>
          <w:rFonts w:ascii="Arial" w:cs="Arial" w:eastAsia="Arial" w:hAnsi="Arial"/>
          <w:sz w:val="20"/>
          <w:szCs w:val="20"/>
          <w:color w:val="auto"/>
        </w:rPr>
        <w:t>benefits and that the Company will not make any tax withholdings on your behalf. You agree that you are obligated to report as income all consideration that you receive in connection with this letter agreement, including all equity awards when such tax reporting is due; further,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remuneration paid to you shall be reported by the Company to the Internal Revenue Service and any applicable state tax authorities on a Form 1099 or other applicable form.</w:t>
      </w:r>
    </w:p>
    <w:p>
      <w:pPr>
        <w:spacing w:after="0" w:line="185" w:lineRule="exact"/>
        <w:rPr>
          <w:sz w:val="20"/>
          <w:szCs w:val="20"/>
          <w:color w:val="auto"/>
        </w:rPr>
      </w:pPr>
    </w:p>
    <w:p>
      <w:pPr>
        <w:ind w:left="740" w:hanging="372"/>
        <w:spacing w:after="0"/>
        <w:tabs>
          <w:tab w:leader="none" w:pos="74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Confidential Information.</w:t>
      </w:r>
    </w:p>
    <w:p>
      <w:pPr>
        <w:spacing w:after="0" w:line="230" w:lineRule="exact"/>
        <w:rPr>
          <w:sz w:val="20"/>
          <w:szCs w:val="20"/>
          <w:color w:val="auto"/>
        </w:rPr>
      </w:pPr>
    </w:p>
    <w:p>
      <w:pPr>
        <w:jc w:val="both"/>
        <w:ind w:right="920" w:firstLine="749"/>
        <w:spacing w:after="0" w:line="233" w:lineRule="auto"/>
        <w:rPr>
          <w:sz w:val="20"/>
          <w:szCs w:val="20"/>
          <w:color w:val="auto"/>
        </w:rPr>
      </w:pPr>
      <w:r>
        <w:rPr>
          <w:rFonts w:ascii="Arial" w:cs="Arial" w:eastAsia="Arial" w:hAnsi="Arial"/>
          <w:sz w:val="20"/>
          <w:szCs w:val="20"/>
          <w:color w:val="auto"/>
        </w:rPr>
        <w:t>You agree that you will (i) hold in strictest confidence (a) the Company’s confidential, strategic or proprietary information, (b) the Company's trade secrets, and (c) all other information made known to you in connection with your relationship with the Company as a Non-Executive Director that has or could have commercial value or other utility in the Company's business or prospective business or operations (collectively, the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and (ii) not use the Confidential Information except in connection with your relationship with the Company as a Non-Executive Director.</w:t>
      </w:r>
    </w:p>
    <w:p>
      <w:pPr>
        <w:spacing w:after="0" w:line="172" w:lineRule="exact"/>
        <w:rPr>
          <w:sz w:val="20"/>
          <w:szCs w:val="20"/>
          <w:color w:val="auto"/>
        </w:rPr>
      </w:pPr>
    </w:p>
    <w:p>
      <w:pPr>
        <w:ind w:right="800" w:firstLine="374"/>
        <w:spacing w:after="0" w:line="233" w:lineRule="auto"/>
        <w:rPr>
          <w:sz w:val="20"/>
          <w:szCs w:val="20"/>
          <w:color w:val="auto"/>
        </w:rPr>
      </w:pPr>
      <w:r>
        <w:rPr>
          <w:rFonts w:ascii="Arial" w:cs="Arial" w:eastAsia="Arial" w:hAnsi="Arial"/>
          <w:sz w:val="20"/>
          <w:szCs w:val="20"/>
          <w:color w:val="auto"/>
        </w:rPr>
        <w:t>The Confidential Information will not include information that you can establish is or was (i) received by you from an unrelated third party, without an obligation of confidentiality or other legal obligation to not disclose it, (ii) generally known or available in the industry or to the general public either (A) prior to the Company's disclosure of such information to you or (B) after the Company's disclosure of such information to you through no action or inaction by you, or (iii) required to be disclosed by applicable law or order of a court, or in accordance with the rules, regulations or order of any governmental agency.</w:t>
      </w:r>
    </w:p>
    <w:p>
      <w:pPr>
        <w:spacing w:after="0" w:line="186" w:lineRule="exact"/>
        <w:rPr>
          <w:sz w:val="20"/>
          <w:szCs w:val="20"/>
          <w:color w:val="auto"/>
        </w:rPr>
      </w:pPr>
    </w:p>
    <w:p>
      <w:pPr>
        <w:ind w:right="800" w:firstLine="374"/>
        <w:spacing w:after="0" w:line="232" w:lineRule="auto"/>
        <w:rPr>
          <w:sz w:val="20"/>
          <w:szCs w:val="20"/>
          <w:color w:val="auto"/>
        </w:rPr>
      </w:pPr>
      <w:r>
        <w:rPr>
          <w:rFonts w:ascii="Arial" w:cs="Arial" w:eastAsia="Arial" w:hAnsi="Arial"/>
          <w:sz w:val="20"/>
          <w:szCs w:val="20"/>
          <w:color w:val="auto"/>
        </w:rPr>
        <w:t>You agree that you will not improperly use or disclose any proprietary information or trade secrets received by you from any third party in connection with your relationship with the Company as a Non-Executive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spacing w:after="0" w:line="172" w:lineRule="exact"/>
        <w:rPr>
          <w:sz w:val="20"/>
          <w:szCs w:val="20"/>
          <w:color w:val="auto"/>
        </w:rPr>
      </w:pPr>
    </w:p>
    <w:p>
      <w:pPr>
        <w:ind w:right="820" w:firstLine="361"/>
        <w:spacing w:after="0" w:line="228" w:lineRule="auto"/>
        <w:rPr>
          <w:sz w:val="20"/>
          <w:szCs w:val="20"/>
          <w:color w:val="auto"/>
        </w:rPr>
      </w:pPr>
      <w:r>
        <w:rPr>
          <w:rFonts w:ascii="Arial" w:cs="Arial" w:eastAsia="Arial" w:hAnsi="Arial"/>
          <w:sz w:val="20"/>
          <w:szCs w:val="20"/>
          <w:color w:val="auto"/>
        </w:rPr>
        <w:t>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the Confidential Information of the Company, or (ii) results from, or is suggested by, work performed by you on behalf of the Company, but only if you are explicitly engaged in performing direct work for the Company. For the purposes of this section, "</w:t>
      </w:r>
      <w:r>
        <w:rPr>
          <w:rFonts w:ascii="Arial" w:cs="Arial" w:eastAsia="Arial" w:hAnsi="Arial"/>
          <w:sz w:val="20"/>
          <w:szCs w:val="20"/>
          <w:b w:val="1"/>
          <w:bCs w:val="1"/>
          <w:i w:val="1"/>
          <w:iCs w:val="1"/>
          <w:color w:val="auto"/>
        </w:rPr>
        <w:t>Intellectual Property</w:t>
      </w:r>
      <w:r>
        <w:rPr>
          <w:rFonts w:ascii="Arial" w:cs="Arial" w:eastAsia="Arial" w:hAnsi="Arial"/>
          <w:sz w:val="20"/>
          <w:szCs w:val="20"/>
          <w:color w:val="auto"/>
        </w:rPr>
        <w:t>" means any original works of authorship, inventions, concepts, improvements or trade secrets, whether or not patentable or registrable under copyright or similar laws. At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6"/>
          <w:szCs w:val="2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ind w:right="900"/>
        <w:spacing w:after="0" w:line="252" w:lineRule="auto"/>
        <w:rPr>
          <w:sz w:val="20"/>
          <w:szCs w:val="20"/>
          <w:color w:val="auto"/>
        </w:rPr>
      </w:pPr>
      <w:r>
        <w:rPr>
          <w:rFonts w:ascii="Arial" w:cs="Arial" w:eastAsia="Arial" w:hAnsi="Arial"/>
          <w:sz w:val="19"/>
          <w:szCs w:val="19"/>
          <w:color w:val="auto"/>
        </w:rPr>
        <w:t>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spacing w:after="0" w:line="162" w:lineRule="exact"/>
        <w:rPr>
          <w:sz w:val="20"/>
          <w:szCs w:val="20"/>
          <w:color w:val="auto"/>
        </w:rPr>
      </w:pPr>
    </w:p>
    <w:p>
      <w:pPr>
        <w:ind w:right="1160" w:firstLine="374"/>
        <w:spacing w:after="0" w:line="241" w:lineRule="auto"/>
        <w:rPr>
          <w:sz w:val="20"/>
          <w:szCs w:val="20"/>
          <w:color w:val="auto"/>
        </w:rPr>
      </w:pPr>
      <w:r>
        <w:rPr>
          <w:rFonts w:ascii="Arial" w:cs="Arial" w:eastAsia="Arial" w:hAnsi="Arial"/>
          <w:sz w:val="20"/>
          <w:szCs w:val="20"/>
          <w:color w:val="auto"/>
        </w:rPr>
        <w:t>Upon the Company's request at, and after, such time as your term as a Non-Executive Director terminates, you agree to return, and will not keep in your possession, recreate or deliver to any third party, any and all documents and/or electronic files containing the Confidential Information.</w:t>
      </w:r>
    </w:p>
    <w:p>
      <w:pPr>
        <w:spacing w:after="0" w:line="183" w:lineRule="exact"/>
        <w:rPr>
          <w:sz w:val="20"/>
          <w:szCs w:val="20"/>
          <w:color w:val="auto"/>
        </w:rPr>
      </w:pPr>
    </w:p>
    <w:p>
      <w:pPr>
        <w:ind w:left="740" w:hanging="372"/>
        <w:spacing w:after="0"/>
        <w:tabs>
          <w:tab w:leader="none" w:pos="740" w:val="left"/>
        </w:tabs>
        <w:numPr>
          <w:ilvl w:val="0"/>
          <w:numId w:val="8"/>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Indemnification.</w:t>
      </w:r>
    </w:p>
    <w:p>
      <w:pPr>
        <w:spacing w:after="0" w:line="230" w:lineRule="exact"/>
        <w:rPr>
          <w:sz w:val="20"/>
          <w:szCs w:val="20"/>
          <w:color w:val="auto"/>
        </w:rPr>
      </w:pPr>
    </w:p>
    <w:p>
      <w:pPr>
        <w:ind w:right="800" w:firstLine="374"/>
        <w:spacing w:after="0" w:line="231" w:lineRule="auto"/>
        <w:rPr>
          <w:sz w:val="20"/>
          <w:szCs w:val="20"/>
          <w:color w:val="auto"/>
        </w:rPr>
      </w:pPr>
      <w:r>
        <w:rPr>
          <w:rFonts w:ascii="Arial" w:cs="Arial" w:eastAsia="Arial" w:hAnsi="Arial"/>
          <w:sz w:val="20"/>
          <w:szCs w:val="20"/>
          <w:color w:val="auto"/>
        </w:rPr>
        <w:t>The Company will agree to defend and indemnify you and hold you harmless against liability that you incur within the scope of your service as a Non-Executive Director of the Company to the fullest extent provided under Delaware law, and pursuant to and in accordance with all of the terms and conditions contained in the Indemnification Agreement on the Company’s standard form to be separately provided to you. In addition, the Company currently holds Directors &amp; Officers Liability coverage with (i) Side A Difference in Conditions coverage of personal asset protection for a director or officer for non-indemnifiable claims, (ii) coverage B for corporate asset protection for amounts it pays to a director or officer through indemnification, and (iii) coverage C which provides corporate asset protection for securities claims against the Company for a total $30M limit.</w:t>
      </w:r>
    </w:p>
    <w:p>
      <w:pPr>
        <w:spacing w:after="0" w:line="185" w:lineRule="exact"/>
        <w:rPr>
          <w:sz w:val="20"/>
          <w:szCs w:val="20"/>
          <w:color w:val="auto"/>
        </w:rPr>
      </w:pPr>
    </w:p>
    <w:p>
      <w:pPr>
        <w:ind w:left="740" w:hanging="372"/>
        <w:spacing w:after="0"/>
        <w:tabs>
          <w:tab w:leader="none" w:pos="740" w:val="left"/>
        </w:tabs>
        <w:numPr>
          <w:ilvl w:val="0"/>
          <w:numId w:val="9"/>
        </w:numPr>
        <w:rPr>
          <w:rFonts w:ascii="Calibri" w:cs="Calibri" w:eastAsia="Calibri" w:hAnsi="Calibri"/>
          <w:sz w:val="20"/>
          <w:szCs w:val="20"/>
          <w:b w:val="1"/>
          <w:bCs w:val="1"/>
          <w:color w:val="auto"/>
        </w:rPr>
      </w:pPr>
      <w:r>
        <w:rPr>
          <w:rFonts w:ascii="Arial" w:cs="Arial" w:eastAsia="Arial" w:hAnsi="Arial"/>
          <w:sz w:val="20"/>
          <w:szCs w:val="20"/>
          <w:b w:val="1"/>
          <w:bCs w:val="1"/>
          <w:color w:val="auto"/>
        </w:rPr>
        <w:t>Publicity.</w:t>
      </w:r>
    </w:p>
    <w:p>
      <w:pPr>
        <w:spacing w:after="0" w:line="230" w:lineRule="exact"/>
        <w:rPr>
          <w:sz w:val="20"/>
          <w:szCs w:val="20"/>
          <w:color w:val="auto"/>
        </w:rPr>
      </w:pPr>
    </w:p>
    <w:p>
      <w:pPr>
        <w:ind w:right="1000" w:firstLine="374"/>
        <w:spacing w:after="0" w:line="257" w:lineRule="auto"/>
        <w:rPr>
          <w:sz w:val="20"/>
          <w:szCs w:val="20"/>
          <w:color w:val="auto"/>
        </w:rPr>
      </w:pPr>
      <w:r>
        <w:rPr>
          <w:rFonts w:ascii="Arial" w:cs="Arial" w:eastAsia="Arial" w:hAnsi="Arial"/>
          <w:sz w:val="20"/>
          <w:szCs w:val="20"/>
          <w:color w:val="auto"/>
        </w:rPr>
        <w:t>You and the Company agree to cooperate with each other to create any and all appropriate public or promotional announcements or press releases concerning our relationship.</w:t>
      </w:r>
    </w:p>
    <w:p>
      <w:pPr>
        <w:spacing w:after="0" w:line="167" w:lineRule="exact"/>
        <w:rPr>
          <w:sz w:val="20"/>
          <w:szCs w:val="20"/>
          <w:color w:val="auto"/>
        </w:rPr>
      </w:pPr>
    </w:p>
    <w:p>
      <w:pPr>
        <w:ind w:left="740" w:hanging="372"/>
        <w:spacing w:after="0"/>
        <w:tabs>
          <w:tab w:leader="none" w:pos="740" w:val="left"/>
        </w:tabs>
        <w:numPr>
          <w:ilvl w:val="0"/>
          <w:numId w:val="10"/>
        </w:numPr>
        <w:rPr>
          <w:rFonts w:ascii="Calibri" w:cs="Calibri" w:eastAsia="Calibri" w:hAnsi="Calibri"/>
          <w:sz w:val="20"/>
          <w:szCs w:val="20"/>
          <w:b w:val="1"/>
          <w:bCs w:val="1"/>
          <w:color w:val="auto"/>
        </w:rPr>
      </w:pPr>
      <w:r>
        <w:rPr>
          <w:rFonts w:ascii="Arial" w:cs="Arial" w:eastAsia="Arial" w:hAnsi="Arial"/>
          <w:sz w:val="20"/>
          <w:szCs w:val="20"/>
          <w:b w:val="1"/>
          <w:bCs w:val="1"/>
          <w:color w:val="auto"/>
        </w:rPr>
        <w:t>Term and Termination.</w:t>
      </w:r>
    </w:p>
    <w:p>
      <w:pPr>
        <w:spacing w:after="0" w:line="230" w:lineRule="exact"/>
        <w:rPr>
          <w:sz w:val="20"/>
          <w:szCs w:val="20"/>
          <w:color w:val="auto"/>
        </w:rPr>
      </w:pPr>
    </w:p>
    <w:p>
      <w:pPr>
        <w:jc w:val="both"/>
        <w:ind w:right="840" w:firstLine="374"/>
        <w:spacing w:after="0" w:line="241" w:lineRule="auto"/>
        <w:rPr>
          <w:sz w:val="20"/>
          <w:szCs w:val="20"/>
          <w:color w:val="auto"/>
        </w:rPr>
      </w:pPr>
      <w:r>
        <w:rPr>
          <w:rFonts w:ascii="Arial" w:cs="Arial" w:eastAsia="Arial" w:hAnsi="Arial"/>
          <w:sz w:val="20"/>
          <w:szCs w:val="20"/>
          <w:color w:val="auto"/>
        </w:rPr>
        <w:t>This letter agreement will commence on the Effective Date and will continue until such time as your term as a Non-Executive Director terminates. Upon such termination, all our rights and duties towards each other shall cease, except that this Section 9, together with Sections 5, 6, 7, and 10, shall survive termination of this letter agreement.</w:t>
      </w:r>
    </w:p>
    <w:p>
      <w:pPr>
        <w:spacing w:after="0" w:line="183" w:lineRule="exact"/>
        <w:rPr>
          <w:sz w:val="20"/>
          <w:szCs w:val="20"/>
          <w:color w:val="auto"/>
        </w:rPr>
      </w:pPr>
    </w:p>
    <w:p>
      <w:pPr>
        <w:ind w:left="740" w:hanging="372"/>
        <w:spacing w:after="0"/>
        <w:tabs>
          <w:tab w:leader="none" w:pos="740" w:val="left"/>
        </w:tabs>
        <w:numPr>
          <w:ilvl w:val="0"/>
          <w:numId w:val="11"/>
        </w:numPr>
        <w:rPr>
          <w:rFonts w:ascii="Calibri" w:cs="Calibri" w:eastAsia="Calibri" w:hAnsi="Calibri"/>
          <w:sz w:val="20"/>
          <w:szCs w:val="20"/>
          <w:b w:val="1"/>
          <w:bCs w:val="1"/>
          <w:color w:val="auto"/>
        </w:rPr>
      </w:pPr>
      <w:r>
        <w:rPr>
          <w:rFonts w:ascii="Arial" w:cs="Arial" w:eastAsia="Arial" w:hAnsi="Arial"/>
          <w:sz w:val="20"/>
          <w:szCs w:val="20"/>
          <w:b w:val="1"/>
          <w:bCs w:val="1"/>
          <w:color w:val="auto"/>
        </w:rPr>
        <w:t>Other Provisions.</w:t>
      </w:r>
    </w:p>
    <w:p>
      <w:pPr>
        <w:spacing w:after="0" w:line="242" w:lineRule="exact"/>
        <w:rPr>
          <w:sz w:val="20"/>
          <w:szCs w:val="20"/>
          <w:color w:val="auto"/>
        </w:rPr>
      </w:pPr>
    </w:p>
    <w:p>
      <w:pPr>
        <w:ind w:left="720" w:right="880" w:hanging="338"/>
        <w:spacing w:after="0" w:line="232" w:lineRule="auto"/>
        <w:tabs>
          <w:tab w:leader="none" w:pos="720" w:val="left"/>
        </w:tabs>
        <w:numPr>
          <w:ilvl w:val="0"/>
          <w:numId w:val="12"/>
        </w:numPr>
        <w:rPr>
          <w:rFonts w:ascii="Calibri" w:cs="Calibri" w:eastAsia="Calibri" w:hAnsi="Calibri"/>
          <w:sz w:val="20"/>
          <w:szCs w:val="20"/>
          <w:color w:val="auto"/>
        </w:rPr>
      </w:pPr>
      <w:r>
        <w:rPr>
          <w:rFonts w:ascii="Arial" w:cs="Arial" w:eastAsia="Arial" w:hAnsi="Arial"/>
          <w:sz w:val="20"/>
          <w:szCs w:val="20"/>
          <w:b w:val="1"/>
          <w:bCs w:val="1"/>
          <w:color w:val="auto"/>
        </w:rPr>
        <w:t>Entire Agreement; Governing Law</w:t>
      </w:r>
      <w:r>
        <w:rPr>
          <w:rFonts w:ascii="Arial" w:cs="Arial" w:eastAsia="Arial" w:hAnsi="Arial"/>
          <w:sz w:val="20"/>
          <w:szCs w:val="20"/>
          <w:color w:val="auto"/>
        </w:rPr>
        <w:t>. This letter agreement constitutes the entire agreement between you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supersedes and 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6"/>
          <w:szCs w:val="2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ind w:left="340" w:right="820" w:hanging="338"/>
        <w:spacing w:after="0" w:line="234" w:lineRule="auto"/>
        <w:tabs>
          <w:tab w:leader="none" w:pos="340" w:val="left"/>
        </w:tabs>
        <w:numPr>
          <w:ilvl w:val="0"/>
          <w:numId w:val="13"/>
        </w:numPr>
        <w:rPr>
          <w:rFonts w:ascii="Calibri" w:cs="Calibri" w:eastAsia="Calibri" w:hAnsi="Calibri"/>
          <w:sz w:val="20"/>
          <w:szCs w:val="20"/>
          <w:color w:val="auto"/>
        </w:rPr>
      </w:pPr>
      <w:r>
        <w:rPr>
          <w:rFonts w:ascii="Arial" w:cs="Arial" w:eastAsia="Arial" w:hAnsi="Arial"/>
          <w:sz w:val="20"/>
          <w:szCs w:val="20"/>
          <w:b w:val="1"/>
          <w:bCs w:val="1"/>
          <w:color w:val="auto"/>
        </w:rPr>
        <w:t>Severability; Counterparts</w:t>
      </w:r>
      <w:r>
        <w:rPr>
          <w:rFonts w:ascii="Arial" w:cs="Arial" w:eastAsia="Arial" w:hAnsi="Arial"/>
          <w:sz w:val="20"/>
          <w:szCs w:val="20"/>
          <w:color w:val="auto"/>
        </w:rPr>
        <w:t>. If any provision of this letter agreement is declared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to be illegal, void or unenforceable, all other provisions will not be affected and will remain in full force and effect. This letter agreement may be executed in counterparts, each of which is an original and which together shall constitute a single letter agreement.</w:t>
      </w:r>
    </w:p>
    <w:p>
      <w:pPr>
        <w:spacing w:after="0" w:line="182" w:lineRule="exact"/>
        <w:rPr>
          <w:rFonts w:ascii="Calibri" w:cs="Calibri" w:eastAsia="Calibri" w:hAnsi="Calibri"/>
          <w:sz w:val="20"/>
          <w:szCs w:val="20"/>
          <w:color w:val="auto"/>
        </w:rPr>
      </w:pPr>
    </w:p>
    <w:p>
      <w:pPr>
        <w:ind w:left="340" w:right="860" w:hanging="338"/>
        <w:spacing w:after="0" w:line="230" w:lineRule="auto"/>
        <w:tabs>
          <w:tab w:leader="none" w:pos="340" w:val="left"/>
        </w:tabs>
        <w:numPr>
          <w:ilvl w:val="0"/>
          <w:numId w:val="13"/>
        </w:numPr>
        <w:rPr>
          <w:rFonts w:ascii="Calibri" w:cs="Calibri" w:eastAsia="Calibri" w:hAnsi="Calibri"/>
          <w:sz w:val="20"/>
          <w:szCs w:val="20"/>
          <w:color w:val="auto"/>
        </w:rPr>
      </w:pPr>
      <w:r>
        <w:rPr>
          <w:rFonts w:ascii="Arial" w:cs="Arial" w:eastAsia="Arial" w:hAnsi="Arial"/>
          <w:sz w:val="20"/>
          <w:szCs w:val="20"/>
          <w:b w:val="1"/>
          <w:bCs w:val="1"/>
          <w:color w:val="auto"/>
        </w:rPr>
        <w:t xml:space="preserve">Equitable Relief. </w:t>
      </w:r>
      <w:r>
        <w:rPr>
          <w:rFonts w:ascii="Arial" w:cs="Arial" w:eastAsia="Arial" w:hAnsi="Arial"/>
          <w:sz w:val="20"/>
          <w:szCs w:val="20"/>
          <w:color w:val="auto"/>
        </w:rPr>
        <w:t>You understand that monetary damages will not adequately compensate the Company for a</w:t>
      </w:r>
      <w:r>
        <w:rPr>
          <w:rFonts w:ascii="Arial" w:cs="Arial" w:eastAsia="Arial" w:hAnsi="Arial"/>
          <w:sz w:val="20"/>
          <w:szCs w:val="20"/>
          <w:b w:val="1"/>
          <w:bCs w:val="1"/>
          <w:color w:val="auto"/>
        </w:rPr>
        <w:t xml:space="preserve"> </w:t>
      </w:r>
      <w:r>
        <w:rPr>
          <w:rFonts w:ascii="Arial" w:cs="Arial" w:eastAsia="Arial" w:hAnsi="Arial"/>
          <w:sz w:val="20"/>
          <w:szCs w:val="20"/>
          <w:color w:val="auto"/>
        </w:rPr>
        <w:t>breach of your obligations as set forth in this letter agreement. Accordingly, you agree that the Company may specifically enforce this letter agreement, and that the Company will be entitled to seek a temporary or permanent injunction or restraining order to prevent any breach or threatened breach of your obligations under this letter agreement. You thus hereby waive any claim or defense that there is an adequate remedy at law for such breach or threatened breach, and further, you agree that no bond or other security will be required for the Company to obtain such equitable relief.</w:t>
      </w:r>
    </w:p>
    <w:p>
      <w:pPr>
        <w:spacing w:after="0" w:line="185" w:lineRule="exact"/>
        <w:rPr>
          <w:rFonts w:ascii="Calibri" w:cs="Calibri" w:eastAsia="Calibri" w:hAnsi="Calibri"/>
          <w:sz w:val="20"/>
          <w:szCs w:val="20"/>
          <w:color w:val="auto"/>
        </w:rPr>
      </w:pPr>
    </w:p>
    <w:p>
      <w:pPr>
        <w:ind w:left="340" w:right="820" w:hanging="338"/>
        <w:spacing w:after="0" w:line="232" w:lineRule="auto"/>
        <w:tabs>
          <w:tab w:leader="none" w:pos="340" w:val="left"/>
        </w:tabs>
        <w:numPr>
          <w:ilvl w:val="0"/>
          <w:numId w:val="13"/>
        </w:numPr>
        <w:rPr>
          <w:rFonts w:ascii="Calibri" w:cs="Calibri" w:eastAsia="Calibri" w:hAnsi="Calibri"/>
          <w:sz w:val="20"/>
          <w:szCs w:val="20"/>
          <w:color w:val="auto"/>
        </w:rPr>
      </w:pPr>
      <w:r>
        <w:rPr>
          <w:rFonts w:ascii="Arial" w:cs="Arial" w:eastAsia="Arial" w:hAnsi="Arial"/>
          <w:sz w:val="20"/>
          <w:szCs w:val="20"/>
          <w:b w:val="1"/>
          <w:bCs w:val="1"/>
          <w:color w:val="auto"/>
        </w:rPr>
        <w:t>Assignment</w:t>
      </w:r>
      <w:r>
        <w:rPr>
          <w:rFonts w:ascii="Arial" w:cs="Arial" w:eastAsia="Arial" w:hAnsi="Arial"/>
          <w:sz w:val="20"/>
          <w:szCs w:val="20"/>
          <w:color w:val="auto"/>
        </w:rPr>
        <w:t>. You may not assign your rights or obligations under this letter agreement without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prior written consent. You 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6"/>
          <w:szCs w:val="2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732155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2" w:right="339" w:bottom="1440" w:gutter="0" w:footer="0" w:header="0"/>
        </w:sectPr>
      </w:pPr>
    </w:p>
    <w:bookmarkStart w:id="8" w:name="page9"/>
    <w:bookmarkEnd w:id="8"/>
    <w:p>
      <w:pPr>
        <w:ind w:right="1240" w:firstLine="373"/>
        <w:spacing w:after="0" w:line="257" w:lineRule="auto"/>
        <w:rPr>
          <w:sz w:val="20"/>
          <w:szCs w:val="20"/>
          <w:color w:val="auto"/>
        </w:rPr>
      </w:pPr>
      <w:r>
        <w:rPr>
          <w:rFonts w:ascii="Arial" w:cs="Arial" w:eastAsia="Arial" w:hAnsi="Arial"/>
          <w:sz w:val="20"/>
          <w:szCs w:val="20"/>
          <w:color w:val="auto"/>
        </w:rPr>
        <w:t>Please acknowledge your agreement to the terms of this letter agreement by signing and dating it as indicated below and returning it to the Company.</w:t>
      </w:r>
    </w:p>
    <w:p>
      <w:pPr>
        <w:spacing w:after="0" w:line="155" w:lineRule="exact"/>
        <w:rPr>
          <w:sz w:val="20"/>
          <w:szCs w:val="20"/>
          <w:color w:val="auto"/>
        </w:rPr>
      </w:pPr>
    </w:p>
    <w:p>
      <w:pPr>
        <w:ind w:right="980" w:firstLine="374"/>
        <w:spacing w:after="0" w:line="257" w:lineRule="auto"/>
        <w:rPr>
          <w:sz w:val="20"/>
          <w:szCs w:val="20"/>
          <w:color w:val="auto"/>
        </w:rPr>
      </w:pPr>
      <w:r>
        <w:rPr>
          <w:rFonts w:ascii="Arial" w:cs="Arial" w:eastAsia="Arial" w:hAnsi="Arial"/>
          <w:sz w:val="20"/>
          <w:szCs w:val="20"/>
          <w:color w:val="auto"/>
        </w:rPr>
        <w:t>Joe, on behalf of the Board and the Company, please allow us to welcome you to the Board – we’re very excited to have you join us and look forward to your contributions to the AVITA team!</w:t>
      </w:r>
    </w:p>
    <w:p>
      <w:pPr>
        <w:spacing w:after="0" w:line="385"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AVITA MEDICAL,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Cary Vance</w:t>
      </w:r>
      <w:r>
        <w:rPr>
          <w:rFonts w:ascii="Arial" w:cs="Arial" w:eastAsia="Arial" w:hAnsi="Arial"/>
          <w:sz w:val="20"/>
          <w:szCs w:val="20"/>
          <w:color w:val="auto"/>
        </w:rPr>
        <w:t>_________________</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Name: Cary Vance</w:t>
      </w:r>
    </w:p>
    <w:p>
      <w:pPr>
        <w:ind w:left="3080"/>
        <w:spacing w:after="0"/>
        <w:rPr>
          <w:sz w:val="20"/>
          <w:szCs w:val="20"/>
          <w:color w:val="auto"/>
        </w:rPr>
      </w:pPr>
      <w:r>
        <w:rPr>
          <w:rFonts w:ascii="Arial" w:cs="Arial" w:eastAsia="Arial" w:hAnsi="Arial"/>
          <w:sz w:val="20"/>
          <w:szCs w:val="20"/>
          <w:color w:val="auto"/>
        </w:rPr>
        <w:t>Title: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Jan Stern Reed</w:t>
      </w:r>
      <w:r>
        <w:rPr>
          <w:rFonts w:ascii="Arial" w:cs="Arial" w:eastAsia="Arial" w:hAnsi="Arial"/>
          <w:sz w:val="20"/>
          <w:szCs w:val="20"/>
          <w:color w:val="auto"/>
        </w:rPr>
        <w:t>______________</w:t>
      </w:r>
    </w:p>
    <w:p>
      <w:pPr>
        <w:spacing w:after="0" w:line="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Name: Jan Stern Reed</w:t>
      </w:r>
    </w:p>
    <w:p>
      <w:pPr>
        <w:ind w:left="3140"/>
        <w:spacing w:after="0"/>
        <w:rPr>
          <w:sz w:val="20"/>
          <w:szCs w:val="20"/>
          <w:color w:val="auto"/>
        </w:rPr>
      </w:pPr>
      <w:r>
        <w:rPr>
          <w:rFonts w:ascii="Arial" w:cs="Arial" w:eastAsia="Arial" w:hAnsi="Arial"/>
          <w:sz w:val="20"/>
          <w:szCs w:val="20"/>
          <w:color w:val="auto"/>
        </w:rPr>
        <w:t>Title: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Joe Woody__________________________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Name: Mr. Joe Woody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62635" cy="917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63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AVITA Medical Announces Changes to its Board of Directors</w:t>
      </w:r>
    </w:p>
    <w:p>
      <w:pPr>
        <w:spacing w:after="0" w:line="228"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Veteran healthcare executive Joe Woody joins the Board</w:t>
      </w:r>
    </w:p>
    <w:p>
      <w:pPr>
        <w:spacing w:after="0" w:line="1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Lou Panaccio retires after over a decade of service</w:t>
      </w:r>
    </w:p>
    <w:p>
      <w:pPr>
        <w:spacing w:after="0" w:line="195"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b w:val="1"/>
          <w:bCs w:val="1"/>
          <w:color w:val="auto"/>
        </w:rPr>
        <w:t xml:space="preserve">VALENCIA, Calif., January 5, 2026 </w:t>
      </w:r>
      <w:r>
        <w:rPr>
          <w:rFonts w:ascii="Arial" w:cs="Arial" w:eastAsia="Arial" w:hAnsi="Arial"/>
          <w:sz w:val="19"/>
          <w:szCs w:val="19"/>
          <w:color w:val="auto"/>
        </w:rPr>
        <w:t>(GLOBE NEWSWIRE) — AVITA Medical®, Inc. (ASX: AVH, NASDAQ: RCEL), a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 acute wound care company delivering transformative solutions, today announced the appointment of Joe Woody as a new non-executive Director and the retirement of Lou Panaccio, who served as Chairman from July 2014 to August 2025.</w:t>
      </w:r>
    </w:p>
    <w:p>
      <w:pPr>
        <w:spacing w:after="0" w:line="153"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color w:val="auto"/>
        </w:rPr>
        <w:t>“We are pleased to welcome Joe to the Board. His extensive track record leading global med-tech companies and driving commercial excellence will be invaluable as we continue to scale AVITA Medical’s growth,” said Cary Vance, Interim CEO of AVITA Medical. “Lou has been instrumental in shaping the Company’s commercial and operational strategy for more than a decade, and we are deeply grateful for his dedication and leadership.”</w:t>
      </w:r>
    </w:p>
    <w:p>
      <w:pPr>
        <w:spacing w:after="0" w:line="172"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Joe Woody is a seasoned healthcare executive with more than two decades of leadership experience across the medical technology sector, most recently serving as CEO of Avanos Medical from 2017 to 2024, and previously, as President and CEO of Acelity Holdings. His background spans multiple senior executive roles, including with Covidien and Smith &amp; Nephew. Across his storied professional career, Mr. Woody also served on the Board of Directors of AdvaMed, Inc., the largest trade association in the U.S. for the medical device, diagnostics, and digital health technology sectors, for over a decade.</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“We are delighted to welcome Joe to the Board of Directors,” said Jan Stern Reed, Lead Independent Director. “His appointment strengthens our Board’s depth of experience and supports our commitment to long-term value creation. We also extend our sincere appreciation to Lou for his years of dedicated service, steady leadership, and significant contributions to the Company.”</w:t>
      </w:r>
    </w:p>
    <w:p>
      <w:pPr>
        <w:spacing w:after="0" w:line="15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“I’m honored to join AVITA Medical’s Board at such a pivotal stage,” said Mr. Woody. “I look forward to working with my fellow directors and the leadership team as the Company executes on its vision and continues delivering innovative acute wound care solutions to patients worldwide.”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AVITA Medical, Inc.</w:t>
      </w:r>
    </w:p>
    <w:p>
      <w:pPr>
        <w:spacing w:after="0" w:line="204"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AVITA Medical is a leading therapeutic acute wound care company delivering transformative solutions. Our technologies are designed to optimize wound healing, effectively accelerating the time to patient recovery. At the forefront of our platform is the RECELL® System, approved by the U.S. Food and Drug Administration for the treatment of thermal burn and trauma wounds. RECELL harnesses the healing properties of a patient’s own skin to create Spray-On Skin™ Cells, offering an innovative solution for improved clinical outcomes at the point-of-care. In the U.S., AVITA Medical also holds the rights to manufacture and exclusive rights to market, sell, and distribute PermeaDerm®, a biosynthetic wound matrix, and the exclusive rights to market, sell, and distribute Cohealyx®, an AVITA Medical-branded collagen-based dermal matrix.</w:t>
      </w:r>
    </w:p>
    <w:p>
      <w:pPr>
        <w:spacing w:after="0" w:line="172" w:lineRule="exact"/>
        <w:rPr>
          <w:sz w:val="20"/>
          <w:szCs w:val="20"/>
          <w:color w:val="auto"/>
        </w:rPr>
      </w:pPr>
    </w:p>
    <w:p>
      <w:pPr>
        <w:ind w:right="240"/>
        <w:spacing w:after="0" w:line="284" w:lineRule="auto"/>
        <w:rPr>
          <w:sz w:val="20"/>
          <w:szCs w:val="20"/>
          <w:color w:val="auto"/>
        </w:rPr>
      </w:pPr>
      <w:r>
        <w:rPr>
          <w:rFonts w:ascii="Arial" w:cs="Arial" w:eastAsia="Arial" w:hAnsi="Arial"/>
          <w:sz w:val="19"/>
          <w:szCs w:val="19"/>
          <w:color w:val="auto"/>
        </w:rPr>
        <w:t>In international markets, the RECELL System is approved to promote skin healing in a wide range of applications, including thermal burn and trauma wounds, with regulatory clearances in Europe, and excluding RECELL GO®, in Australia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To learn more, visit www.avitamedical.com.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Ben Atkins</w:t>
      </w:r>
    </w:p>
    <w:p>
      <w:pPr>
        <w:spacing w:after="0" w:line="226" w:lineRule="auto"/>
        <w:rPr>
          <w:sz w:val="20"/>
          <w:szCs w:val="20"/>
          <w:color w:val="auto"/>
        </w:rPr>
      </w:pPr>
      <w:r>
        <w:rPr>
          <w:rFonts w:ascii="Arial" w:cs="Arial" w:eastAsia="Arial" w:hAnsi="Arial"/>
          <w:sz w:val="20"/>
          <w:szCs w:val="20"/>
          <w:color w:val="auto"/>
        </w:rPr>
        <w:t>Phone +1-805 341 1571</w:t>
      </w:r>
    </w:p>
    <w:p>
      <w:pPr>
        <w:spacing w:after="0"/>
        <w:rPr>
          <w:sz w:val="20"/>
          <w:szCs w:val="20"/>
          <w:color w:val="auto"/>
        </w:rPr>
      </w:pPr>
      <w:r>
        <w:rPr>
          <w:rFonts w:ascii="Arial" w:cs="Arial" w:eastAsia="Arial" w:hAnsi="Arial"/>
          <w:sz w:val="20"/>
          <w:szCs w:val="20"/>
          <w:color w:val="auto"/>
        </w:rPr>
        <w:t>investor@avitamedical.com | media@avitamedical.com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by the Board of Directors of AVITA Medical, Inc.</w:t>
      </w:r>
    </w:p>
    <w:p>
      <w:pPr>
        <w:spacing w:after="0" w:line="209" w:lineRule="exact"/>
        <w:rPr>
          <w:sz w:val="20"/>
          <w:szCs w:val="20"/>
          <w:color w:val="auto"/>
        </w:rPr>
      </w:pPr>
    </w:p>
    <w:p>
      <w:pPr>
        <w:ind w:right="160"/>
        <w:spacing w:after="0" w:line="234" w:lineRule="auto"/>
        <w:rPr>
          <w:sz w:val="20"/>
          <w:szCs w:val="20"/>
          <w:color w:val="auto"/>
        </w:rPr>
      </w:pPr>
      <w:r>
        <w:rPr>
          <w:rFonts w:ascii="Arial" w:cs="Arial" w:eastAsia="Arial" w:hAnsi="Arial"/>
          <w:sz w:val="14"/>
          <w:szCs w:val="14"/>
          <w:color w:val="auto"/>
        </w:rPr>
        <w:t>©2025 AVITA Medical. AVITA Medical®, Cohealyx®, RECELL®, RECELL GO®, and Spray-On Skin</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Cells are trademarks of AVITA Medical. PermeaDerm® is a registered trademark owned by Stedical Scientific, Inc. All other trademarks are the properties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8" w:right="37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lvl w:ilvl="1">
      <w:lvlJc w:val="left"/>
      <w:lvlText w:val="(%2)"/>
      <w:numFmt w:val="lowerLetter"/>
      <w:start w:val="1"/>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2026-01-05T15:15:02Z</dcterms:created>
  <dcterms:modified xsi:type="dcterms:W3CDTF">2026-01-05T15:15:02Z</dcterms:modified>
</cp:coreProperties>
</file>