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January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109220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Avita Medical,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85-1021707</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69"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ind w:left="1300"/>
        <w:spacing w:after="0"/>
        <w:rPr>
          <w:sz w:val="20"/>
          <w:szCs w:val="20"/>
          <w:color w:val="auto"/>
        </w:rPr>
      </w:pPr>
      <w:r>
        <w:rPr>
          <w:rFonts w:ascii="Arial" w:cs="Arial" w:eastAsia="Arial" w:hAnsi="Arial"/>
          <w:sz w:val="10"/>
          <w:szCs w:val="10"/>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661.367.9170</w:t>
      </w:r>
    </w:p>
    <w:p>
      <w:pPr>
        <w:spacing w:after="0" w:line="42" w:lineRule="exact"/>
        <w:rPr>
          <w:sz w:val="24"/>
          <w:szCs w:val="24"/>
          <w:color w:val="auto"/>
        </w:rPr>
      </w:pPr>
    </w:p>
    <w:p>
      <w:pPr>
        <w:sectPr>
          <w:pgSz w:w="11900" w:h="16838" w:orient="portrait"/>
          <w:cols w:equalWidth="0" w:num="2">
            <w:col w:w="5340" w:space="720"/>
            <w:col w:w="2959"/>
          </w:cols>
          <w:pgMar w:left="1440" w:top="292" w:right="1440" w:bottom="1440" w:gutter="0" w:footer="0" w:header="0"/>
          <w:type w:val="continuous"/>
        </w:sectPr>
      </w:pPr>
    </w:p>
    <w:p>
      <w:pPr>
        <w:jc w:val="center"/>
        <w:ind w:left="78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539"/>
        <w:spacing w:after="0"/>
        <w:rPr>
          <w:sz w:val="20"/>
          <w:szCs w:val="20"/>
          <w:color w:val="auto"/>
        </w:rPr>
      </w:pPr>
      <w:r>
        <w:rPr>
          <w:rFonts w:ascii="Arial" w:cs="Arial" w:eastAsia="Arial" w:hAnsi="Arial"/>
          <w:sz w:val="8"/>
          <w:szCs w:val="8"/>
          <w:b w:val="1"/>
          <w:bCs w:val="1"/>
          <w:color w:val="auto"/>
        </w:rPr>
        <w:t>(Registrant’s telephone number, including area code)</w:t>
      </w:r>
    </w:p>
    <w:p>
      <w:pPr>
        <w:spacing w:after="0" w:line="138" w:lineRule="exact"/>
        <w:rPr>
          <w:sz w:val="24"/>
          <w:szCs w:val="24"/>
          <w:color w:val="auto"/>
        </w:rPr>
      </w:pPr>
    </w:p>
    <w:p>
      <w:pPr>
        <w:sectPr>
          <w:pgSz w:w="11900" w:h="16838" w:orient="portrait"/>
          <w:cols w:equalWidth="0" w:num="2">
            <w:col w:w="4600" w:space="720"/>
            <w:col w:w="369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7"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RCEL</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The Nasdaq Stock Market LLC</w:t>
            </w:r>
          </w:p>
        </w:tc>
      </w:tr>
    </w:tbl>
    <w:p>
      <w:pPr>
        <w:spacing w:after="0" w:line="122" w:lineRule="exact"/>
        <w:rPr>
          <w:sz w:val="24"/>
          <w:szCs w:val="24"/>
          <w:color w:val="auto"/>
        </w:rPr>
      </w:pPr>
    </w:p>
    <w:p>
      <w:pPr>
        <w:ind w:left="840" w:right="899"/>
        <w:spacing w:after="0" w:line="155"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2"/>
          <w:szCs w:val="12"/>
          <w:color w:val="auto"/>
        </w:rPr>
        <w:t>☒</w:t>
      </w:r>
    </w:p>
    <w:p>
      <w:pPr>
        <w:spacing w:after="0" w:line="12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82" w:lineRule="exact"/>
        <w:rPr>
          <w:sz w:val="20"/>
          <w:szCs w:val="20"/>
          <w:color w:val="auto"/>
        </w:rPr>
      </w:pPr>
    </w:p>
    <w:p>
      <w:pPr>
        <w:ind w:left="840" w:right="1039" w:firstLine="294"/>
        <w:spacing w:after="0" w:line="323" w:lineRule="auto"/>
        <w:rPr>
          <w:sz w:val="20"/>
          <w:szCs w:val="20"/>
          <w:color w:val="auto"/>
        </w:rPr>
      </w:pPr>
      <w:r>
        <w:rPr>
          <w:rFonts w:ascii="Arial" w:cs="Arial" w:eastAsia="Arial" w:hAnsi="Arial"/>
          <w:sz w:val="11"/>
          <w:szCs w:val="11"/>
          <w:color w:val="auto"/>
        </w:rPr>
        <w:t>On January 10, 2022, Avita Medical, Inc. (the “Company”), announced preliminary unaudited results for the quarter ended December 31, 2021 and certain other business updates. A copy of a press release announcing same is furnished herewith as Exhibit 99.1 to this report.</w:t>
      </w:r>
    </w:p>
    <w:p>
      <w:pPr>
        <w:spacing w:after="0" w:line="18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979" w:firstLine="294"/>
        <w:spacing w:after="0" w:line="276" w:lineRule="auto"/>
        <w:rPr>
          <w:sz w:val="20"/>
          <w:szCs w:val="20"/>
          <w:color w:val="auto"/>
        </w:rPr>
      </w:pPr>
      <w:r>
        <w:rPr>
          <w:rFonts w:ascii="Arial" w:cs="Arial" w:eastAsia="Arial" w:hAnsi="Arial"/>
          <w:sz w:val="12"/>
          <w:szCs w:val="12"/>
          <w:color w:val="auto"/>
        </w:rPr>
        <w:t>On January 11, 2022, the Company participated in the 40th Annual J.P. Morgan Healthcare Conference. During the presentation, representatives of the Company presented slides, attached hereto as Exhibit 99.2.</w:t>
      </w:r>
    </w:p>
    <w:p>
      <w:pPr>
        <w:spacing w:after="0" w:line="115" w:lineRule="exact"/>
        <w:rPr>
          <w:sz w:val="20"/>
          <w:szCs w:val="20"/>
          <w:color w:val="auto"/>
        </w:rPr>
      </w:pPr>
    </w:p>
    <w:p>
      <w:pPr>
        <w:jc w:val="both"/>
        <w:ind w:left="840" w:right="999" w:firstLine="294"/>
        <w:spacing w:after="0" w:line="263" w:lineRule="auto"/>
        <w:rPr>
          <w:sz w:val="20"/>
          <w:szCs w:val="20"/>
          <w:color w:val="auto"/>
        </w:rPr>
      </w:pPr>
      <w:r>
        <w:rPr>
          <w:rFonts w:ascii="Arial" w:cs="Arial" w:eastAsia="Arial" w:hAnsi="Arial"/>
          <w:sz w:val="12"/>
          <w:szCs w:val="12"/>
          <w:color w:val="auto"/>
        </w:rPr>
        <w:t>The information under these Items 2.02, 7.01, and in Item 9.01 below are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1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1"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12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1"/>
              </w:rPr>
              <w:t>Exhibit No.</w:t>
            </w:r>
          </w:p>
        </w:tc>
        <w:tc>
          <w:tcPr>
            <w:tcW w:w="380" w:type="dxa"/>
            <w:vAlign w:val="bottom"/>
          </w:tcPr>
          <w:p>
            <w:pPr>
              <w:spacing w:after="0"/>
              <w:rPr>
                <w:sz w:val="10"/>
                <w:szCs w:val="10"/>
                <w:color w:val="auto"/>
              </w:rPr>
            </w:pPr>
          </w:p>
        </w:tc>
        <w:tc>
          <w:tcPr>
            <w:tcW w:w="5220" w:type="dxa"/>
            <w:vAlign w:val="bottom"/>
            <w:gridSpan w:val="3"/>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78"/>
        </w:trPr>
        <w:tc>
          <w:tcPr>
            <w:tcW w:w="1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5"/>
              </w:rPr>
              <w:t>99.1</w:t>
            </w:r>
          </w:p>
        </w:tc>
        <w:tc>
          <w:tcPr>
            <w:tcW w:w="380" w:type="dxa"/>
            <w:vAlign w:val="bottom"/>
          </w:tcPr>
          <w:p>
            <w:pPr>
              <w:spacing w:after="0"/>
              <w:rPr>
                <w:sz w:val="15"/>
                <w:szCs w:val="15"/>
                <w:color w:val="auto"/>
              </w:rPr>
            </w:pPr>
          </w:p>
        </w:tc>
        <w:tc>
          <w:tcPr>
            <w:tcW w:w="5220" w:type="dxa"/>
            <w:vAlign w:val="bottom"/>
            <w:tcBorders>
              <w:bottom w:val="single" w:sz="8" w:color="0000EE"/>
            </w:tcBorders>
            <w:gridSpan w:val="3"/>
          </w:tcPr>
          <w:p>
            <w:pPr>
              <w:spacing w:after="0"/>
              <w:rPr>
                <w:rFonts w:ascii="Arial" w:cs="Arial" w:eastAsia="Arial" w:hAnsi="Arial"/>
                <w:sz w:val="12"/>
                <w:szCs w:val="12"/>
                <w:b w:val="1"/>
                <w:bCs w:val="1"/>
                <w:color w:val="0000EE"/>
                <w:w w:val="91"/>
              </w:rPr>
            </w:pPr>
            <w:hyperlink w:anchor="page4">
              <w:r>
                <w:rPr>
                  <w:rFonts w:ascii="Arial" w:cs="Arial" w:eastAsia="Arial" w:hAnsi="Arial"/>
                  <w:sz w:val="12"/>
                  <w:szCs w:val="12"/>
                  <w:b w:val="1"/>
                  <w:bCs w:val="1"/>
                  <w:color w:val="0000EE"/>
                  <w:w w:val="91"/>
                </w:rPr>
                <w:t>AVITA Medical Announces Preliminary Unaudited Results for the Quarter Ended December 31, 2021</w:t>
              </w:r>
            </w:hyperlink>
          </w:p>
        </w:tc>
      </w:tr>
      <w:tr>
        <w:trPr>
          <w:trHeight w:val="196"/>
        </w:trPr>
        <w:tc>
          <w:tcPr>
            <w:tcW w:w="600" w:type="dxa"/>
            <w:vAlign w:val="bottom"/>
            <w:gridSpan w:val="2"/>
          </w:tcPr>
          <w:p>
            <w:pPr>
              <w:jc w:val="center"/>
              <w:ind w:left="60"/>
              <w:spacing w:after="0"/>
              <w:rPr>
                <w:sz w:val="20"/>
                <w:szCs w:val="20"/>
                <w:color w:val="auto"/>
              </w:rPr>
            </w:pPr>
            <w:r>
              <w:rPr>
                <w:rFonts w:ascii="Arial" w:cs="Arial" w:eastAsia="Arial" w:hAnsi="Arial"/>
                <w:sz w:val="12"/>
                <w:szCs w:val="12"/>
                <w:b w:val="1"/>
                <w:bCs w:val="1"/>
                <w:color w:val="auto"/>
                <w:w w:val="85"/>
              </w:rPr>
              <w:t>99.2</w:t>
            </w:r>
          </w:p>
        </w:tc>
        <w:tc>
          <w:tcPr>
            <w:tcW w:w="380" w:type="dxa"/>
            <w:vAlign w:val="bottom"/>
          </w:tcPr>
          <w:p>
            <w:pPr>
              <w:spacing w:after="0"/>
              <w:rPr>
                <w:sz w:val="17"/>
                <w:szCs w:val="17"/>
                <w:color w:val="auto"/>
              </w:rPr>
            </w:pPr>
          </w:p>
        </w:tc>
        <w:tc>
          <w:tcPr>
            <w:tcW w:w="5220" w:type="dxa"/>
            <w:vAlign w:val="bottom"/>
            <w:gridSpan w:val="3"/>
          </w:tcPr>
          <w:p>
            <w:pPr>
              <w:spacing w:after="0"/>
              <w:rPr>
                <w:rFonts w:ascii="Arial" w:cs="Arial" w:eastAsia="Arial" w:hAnsi="Arial"/>
                <w:sz w:val="12"/>
                <w:szCs w:val="12"/>
                <w:b w:val="1"/>
                <w:bCs w:val="1"/>
                <w:color w:val="0000EE"/>
              </w:rPr>
            </w:pPr>
            <w:hyperlink w:anchor="page6">
              <w:r>
                <w:rPr>
                  <w:rFonts w:ascii="Arial" w:cs="Arial" w:eastAsia="Arial" w:hAnsi="Arial"/>
                  <w:sz w:val="12"/>
                  <w:szCs w:val="12"/>
                  <w:b w:val="1"/>
                  <w:bCs w:val="1"/>
                  <w:color w:val="0000EE"/>
                </w:rPr>
                <w:t>JP Morgan Healthcare Conference Presentation</w:t>
              </w:r>
            </w:hyperlink>
          </w:p>
        </w:tc>
      </w:tr>
      <w:tr>
        <w:trPr>
          <w:trHeight w:val="20"/>
        </w:trPr>
        <w:tc>
          <w:tcPr>
            <w:tcW w:w="980" w:type="dxa"/>
            <w:vAlign w:val="bottom"/>
            <w:gridSpan w:val="3"/>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23"/>
        </w:trPr>
        <w:tc>
          <w:tcPr>
            <w:tcW w:w="98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rPr>
              <w:t>EXHIBIT 104</w:t>
            </w:r>
          </w:p>
        </w:tc>
        <w:tc>
          <w:tcPr>
            <w:tcW w:w="5220" w:type="dxa"/>
            <w:vAlign w:val="bottom"/>
            <w:gridSpan w:val="3"/>
          </w:tcPr>
          <w:p>
            <w:pPr>
              <w:spacing w:after="0"/>
              <w:rPr>
                <w:sz w:val="20"/>
                <w:szCs w:val="20"/>
                <w:color w:val="auto"/>
              </w:rPr>
            </w:pPr>
            <w:r>
              <w:rPr>
                <w:rFonts w:ascii="Arial" w:cs="Arial" w:eastAsia="Arial" w:hAnsi="Arial"/>
                <w:sz w:val="12"/>
                <w:szCs w:val="12"/>
                <w:b w:val="1"/>
                <w:bCs w:val="1"/>
                <w:color w:val="auto"/>
              </w:rPr>
              <w:t>Cover Page Interactive Data File (embedded within the Inline XBRL document).</w:t>
            </w:r>
          </w:p>
        </w:tc>
      </w:tr>
    </w:tbl>
    <w:p>
      <w:pPr>
        <w:sectPr>
          <w:pgSz w:w="11900" w:h="16838" w:orient="portrait"/>
          <w:cols w:equalWidth="0" w:num="1">
            <w:col w:w="9019"/>
          </w:cols>
          <w:pgMar w:left="1440" w:top="24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4"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January 11, 2022</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AVITA MEDICAL, INC.</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 Donna Shiroma</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Title:</w:t>
        <w:tab/>
        <w:t>General Counsel</w:t>
      </w:r>
    </w:p>
    <w:p>
      <w:pPr>
        <w:sectPr>
          <w:pgSz w:w="11900" w:h="16838" w:orient="portrait"/>
          <w:cols w:equalWidth="0" w:num="1">
            <w:col w:w="9019"/>
          </w:cols>
          <w:pgMar w:left="1440" w:top="244" w:right="1440" w:bottom="1440" w:gutter="0" w:footer="0" w:header="0"/>
        </w:sectPr>
      </w:pPr>
    </w:p>
    <w:bookmarkStart w:id="3" w:name="page4"/>
    <w:bookmarkEnd w:id="3"/>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114935</wp:posOffset>
            </wp:positionV>
            <wp:extent cx="1303020" cy="554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020" cy="55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AVITA Medical Announces Preliminary Unaudited Results for the Quarter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69215</wp:posOffset>
            </wp:positionV>
            <wp:extent cx="46634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57" w:lineRule="exact"/>
        <w:rPr>
          <w:sz w:val="20"/>
          <w:szCs w:val="20"/>
          <w:color w:val="auto"/>
        </w:rPr>
      </w:pPr>
    </w:p>
    <w:p>
      <w:pPr>
        <w:ind w:left="840" w:right="879"/>
        <w:spacing w:after="0" w:line="261" w:lineRule="auto"/>
        <w:rPr>
          <w:sz w:val="20"/>
          <w:szCs w:val="20"/>
          <w:color w:val="auto"/>
        </w:rPr>
      </w:pPr>
      <w:r>
        <w:rPr>
          <w:rFonts w:ascii="Arial" w:cs="Arial" w:eastAsia="Arial" w:hAnsi="Arial"/>
          <w:sz w:val="12"/>
          <w:szCs w:val="12"/>
          <w:b w:val="1"/>
          <w:bCs w:val="1"/>
          <w:color w:val="auto"/>
        </w:rPr>
        <w:t xml:space="preserve">VALENCIA, Calif, January 10, 2022 and MELBOURNE, Australia, January 11, 2022 </w:t>
      </w:r>
      <w:r>
        <w:rPr>
          <w:rFonts w:ascii="Arial" w:cs="Arial" w:eastAsia="Arial" w:hAnsi="Arial"/>
          <w:sz w:val="12"/>
          <w:szCs w:val="12"/>
          <w:color w:val="auto"/>
        </w:rPr>
        <w:t>— AVITA Medical, Inc. (NASDAQ: RCEL, ASX:AVH)</w:t>
      </w:r>
      <w:r>
        <w:rPr>
          <w:rFonts w:ascii="Arial" w:cs="Arial" w:eastAsia="Arial" w:hAnsi="Arial"/>
          <w:sz w:val="12"/>
          <w:szCs w:val="12"/>
          <w:b w:val="1"/>
          <w:bCs w:val="1"/>
          <w:color w:val="auto"/>
        </w:rPr>
        <w:t xml:space="preserve"> </w:t>
      </w:r>
      <w:r>
        <w:rPr>
          <w:rFonts w:ascii="Arial" w:cs="Arial" w:eastAsia="Arial" w:hAnsi="Arial"/>
          <w:sz w:val="12"/>
          <w:szCs w:val="12"/>
          <w:color w:val="auto"/>
        </w:rPr>
        <w:t>(the “</w:t>
      </w:r>
      <w:r>
        <w:rPr>
          <w:rFonts w:ascii="Arial" w:cs="Arial" w:eastAsia="Arial" w:hAnsi="Arial"/>
          <w:sz w:val="12"/>
          <w:szCs w:val="12"/>
          <w:b w:val="1"/>
          <w:bCs w:val="1"/>
          <w:color w:val="auto"/>
        </w:rPr>
        <w:t>Company</w:t>
      </w:r>
      <w:r>
        <w:rPr>
          <w:rFonts w:ascii="Arial" w:cs="Arial" w:eastAsia="Arial" w:hAnsi="Arial"/>
          <w:sz w:val="12"/>
          <w:szCs w:val="12"/>
          <w:color w:val="auto"/>
        </w:rPr>
        <w:t>”), a regenerative medicine company that is developing and commercializing a technology platform that enables point-of-care autologous skin restoration for multiple unmet needs, today announced preliminary unaudited estimates of its top line results for the three months ended December 31, 2021.</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Preliminary Results for the Quarter ended December 31 and Recent Updates:</w:t>
      </w:r>
    </w:p>
    <w:p>
      <w:pPr>
        <w:spacing w:after="0" w:line="91" w:lineRule="exact"/>
        <w:rPr>
          <w:sz w:val="20"/>
          <w:szCs w:val="20"/>
          <w:color w:val="auto"/>
        </w:rPr>
      </w:pPr>
    </w:p>
    <w:p>
      <w:pPr>
        <w:ind w:left="1480" w:right="999" w:hanging="288"/>
        <w:spacing w:after="0" w:line="276" w:lineRule="auto"/>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revenue increased 35% to $6.9 million in the quarter ended December 31, 2021, compared to $5.1 million over the same quarter in the prior year</w:t>
      </w:r>
    </w:p>
    <w:p>
      <w:pPr>
        <w:spacing w:after="0" w:line="51" w:lineRule="exact"/>
        <w:rPr>
          <w:rFonts w:ascii="Arial" w:cs="Arial" w:eastAsia="Arial" w:hAnsi="Arial"/>
          <w:sz w:val="12"/>
          <w:szCs w:val="12"/>
          <w:color w:val="auto"/>
        </w:rPr>
      </w:pPr>
    </w:p>
    <w:p>
      <w:pPr>
        <w:ind w:left="1480" w:right="879" w:hanging="288"/>
        <w:spacing w:after="0" w:line="276" w:lineRule="auto"/>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As of December 31, 2021, the Company had approximately $55.5 million in cash and cash equivalents and $49.3 million in short-term and long-term marketable securities, and no debt</w:t>
      </w:r>
    </w:p>
    <w:p>
      <w:pPr>
        <w:spacing w:after="0" w:line="51"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Effective December 2021, the Company changed its fiscal year-end to December 31</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Completed enrollment in two clinical trials with the goal of submitting premarket approval (PMA) supplements in 2022</w:t>
      </w:r>
    </w:p>
    <w:p>
      <w:pPr>
        <w:spacing w:after="0" w:line="87" w:lineRule="exact"/>
        <w:rPr>
          <w:rFonts w:ascii="Arial" w:cs="Arial" w:eastAsia="Arial" w:hAnsi="Arial"/>
          <w:sz w:val="12"/>
          <w:szCs w:val="12"/>
          <w:color w:val="auto"/>
        </w:rPr>
      </w:pPr>
    </w:p>
    <w:p>
      <w:pPr>
        <w:ind w:left="2220" w:right="959" w:hanging="362"/>
        <w:spacing w:after="0" w:line="276" w:lineRule="auto"/>
        <w:tabs>
          <w:tab w:leader="none" w:pos="2220" w:val="left"/>
        </w:tabs>
        <w:numPr>
          <w:ilvl w:val="1"/>
          <w:numId w:val="2"/>
        </w:numPr>
        <w:rPr>
          <w:rFonts w:ascii="Arial" w:cs="Arial" w:eastAsia="Arial" w:hAnsi="Arial"/>
          <w:sz w:val="12"/>
          <w:szCs w:val="12"/>
          <w:color w:val="auto"/>
        </w:rPr>
      </w:pPr>
      <w:r>
        <w:rPr>
          <w:rFonts w:ascii="Arial" w:cs="Arial" w:eastAsia="Arial" w:hAnsi="Arial"/>
          <w:sz w:val="12"/>
          <w:szCs w:val="12"/>
          <w:color w:val="auto"/>
        </w:rPr>
        <w:t>In December 2021, completed enrollment of pivotal clinical trial evaluating the safety and effectiveness of the RECELL</w:t>
      </w:r>
      <w:r>
        <w:rPr>
          <w:rFonts w:ascii="Arial" w:cs="Arial" w:eastAsia="Arial" w:hAnsi="Arial"/>
          <w:sz w:val="10"/>
          <w:szCs w:val="10"/>
          <w:color w:val="auto"/>
        </w:rPr>
        <w:t>®</w:t>
      </w:r>
      <w:r>
        <w:rPr>
          <w:rFonts w:ascii="Arial" w:cs="Arial" w:eastAsia="Arial" w:hAnsi="Arial"/>
          <w:sz w:val="12"/>
          <w:szCs w:val="12"/>
          <w:color w:val="auto"/>
        </w:rPr>
        <w:t xml:space="preserve"> System for the repigmentation of stable vitiligo lesions</w:t>
      </w:r>
    </w:p>
    <w:p>
      <w:pPr>
        <w:spacing w:after="0" w:line="51" w:lineRule="exact"/>
        <w:rPr>
          <w:rFonts w:ascii="Arial" w:cs="Arial" w:eastAsia="Arial" w:hAnsi="Arial"/>
          <w:sz w:val="12"/>
          <w:szCs w:val="12"/>
          <w:color w:val="auto"/>
        </w:rPr>
      </w:pPr>
    </w:p>
    <w:p>
      <w:pPr>
        <w:ind w:left="2220" w:hanging="362"/>
        <w:spacing w:after="0"/>
        <w:tabs>
          <w:tab w:leader="none" w:pos="2220" w:val="left"/>
        </w:tabs>
        <w:numPr>
          <w:ilvl w:val="1"/>
          <w:numId w:val="2"/>
        </w:numPr>
        <w:rPr>
          <w:rFonts w:ascii="Arial" w:cs="Arial" w:eastAsia="Arial" w:hAnsi="Arial"/>
          <w:sz w:val="11"/>
          <w:szCs w:val="11"/>
          <w:color w:val="auto"/>
        </w:rPr>
      </w:pPr>
      <w:r>
        <w:rPr>
          <w:rFonts w:ascii="Arial" w:cs="Arial" w:eastAsia="Arial" w:hAnsi="Arial"/>
          <w:sz w:val="11"/>
          <w:szCs w:val="11"/>
          <w:color w:val="auto"/>
        </w:rPr>
        <w:t>In January 2022, completed enrollment of pivotal study of RECELL System for soft tissue reconstruction (trauma)</w:t>
      </w:r>
    </w:p>
    <w:p>
      <w:pPr>
        <w:spacing w:after="0" w:line="98" w:lineRule="exact"/>
        <w:rPr>
          <w:rFonts w:ascii="Arial" w:cs="Arial" w:eastAsia="Arial" w:hAnsi="Arial"/>
          <w:sz w:val="11"/>
          <w:szCs w:val="11"/>
          <w:color w:val="auto"/>
        </w:rPr>
      </w:pPr>
    </w:p>
    <w:p>
      <w:pPr>
        <w:ind w:left="1480" w:right="1279" w:hanging="288"/>
        <w:spacing w:after="0" w:line="276" w:lineRule="auto"/>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Successfully established proof of concept with preclinical data in two key areas of cell-based gene therapy – skin rejuvenation and epidermolysis bullosa.</w:t>
      </w:r>
    </w:p>
    <w:p>
      <w:pPr>
        <w:spacing w:after="0" w:line="115" w:lineRule="exact"/>
        <w:rPr>
          <w:sz w:val="20"/>
          <w:szCs w:val="20"/>
          <w:color w:val="auto"/>
        </w:rPr>
      </w:pPr>
    </w:p>
    <w:p>
      <w:pPr>
        <w:ind w:left="840" w:right="899"/>
        <w:spacing w:after="0" w:line="259" w:lineRule="auto"/>
        <w:rPr>
          <w:sz w:val="20"/>
          <w:szCs w:val="20"/>
          <w:color w:val="auto"/>
        </w:rPr>
      </w:pPr>
      <w:r>
        <w:rPr>
          <w:rFonts w:ascii="Arial" w:cs="Arial" w:eastAsia="Arial" w:hAnsi="Arial"/>
          <w:sz w:val="12"/>
          <w:szCs w:val="12"/>
          <w:color w:val="auto"/>
        </w:rPr>
        <w:t>“Our recent successes in getting two pivotal clinical trials fully enrolled, and also demonstrating proof of concept in two other potential indications, underscore our commitment to further growing the market opportunities for the RECELL system,” said Dr. Mike Perry, AVITA Medical Chief Executive Officer. “Looking ahead, we will be preparing our vitiligo and soft tissue dossiers to submit PMA supplement applications to the FDA in late 2022 for commercial launches for those indications in 2023.”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Authorized for release by the Chief Financial Officer of AVITA Medical,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 #</w:t>
      </w:r>
    </w:p>
    <w:p>
      <w:pPr>
        <w:spacing w:after="0" w:line="14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AVITA Medical, Inc.</w:t>
      </w:r>
    </w:p>
    <w:p>
      <w:pPr>
        <w:spacing w:after="0" w:line="82" w:lineRule="exact"/>
        <w:rPr>
          <w:sz w:val="20"/>
          <w:szCs w:val="20"/>
          <w:color w:val="auto"/>
        </w:rPr>
      </w:pPr>
    </w:p>
    <w:p>
      <w:pPr>
        <w:ind w:left="840" w:right="979"/>
        <w:spacing w:after="0" w:line="285" w:lineRule="auto"/>
        <w:rPr>
          <w:sz w:val="20"/>
          <w:szCs w:val="20"/>
          <w:color w:val="auto"/>
        </w:rPr>
      </w:pPr>
      <w:r>
        <w:rPr>
          <w:rFonts w:ascii="Arial" w:cs="Arial" w:eastAsia="Arial" w:hAnsi="Arial"/>
          <w:sz w:val="11"/>
          <w:szCs w:val="11"/>
          <w:color w:val="auto"/>
        </w:rPr>
        <w:t>AVITA Medical, Inc. is a regenerative medicine company with a technology platform positioned to address unmet medical needs in burns, chronic wounds, and aesthetics indications. AVITA Medical Inc.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9"/>
          <w:szCs w:val="9"/>
          <w:color w:val="auto"/>
        </w:rPr>
        <w:t>®</w:t>
      </w:r>
      <w:r>
        <w:rPr>
          <w:rFonts w:ascii="Arial" w:cs="Arial" w:eastAsia="Arial" w:hAnsi="Arial"/>
          <w:sz w:val="11"/>
          <w:szCs w:val="11"/>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13" w:lineRule="exact"/>
        <w:rPr>
          <w:sz w:val="20"/>
          <w:szCs w:val="20"/>
          <w:color w:val="auto"/>
        </w:rPr>
      </w:pPr>
    </w:p>
    <w:p>
      <w:pPr>
        <w:ind w:left="840" w:right="899"/>
        <w:spacing w:after="0" w:line="298" w:lineRule="auto"/>
        <w:rPr>
          <w:sz w:val="20"/>
          <w:szCs w:val="20"/>
          <w:color w:val="auto"/>
        </w:rPr>
      </w:pPr>
      <w:r>
        <w:rPr>
          <w:rFonts w:ascii="Arial" w:cs="Arial" w:eastAsia="Arial" w:hAnsi="Arial"/>
          <w:sz w:val="11"/>
          <w:szCs w:val="11"/>
          <w:color w:val="auto"/>
        </w:rPr>
        <w:t>AVITA Medicals’ first U.S. product, the RECELL</w:t>
      </w:r>
      <w:r>
        <w:rPr>
          <w:rFonts w:ascii="Arial" w:cs="Arial" w:eastAsia="Arial" w:hAnsi="Arial"/>
          <w:sz w:val="9"/>
          <w:szCs w:val="9"/>
          <w:color w:val="auto"/>
        </w:rPr>
        <w:t>®</w:t>
      </w:r>
      <w:r>
        <w:rPr>
          <w:rFonts w:ascii="Arial" w:cs="Arial" w:eastAsia="Arial" w:hAnsi="Arial"/>
          <w:sz w:val="11"/>
          <w:szCs w:val="11"/>
          <w:color w:val="auto"/>
        </w:rPr>
        <w:t xml:space="preserve"> System, was approved by the U.S. Food and Drug Administration (FDA) in September 2018. The RECELL</w:t>
      </w:r>
      <w:r>
        <w:rPr>
          <w:rFonts w:ascii="Arial" w:cs="Arial" w:eastAsia="Arial" w:hAnsi="Arial"/>
          <w:sz w:val="9"/>
          <w:szCs w:val="9"/>
          <w:color w:val="auto"/>
        </w:rPr>
        <w:t>®</w:t>
      </w:r>
      <w:r>
        <w:rPr>
          <w:rFonts w:ascii="Arial" w:cs="Arial" w:eastAsia="Arial" w:hAnsi="Arial"/>
          <w:sz w:val="11"/>
          <w:szCs w:val="11"/>
          <w:color w:val="auto"/>
        </w:rPr>
        <w:t xml:space="preserve"> System is approved for acute partial-thickness thermal burn wounds in patients 18 years of age and older or application in combination with meshed autografting for acute full-thickness thermal burn wounds in pediatric and adult patients. The RECELL</w:t>
      </w:r>
      <w:r>
        <w:rPr>
          <w:rFonts w:ascii="Arial" w:cs="Arial" w:eastAsia="Arial" w:hAnsi="Arial"/>
          <w:sz w:val="9"/>
          <w:szCs w:val="9"/>
          <w:color w:val="auto"/>
        </w:rPr>
        <w:t>®</w:t>
      </w:r>
      <w:r>
        <w:rPr>
          <w:rFonts w:ascii="Arial" w:cs="Arial" w:eastAsia="Arial" w:hAnsi="Arial"/>
          <w:sz w:val="11"/>
          <w:szCs w:val="11"/>
          <w:color w:val="auto"/>
        </w:rPr>
        <w:t xml:space="preserve"> System is used to prepare</w:t>
      </w:r>
    </w:p>
    <w:p>
      <w:pPr>
        <w:spacing w:after="0" w:line="60" w:lineRule="exact"/>
        <w:rPr>
          <w:sz w:val="20"/>
          <w:szCs w:val="20"/>
          <w:color w:val="auto"/>
        </w:rPr>
      </w:pPr>
    </w:p>
    <w:p>
      <w:pPr>
        <w:ind w:left="840"/>
        <w:spacing w:after="0"/>
        <w:tabs>
          <w:tab w:leader="none" w:pos="7800" w:val="left"/>
        </w:tabs>
        <w:rPr>
          <w:sz w:val="20"/>
          <w:szCs w:val="20"/>
          <w:color w:val="auto"/>
        </w:rPr>
      </w:pPr>
      <w:r>
        <w:rPr>
          <w:rFonts w:ascii="Arial" w:cs="Arial" w:eastAsia="Arial" w:hAnsi="Arial"/>
          <w:sz w:val="12"/>
          <w:szCs w:val="12"/>
          <w:color w:val="auto"/>
        </w:rPr>
        <w:t>AVITA Medical, Inc. | 28159 Avenue Stanford, Suite 220 Valencia, CA 91355</w:t>
      </w:r>
      <w:r>
        <w:rPr>
          <w:sz w:val="20"/>
          <w:szCs w:val="20"/>
          <w:color w:val="auto"/>
        </w:rPr>
        <w:tab/>
      </w:r>
      <w:r>
        <w:rPr>
          <w:rFonts w:ascii="Arial" w:cs="Arial" w:eastAsia="Arial" w:hAnsi="Arial"/>
          <w:sz w:val="10"/>
          <w:szCs w:val="10"/>
          <w:color w:val="auto"/>
        </w:rPr>
        <w:t>Page 1</w:t>
      </w:r>
    </w:p>
    <w:p>
      <w:pPr>
        <w:sectPr>
          <w:pgSz w:w="11900" w:h="16838" w:orient="portrait"/>
          <w:cols w:equalWidth="0" w:num="1">
            <w:col w:w="9019"/>
          </w:cols>
          <w:pgMar w:left="1440" w:top="127" w:right="1440" w:bottom="1440" w:gutter="0" w:footer="0" w:header="0"/>
        </w:sectPr>
      </w:pPr>
    </w:p>
    <w:bookmarkStart w:id="4" w:name="page5"/>
    <w:bookmarkEnd w:id="4"/>
    <w:p>
      <w:pPr>
        <w:ind w:left="840" w:right="879"/>
        <w:spacing w:after="0" w:line="25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Spray-On Skin</w:t>
      </w:r>
      <w:r>
        <w:rPr>
          <w:rFonts w:ascii="Arial" w:cs="Arial" w:eastAsia="Arial" w:hAnsi="Arial"/>
          <w:sz w:val="10"/>
          <w:szCs w:val="10"/>
          <w:color w:val="auto"/>
        </w:rPr>
        <w:t>™</w:t>
      </w:r>
      <w:r>
        <w:rPr>
          <w:rFonts w:ascii="Arial" w:cs="Arial" w:eastAsia="Arial" w:hAnsi="Arial"/>
          <w:sz w:val="12"/>
          <w:szCs w:val="12"/>
          <w:color w:val="auto"/>
        </w:rPr>
        <w:t xml:space="preserve"> Cells using a small amount of a patient’s own skin, providing a new way to treat severe burns, while significantly reducing the amount of donor skin required. The RECELL</w:t>
      </w:r>
      <w:r>
        <w:rPr>
          <w:rFonts w:ascii="Arial" w:cs="Arial" w:eastAsia="Arial" w:hAnsi="Arial"/>
          <w:sz w:val="10"/>
          <w:szCs w:val="10"/>
          <w:color w:val="auto"/>
        </w:rPr>
        <w:t>®</w:t>
      </w:r>
      <w:r>
        <w:rPr>
          <w:rFonts w:ascii="Arial" w:cs="Arial" w:eastAsia="Arial" w:hAnsi="Arial"/>
          <w:sz w:val="12"/>
          <w:szCs w:val="12"/>
          <w:color w:val="auto"/>
        </w:rPr>
        <w:t xml:space="preserve">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w:t>
      </w:r>
      <w:r>
        <w:rPr>
          <w:rFonts w:ascii="Arial" w:cs="Arial" w:eastAsia="Arial" w:hAnsi="Arial"/>
          <w:sz w:val="10"/>
          <w:szCs w:val="10"/>
          <w:color w:val="auto"/>
        </w:rPr>
        <w:t>®</w:t>
      </w:r>
      <w:r>
        <w:rPr>
          <w:rFonts w:ascii="Arial" w:cs="Arial" w:eastAsia="Arial" w:hAnsi="Arial"/>
          <w:sz w:val="12"/>
          <w:szCs w:val="12"/>
          <w:color w:val="auto"/>
        </w:rPr>
        <w:t xml:space="preserve">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0"/>
          <w:szCs w:val="10"/>
          <w:color w:val="auto"/>
        </w:rPr>
        <w:t>®</w:t>
      </w:r>
      <w:r>
        <w:rPr>
          <w:rFonts w:ascii="Arial" w:cs="Arial" w:eastAsia="Arial" w:hAnsi="Arial"/>
          <w:sz w:val="12"/>
          <w:szCs w:val="12"/>
          <w:color w:val="auto"/>
        </w:rPr>
        <w:t xml:space="preserve"> Autologous Cell Harvesting Device (https://recellsystem.com/) for a full description of indications for use and important safety information including contraindications, warnings, and precautions.</w:t>
      </w:r>
    </w:p>
    <w:p>
      <w:pPr>
        <w:spacing w:after="0" w:line="130" w:lineRule="exact"/>
        <w:rPr>
          <w:sz w:val="20"/>
          <w:szCs w:val="20"/>
          <w:color w:val="auto"/>
        </w:rPr>
      </w:pPr>
    </w:p>
    <w:p>
      <w:pPr>
        <w:ind w:left="840" w:right="839"/>
        <w:spacing w:after="0" w:line="281" w:lineRule="auto"/>
        <w:rPr>
          <w:sz w:val="20"/>
          <w:szCs w:val="20"/>
          <w:color w:val="auto"/>
        </w:rPr>
      </w:pPr>
      <w:r>
        <w:rPr>
          <w:rFonts w:ascii="Arial" w:cs="Arial" w:eastAsia="Arial" w:hAnsi="Arial"/>
          <w:sz w:val="11"/>
          <w:szCs w:val="11"/>
          <w:color w:val="auto"/>
        </w:rPr>
        <w:t>In international markets, our products are marketed under the RECELL</w:t>
      </w:r>
      <w:r>
        <w:rPr>
          <w:rFonts w:ascii="Arial" w:cs="Arial" w:eastAsia="Arial" w:hAnsi="Arial"/>
          <w:sz w:val="9"/>
          <w:szCs w:val="9"/>
          <w:color w:val="auto"/>
        </w:rPr>
        <w:t>®</w:t>
      </w:r>
      <w:r>
        <w:rPr>
          <w:rFonts w:ascii="Arial" w:cs="Arial" w:eastAsia="Arial" w:hAnsi="Arial"/>
          <w:sz w:val="11"/>
          <w:szCs w:val="11"/>
          <w:color w:val="auto"/>
        </w:rPr>
        <w:t xml:space="preserve"> System brand to promote skin healing in a wide range of applications including burns, chronic wounds, and aesthetics. The RECELL</w:t>
      </w:r>
      <w:r>
        <w:rPr>
          <w:rFonts w:ascii="Arial" w:cs="Arial" w:eastAsia="Arial" w:hAnsi="Arial"/>
          <w:sz w:val="9"/>
          <w:szCs w:val="9"/>
          <w:color w:val="auto"/>
        </w:rPr>
        <w:t>®</w:t>
      </w:r>
      <w:r>
        <w:rPr>
          <w:rFonts w:ascii="Arial" w:cs="Arial" w:eastAsia="Arial" w:hAnsi="Arial"/>
          <w:sz w:val="11"/>
          <w:szCs w:val="11"/>
          <w:color w:val="auto"/>
        </w:rPr>
        <w:t xml:space="preserve"> System is TGA-registered in Australia and received CE-mark approval in Europe.</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To learn more, visit </w:t>
      </w:r>
      <w:r>
        <w:rPr>
          <w:rFonts w:ascii="Arial" w:cs="Arial" w:eastAsia="Arial" w:hAnsi="Arial"/>
          <w:sz w:val="12"/>
          <w:szCs w:val="12"/>
          <w:u w:val="single" w:color="auto"/>
          <w:color w:val="auto"/>
        </w:rPr>
        <w:t>www.avitamedical.com</w:t>
      </w:r>
      <w:r>
        <w:rPr>
          <w:rFonts w:ascii="Arial" w:cs="Arial" w:eastAsia="Arial" w:hAnsi="Arial"/>
          <w:sz w:val="12"/>
          <w:szCs w:val="12"/>
          <w:color w:val="auto"/>
        </w:rPr>
        <w:t>.</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82" w:lineRule="exact"/>
        <w:rPr>
          <w:sz w:val="20"/>
          <w:szCs w:val="20"/>
          <w:color w:val="auto"/>
        </w:rPr>
      </w:pPr>
    </w:p>
    <w:p>
      <w:pPr>
        <w:ind w:left="840" w:right="879"/>
        <w:spacing w:after="0" w:line="277" w:lineRule="auto"/>
        <w:rPr>
          <w:sz w:val="20"/>
          <w:szCs w:val="20"/>
          <w:color w:val="auto"/>
        </w:rPr>
      </w:pPr>
      <w:r>
        <w:rPr>
          <w:rFonts w:ascii="Arial" w:cs="Arial" w:eastAsia="Arial" w:hAnsi="Arial"/>
          <w:sz w:val="11"/>
          <w:szCs w:val="11"/>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goals. Forward-looking statements by their nature address matters that are, to different degrees, uncertain. Each forward- 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including, but not limited to the ongoing COVID-19 pandemic which are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4"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3820" w:type="dxa"/>
            <w:vAlign w:val="bottom"/>
            <w:gridSpan w:val="3"/>
          </w:tcPr>
          <w:p>
            <w:pPr>
              <w:spacing w:after="0"/>
              <w:rPr>
                <w:sz w:val="20"/>
                <w:szCs w:val="20"/>
                <w:color w:val="auto"/>
              </w:rPr>
            </w:pPr>
            <w:r>
              <w:rPr>
                <w:rFonts w:ascii="Arial" w:cs="Arial" w:eastAsia="Arial" w:hAnsi="Arial"/>
                <w:sz w:val="12"/>
                <w:szCs w:val="12"/>
                <w:b w:val="1"/>
                <w:bCs w:val="1"/>
                <w:color w:val="auto"/>
              </w:rPr>
              <w:t>FOR FURTHER INFORMATION:</w:t>
            </w:r>
          </w:p>
        </w:tc>
        <w:tc>
          <w:tcPr>
            <w:tcW w:w="15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3820" w:type="dxa"/>
            <w:vAlign w:val="bottom"/>
            <w:gridSpan w:val="3"/>
          </w:tcPr>
          <w:p>
            <w:pPr>
              <w:spacing w:after="0"/>
              <w:rPr>
                <w:sz w:val="20"/>
                <w:szCs w:val="20"/>
                <w:color w:val="auto"/>
              </w:rPr>
            </w:pPr>
            <w:r>
              <w:rPr>
                <w:rFonts w:ascii="Arial" w:cs="Arial" w:eastAsia="Arial" w:hAnsi="Arial"/>
                <w:sz w:val="12"/>
                <w:szCs w:val="12"/>
                <w:b w:val="1"/>
                <w:bCs w:val="1"/>
                <w:color w:val="auto"/>
              </w:rPr>
              <w:t>U.S. Media</w:t>
            </w:r>
          </w:p>
        </w:tc>
        <w:tc>
          <w:tcPr>
            <w:tcW w:w="1580" w:type="dxa"/>
            <w:vAlign w:val="bottom"/>
          </w:tcPr>
          <w:p>
            <w:pPr>
              <w:spacing w:after="0"/>
              <w:rPr>
                <w:sz w:val="20"/>
                <w:szCs w:val="20"/>
                <w:color w:val="auto"/>
              </w:rPr>
            </w:pPr>
            <w:r>
              <w:rPr>
                <w:rFonts w:ascii="Arial" w:cs="Arial" w:eastAsia="Arial" w:hAnsi="Arial"/>
                <w:sz w:val="12"/>
                <w:szCs w:val="12"/>
                <w:b w:val="1"/>
                <w:bCs w:val="1"/>
                <w:color w:val="auto"/>
              </w:rPr>
              <w:t>Investors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20" w:type="dxa"/>
            <w:vAlign w:val="bottom"/>
            <w:gridSpan w:val="3"/>
          </w:tcPr>
          <w:p>
            <w:pPr>
              <w:spacing w:after="0"/>
              <w:rPr>
                <w:sz w:val="20"/>
                <w:szCs w:val="20"/>
                <w:color w:val="auto"/>
              </w:rPr>
            </w:pPr>
            <w:r>
              <w:rPr>
                <w:rFonts w:ascii="Arial" w:cs="Arial" w:eastAsia="Arial" w:hAnsi="Arial"/>
                <w:sz w:val="12"/>
                <w:szCs w:val="12"/>
                <w:b w:val="1"/>
                <w:bCs w:val="1"/>
                <w:color w:val="auto"/>
              </w:rPr>
              <w:t>Sam Brown, Inc.</w:t>
            </w:r>
          </w:p>
        </w:tc>
        <w:tc>
          <w:tcPr>
            <w:tcW w:w="1580" w:type="dxa"/>
            <w:vAlign w:val="bottom"/>
          </w:tcPr>
          <w:p>
            <w:pPr>
              <w:spacing w:after="0"/>
              <w:rPr>
                <w:sz w:val="20"/>
                <w:szCs w:val="20"/>
                <w:color w:val="auto"/>
              </w:rPr>
            </w:pPr>
            <w:r>
              <w:rPr>
                <w:rFonts w:ascii="Arial" w:cs="Arial" w:eastAsia="Arial" w:hAnsi="Arial"/>
                <w:sz w:val="12"/>
                <w:szCs w:val="12"/>
                <w:b w:val="1"/>
                <w:bCs w:val="1"/>
                <w:color w:val="auto"/>
              </w:rPr>
              <w:t>ICR Westwicke</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gridSpan w:val="3"/>
          </w:tcPr>
          <w:p>
            <w:pPr>
              <w:spacing w:after="0"/>
              <w:rPr>
                <w:sz w:val="20"/>
                <w:szCs w:val="20"/>
                <w:color w:val="auto"/>
              </w:rPr>
            </w:pPr>
            <w:r>
              <w:rPr>
                <w:rFonts w:ascii="Arial" w:cs="Arial" w:eastAsia="Arial" w:hAnsi="Arial"/>
                <w:sz w:val="12"/>
                <w:szCs w:val="12"/>
                <w:color w:val="auto"/>
              </w:rPr>
              <w:t>Christy Curran</w:t>
            </w:r>
          </w:p>
        </w:tc>
        <w:tc>
          <w:tcPr>
            <w:tcW w:w="1580" w:type="dxa"/>
            <w:vAlign w:val="bottom"/>
          </w:tcPr>
          <w:p>
            <w:pPr>
              <w:spacing w:after="0"/>
              <w:rPr>
                <w:sz w:val="20"/>
                <w:szCs w:val="20"/>
                <w:color w:val="auto"/>
              </w:rPr>
            </w:pPr>
            <w:r>
              <w:rPr>
                <w:rFonts w:ascii="Arial" w:cs="Arial" w:eastAsia="Arial" w:hAnsi="Arial"/>
                <w:sz w:val="12"/>
                <w:szCs w:val="12"/>
                <w:color w:val="auto"/>
              </w:rPr>
              <w:t>Caroline Corner</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gridSpan w:val="3"/>
          </w:tcPr>
          <w:p>
            <w:pPr>
              <w:spacing w:after="0"/>
              <w:rPr>
                <w:sz w:val="20"/>
                <w:szCs w:val="20"/>
                <w:color w:val="auto"/>
              </w:rPr>
            </w:pPr>
            <w:r>
              <w:rPr>
                <w:rFonts w:ascii="Arial" w:cs="Arial" w:eastAsia="Arial" w:hAnsi="Arial"/>
                <w:sz w:val="12"/>
                <w:szCs w:val="12"/>
                <w:color w:val="auto"/>
              </w:rPr>
              <w:t>Phone +1 615 414 8668</w:t>
            </w:r>
          </w:p>
        </w:tc>
        <w:tc>
          <w:tcPr>
            <w:tcW w:w="1580" w:type="dxa"/>
            <w:vAlign w:val="bottom"/>
          </w:tcPr>
          <w:p>
            <w:pPr>
              <w:spacing w:after="0"/>
              <w:rPr>
                <w:sz w:val="20"/>
                <w:szCs w:val="20"/>
                <w:color w:val="auto"/>
              </w:rPr>
            </w:pPr>
            <w:r>
              <w:rPr>
                <w:rFonts w:ascii="Arial" w:cs="Arial" w:eastAsia="Arial" w:hAnsi="Arial"/>
                <w:sz w:val="12"/>
                <w:szCs w:val="12"/>
                <w:color w:val="auto"/>
              </w:rPr>
              <w:t>Phone +1 415 202 5678</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80" w:type="dxa"/>
            <w:vAlign w:val="bottom"/>
            <w:gridSpan w:val="2"/>
            <w:vMerge w:val="restart"/>
          </w:tcPr>
          <w:p>
            <w:pPr>
              <w:spacing w:after="0"/>
              <w:rPr>
                <w:sz w:val="20"/>
                <w:szCs w:val="20"/>
                <w:color w:val="auto"/>
              </w:rPr>
            </w:pPr>
            <w:r>
              <w:rPr>
                <w:rFonts w:ascii="Arial" w:cs="Arial" w:eastAsia="Arial" w:hAnsi="Arial"/>
                <w:sz w:val="12"/>
                <w:szCs w:val="12"/>
                <w:color w:val="auto"/>
                <w:w w:val="89"/>
              </w:rPr>
              <w:t>christycurran@sambrown.com</w:t>
            </w:r>
          </w:p>
        </w:tc>
        <w:tc>
          <w:tcPr>
            <w:tcW w:w="2340" w:type="dxa"/>
            <w:vAlign w:val="bottom"/>
            <w:vMerge w:val="restart"/>
          </w:tcPr>
          <w:p>
            <w:pPr>
              <w:spacing w:after="0"/>
              <w:rPr>
                <w:sz w:val="10"/>
                <w:szCs w:val="10"/>
                <w:color w:val="auto"/>
              </w:rPr>
            </w:pPr>
          </w:p>
        </w:tc>
        <w:tc>
          <w:tcPr>
            <w:tcW w:w="158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color w:val="auto"/>
                <w:w w:val="90"/>
              </w:rPr>
              <w:t>caroline.corner@westwicke.com</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480" w:type="dxa"/>
            <w:vAlign w:val="bottom"/>
            <w:tcBorders>
              <w:bottom w:val="single" w:sz="8" w:color="auto"/>
            </w:tcBorders>
            <w:gridSpan w:val="2"/>
            <w:vMerge w:val="continue"/>
          </w:tcPr>
          <w:p>
            <w:pPr>
              <w:spacing w:after="0"/>
              <w:rPr>
                <w:sz w:val="5"/>
                <w:szCs w:val="5"/>
                <w:color w:val="auto"/>
              </w:rPr>
            </w:pPr>
          </w:p>
        </w:tc>
        <w:tc>
          <w:tcPr>
            <w:tcW w:w="2340" w:type="dxa"/>
            <w:vAlign w:val="bottom"/>
            <w:vMerge w:val="continue"/>
          </w:tcPr>
          <w:p>
            <w:pPr>
              <w:spacing w:after="0"/>
              <w:rPr>
                <w:sz w:val="5"/>
                <w:szCs w:val="5"/>
                <w:color w:val="auto"/>
              </w:rPr>
            </w:pPr>
          </w:p>
        </w:tc>
        <w:tc>
          <w:tcPr>
            <w:tcW w:w="15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3820" w:type="dxa"/>
            <w:vAlign w:val="bottom"/>
            <w:gridSpan w:val="3"/>
          </w:tcPr>
          <w:p>
            <w:pPr>
              <w:spacing w:after="0"/>
              <w:rPr>
                <w:sz w:val="20"/>
                <w:szCs w:val="20"/>
                <w:color w:val="auto"/>
              </w:rPr>
            </w:pPr>
            <w:r>
              <w:rPr>
                <w:rFonts w:ascii="Arial" w:cs="Arial" w:eastAsia="Arial" w:hAnsi="Arial"/>
                <w:sz w:val="12"/>
                <w:szCs w:val="12"/>
                <w:b w:val="1"/>
                <w:bCs w:val="1"/>
                <w:color w:val="auto"/>
              </w:rPr>
              <w:t>O.U.S Media</w:t>
            </w:r>
          </w:p>
        </w:tc>
        <w:tc>
          <w:tcPr>
            <w:tcW w:w="1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820" w:type="dxa"/>
            <w:vAlign w:val="bottom"/>
            <w:gridSpan w:val="3"/>
          </w:tcPr>
          <w:p>
            <w:pPr>
              <w:spacing w:after="0"/>
              <w:rPr>
                <w:sz w:val="20"/>
                <w:szCs w:val="20"/>
                <w:color w:val="auto"/>
              </w:rPr>
            </w:pPr>
            <w:r>
              <w:rPr>
                <w:rFonts w:ascii="Arial" w:cs="Arial" w:eastAsia="Arial" w:hAnsi="Arial"/>
                <w:sz w:val="12"/>
                <w:szCs w:val="12"/>
                <w:b w:val="1"/>
                <w:bCs w:val="1"/>
                <w:color w:val="auto"/>
              </w:rPr>
              <w:t>Monsoon Communications</w:t>
            </w:r>
          </w:p>
        </w:tc>
        <w:tc>
          <w:tcPr>
            <w:tcW w:w="15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gridSpan w:val="3"/>
          </w:tcPr>
          <w:p>
            <w:pPr>
              <w:spacing w:after="0"/>
              <w:rPr>
                <w:sz w:val="20"/>
                <w:szCs w:val="20"/>
                <w:color w:val="auto"/>
              </w:rPr>
            </w:pPr>
            <w:r>
              <w:rPr>
                <w:rFonts w:ascii="Arial" w:cs="Arial" w:eastAsia="Arial" w:hAnsi="Arial"/>
                <w:sz w:val="12"/>
                <w:szCs w:val="12"/>
                <w:color w:val="auto"/>
              </w:rPr>
              <w:t>Rudi Michelson</w:t>
            </w:r>
          </w:p>
        </w:tc>
        <w:tc>
          <w:tcPr>
            <w:tcW w:w="15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gridSpan w:val="3"/>
          </w:tcPr>
          <w:p>
            <w:pPr>
              <w:spacing w:after="0"/>
              <w:rPr>
                <w:sz w:val="20"/>
                <w:szCs w:val="20"/>
                <w:color w:val="auto"/>
              </w:rPr>
            </w:pPr>
            <w:r>
              <w:rPr>
                <w:rFonts w:ascii="Arial" w:cs="Arial" w:eastAsia="Arial" w:hAnsi="Arial"/>
                <w:sz w:val="12"/>
                <w:szCs w:val="12"/>
                <w:color w:val="auto"/>
              </w:rPr>
              <w:t>Phone +61 (0)3 9620 3333</w:t>
            </w:r>
          </w:p>
        </w:tc>
        <w:tc>
          <w:tcPr>
            <w:tcW w:w="15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20" w:type="dxa"/>
            <w:vAlign w:val="bottom"/>
            <w:gridSpan w:val="3"/>
          </w:tcPr>
          <w:p>
            <w:pPr>
              <w:spacing w:after="0"/>
              <w:rPr>
                <w:sz w:val="20"/>
                <w:szCs w:val="20"/>
                <w:color w:val="auto"/>
              </w:rPr>
            </w:pPr>
            <w:r>
              <w:rPr>
                <w:rFonts w:ascii="Arial" w:cs="Arial" w:eastAsia="Arial" w:hAnsi="Arial"/>
                <w:sz w:val="12"/>
                <w:szCs w:val="12"/>
                <w:color w:val="auto"/>
              </w:rPr>
              <w:t>Mobile +61 (0)411 402 737</w:t>
            </w:r>
          </w:p>
        </w:tc>
        <w:tc>
          <w:tcPr>
            <w:tcW w:w="15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820" w:type="dxa"/>
            <w:vAlign w:val="bottom"/>
            <w:gridSpan w:val="3"/>
          </w:tcPr>
          <w:p>
            <w:pPr>
              <w:spacing w:after="0"/>
              <w:rPr>
                <w:sz w:val="20"/>
                <w:szCs w:val="20"/>
                <w:color w:val="auto"/>
              </w:rPr>
            </w:pPr>
            <w:r>
              <w:rPr>
                <w:rFonts w:ascii="Arial" w:cs="Arial" w:eastAsia="Arial" w:hAnsi="Arial"/>
                <w:sz w:val="12"/>
                <w:szCs w:val="12"/>
                <w:color w:val="auto"/>
              </w:rPr>
              <w:t>rudim@monsoon.com.au</w:t>
            </w:r>
          </w:p>
        </w:tc>
        <w:tc>
          <w:tcPr>
            <w:tcW w:w="1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1200" w:type="dxa"/>
            <w:vAlign w:val="bottom"/>
            <w:tcBorders>
              <w:top w:val="single" w:sz="8" w:color="auto"/>
            </w:tcBorders>
          </w:tcPr>
          <w:p>
            <w:pPr>
              <w:spacing w:after="0"/>
              <w:rPr>
                <w:sz w:val="24"/>
                <w:szCs w:val="24"/>
                <w:color w:val="auto"/>
              </w:rPr>
            </w:pPr>
          </w:p>
        </w:tc>
        <w:tc>
          <w:tcPr>
            <w:tcW w:w="4200" w:type="dxa"/>
            <w:vAlign w:val="bottom"/>
            <w:gridSpan w:val="3"/>
          </w:tcPr>
          <w:p>
            <w:pPr>
              <w:jc w:val="right"/>
              <w:ind w:right="1400"/>
              <w:spacing w:after="0"/>
              <w:rPr>
                <w:sz w:val="20"/>
                <w:szCs w:val="20"/>
                <w:color w:val="auto"/>
              </w:rPr>
            </w:pPr>
            <w:r>
              <w:rPr>
                <w:rFonts w:ascii="Arial" w:cs="Arial" w:eastAsia="Arial" w:hAnsi="Arial"/>
                <w:sz w:val="12"/>
                <w:szCs w:val="12"/>
                <w:color w:val="auto"/>
              </w:rPr>
              <w:t># # #</w:t>
            </w:r>
          </w:p>
        </w:tc>
        <w:tc>
          <w:tcPr>
            <w:tcW w:w="1940" w:type="dxa"/>
            <w:vAlign w:val="bottom"/>
          </w:tcPr>
          <w:p>
            <w:pPr>
              <w:ind w:left="1320"/>
              <w:spacing w:after="0"/>
              <w:rPr>
                <w:sz w:val="20"/>
                <w:szCs w:val="20"/>
                <w:color w:val="auto"/>
              </w:rPr>
            </w:pPr>
            <w:r>
              <w:rPr>
                <w:rFonts w:ascii="Arial" w:cs="Arial" w:eastAsia="Arial" w:hAnsi="Arial"/>
                <w:sz w:val="12"/>
                <w:szCs w:val="12"/>
                <w:color w:val="auto"/>
                <w:w w:val="85"/>
              </w:rPr>
              <w:t>PR20220110</w:t>
            </w:r>
          </w:p>
        </w:tc>
        <w:tc>
          <w:tcPr>
            <w:tcW w:w="0" w:type="dxa"/>
            <w:vAlign w:val="bottom"/>
          </w:tcPr>
          <w:p>
            <w:pPr>
              <w:spacing w:after="0"/>
              <w:rPr>
                <w:sz w:val="1"/>
                <w:szCs w:val="1"/>
                <w:color w:val="auto"/>
              </w:rPr>
            </w:pPr>
          </w:p>
        </w:tc>
      </w:tr>
      <w:tr>
        <w:trPr>
          <w:trHeight w:val="243"/>
        </w:trPr>
        <w:tc>
          <w:tcPr>
            <w:tcW w:w="3820" w:type="dxa"/>
            <w:vAlign w:val="bottom"/>
            <w:gridSpan w:val="3"/>
          </w:tcPr>
          <w:p>
            <w:pPr>
              <w:spacing w:after="0"/>
              <w:rPr>
                <w:sz w:val="20"/>
                <w:szCs w:val="20"/>
                <w:color w:val="auto"/>
              </w:rPr>
            </w:pPr>
            <w:r>
              <w:rPr>
                <w:rFonts w:ascii="Arial" w:cs="Arial" w:eastAsia="Arial" w:hAnsi="Arial"/>
                <w:sz w:val="12"/>
                <w:szCs w:val="12"/>
                <w:color w:val="auto"/>
                <w:w w:val="93"/>
              </w:rPr>
              <w:t>AVITA Medical, Inc. | 28159 Avenue Stanford, Suite 220 Valencia, CA 91355</w:t>
            </w:r>
          </w:p>
        </w:tc>
        <w:tc>
          <w:tcPr>
            <w:tcW w:w="1580" w:type="dxa"/>
            <w:vAlign w:val="bottom"/>
          </w:tcPr>
          <w:p>
            <w:pPr>
              <w:spacing w:after="0"/>
              <w:rPr>
                <w:sz w:val="21"/>
                <w:szCs w:val="21"/>
                <w:color w:val="auto"/>
              </w:rPr>
            </w:pPr>
          </w:p>
        </w:tc>
        <w:tc>
          <w:tcPr>
            <w:tcW w:w="1940" w:type="dxa"/>
            <w:vAlign w:val="bottom"/>
          </w:tcPr>
          <w:p>
            <w:pPr>
              <w:ind w:left="1580"/>
              <w:spacing w:after="0"/>
              <w:rPr>
                <w:sz w:val="20"/>
                <w:szCs w:val="20"/>
                <w:color w:val="auto"/>
              </w:rPr>
            </w:pPr>
            <w:r>
              <w:rPr>
                <w:rFonts w:ascii="Arial" w:cs="Arial" w:eastAsia="Arial" w:hAnsi="Arial"/>
                <w:sz w:val="12"/>
                <w:szCs w:val="12"/>
                <w:color w:val="auto"/>
                <w:w w:val="89"/>
              </w:rPr>
              <w:t>Page 2</w:t>
            </w:r>
          </w:p>
        </w:tc>
        <w:tc>
          <w:tcPr>
            <w:tcW w:w="0" w:type="dxa"/>
            <w:vAlign w:val="bottom"/>
          </w:tcPr>
          <w:p>
            <w:pPr>
              <w:spacing w:after="0"/>
              <w:rPr>
                <w:sz w:val="1"/>
                <w:szCs w:val="1"/>
                <w:color w:val="auto"/>
              </w:rPr>
            </w:pPr>
          </w:p>
        </w:tc>
      </w:tr>
    </w:tbl>
    <w:p>
      <w:pPr>
        <w:sectPr>
          <w:pgSz w:w="11900" w:h="16838" w:orient="portrait"/>
          <w:cols w:equalWidth="0" w:num="1">
            <w:col w:w="9019"/>
          </w:cols>
          <w:pgMar w:left="1440" w:top="230" w:right="1440"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2022-01-11T15:11:53Z</dcterms:created>
  <dcterms:modified xsi:type="dcterms:W3CDTF">2022-01-11T15:11:53Z</dcterms:modified>
</cp:coreProperties>
</file>