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40410.htm"/>
      <w:bookmarkStart w:id="1" w:name="ksrcel202404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74" w:type="dxa"/>
        <w:jc w:val="left"/>
        <w:tblInd w:w="0" w:type="dxa"/>
        <w:tblLayout w:type="fixed"/>
        <w:tblCellMar>
          <w:top w:w="28" w:type="dxa"/>
          <w:left w:w="28" w:type="dxa"/>
          <w:bottom w:w="28" w:type="dxa"/>
          <w:right w:w="28" w:type="dxa"/>
        </w:tblCellMar>
      </w:tblPr>
      <w:tblGrid>
        <w:gridCol w:w="5474"/>
      </w:tblGrid>
      <w:tr>
        <w:trPr/>
        <w:tc>
          <w:tcPr>
            <w:tcW w:w="5474" w:type="dxa"/>
            <w:tcBorders/>
            <w:vAlign w:val="center"/>
          </w:tcPr>
          <w:p>
            <w:pPr>
              <w:pStyle w:val="TableContents"/>
              <w:bidi w:val="0"/>
              <w:spacing w:before="0" w:after="283"/>
              <w:jc w:val="left"/>
              <w:rPr>
                <w:sz w:val="4"/>
                <w:szCs w:val="4"/>
              </w:rPr>
            </w:pPr>
            <w:r>
              <w:rPr>
                <w:sz w:val="4"/>
                <w:szCs w:val="4"/>
              </w:rPr>
            </w:r>
          </w:p>
        </w:tc>
      </w:tr>
      <w:tr>
        <w:trPr/>
        <w:tc>
          <w:tcPr>
            <w:tcW w:w="547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April 10,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April 10, 2024, AVITA Medical, Inc. issued a press release announcing an update to its expected first quarter 2024 revenue. A copy of the press release is attached hereto as Exhibit 99.1.</w:t>
      </w:r>
    </w:p>
    <w:p>
      <w:pPr>
        <w:pStyle w:val="TextBody"/>
        <w:bidi w:val="0"/>
        <w:jc w:val="both"/>
        <w:rPr>
          <w:rFonts w:ascii="Times New Roman" w:hAnsi="Times New Roman"/>
          <w:color w:val="000000"/>
          <w:sz w:val="20"/>
        </w:rPr>
      </w:pPr>
      <w:r>
        <w:rPr>
          <w:rFonts w:ascii="Times New Roman" w:hAnsi="Times New Roman"/>
          <w:color w:val="000000"/>
          <w:sz w:val="20"/>
        </w:rPr>
        <w:t>The information under this Item 2.02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082" w:type="dxa"/>
        <w:jc w:val="left"/>
        <w:tblInd w:w="0" w:type="dxa"/>
        <w:tblLayout w:type="fixed"/>
        <w:tblCellMar>
          <w:top w:w="28" w:type="dxa"/>
          <w:left w:w="28" w:type="dxa"/>
          <w:bottom w:w="28" w:type="dxa"/>
          <w:right w:w="28" w:type="dxa"/>
        </w:tblCellMar>
      </w:tblPr>
      <w:tblGrid>
        <w:gridCol w:w="481"/>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AVITA Medical Updates Expected First Quarter 2024 Revenue</w:t>
              </w:r>
            </w:hyperlink>
            <w:hyperlink w:anchor="rcel-ex99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44" w:type="dxa"/>
        <w:jc w:val="left"/>
        <w:tblInd w:w="0" w:type="dxa"/>
        <w:tblLayout w:type="fixed"/>
        <w:tblCellMar>
          <w:top w:w="28" w:type="dxa"/>
          <w:left w:w="28" w:type="dxa"/>
          <w:bottom w:w="28" w:type="dxa"/>
          <w:right w:w="28" w:type="dxa"/>
        </w:tblCellMar>
      </w:tblPr>
      <w:tblGrid>
        <w:gridCol w:w="556"/>
        <w:gridCol w:w="1291"/>
        <w:gridCol w:w="451"/>
        <w:gridCol w:w="1846"/>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11,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8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Donna Shiroma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Donna Shiroma</w:t>
              <w:br/>
              <w:t>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B4852"/>
          <w:sz w:val="22"/>
        </w:rPr>
      </w:pPr>
      <w:bookmarkStart w:id="2" w:name="rcel-ex99_1.htm"/>
      <w:bookmarkStart w:id="3" w:name="ksrcelex99_1"/>
      <w:bookmarkEnd w:id="2"/>
      <w:bookmarkEnd w:id="3"/>
      <w:r>
        <w:rPr>
          <w:rFonts w:ascii="Times New Roman" w:hAnsi="Times New Roman"/>
          <w:b/>
          <w:color w:val="3B4852"/>
          <w:sz w:val="22"/>
        </w:rPr>
        <w:t>Exhibit 99.1</w:t>
      </w:r>
      <w:r>
        <w:br w:type="page"/>
      </w:r>
    </w:p>
    <w:p>
      <w:pPr>
        <w:pStyle w:val="TextBody"/>
        <w:bidi w:val="0"/>
        <w:jc w:val="left"/>
        <w:rPr/>
      </w:pPr>
      <w:r>
        <w:rPr/>
        <w:drawing>
          <wp:inline distT="0" distB="0" distL="0" distR="0">
            <wp:extent cx="9144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095375"/>
                    </a:xfrm>
                    <a:prstGeom prst="rect">
                      <a:avLst/>
                    </a:prstGeom>
                  </pic:spPr>
                </pic:pic>
              </a:graphicData>
            </a:graphic>
          </wp:inline>
        </w:drawing>
      </w:r>
      <w:r>
        <w:rPr/>
        <w:t> </w:t>
      </w:r>
    </w:p>
    <w:p>
      <w:pPr>
        <w:pStyle w:val="TextBody"/>
        <w:bidi w:val="0"/>
        <w:jc w:val="center"/>
        <w:rPr>
          <w:rFonts w:ascii="Arial" w:hAnsi="Arial"/>
          <w:b/>
          <w:color w:val="3B4852"/>
          <w:sz w:val="28"/>
        </w:rPr>
      </w:pPr>
      <w:r>
        <w:rPr>
          <w:rFonts w:ascii="Arial" w:hAnsi="Arial"/>
          <w:b/>
          <w:color w:val="3B4852"/>
          <w:sz w:val="28"/>
        </w:rPr>
        <w:t>AVITA Medical Updates Expected First Quarter 2024 Revenue</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3B4852"/>
          <w:sz w:val="22"/>
        </w:rPr>
        <w:t>VALENCIA, Calif., April 10, 2024 (GLOBE NEWSWIRE)</w:t>
      </w:r>
      <w:r>
        <w:rPr>
          <w:rFonts w:ascii="Times New Roman" w:hAnsi="Times New Roman"/>
          <w:color w:val="3B4852"/>
          <w:sz w:val="20"/>
        </w:rPr>
        <w:t xml:space="preserve"> — </w:t>
      </w:r>
      <w:r>
        <w:rPr>
          <w:rFonts w:ascii="Arial" w:hAnsi="Arial"/>
          <w:color w:val="3B4852"/>
          <w:sz w:val="22"/>
        </w:rPr>
        <w:t>AVITA Medical, Inc. (NASDAQ: RCEL, ASX: AVH), a commercial-stage regenerative medicine company focused on first-in-class devices for wound care management and skin restoration, today announced an update to its expected commercial revenue for the first quarter of 2024 and reaffirmed expectations for full-year 2024 revenue at the lower end of the previously provided guidance of US$78.5 million to US$84.5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3B4852"/>
          <w:sz w:val="22"/>
        </w:rPr>
        <w:t>For the quarter ended March 31, 2024, AVITA Medical now expects commercial revenue to be in the range of US$11.0 million to US$11.3 million. This range is below the previously provided revenue guidance of US$14.8 million to US$15.6 million. The revision in guidance is attributable to a slower-than-expected conversion rate of new accounts for our expanded label of full-thickness skin defects.</w:t>
      </w:r>
      <w:r>
        <w:rPr>
          <w:rFonts w:ascii="Times New Roman" w:hAnsi="Times New Roman"/>
          <w:color w:val="3B4852"/>
          <w:sz w:val="20"/>
        </w:rPr>
        <w:t xml:space="preserve"> </w:t>
      </w:r>
    </w:p>
    <w:p>
      <w:pPr>
        <w:pStyle w:val="TextBody"/>
        <w:bidi w:val="0"/>
        <w:jc w:val="left"/>
        <w:rPr/>
      </w:pPr>
      <w:r>
        <w:rPr/>
        <w:t> </w:t>
      </w:r>
    </w:p>
    <w:p>
      <w:pPr>
        <w:pStyle w:val="TextBody"/>
        <w:bidi w:val="0"/>
        <w:jc w:val="left"/>
        <w:rPr>
          <w:rFonts w:ascii="Arial" w:hAnsi="Arial"/>
          <w:color w:val="3B4852"/>
          <w:sz w:val="22"/>
        </w:rPr>
      </w:pPr>
      <w:r>
        <w:rPr>
          <w:rFonts w:ascii="Arial" w:hAnsi="Arial"/>
          <w:color w:val="3B4852"/>
          <w:sz w:val="22"/>
        </w:rPr>
        <w:t>Since the launch of the full-thickness skin defects expanded label in June 2023 through the quarter ended March 31, 2024, AVITA Medical has added 73 new accounts, including 22 new accounts in the first quarter. In addition to the new accounts, there are 71 submissions in the evaluation or decision stage of the value analysis committee (VAC) process as of March 31, 2024. However, the projected approval rate was 15 new accounts per month, for an expected total of 135 new accounts by March 31, 2024. The slower-than-expected conversion rate is attributable to the complexity of closing a new account for a product that is approved for multiple indications. Despite this, the number of submissions active in the VAC process and robust prospecting pipeline continue to reflect significant potential for new account approvals, albeit at a slower approval pace than originally anticipated.</w:t>
      </w:r>
    </w:p>
    <w:p>
      <w:pPr>
        <w:pStyle w:val="TextBody"/>
        <w:bidi w:val="0"/>
        <w:jc w:val="left"/>
        <w:rPr/>
      </w:pPr>
      <w:r>
        <w:rPr/>
        <w:t> </w:t>
      </w:r>
    </w:p>
    <w:p>
      <w:pPr>
        <w:pStyle w:val="TextBody"/>
        <w:bidi w:val="0"/>
        <w:jc w:val="left"/>
        <w:rPr>
          <w:rFonts w:ascii="Arial" w:hAnsi="Arial"/>
          <w:color w:val="3B4852"/>
          <w:sz w:val="22"/>
        </w:rPr>
      </w:pPr>
      <w:r>
        <w:rPr>
          <w:rFonts w:ascii="Arial" w:hAnsi="Arial"/>
          <w:color w:val="3B4852"/>
          <w:sz w:val="22"/>
        </w:rPr>
        <w:t>"In light of the challenges encountered in the first quarter of 2024, we are intensifying our efforts to drive growth," said Jim Corbett, Chief Executive Officer of AVITA Medical. "While our account conversion rate impacted our quarterly revenue, we remain optimistic for the full year. With the recent launch of PermeaDerm in March and the upcoming launch of RECELL GO, along with our deeper understanding of the VAC processes and timelines, we believe that we will meet the lower end of our previously provided annual revenue guidance range of US$78.5 million to US$84.5 million. We remain committed to delivering value and making a positive impact on the lives of our patients."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3B4852"/>
          <w:sz w:val="22"/>
        </w:rPr>
        <w:t>AVITA Medical plans to report its financial results for the first quarter 2024 after the close of the U.S. financial markets on Monday, May 13, 2024. A conference call and webcast are scheduled for that day at 1:30 p.m. Pacific Time (Tuesday, May 14, 2024, at 6:30 a.m. Australian Eastern Standard Time) to discuss its results in further detail.</w:t>
      </w:r>
      <w:r>
        <w:rPr>
          <w:rFonts w:ascii="Times New Roman" w:hAnsi="Times New Roman"/>
          <w:color w:val="3B4852"/>
          <w:sz w:val="20"/>
        </w:rPr>
        <w:t xml:space="preserve"> </w:t>
      </w:r>
    </w:p>
    <w:p>
      <w:pPr>
        <w:pStyle w:val="TextBody"/>
        <w:bidi w:val="0"/>
        <w:jc w:val="left"/>
        <w:rPr/>
      </w:pPr>
      <w:r>
        <w:rPr/>
        <w:t> </w:t>
      </w:r>
    </w:p>
    <w:p>
      <w:pPr>
        <w:pStyle w:val="TextBody"/>
        <w:bidi w:val="0"/>
        <w:jc w:val="left"/>
        <w:rPr>
          <w:rFonts w:ascii="Arial" w:hAnsi="Arial"/>
          <w:b/>
          <w:color w:val="3B4852"/>
          <w:sz w:val="22"/>
        </w:rPr>
      </w:pPr>
      <w:r>
        <w:rPr>
          <w:rFonts w:ascii="Arial" w:hAnsi="Arial"/>
          <w:b/>
          <w:color w:val="3B4852"/>
          <w:sz w:val="22"/>
        </w:rPr>
        <w:t>About AVITA Medical, Inc.</w:t>
      </w:r>
    </w:p>
    <w:p>
      <w:pPr>
        <w:pStyle w:val="TextBody"/>
        <w:bidi w:val="0"/>
        <w:jc w:val="left"/>
        <w:rPr>
          <w:rFonts w:ascii="Times New Roman" w:hAnsi="Times New Roman"/>
          <w:sz w:val="20"/>
        </w:rPr>
      </w:pPr>
      <w:r>
        <w:rPr>
          <w:rFonts w:ascii="Arial" w:hAnsi="Arial"/>
          <w:color w:val="3B4852"/>
          <w:sz w:val="22"/>
        </w:rPr>
        <w:t>AVITA Medical</w:t>
      </w:r>
      <w:r>
        <w:rPr>
          <w:rFonts w:ascii="Arial" w:hAnsi="Arial"/>
          <w:color w:val="3B4852"/>
          <w:sz w:val="15"/>
        </w:rPr>
        <w:t>®</w:t>
      </w:r>
      <w:r>
        <w:rPr>
          <w:rFonts w:ascii="Times New Roman" w:hAnsi="Times New Roman"/>
          <w:color w:val="3B4852"/>
          <w:sz w:val="20"/>
        </w:rPr>
        <w:t xml:space="preserve"> </w:t>
      </w:r>
      <w:r>
        <w:rPr>
          <w:rFonts w:ascii="Arial" w:hAnsi="Arial"/>
          <w:color w:val="3B4852"/>
          <w:sz w:val="22"/>
        </w:rPr>
        <w:t>is a commercial-stage regenerative medicine company transforming the standard of care in wound care management and skin restoration with innovative devices. At the forefront of our platform is the RECELL</w:t>
      </w:r>
      <w:r>
        <w:rPr>
          <w:rFonts w:ascii="Arial" w:hAnsi="Arial"/>
          <w:color w:val="3B4852"/>
          <w:sz w:val="15"/>
        </w:rPr>
        <w:t>®</w:t>
      </w:r>
      <w:r>
        <w:rPr>
          <w:rFonts w:ascii="Times New Roman" w:hAnsi="Times New Roman"/>
          <w:color w:val="3B4852"/>
          <w:sz w:val="20"/>
        </w:rPr>
        <w:t xml:space="preserve"> </w:t>
      </w:r>
      <w:r>
        <w:rPr>
          <w:rFonts w:ascii="Arial" w:hAnsi="Arial"/>
          <w:color w:val="3B4852"/>
          <w:sz w:val="22"/>
        </w:rPr>
        <w:t>System, approved by the U.S.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hAnsi="Arial"/>
          <w:color w:val="3B4852"/>
          <w:sz w:val="15"/>
        </w:rPr>
        <w:t></w:t>
      </w:r>
      <w:r>
        <w:rPr>
          <w:rFonts w:ascii="Times New Roman" w:hAnsi="Times New Roman"/>
          <w:color w:val="3B4852"/>
          <w:sz w:val="20"/>
        </w:rPr>
        <w:t xml:space="preserve"> </w:t>
      </w:r>
      <w:r>
        <w:rPr>
          <w:rFonts w:ascii="Arial" w:hAnsi="Arial"/>
          <w:color w:val="3B4852"/>
          <w:sz w:val="22"/>
        </w:rPr>
        <w:t>Cells, delivering a transformative solution at the point-of-care. This</w:t>
      </w:r>
      <w:r>
        <w:rPr>
          <w:rFonts w:ascii="Times New Roman" w:hAnsi="Times New Roman"/>
          <w:color w:val="3B4852"/>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5715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 cy="685800"/>
                    </a:xfrm>
                    <a:prstGeom prst="rect">
                      <a:avLst/>
                    </a:prstGeom>
                  </pic:spPr>
                </pic:pic>
              </a:graphicData>
            </a:graphic>
          </wp:inline>
        </w:drawing>
      </w:r>
      <w:r>
        <w:rPr/>
        <w:t> </w:t>
      </w:r>
    </w:p>
    <w:p>
      <w:pPr>
        <w:pStyle w:val="TextBody"/>
        <w:bidi w:val="0"/>
        <w:jc w:val="left"/>
        <w:rPr>
          <w:rFonts w:ascii="Times New Roman" w:hAnsi="Times New Roman"/>
          <w:sz w:val="20"/>
        </w:rPr>
      </w:pPr>
      <w:r>
        <w:rPr>
          <w:rFonts w:ascii="Arial" w:hAnsi="Arial"/>
          <w:color w:val="3B4852"/>
          <w:sz w:val="22"/>
        </w:rPr>
        <w:t>breakthrough technology serves as the catalyst for a new treatment paradigm enabling improved clinical outcomes. AVITA Medical also holds the exclusive rights to market, sell, and distribute PermeaDerm</w:t>
      </w:r>
      <w:r>
        <w:rPr>
          <w:rFonts w:ascii="Arial" w:hAnsi="Arial"/>
          <w:color w:val="3B4852"/>
          <w:sz w:val="15"/>
        </w:rPr>
        <w:t>®</w:t>
      </w:r>
      <w:r>
        <w:rPr>
          <w:rFonts w:ascii="Arial" w:hAnsi="Arial"/>
          <w:color w:val="3B4852"/>
          <w:sz w:val="22"/>
        </w:rPr>
        <w:t>, a biosynthetic wound matrix, in the United States.</w:t>
      </w:r>
      <w:r>
        <w:rPr>
          <w:rFonts w:ascii="Times New Roman" w:hAnsi="Times New Roman"/>
          <w:color w:val="3B4852"/>
          <w:sz w:val="20"/>
        </w:rPr>
        <w:t xml:space="preserve"> </w:t>
      </w:r>
    </w:p>
    <w:p>
      <w:pPr>
        <w:pStyle w:val="TextBody"/>
        <w:bidi w:val="0"/>
        <w:jc w:val="left"/>
        <w:rPr/>
      </w:pPr>
      <w:r>
        <w:rPr/>
        <w:t> </w:t>
      </w:r>
    </w:p>
    <w:p>
      <w:pPr>
        <w:pStyle w:val="TextBody"/>
        <w:bidi w:val="0"/>
        <w:jc w:val="left"/>
        <w:rPr>
          <w:rFonts w:ascii="Arial" w:hAnsi="Arial"/>
          <w:color w:val="3B4852"/>
          <w:sz w:val="22"/>
        </w:rPr>
      </w:pPr>
      <w:r>
        <w:rPr>
          <w:rFonts w:ascii="Arial" w:hAnsi="Arial"/>
          <w:color w:val="3B4852"/>
          <w:sz w:val="22"/>
        </w:rPr>
        <w:t>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w:t>
      </w:r>
    </w:p>
    <w:p>
      <w:pPr>
        <w:pStyle w:val="TextBody"/>
        <w:bidi w:val="0"/>
        <w:jc w:val="left"/>
        <w:rPr/>
      </w:pPr>
      <w:r>
        <w:rPr/>
        <w:t> </w:t>
      </w:r>
    </w:p>
    <w:p>
      <w:pPr>
        <w:pStyle w:val="TextBody"/>
        <w:bidi w:val="0"/>
        <w:jc w:val="left"/>
        <w:rPr>
          <w:rFonts w:ascii="Times New Roman" w:hAnsi="Times New Roman"/>
          <w:sz w:val="20"/>
        </w:rPr>
      </w:pPr>
      <w:r>
        <w:rPr>
          <w:rFonts w:ascii="Arial" w:hAnsi="Arial"/>
          <w:color w:val="3B4852"/>
          <w:sz w:val="22"/>
        </w:rPr>
        <w:t>To learn more, visit </w:t>
      </w:r>
      <w:r>
        <w:rPr>
          <w:rFonts w:ascii="Arial" w:hAnsi="Arial"/>
          <w:sz w:val="22"/>
        </w:rPr>
        <w:t>www.avitamedical.com</w:t>
      </w:r>
      <w:r>
        <w:rPr>
          <w:rFonts w:ascii="Arial" w:hAnsi="Arial"/>
          <w:color w:val="3B4852"/>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3B4852"/>
          <w:sz w:val="22"/>
        </w:rPr>
        <w:t>Forward-Looking Statements</w:t>
      </w:r>
      <w:r>
        <w:rPr>
          <w:rFonts w:ascii="Times New Roman" w:hAnsi="Times New Roman"/>
          <w:color w:val="3B4852"/>
          <w:sz w:val="20"/>
        </w:rPr>
        <w:t xml:space="preserve"> </w:t>
      </w:r>
    </w:p>
    <w:p>
      <w:pPr>
        <w:pStyle w:val="TextBody"/>
        <w:bidi w:val="0"/>
        <w:jc w:val="left"/>
        <w:rPr>
          <w:rFonts w:ascii="Times New Roman" w:hAnsi="Times New Roman"/>
          <w:sz w:val="20"/>
        </w:rPr>
      </w:pPr>
      <w:r>
        <w:rPr>
          <w:rFonts w:ascii="Arial" w:hAnsi="Arial"/>
          <w:i/>
          <w:color w:val="3B4852"/>
          <w:sz w:val="22"/>
        </w:rPr>
        <w:t>Statements in this announcement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 this announcement include but are not limited to statements concerning our product development activities, regulatory approval of our products, the potential for future growth of our business, and our ability to achieve financial goals. These statements are made as of the date of this announcement,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3B4852"/>
          <w:sz w:val="20"/>
        </w:rPr>
        <w:t xml:space="preserve"> </w:t>
      </w:r>
    </w:p>
    <w:p>
      <w:pPr>
        <w:pStyle w:val="TextBody"/>
        <w:bidi w:val="0"/>
        <w:jc w:val="left"/>
        <w:rPr/>
      </w:pPr>
      <w:r>
        <w:rPr/>
        <w:t> </w:t>
      </w:r>
    </w:p>
    <w:p>
      <w:pPr>
        <w:pStyle w:val="TextBody"/>
        <w:bidi w:val="0"/>
        <w:jc w:val="left"/>
        <w:rPr>
          <w:rFonts w:ascii="Arial" w:hAnsi="Arial"/>
          <w:b/>
          <w:color w:val="3B4852"/>
          <w:sz w:val="22"/>
        </w:rPr>
      </w:pPr>
      <w:r>
        <w:rPr>
          <w:rFonts w:ascii="Arial" w:hAnsi="Arial"/>
          <w:b/>
          <w:color w:val="3B4852"/>
          <w:sz w:val="22"/>
        </w:rPr>
        <w:t>Investor &amp; Media Contact:</w:t>
      </w:r>
    </w:p>
    <w:p>
      <w:pPr>
        <w:pStyle w:val="TextBody"/>
        <w:bidi w:val="0"/>
        <w:jc w:val="left"/>
        <w:rPr>
          <w:rFonts w:ascii="Arial" w:hAnsi="Arial"/>
          <w:color w:val="3B4852"/>
          <w:sz w:val="22"/>
        </w:rPr>
      </w:pPr>
      <w:r>
        <w:rPr>
          <w:rFonts w:ascii="Arial" w:hAnsi="Arial"/>
          <w:color w:val="3B4852"/>
          <w:sz w:val="22"/>
        </w:rPr>
        <w:t>Jessica Ekeberg</w:t>
      </w:r>
    </w:p>
    <w:p>
      <w:pPr>
        <w:pStyle w:val="TextBody"/>
        <w:bidi w:val="0"/>
        <w:jc w:val="left"/>
        <w:rPr>
          <w:rFonts w:ascii="Times New Roman" w:hAnsi="Times New Roman"/>
          <w:sz w:val="20"/>
        </w:rPr>
      </w:pPr>
      <w:r>
        <w:rPr>
          <w:rFonts w:ascii="Arial" w:hAnsi="Arial"/>
          <w:color w:val="3B4852"/>
          <w:sz w:val="22"/>
        </w:rPr>
        <w:t>Phone +1-661-904-9269</w:t>
      </w:r>
      <w:r>
        <w:rPr>
          <w:rFonts w:ascii="Times New Roman" w:hAnsi="Times New Roman"/>
          <w:color w:val="3B4852"/>
          <w:sz w:val="20"/>
        </w:rPr>
        <w:t xml:space="preserve"> </w:t>
      </w:r>
    </w:p>
    <w:p>
      <w:pPr>
        <w:pStyle w:val="TextBody"/>
        <w:bidi w:val="0"/>
        <w:jc w:val="left"/>
        <w:rPr>
          <w:rFonts w:ascii="Arial" w:hAnsi="Arial"/>
          <w:color w:val="3B4852"/>
          <w:sz w:val="22"/>
        </w:rPr>
      </w:pPr>
      <w:r>
        <w:rPr>
          <w:rFonts w:ascii="Arial" w:hAnsi="Arial"/>
          <w:color w:val="3B4852"/>
          <w:sz w:val="22"/>
        </w:rPr>
        <w:t>investor@avitamedical.com</w:t>
      </w:r>
    </w:p>
    <w:p>
      <w:pPr>
        <w:pStyle w:val="TextBody"/>
        <w:bidi w:val="0"/>
        <w:jc w:val="left"/>
        <w:rPr>
          <w:rFonts w:ascii="Arial" w:hAnsi="Arial"/>
          <w:color w:val="3B4852"/>
          <w:sz w:val="22"/>
        </w:rPr>
      </w:pPr>
      <w:r>
        <w:rPr>
          <w:rFonts w:ascii="Arial" w:hAnsi="Arial"/>
          <w:color w:val="3B4852"/>
          <w:sz w:val="22"/>
        </w:rPr>
        <w:t>media@avitamedical.com</w:t>
      </w:r>
    </w:p>
    <w:p>
      <w:pPr>
        <w:pStyle w:val="TextBody"/>
        <w:bidi w:val="0"/>
        <w:jc w:val="left"/>
        <w:rPr/>
      </w:pPr>
      <w:r>
        <w:rPr/>
        <w:t> </w:t>
      </w:r>
    </w:p>
    <w:p>
      <w:pPr>
        <w:pStyle w:val="TextBody"/>
        <w:bidi w:val="0"/>
        <w:jc w:val="left"/>
        <w:rPr>
          <w:rFonts w:ascii="Arial" w:hAnsi="Arial"/>
          <w:color w:val="3B4852"/>
          <w:sz w:val="22"/>
        </w:rPr>
      </w:pPr>
      <w:r>
        <w:rPr>
          <w:rFonts w:ascii="Arial" w:hAnsi="Arial"/>
          <w:color w:val="3B4852"/>
          <w:sz w:val="22"/>
        </w:rPr>
        <w:t>Authorized for release by the Board of Directors of AVITA Medical, Inc.</w:t>
      </w:r>
    </w:p>
    <w:p>
      <w:pPr>
        <w:pStyle w:val="TextBody"/>
        <w:bidi w:val="0"/>
        <w:jc w:val="left"/>
        <w:rPr/>
      </w:pPr>
      <w:r>
        <w:rPr/>
        <w:t> </w:t>
      </w:r>
    </w:p>
    <w:p>
      <w:pPr>
        <w:pStyle w:val="TextBody"/>
        <w:bidi w:val="0"/>
        <w:jc w:val="right"/>
        <w:rPr>
          <w:rFonts w:ascii="Times New Roman" w:hAnsi="Times New Roman"/>
          <w:color w:val="2B3486"/>
          <w:sz w:val="20"/>
        </w:rPr>
      </w:pPr>
      <w:r>
        <w:rPr>
          <w:rFonts w:ascii="Times New Roman" w:hAnsi="Times New Roman"/>
          <w:color w:val="2B3486"/>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1328</Words>
  <Characters>7423</Characters>
  <CharactersWithSpaces>8742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