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375285</wp:posOffset>
            </wp:positionH>
            <wp:positionV relativeFrom="paragraph">
              <wp:posOffset>197485</wp:posOffset>
            </wp:positionV>
            <wp:extent cx="65138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3830" cy="8255"/>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237490</wp:posOffset>
            </wp:positionV>
            <wp:extent cx="6513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383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959"/>
        <w:spacing w:after="0"/>
        <w:rPr>
          <w:sz w:val="20"/>
          <w:szCs w:val="20"/>
          <w:color w:val="auto"/>
        </w:rPr>
      </w:pPr>
      <w:r>
        <w:rPr>
          <w:rFonts w:ascii="Arial" w:cs="Arial" w:eastAsia="Arial" w:hAnsi="Arial"/>
          <w:sz w:val="30"/>
          <w:szCs w:val="30"/>
          <w:b w:val="1"/>
          <w:bCs w:val="1"/>
          <w:color w:val="auto"/>
        </w:rPr>
        <w:t>UNITED STATES</w:t>
      </w:r>
    </w:p>
    <w:p>
      <w:pPr>
        <w:spacing w:after="0" w:line="24" w:lineRule="exact"/>
        <w:rPr>
          <w:sz w:val="24"/>
          <w:szCs w:val="24"/>
          <w:color w:val="auto"/>
        </w:rPr>
      </w:pPr>
    </w:p>
    <w:p>
      <w:pPr>
        <w:jc w:val="center"/>
        <w:ind w:right="-959"/>
        <w:spacing w:after="0"/>
        <w:rPr>
          <w:sz w:val="20"/>
          <w:szCs w:val="20"/>
          <w:color w:val="auto"/>
        </w:rPr>
      </w:pPr>
      <w:r>
        <w:rPr>
          <w:rFonts w:ascii="Arial" w:cs="Arial" w:eastAsia="Arial" w:hAnsi="Arial"/>
          <w:sz w:val="30"/>
          <w:szCs w:val="30"/>
          <w:b w:val="1"/>
          <w:bCs w:val="1"/>
          <w:color w:val="auto"/>
        </w:rPr>
        <w:t>SECURITIES AND EXCHANGE COMMISSION</w:t>
      </w:r>
    </w:p>
    <w:p>
      <w:pPr>
        <w:ind w:left="468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2945765</wp:posOffset>
            </wp:positionH>
            <wp:positionV relativeFrom="paragraph">
              <wp:posOffset>207010</wp:posOffset>
            </wp:positionV>
            <wp:extent cx="1365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5080"/>
        <w:spacing w:after="0"/>
        <w:rPr>
          <w:sz w:val="20"/>
          <w:szCs w:val="20"/>
          <w:color w:val="auto"/>
        </w:rPr>
      </w:pPr>
      <w:r>
        <w:rPr>
          <w:rFonts w:ascii="Arial" w:cs="Arial" w:eastAsia="Arial" w:hAnsi="Arial"/>
          <w:sz w:val="30"/>
          <w:szCs w:val="3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2945765</wp:posOffset>
            </wp:positionH>
            <wp:positionV relativeFrom="paragraph">
              <wp:posOffset>228600</wp:posOffset>
            </wp:positionV>
            <wp:extent cx="1365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959"/>
        <w:spacing w:after="0"/>
        <w:rPr>
          <w:sz w:val="20"/>
          <w:szCs w:val="20"/>
          <w:color w:val="auto"/>
        </w:rPr>
      </w:pPr>
      <w:r>
        <w:rPr>
          <w:rFonts w:ascii="Arial" w:cs="Arial" w:eastAsia="Arial" w:hAnsi="Arial"/>
          <w:sz w:val="20"/>
          <w:szCs w:val="20"/>
          <w:b w:val="1"/>
          <w:bCs w:val="1"/>
          <w:color w:val="auto"/>
        </w:rPr>
        <w:t>REPORT OF FOREIGN PRIVATE ISSUER</w:t>
      </w:r>
    </w:p>
    <w:p>
      <w:pPr>
        <w:spacing w:after="0" w:line="15" w:lineRule="exact"/>
        <w:rPr>
          <w:sz w:val="24"/>
          <w:szCs w:val="24"/>
          <w:color w:val="auto"/>
        </w:rPr>
      </w:pPr>
    </w:p>
    <w:p>
      <w:pPr>
        <w:jc w:val="center"/>
        <w:ind w:right="-959"/>
        <w:spacing w:after="0"/>
        <w:rPr>
          <w:sz w:val="20"/>
          <w:szCs w:val="20"/>
          <w:color w:val="auto"/>
        </w:rPr>
      </w:pPr>
      <w:r>
        <w:rPr>
          <w:rFonts w:ascii="Arial" w:cs="Arial" w:eastAsia="Arial" w:hAnsi="Arial"/>
          <w:sz w:val="20"/>
          <w:szCs w:val="20"/>
          <w:b w:val="1"/>
          <w:bCs w:val="1"/>
          <w:color w:val="auto"/>
        </w:rPr>
        <w:t>PURSUANT TO RULE 13a-16 OR 15d-16</w:t>
      </w:r>
    </w:p>
    <w:p>
      <w:pPr>
        <w:jc w:val="center"/>
        <w:ind w:right="-95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184" w:lineRule="exact"/>
        <w:rPr>
          <w:sz w:val="24"/>
          <w:szCs w:val="24"/>
          <w:color w:val="auto"/>
        </w:rPr>
      </w:pPr>
    </w:p>
    <w:p>
      <w:pPr>
        <w:jc w:val="center"/>
        <w:ind w:right="-959"/>
        <w:spacing w:after="0"/>
        <w:rPr>
          <w:sz w:val="20"/>
          <w:szCs w:val="20"/>
          <w:color w:val="auto"/>
        </w:rPr>
      </w:pPr>
      <w:r>
        <w:rPr>
          <w:rFonts w:ascii="Arial" w:cs="Arial" w:eastAsia="Arial" w:hAnsi="Arial"/>
          <w:sz w:val="17"/>
          <w:szCs w:val="17"/>
          <w:b w:val="1"/>
          <w:bCs w:val="1"/>
          <w:color w:val="auto"/>
        </w:rPr>
        <w:t>For the Month of October 2019</w:t>
      </w:r>
    </w:p>
    <w:p>
      <w:pPr>
        <w:spacing w:after="0" w:line="207" w:lineRule="exact"/>
        <w:rPr>
          <w:sz w:val="24"/>
          <w:szCs w:val="24"/>
          <w:color w:val="auto"/>
        </w:rPr>
      </w:pPr>
    </w:p>
    <w:p>
      <w:pPr>
        <w:ind w:left="4420"/>
        <w:spacing w:after="0"/>
        <w:rPr>
          <w:sz w:val="20"/>
          <w:szCs w:val="20"/>
          <w:color w:val="auto"/>
        </w:rPr>
      </w:pPr>
      <w:r>
        <w:rPr>
          <w:rFonts w:ascii="Arial" w:cs="Arial" w:eastAsia="Arial" w:hAnsi="Arial"/>
          <w:sz w:val="17"/>
          <w:szCs w:val="17"/>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2945765</wp:posOffset>
            </wp:positionH>
            <wp:positionV relativeFrom="paragraph">
              <wp:posOffset>221615</wp:posOffset>
            </wp:positionV>
            <wp:extent cx="1365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59"/>
        <w:spacing w:after="0"/>
        <w:rPr>
          <w:sz w:val="20"/>
          <w:szCs w:val="20"/>
          <w:color w:val="auto"/>
        </w:rPr>
      </w:pPr>
      <w:r>
        <w:rPr>
          <w:rFonts w:ascii="Arial" w:cs="Arial" w:eastAsia="Arial" w:hAnsi="Arial"/>
          <w:sz w:val="40"/>
          <w:szCs w:val="40"/>
          <w:b w:val="1"/>
          <w:bCs w:val="1"/>
          <w:color w:val="auto"/>
        </w:rPr>
        <w:t>AVITA MEDICAL LIMITED</w:t>
      </w:r>
    </w:p>
    <w:p>
      <w:pPr>
        <w:spacing w:after="0" w:line="47" w:lineRule="exact"/>
        <w:rPr>
          <w:sz w:val="24"/>
          <w:szCs w:val="24"/>
          <w:color w:val="auto"/>
        </w:rPr>
      </w:pPr>
    </w:p>
    <w:p>
      <w:pPr>
        <w:ind w:left="4960"/>
        <w:spacing w:after="0"/>
        <w:rPr>
          <w:sz w:val="20"/>
          <w:szCs w:val="20"/>
          <w:color w:val="auto"/>
        </w:rPr>
      </w:pPr>
      <w:r>
        <w:rPr>
          <w:rFonts w:ascii="Arial" w:cs="Arial" w:eastAsia="Arial" w:hAnsi="Arial"/>
          <w:sz w:val="17"/>
          <w:szCs w:val="17"/>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2945765</wp:posOffset>
            </wp:positionH>
            <wp:positionV relativeFrom="paragraph">
              <wp:posOffset>218440</wp:posOffset>
            </wp:positionV>
            <wp:extent cx="1365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959"/>
        <w:spacing w:after="0"/>
        <w:rPr>
          <w:sz w:val="20"/>
          <w:szCs w:val="20"/>
          <w:color w:val="auto"/>
        </w:rPr>
      </w:pPr>
      <w:r>
        <w:rPr>
          <w:rFonts w:ascii="Arial" w:cs="Arial" w:eastAsia="Arial" w:hAnsi="Arial"/>
          <w:sz w:val="17"/>
          <w:szCs w:val="17"/>
          <w:b w:val="1"/>
          <w:bCs w:val="1"/>
          <w:color w:val="auto"/>
        </w:rPr>
        <w:t>Level 7, 330 Collins Street</w:t>
      </w:r>
    </w:p>
    <w:p>
      <w:pPr>
        <w:spacing w:after="0" w:line="22" w:lineRule="exact"/>
        <w:rPr>
          <w:sz w:val="24"/>
          <w:szCs w:val="24"/>
          <w:color w:val="auto"/>
        </w:rPr>
      </w:pPr>
    </w:p>
    <w:p>
      <w:pPr>
        <w:jc w:val="center"/>
        <w:ind w:right="-959"/>
        <w:spacing w:after="0"/>
        <w:rPr>
          <w:sz w:val="20"/>
          <w:szCs w:val="20"/>
          <w:color w:val="auto"/>
        </w:rPr>
      </w:pPr>
      <w:r>
        <w:rPr>
          <w:rFonts w:ascii="Arial" w:cs="Arial" w:eastAsia="Arial" w:hAnsi="Arial"/>
          <w:sz w:val="17"/>
          <w:szCs w:val="17"/>
          <w:b w:val="1"/>
          <w:bCs w:val="1"/>
          <w:color w:val="auto"/>
        </w:rPr>
        <w:t>Melbourne VIC 3000 Australia</w:t>
      </w:r>
    </w:p>
    <w:p>
      <w:pPr>
        <w:spacing w:after="0" w:line="6" w:lineRule="exact"/>
        <w:rPr>
          <w:sz w:val="24"/>
          <w:szCs w:val="24"/>
          <w:color w:val="auto"/>
        </w:rPr>
      </w:pPr>
    </w:p>
    <w:p>
      <w:pPr>
        <w:jc w:val="center"/>
        <w:ind w:right="-959"/>
        <w:spacing w:after="0"/>
        <w:rPr>
          <w:sz w:val="20"/>
          <w:szCs w:val="20"/>
          <w:color w:val="auto"/>
        </w:rPr>
      </w:pPr>
      <w:r>
        <w:rPr>
          <w:rFonts w:ascii="Arial" w:cs="Arial" w:eastAsia="Arial" w:hAnsi="Arial"/>
          <w:sz w:val="17"/>
          <w:szCs w:val="17"/>
          <w:b w:val="1"/>
          <w:bCs w:val="1"/>
          <w:color w:val="auto"/>
        </w:rPr>
        <w:t>Tel: +61 (0) 3 8689 9997</w:t>
      </w:r>
    </w:p>
    <w:p>
      <w:pPr>
        <w:spacing w:after="0" w:line="5" w:lineRule="exact"/>
        <w:rPr>
          <w:sz w:val="24"/>
          <w:szCs w:val="24"/>
          <w:color w:val="auto"/>
        </w:rPr>
      </w:pPr>
    </w:p>
    <w:p>
      <w:pPr>
        <w:jc w:val="center"/>
        <w:ind w:right="-959"/>
        <w:spacing w:after="0"/>
        <w:rPr>
          <w:sz w:val="20"/>
          <w:szCs w:val="20"/>
          <w:color w:val="auto"/>
        </w:rPr>
      </w:pPr>
      <w:r>
        <w:rPr>
          <w:rFonts w:ascii="Arial" w:cs="Arial" w:eastAsia="Arial" w:hAnsi="Arial"/>
          <w:sz w:val="17"/>
          <w:szCs w:val="17"/>
          <w:b w:val="1"/>
          <w:bCs w:val="1"/>
          <w:color w:val="auto"/>
        </w:rPr>
        <w:t>Fax: +61 (0) 8 9474 7742</w:t>
      </w:r>
    </w:p>
    <w:p>
      <w:pPr>
        <w:ind w:left="4640"/>
        <w:spacing w:after="0"/>
        <w:rPr>
          <w:sz w:val="20"/>
          <w:szCs w:val="20"/>
          <w:color w:val="auto"/>
        </w:rPr>
      </w:pPr>
      <w:r>
        <w:rPr>
          <w:rFonts w:ascii="Arial" w:cs="Arial" w:eastAsia="Arial" w:hAnsi="Arial"/>
          <w:sz w:val="13"/>
          <w:szCs w:val="13"/>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2945765</wp:posOffset>
            </wp:positionH>
            <wp:positionV relativeFrom="paragraph">
              <wp:posOffset>204470</wp:posOffset>
            </wp:positionV>
            <wp:extent cx="1365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left="580"/>
        <w:spacing w:after="0"/>
        <w:rPr>
          <w:sz w:val="20"/>
          <w:szCs w:val="20"/>
          <w:color w:val="auto"/>
        </w:rPr>
      </w:pPr>
      <w:r>
        <w:rPr>
          <w:rFonts w:ascii="Arial" w:cs="Arial" w:eastAsia="Arial" w:hAnsi="Arial"/>
          <w:sz w:val="17"/>
          <w:szCs w:val="17"/>
          <w:color w:val="auto"/>
        </w:rPr>
        <w:t>Indicate by check mark whether the registrant files or will file annual reports under cover Form 20-F or Form 40-F.</w:t>
      </w:r>
    </w:p>
    <w:p>
      <w:pPr>
        <w:spacing w:after="0" w:line="175" w:lineRule="exact"/>
        <w:rPr>
          <w:sz w:val="24"/>
          <w:szCs w:val="24"/>
          <w:color w:val="auto"/>
        </w:rPr>
      </w:pPr>
    </w:p>
    <w:p>
      <w:pPr>
        <w:ind w:left="4500"/>
        <w:spacing w:after="0" w:line="196" w:lineRule="exact"/>
        <w:tabs>
          <w:tab w:leader="none" w:pos="5940" w:val="left"/>
        </w:tabs>
        <w:rPr>
          <w:sz w:val="20"/>
          <w:szCs w:val="20"/>
          <w:color w:val="auto"/>
        </w:rPr>
      </w:pPr>
      <w:r>
        <w:rPr>
          <w:rFonts w:ascii="Arial" w:cs="Arial" w:eastAsia="Arial" w:hAnsi="Arial"/>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7"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07"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39" w:lineRule="exact"/>
        <w:rPr>
          <w:sz w:val="24"/>
          <w:szCs w:val="24"/>
          <w:color w:val="auto"/>
        </w:rPr>
      </w:pPr>
    </w:p>
    <w:p>
      <w:pPr>
        <w:ind w:left="580"/>
        <w:spacing w:after="0" w:line="268" w:lineRule="auto"/>
        <w:rPr>
          <w:sz w:val="20"/>
          <w:szCs w:val="20"/>
          <w:color w:val="auto"/>
        </w:rPr>
      </w:pPr>
      <w:r>
        <w:rPr>
          <w:rFonts w:ascii="Arial" w:cs="Arial" w:eastAsia="Arial" w:hAnsi="Arial"/>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5" w:lineRule="exact"/>
        <w:rPr>
          <w:sz w:val="24"/>
          <w:szCs w:val="24"/>
          <w:color w:val="auto"/>
        </w:rPr>
      </w:pPr>
    </w:p>
    <w:p>
      <w:pPr>
        <w:ind w:left="5000"/>
        <w:spacing w:after="0" w:line="196" w:lineRule="exact"/>
        <w:tabs>
          <w:tab w:leader="none" w:pos="59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39" w:lineRule="exact"/>
        <w:rPr>
          <w:sz w:val="24"/>
          <w:szCs w:val="24"/>
          <w:color w:val="auto"/>
        </w:rPr>
      </w:pPr>
    </w:p>
    <w:p>
      <w:pPr>
        <w:ind w:left="580"/>
        <w:spacing w:after="0"/>
        <w:rPr>
          <w:sz w:val="20"/>
          <w:szCs w:val="20"/>
          <w:color w:val="auto"/>
        </w:rPr>
      </w:pPr>
      <w:r>
        <w:rPr>
          <w:rFonts w:ascii="Arial" w:cs="Arial" w:eastAsia="Arial" w:hAnsi="Arial"/>
          <w:sz w:val="17"/>
          <w:szCs w:val="17"/>
          <w:color w:val="auto"/>
        </w:rPr>
        <w:t>If “Yes” is marked, indicate below the file number assigned to the registrant in connection with Rule 12g3-2(b): 82-______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375285</wp:posOffset>
            </wp:positionH>
            <wp:positionV relativeFrom="paragraph">
              <wp:posOffset>147320</wp:posOffset>
            </wp:positionV>
            <wp:extent cx="6513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3830" cy="8255"/>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187325</wp:posOffset>
            </wp:positionV>
            <wp:extent cx="6513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3830" cy="8255"/>
                    </a:xfrm>
                    <a:prstGeom prst="rect">
                      <a:avLst/>
                    </a:prstGeom>
                    <a:noFill/>
                  </pic:spPr>
                </pic:pic>
              </a:graphicData>
            </a:graphic>
          </wp:anchor>
        </w:drawing>
      </w:r>
    </w:p>
    <w:p>
      <w:pPr>
        <w:sectPr>
          <w:pgSz w:w="11900" w:h="16838" w:orient="portrait"/>
          <w:cols w:equalWidth="0" w:num="1">
            <w:col w:w="10460"/>
          </w:cols>
          <w:pgMar w:left="240" w:top="224" w:right="119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60" w:type="dxa"/>
            <w:vAlign w:val="bottom"/>
            <w:gridSpan w:val="2"/>
          </w:tcPr>
          <w:p>
            <w:pPr>
              <w:jc w:val="center"/>
              <w:ind w:right="1840"/>
              <w:spacing w:after="0"/>
              <w:rPr>
                <w:sz w:val="20"/>
                <w:szCs w:val="20"/>
                <w:color w:val="auto"/>
              </w:rPr>
            </w:pPr>
            <w:r>
              <w:rPr>
                <w:rFonts w:ascii="Arial" w:cs="Arial" w:eastAsia="Arial" w:hAnsi="Arial"/>
                <w:sz w:val="17"/>
                <w:szCs w:val="17"/>
                <w:b w:val="1"/>
                <w:bCs w:val="1"/>
                <w:color w:val="auto"/>
              </w:rPr>
              <w:t>AVITA MEDICAL LIMITED</w:t>
            </w:r>
          </w:p>
        </w:tc>
      </w:tr>
      <w:tr>
        <w:trPr>
          <w:trHeight w:val="402"/>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60" w:type="dxa"/>
            <w:vAlign w:val="bottom"/>
            <w:gridSpan w:val="2"/>
          </w:tcPr>
          <w:p>
            <w:pPr>
              <w:jc w:val="center"/>
              <w:ind w:right="1840"/>
              <w:spacing w:after="0"/>
              <w:rPr>
                <w:sz w:val="20"/>
                <w:szCs w:val="20"/>
                <w:color w:val="auto"/>
              </w:rPr>
            </w:pPr>
            <w:r>
              <w:rPr>
                <w:rFonts w:ascii="Arial" w:cs="Arial" w:eastAsia="Arial" w:hAnsi="Arial"/>
                <w:sz w:val="17"/>
                <w:szCs w:val="17"/>
                <w:b w:val="1"/>
                <w:bCs w:val="1"/>
                <w:color w:val="auto"/>
                <w:w w:val="93"/>
              </w:rPr>
              <w:t>Form 6-K</w:t>
            </w:r>
          </w:p>
        </w:tc>
      </w:tr>
      <w:tr>
        <w:trPr>
          <w:trHeight w:val="402"/>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60" w:type="dxa"/>
            <w:vAlign w:val="bottom"/>
            <w:gridSpan w:val="2"/>
          </w:tcPr>
          <w:p>
            <w:pPr>
              <w:jc w:val="center"/>
              <w:ind w:right="1840"/>
              <w:spacing w:after="0"/>
              <w:rPr>
                <w:sz w:val="20"/>
                <w:szCs w:val="20"/>
                <w:color w:val="auto"/>
              </w:rPr>
            </w:pPr>
            <w:r>
              <w:rPr>
                <w:rFonts w:ascii="Arial" w:cs="Arial" w:eastAsia="Arial" w:hAnsi="Arial"/>
                <w:sz w:val="17"/>
                <w:szCs w:val="17"/>
                <w:color w:val="auto"/>
                <w:w w:val="94"/>
              </w:rPr>
              <w:t>TABLE OF CONTENTS</w:t>
            </w:r>
          </w:p>
        </w:tc>
      </w:tr>
      <w:tr>
        <w:trPr>
          <w:trHeight w:val="365"/>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color w:val="auto"/>
              </w:rPr>
              <w:t>Page</w:t>
            </w:r>
          </w:p>
        </w:tc>
      </w:tr>
      <w:tr>
        <w:trPr>
          <w:trHeight w:val="345"/>
        </w:trPr>
        <w:tc>
          <w:tcPr>
            <w:tcW w:w="120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2">
              <w:r>
                <w:rPr>
                  <w:rFonts w:ascii="Arial" w:cs="Arial" w:eastAsia="Arial" w:hAnsi="Arial"/>
                  <w:sz w:val="17"/>
                  <w:szCs w:val="17"/>
                  <w:color w:val="0000EE"/>
                  <w:w w:val="90"/>
                </w:rPr>
                <w:t>Explanatory Note</w:t>
              </w:r>
            </w:hyperlink>
          </w:p>
        </w:tc>
        <w:tc>
          <w:tcPr>
            <w:tcW w:w="7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Page 2</w:t>
            </w:r>
          </w:p>
        </w:tc>
      </w:tr>
      <w:tr>
        <w:trPr>
          <w:trHeight w:val="282"/>
        </w:trPr>
        <w:tc>
          <w:tcPr>
            <w:tcW w:w="720" w:type="dxa"/>
            <w:vAlign w:val="bottom"/>
            <w:tcBorders>
              <w:bottom w:val="single" w:sz="8" w:color="0000EE"/>
            </w:tcBorders>
          </w:tcPr>
          <w:p>
            <w:pPr>
              <w:spacing w:after="0"/>
              <w:rPr>
                <w:rFonts w:ascii="Arial" w:cs="Arial" w:eastAsia="Arial" w:hAnsi="Arial"/>
                <w:sz w:val="17"/>
                <w:szCs w:val="17"/>
                <w:color w:val="0000EE"/>
                <w:w w:val="86"/>
              </w:rPr>
            </w:pPr>
            <w:hyperlink w:anchor="page3">
              <w:r>
                <w:rPr>
                  <w:rFonts w:ascii="Arial" w:cs="Arial" w:eastAsia="Arial" w:hAnsi="Arial"/>
                  <w:sz w:val="17"/>
                  <w:szCs w:val="17"/>
                  <w:color w:val="0000EE"/>
                  <w:w w:val="86"/>
                </w:rPr>
                <w:t>Signatures</w:t>
              </w:r>
            </w:hyperlink>
          </w:p>
        </w:tc>
        <w:tc>
          <w:tcPr>
            <w:tcW w:w="1240" w:type="dxa"/>
            <w:vAlign w:val="bottom"/>
            <w:gridSpan w:val="2"/>
          </w:tcPr>
          <w:p>
            <w:pPr>
              <w:spacing w:after="0"/>
              <w:rPr>
                <w:sz w:val="24"/>
                <w:szCs w:val="24"/>
                <w:color w:val="auto"/>
              </w:rPr>
            </w:pPr>
          </w:p>
        </w:tc>
        <w:tc>
          <w:tcPr>
            <w:tcW w:w="7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Page 3</w:t>
            </w:r>
          </w:p>
        </w:tc>
      </w:tr>
      <w:tr>
        <w:trPr>
          <w:trHeight w:val="282"/>
        </w:trPr>
        <w:tc>
          <w:tcPr>
            <w:tcW w:w="1960" w:type="dxa"/>
            <w:vAlign w:val="bottom"/>
            <w:tcBorders>
              <w:bottom w:val="single" w:sz="8" w:color="0000EE"/>
            </w:tcBorders>
            <w:gridSpan w:val="3"/>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Concise Annual Report 2019</w:t>
              </w:r>
            </w:hyperlink>
          </w:p>
        </w:tc>
        <w:tc>
          <w:tcPr>
            <w:tcW w:w="7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6"/>
              </w:rPr>
              <w:t>Exhibit 99.1</w:t>
            </w:r>
          </w:p>
        </w:tc>
      </w:tr>
    </w:tbl>
    <w:p>
      <w:pPr>
        <w:spacing w:after="0" w:line="200" w:lineRule="exact"/>
        <w:rPr>
          <w:sz w:val="20"/>
          <w:szCs w:val="20"/>
          <w:color w:val="auto"/>
        </w:rPr>
      </w:pPr>
    </w:p>
    <w:p>
      <w:pPr>
        <w:spacing w:after="0" w:line="211"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EXPLANATORY NOTE</w:t>
      </w:r>
    </w:p>
    <w:p>
      <w:pPr>
        <w:spacing w:after="0" w:line="211" w:lineRule="exact"/>
        <w:rPr>
          <w:sz w:val="20"/>
          <w:szCs w:val="20"/>
          <w:color w:val="auto"/>
        </w:rPr>
      </w:pPr>
    </w:p>
    <w:p>
      <w:pPr>
        <w:ind w:left="580" w:right="140"/>
        <w:spacing w:after="0" w:line="300" w:lineRule="auto"/>
        <w:rPr>
          <w:sz w:val="20"/>
          <w:szCs w:val="20"/>
          <w:color w:val="auto"/>
        </w:rPr>
      </w:pPr>
      <w:r>
        <w:rPr>
          <w:rFonts w:ascii="Arial" w:cs="Arial" w:eastAsia="Arial" w:hAnsi="Arial"/>
          <w:sz w:val="16"/>
          <w:szCs w:val="16"/>
          <w:color w:val="auto"/>
        </w:rPr>
        <w:t>Avita Medical Limited (the “Company”) published an announcement (the “Public Notice”) to the Australian Securities Exchange on October 10, 2019 titled Concise Financial Report 2019. A copy of the Public Notice is attached as an exhibit to this report on Form 6-K.</w:t>
      </w:r>
    </w:p>
    <w:p>
      <w:pPr>
        <w:spacing w:after="0" w:line="143" w:lineRule="exact"/>
        <w:rPr>
          <w:sz w:val="20"/>
          <w:szCs w:val="20"/>
          <w:color w:val="auto"/>
        </w:rPr>
      </w:pPr>
    </w:p>
    <w:p>
      <w:pPr>
        <w:ind w:left="580" w:right="120"/>
        <w:spacing w:after="0" w:line="257" w:lineRule="auto"/>
        <w:rPr>
          <w:sz w:val="20"/>
          <w:szCs w:val="20"/>
          <w:color w:val="auto"/>
        </w:rPr>
      </w:pPr>
      <w:r>
        <w:rPr>
          <w:rFonts w:ascii="Arial" w:cs="Arial" w:eastAsia="Arial" w:hAnsi="Arial"/>
          <w:sz w:val="17"/>
          <w:szCs w:val="17"/>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77" w:lineRule="exact"/>
        <w:rPr>
          <w:sz w:val="20"/>
          <w:szCs w:val="20"/>
          <w:color w:val="auto"/>
        </w:rPr>
      </w:pPr>
    </w:p>
    <w:p>
      <w:pPr>
        <w:ind w:left="580" w:right="220"/>
        <w:spacing w:after="0" w:line="275" w:lineRule="auto"/>
        <w:rPr>
          <w:sz w:val="20"/>
          <w:szCs w:val="20"/>
          <w:color w:val="auto"/>
        </w:rPr>
      </w:pPr>
      <w:r>
        <w:rPr>
          <w:rFonts w:ascii="Arial" w:cs="Arial" w:eastAsia="Arial" w:hAnsi="Arial"/>
          <w:sz w:val="16"/>
          <w:szCs w:val="16"/>
          <w:color w:val="auto"/>
        </w:rPr>
        <w:t>Please note that our financial statements are general purpose consolidated financial statements that have been prepared in accordance with Australian Accounting Standards and Interpretations issued by the Australian Accounting Standards Board (“AASB”) and the Corporations Act 2001, as appropriate for for-profit oriented entities. These financial statements also comply with the requirements of the International Financial Reporting Standards (IFRS) as issued by the International Accounting Standards Board (IASB).</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00"/>
          </w:cols>
          <w:pgMar w:left="240" w:top="438" w:right="85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ind w:left="580" w:right="59"/>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Avita Medical Limited</w:t>
      </w:r>
    </w:p>
    <w:p>
      <w:pPr>
        <w:spacing w:after="0" w:line="110" w:lineRule="exact"/>
        <w:rPr>
          <w:sz w:val="20"/>
          <w:szCs w:val="20"/>
          <w:color w:val="auto"/>
        </w:rPr>
      </w:pPr>
    </w:p>
    <w:p>
      <w:pPr>
        <w:ind w:left="6740"/>
        <w:spacing w:after="0"/>
        <w:tabs>
          <w:tab w:leader="none" w:pos="72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4630420</wp:posOffset>
            </wp:positionH>
            <wp:positionV relativeFrom="paragraph">
              <wp:posOffset>11430</wp:posOffset>
            </wp:positionV>
            <wp:extent cx="2259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11"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 Michael Perry</w:t>
      </w:r>
    </w:p>
    <w:p>
      <w:pPr>
        <w:spacing w:after="0" w:line="18" w:lineRule="exact"/>
        <w:rPr>
          <w:sz w:val="20"/>
          <w:szCs w:val="20"/>
          <w:color w:val="auto"/>
        </w:rPr>
      </w:pPr>
    </w:p>
    <w:p>
      <w:pPr>
        <w:ind w:left="6740"/>
        <w:spacing w:after="0"/>
        <w:tabs>
          <w:tab w:leader="none" w:pos="7260" w:val="left"/>
        </w:tabs>
        <w:rPr>
          <w:sz w:val="20"/>
          <w:szCs w:val="20"/>
          <w:color w:val="auto"/>
        </w:rPr>
      </w:pPr>
      <w:r>
        <w:rPr>
          <w:rFonts w:ascii="Arial" w:cs="Arial" w:eastAsia="Arial" w:hAnsi="Arial"/>
          <w:sz w:val="17"/>
          <w:szCs w:val="17"/>
          <w:color w:val="auto"/>
        </w:rPr>
        <w:t>Title:</w:t>
        <w:tab/>
        <w:t>Chief Executive Officer</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Date: October 11, 2019</w:t>
      </w:r>
    </w:p>
    <w:p>
      <w:pPr>
        <w:spacing w:after="0" w:line="14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438" w:right="1440" w:bottom="1440" w:gutter="0" w:footer="0" w:header="0"/>
        </w:sectPr>
      </w:pPr>
    </w:p>
    <w:bookmarkStart w:id="3" w:name="page4"/>
    <w:bookmarkEnd w:id="3"/>
    <w:p>
      <w:pPr>
        <w:ind w:left="878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172085</wp:posOffset>
            </wp:positionV>
            <wp:extent cx="5547995" cy="71843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7995" cy="7184390"/>
                    </a:xfrm>
                    <a:prstGeom prst="rect">
                      <a:avLst/>
                    </a:prstGeom>
                    <a:noFill/>
                  </pic:spPr>
                </pic:pic>
              </a:graphicData>
            </a:graphic>
          </wp:anchor>
        </w:drawing>
      </w:r>
    </w:p>
    <w:p>
      <w:pPr>
        <w:sectPr>
          <w:pgSz w:w="11900" w:h="16838" w:orient="portrait"/>
          <w:cols w:equalWidth="0" w:num="1">
            <w:col w:w="9640"/>
          </w:cols>
          <w:pgMar w:left="1440" w:top="123" w:right="8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132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7420" cy="132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tcPr>
          <w:p>
            <w:pPr>
              <w:spacing w:after="0"/>
              <w:rPr>
                <w:sz w:val="20"/>
                <w:szCs w:val="20"/>
                <w:color w:val="auto"/>
              </w:rPr>
            </w:pPr>
            <w:r>
              <w:rPr>
                <w:rFonts w:ascii="Arial" w:cs="Arial" w:eastAsia="Arial" w:hAnsi="Arial"/>
                <w:sz w:val="17"/>
                <w:szCs w:val="17"/>
                <w:b w:val="1"/>
                <w:bCs w:val="1"/>
                <w:color w:val="auto"/>
              </w:rPr>
              <w:t>CONTENTS</w:t>
            </w:r>
          </w:p>
        </w:tc>
        <w:tc>
          <w:tcPr>
            <w:tcW w:w="2600" w:type="dxa"/>
            <w:vAlign w:val="bottom"/>
          </w:tcPr>
          <w:p>
            <w:pPr>
              <w:spacing w:after="0"/>
              <w:rPr>
                <w:sz w:val="18"/>
                <w:szCs w:val="18"/>
                <w:color w:val="auto"/>
              </w:rPr>
            </w:pPr>
          </w:p>
        </w:tc>
      </w:tr>
      <w:tr>
        <w:trPr>
          <w:trHeight w:val="427"/>
        </w:trPr>
        <w:tc>
          <w:tcPr>
            <w:tcW w:w="7620" w:type="dxa"/>
            <w:vAlign w:val="bottom"/>
          </w:tcPr>
          <w:p>
            <w:pPr>
              <w:spacing w:after="0"/>
              <w:rPr>
                <w:sz w:val="20"/>
                <w:szCs w:val="20"/>
                <w:color w:val="auto"/>
              </w:rPr>
            </w:pPr>
            <w:r>
              <w:rPr>
                <w:rFonts w:ascii="Arial" w:cs="Arial" w:eastAsia="Arial" w:hAnsi="Arial"/>
                <w:sz w:val="17"/>
                <w:szCs w:val="17"/>
                <w:b w:val="1"/>
                <w:bCs w:val="1"/>
                <w:color w:val="auto"/>
              </w:rPr>
              <w:t>Corporate Information</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302"/>
        </w:trPr>
        <w:tc>
          <w:tcPr>
            <w:tcW w:w="7620" w:type="dxa"/>
            <w:vAlign w:val="bottom"/>
          </w:tcPr>
          <w:p>
            <w:pPr>
              <w:spacing w:after="0"/>
              <w:rPr>
                <w:sz w:val="20"/>
                <w:szCs w:val="20"/>
                <w:color w:val="auto"/>
              </w:rPr>
            </w:pPr>
            <w:r>
              <w:rPr>
                <w:rFonts w:ascii="Arial" w:cs="Arial" w:eastAsia="Arial" w:hAnsi="Arial"/>
                <w:sz w:val="17"/>
                <w:szCs w:val="17"/>
                <w:b w:val="1"/>
                <w:bCs w:val="1"/>
                <w:color w:val="auto"/>
              </w:rPr>
              <w:t>Letter from the Chairman and CEO</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4-5</w:t>
            </w:r>
          </w:p>
        </w:tc>
      </w:tr>
      <w:tr>
        <w:trPr>
          <w:trHeight w:val="302"/>
        </w:trPr>
        <w:tc>
          <w:tcPr>
            <w:tcW w:w="7620" w:type="dxa"/>
            <w:vAlign w:val="bottom"/>
          </w:tcPr>
          <w:p>
            <w:pPr>
              <w:spacing w:after="0"/>
              <w:rPr>
                <w:sz w:val="20"/>
                <w:szCs w:val="20"/>
                <w:color w:val="auto"/>
              </w:rPr>
            </w:pPr>
            <w:r>
              <w:rPr>
                <w:rFonts w:ascii="Arial" w:cs="Arial" w:eastAsia="Arial" w:hAnsi="Arial"/>
                <w:sz w:val="17"/>
                <w:szCs w:val="17"/>
                <w:b w:val="1"/>
                <w:bCs w:val="1"/>
                <w:color w:val="auto"/>
              </w:rPr>
              <w:t>Directors’ Report</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6-24</w:t>
            </w:r>
          </w:p>
        </w:tc>
      </w:tr>
      <w:tr>
        <w:trPr>
          <w:trHeight w:val="302"/>
        </w:trPr>
        <w:tc>
          <w:tcPr>
            <w:tcW w:w="7620" w:type="dxa"/>
            <w:vAlign w:val="bottom"/>
          </w:tcPr>
          <w:p>
            <w:pPr>
              <w:spacing w:after="0"/>
              <w:rPr>
                <w:sz w:val="20"/>
                <w:szCs w:val="20"/>
                <w:color w:val="auto"/>
              </w:rPr>
            </w:pPr>
            <w:r>
              <w:rPr>
                <w:rFonts w:ascii="Arial" w:cs="Arial" w:eastAsia="Arial" w:hAnsi="Arial"/>
                <w:sz w:val="17"/>
                <w:szCs w:val="17"/>
                <w:b w:val="1"/>
                <w:bCs w:val="1"/>
                <w:color w:val="auto"/>
              </w:rPr>
              <w:t>Auditor’s Independence Declaration</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25</w:t>
            </w:r>
          </w:p>
        </w:tc>
      </w:tr>
      <w:tr>
        <w:trPr>
          <w:trHeight w:val="302"/>
        </w:trPr>
        <w:tc>
          <w:tcPr>
            <w:tcW w:w="7620" w:type="dxa"/>
            <w:vAlign w:val="bottom"/>
          </w:tcPr>
          <w:p>
            <w:pPr>
              <w:spacing w:after="0"/>
              <w:rPr>
                <w:sz w:val="20"/>
                <w:szCs w:val="20"/>
                <w:color w:val="auto"/>
              </w:rPr>
            </w:pPr>
            <w:r>
              <w:rPr>
                <w:rFonts w:ascii="Arial" w:cs="Arial" w:eastAsia="Arial" w:hAnsi="Arial"/>
                <w:sz w:val="17"/>
                <w:szCs w:val="17"/>
                <w:b w:val="1"/>
                <w:bCs w:val="1"/>
                <w:color w:val="auto"/>
              </w:rPr>
              <w:t>Consolidated Statement of Profit or Loss and Other Comprehensive Income</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26</w:t>
            </w:r>
          </w:p>
        </w:tc>
      </w:tr>
      <w:tr>
        <w:trPr>
          <w:trHeight w:val="302"/>
        </w:trPr>
        <w:tc>
          <w:tcPr>
            <w:tcW w:w="7620" w:type="dxa"/>
            <w:vAlign w:val="bottom"/>
          </w:tcPr>
          <w:p>
            <w:pPr>
              <w:spacing w:after="0"/>
              <w:rPr>
                <w:sz w:val="20"/>
                <w:szCs w:val="20"/>
                <w:color w:val="auto"/>
              </w:rPr>
            </w:pPr>
            <w:r>
              <w:rPr>
                <w:rFonts w:ascii="Arial" w:cs="Arial" w:eastAsia="Arial" w:hAnsi="Arial"/>
                <w:sz w:val="17"/>
                <w:szCs w:val="17"/>
                <w:b w:val="1"/>
                <w:bCs w:val="1"/>
                <w:color w:val="auto"/>
              </w:rPr>
              <w:t>Consolidated Statement of Financial Position</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27</w:t>
            </w:r>
          </w:p>
        </w:tc>
      </w:tr>
      <w:tr>
        <w:trPr>
          <w:trHeight w:val="302"/>
        </w:trPr>
        <w:tc>
          <w:tcPr>
            <w:tcW w:w="7620" w:type="dxa"/>
            <w:vAlign w:val="bottom"/>
          </w:tcPr>
          <w:p>
            <w:pPr>
              <w:spacing w:after="0"/>
              <w:rPr>
                <w:sz w:val="20"/>
                <w:szCs w:val="20"/>
                <w:color w:val="auto"/>
              </w:rPr>
            </w:pPr>
            <w:r>
              <w:rPr>
                <w:rFonts w:ascii="Arial" w:cs="Arial" w:eastAsia="Arial" w:hAnsi="Arial"/>
                <w:sz w:val="17"/>
                <w:szCs w:val="17"/>
                <w:b w:val="1"/>
                <w:bCs w:val="1"/>
                <w:color w:val="auto"/>
              </w:rPr>
              <w:t>Consolidated Statement of Cash Flows</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28</w:t>
            </w:r>
          </w:p>
        </w:tc>
      </w:tr>
      <w:tr>
        <w:trPr>
          <w:trHeight w:val="302"/>
        </w:trPr>
        <w:tc>
          <w:tcPr>
            <w:tcW w:w="7620" w:type="dxa"/>
            <w:vAlign w:val="bottom"/>
          </w:tcPr>
          <w:p>
            <w:pPr>
              <w:spacing w:after="0"/>
              <w:rPr>
                <w:sz w:val="20"/>
                <w:szCs w:val="20"/>
                <w:color w:val="auto"/>
              </w:rPr>
            </w:pPr>
            <w:r>
              <w:rPr>
                <w:rFonts w:ascii="Arial" w:cs="Arial" w:eastAsia="Arial" w:hAnsi="Arial"/>
                <w:sz w:val="17"/>
                <w:szCs w:val="17"/>
                <w:b w:val="1"/>
                <w:bCs w:val="1"/>
                <w:color w:val="auto"/>
              </w:rPr>
              <w:t>Consolidated Statement of Changes in Equity</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29-30</w:t>
            </w:r>
          </w:p>
        </w:tc>
      </w:tr>
      <w:tr>
        <w:trPr>
          <w:trHeight w:val="302"/>
        </w:trPr>
        <w:tc>
          <w:tcPr>
            <w:tcW w:w="7620" w:type="dxa"/>
            <w:vAlign w:val="bottom"/>
          </w:tcPr>
          <w:p>
            <w:pPr>
              <w:spacing w:after="0"/>
              <w:rPr>
                <w:sz w:val="20"/>
                <w:szCs w:val="20"/>
                <w:color w:val="auto"/>
              </w:rPr>
            </w:pPr>
            <w:r>
              <w:rPr>
                <w:rFonts w:ascii="Arial" w:cs="Arial" w:eastAsia="Arial" w:hAnsi="Arial"/>
                <w:sz w:val="17"/>
                <w:szCs w:val="17"/>
                <w:b w:val="1"/>
                <w:bCs w:val="1"/>
                <w:color w:val="auto"/>
              </w:rPr>
              <w:t>Notes to the Concise Financial Statements</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31-36</w:t>
            </w:r>
          </w:p>
        </w:tc>
      </w:tr>
      <w:tr>
        <w:trPr>
          <w:trHeight w:val="302"/>
        </w:trPr>
        <w:tc>
          <w:tcPr>
            <w:tcW w:w="7620" w:type="dxa"/>
            <w:vAlign w:val="bottom"/>
          </w:tcPr>
          <w:p>
            <w:pPr>
              <w:spacing w:after="0"/>
              <w:rPr>
                <w:sz w:val="20"/>
                <w:szCs w:val="20"/>
                <w:color w:val="auto"/>
              </w:rPr>
            </w:pPr>
            <w:r>
              <w:rPr>
                <w:rFonts w:ascii="Arial" w:cs="Arial" w:eastAsia="Arial" w:hAnsi="Arial"/>
                <w:sz w:val="17"/>
                <w:szCs w:val="17"/>
                <w:b w:val="1"/>
                <w:bCs w:val="1"/>
                <w:color w:val="auto"/>
              </w:rPr>
              <w:t>Directors’ Declaration</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37</w:t>
            </w:r>
          </w:p>
        </w:tc>
      </w:tr>
      <w:tr>
        <w:trPr>
          <w:trHeight w:val="302"/>
        </w:trPr>
        <w:tc>
          <w:tcPr>
            <w:tcW w:w="7620" w:type="dxa"/>
            <w:vAlign w:val="bottom"/>
          </w:tcPr>
          <w:p>
            <w:pPr>
              <w:spacing w:after="0"/>
              <w:rPr>
                <w:sz w:val="20"/>
                <w:szCs w:val="20"/>
                <w:color w:val="auto"/>
              </w:rPr>
            </w:pPr>
            <w:r>
              <w:rPr>
                <w:rFonts w:ascii="Arial" w:cs="Arial" w:eastAsia="Arial" w:hAnsi="Arial"/>
                <w:sz w:val="17"/>
                <w:szCs w:val="17"/>
                <w:b w:val="1"/>
                <w:bCs w:val="1"/>
                <w:color w:val="auto"/>
              </w:rPr>
              <w:t>Independent Auditor’s Report</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38-40</w:t>
            </w:r>
          </w:p>
        </w:tc>
      </w:tr>
      <w:tr>
        <w:trPr>
          <w:trHeight w:val="302"/>
        </w:trPr>
        <w:tc>
          <w:tcPr>
            <w:tcW w:w="7620" w:type="dxa"/>
            <w:vAlign w:val="bottom"/>
          </w:tcPr>
          <w:p>
            <w:pPr>
              <w:spacing w:after="0"/>
              <w:rPr>
                <w:sz w:val="20"/>
                <w:szCs w:val="20"/>
                <w:color w:val="auto"/>
              </w:rPr>
            </w:pPr>
            <w:r>
              <w:rPr>
                <w:rFonts w:ascii="Arial" w:cs="Arial" w:eastAsia="Arial" w:hAnsi="Arial"/>
                <w:sz w:val="17"/>
                <w:szCs w:val="17"/>
                <w:b w:val="1"/>
                <w:bCs w:val="1"/>
                <w:color w:val="auto"/>
              </w:rPr>
              <w:t>Shareholder Information</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auto"/>
              </w:rPr>
              <w:t>41-42</w:t>
            </w:r>
          </w:p>
        </w:tc>
      </w:tr>
    </w:tbl>
    <w:p>
      <w:pPr>
        <w:spacing w:after="0" w:line="214" w:lineRule="exact"/>
        <w:rPr>
          <w:sz w:val="20"/>
          <w:szCs w:val="20"/>
          <w:color w:val="auto"/>
        </w:rPr>
      </w:pPr>
    </w:p>
    <w:p>
      <w:pPr>
        <w:ind w:right="1940"/>
        <w:spacing w:after="0" w:line="275" w:lineRule="auto"/>
        <w:rPr>
          <w:sz w:val="20"/>
          <w:szCs w:val="20"/>
          <w:color w:val="auto"/>
        </w:rPr>
      </w:pPr>
      <w:r>
        <w:rPr>
          <w:rFonts w:ascii="Arial" w:cs="Arial" w:eastAsia="Arial" w:hAnsi="Arial"/>
          <w:sz w:val="16"/>
          <w:szCs w:val="16"/>
          <w:color w:val="auto"/>
        </w:rPr>
        <w:t>The Concise Financial Statements 2019 are an extract from the full financial statements of Avita Medical Limited and has been derived from Avita Medical Limited’s 2019 Annual Report. The financial statements included in the Concise Report cannot be expected to provide as full an understanding of Avita Medical Limited’s financial performance, financial position and operating and financing activities as that provided by the 2019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5419090</wp:posOffset>
            </wp:positionH>
            <wp:positionV relativeFrom="paragraph">
              <wp:posOffset>-279400</wp:posOffset>
            </wp:positionV>
            <wp:extent cx="974090" cy="814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4090" cy="81407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Concise Report</w:t>
      </w:r>
    </w:p>
    <w:p>
      <w:pPr>
        <w:spacing w:after="0" w:line="123" w:lineRule="exact"/>
        <w:rPr>
          <w:sz w:val="20"/>
          <w:szCs w:val="20"/>
          <w:color w:val="auto"/>
        </w:rPr>
      </w:pPr>
    </w:p>
    <w:p>
      <w:pPr>
        <w:ind w:right="1960"/>
        <w:spacing w:after="0" w:line="257" w:lineRule="auto"/>
        <w:rPr>
          <w:sz w:val="20"/>
          <w:szCs w:val="20"/>
          <w:color w:val="auto"/>
        </w:rPr>
      </w:pPr>
      <w:r>
        <w:rPr>
          <w:rFonts w:ascii="Arial" w:cs="Arial" w:eastAsia="Arial" w:hAnsi="Arial"/>
          <w:sz w:val="17"/>
          <w:szCs w:val="17"/>
          <w:color w:val="auto"/>
        </w:rPr>
        <w:t>A copy of Avita Medical Limited’s 2019 Annual Report, together with the Independent Auditor’s Report, is available to all shareholders, and will be sent to shareholders without charge upon request. The financial statements can be requested by letter to the registered office or email at investor@avitamedical.com.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1221105" cy="925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1105" cy="925830"/>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144145</wp:posOffset>
            </wp:positionV>
            <wp:extent cx="1053465" cy="909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3465" cy="90995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Corporate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ABN 28 058 466 523</w:t>
      </w:r>
    </w:p>
    <w:p>
      <w:pPr>
        <w:spacing w:after="0" w:line="94" w:lineRule="exact"/>
        <w:rPr>
          <w:sz w:val="20"/>
          <w:szCs w:val="20"/>
          <w:color w:val="auto"/>
        </w:rPr>
      </w:pPr>
    </w:p>
    <w:p>
      <w:pPr>
        <w:ind w:right="720"/>
        <w:spacing w:after="0" w:line="268" w:lineRule="auto"/>
        <w:rPr>
          <w:sz w:val="20"/>
          <w:szCs w:val="20"/>
          <w:color w:val="auto"/>
        </w:rPr>
      </w:pPr>
      <w:r>
        <w:rPr>
          <w:rFonts w:ascii="Arial" w:cs="Arial" w:eastAsia="Arial" w:hAnsi="Arial"/>
          <w:sz w:val="17"/>
          <w:szCs w:val="17"/>
          <w:color w:val="auto"/>
        </w:rPr>
        <w:t>This annual report covers the consolidated entity comprising Avita Medical Limited (the Parent Company) and its controlled subsidiaries (the Company). The Parent Company’s functional and presentation currency is AUD ($).</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description of the Company’s operations and of its principal activities is included in the review of operations and activities in the Directors’ Report on page 6. The Directors’ Report does not form part of the financial report.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00" w:type="dxa"/>
            <w:vAlign w:val="bottom"/>
          </w:tcPr>
          <w:p>
            <w:pPr>
              <w:spacing w:after="0"/>
              <w:rPr>
                <w:sz w:val="20"/>
                <w:szCs w:val="20"/>
                <w:color w:val="auto"/>
              </w:rPr>
            </w:pPr>
            <w:r>
              <w:rPr>
                <w:rFonts w:ascii="Arial" w:cs="Arial" w:eastAsia="Arial" w:hAnsi="Arial"/>
                <w:sz w:val="17"/>
                <w:szCs w:val="17"/>
                <w:b w:val="1"/>
                <w:bCs w:val="1"/>
                <w:color w:val="auto"/>
              </w:rPr>
              <w:t>Directors</w:t>
            </w: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b w:val="1"/>
                <w:bCs w:val="1"/>
                <w:color w:val="auto"/>
              </w:rPr>
              <w:t>Solicitors</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Mr Lou Panaccio (Non-Executive Chairman)</w:t>
            </w: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K&amp;L Gates</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Dr Michael Perry (Executive Director)</w:t>
            </w: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Level 25 South Tower, 525 Collins Street</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Mr Jeremy Curnock Cook (Non-Executive Director)</w:t>
            </w: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Melbourne VIC 3000, Australia</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Mr Louis Drapeau (Non-Executive Director)</w:t>
            </w:r>
          </w:p>
        </w:tc>
        <w:tc>
          <w:tcPr>
            <w:tcW w:w="104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Auditor</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Mr Damien McDonald (Non-Executive Director)</w:t>
            </w:r>
          </w:p>
        </w:tc>
        <w:tc>
          <w:tcPr>
            <w:tcW w:w="1040" w:type="dxa"/>
            <w:vAlign w:val="bottom"/>
          </w:tcPr>
          <w:p>
            <w:pPr>
              <w:spacing w:after="0"/>
              <w:rPr>
                <w:sz w:val="17"/>
                <w:szCs w:val="17"/>
                <w:color w:val="auto"/>
              </w:rPr>
            </w:pPr>
          </w:p>
        </w:tc>
        <w:tc>
          <w:tcPr>
            <w:tcW w:w="3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Professor Suzanne Crowe (Non-Executive Director)</w:t>
            </w: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Grant Thornton Audit Pty Ltd</w:t>
            </w:r>
          </w:p>
        </w:tc>
        <w:tc>
          <w:tcPr>
            <w:tcW w:w="0" w:type="dxa"/>
            <w:vAlign w:val="bottom"/>
          </w:tcPr>
          <w:p>
            <w:pPr>
              <w:spacing w:after="0"/>
              <w:rPr>
                <w:sz w:val="1"/>
                <w:szCs w:val="1"/>
                <w:color w:val="auto"/>
              </w:rPr>
            </w:pPr>
          </w:p>
        </w:tc>
      </w:tr>
      <w:tr>
        <w:trPr>
          <w:trHeight w:val="201"/>
        </w:trPr>
        <w:tc>
          <w:tcPr>
            <w:tcW w:w="4300" w:type="dxa"/>
            <w:vAlign w:val="bottom"/>
            <w:vMerge w:val="restart"/>
          </w:tcPr>
          <w:p>
            <w:pPr>
              <w:spacing w:after="0"/>
              <w:rPr>
                <w:sz w:val="20"/>
                <w:szCs w:val="20"/>
                <w:color w:val="auto"/>
              </w:rPr>
            </w:pPr>
            <w:r>
              <w:rPr>
                <w:rFonts w:ascii="Arial" w:cs="Arial" w:eastAsia="Arial" w:hAnsi="Arial"/>
                <w:sz w:val="17"/>
                <w:szCs w:val="17"/>
                <w:b w:val="1"/>
                <w:bCs w:val="1"/>
                <w:color w:val="auto"/>
              </w:rPr>
              <w:t>Company Secretaries</w:t>
            </w: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w w:val="87"/>
              </w:rPr>
              <w:t>Level 43 Central Park, 152-158 St Georges Terrace</w:t>
            </w:r>
          </w:p>
        </w:tc>
        <w:tc>
          <w:tcPr>
            <w:tcW w:w="0" w:type="dxa"/>
            <w:vAlign w:val="bottom"/>
          </w:tcPr>
          <w:p>
            <w:pPr>
              <w:spacing w:after="0"/>
              <w:rPr>
                <w:sz w:val="1"/>
                <w:szCs w:val="1"/>
                <w:color w:val="auto"/>
              </w:rPr>
            </w:pPr>
          </w:p>
        </w:tc>
      </w:tr>
      <w:tr>
        <w:trPr>
          <w:trHeight w:val="201"/>
        </w:trPr>
        <w:tc>
          <w:tcPr>
            <w:tcW w:w="43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Perth, WA 6000 Australia</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Mr Mark Licciardo and Ms Tamara Barr</w:t>
            </w:r>
          </w:p>
        </w:tc>
        <w:tc>
          <w:tcPr>
            <w:tcW w:w="104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Principal Bankers</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of Mertons Corporate Services Pty Ltd</w:t>
            </w:r>
          </w:p>
        </w:tc>
        <w:tc>
          <w:tcPr>
            <w:tcW w:w="1040" w:type="dxa"/>
            <w:vAlign w:val="bottom"/>
          </w:tcPr>
          <w:p>
            <w:pPr>
              <w:spacing w:after="0"/>
              <w:rPr>
                <w:sz w:val="17"/>
                <w:szCs w:val="17"/>
                <w:color w:val="auto"/>
              </w:rPr>
            </w:pPr>
          </w:p>
        </w:tc>
        <w:tc>
          <w:tcPr>
            <w:tcW w:w="3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00" w:type="dxa"/>
            <w:vAlign w:val="bottom"/>
            <w:vMerge w:val="restart"/>
          </w:tcPr>
          <w:p>
            <w:pPr>
              <w:spacing w:after="0"/>
              <w:rPr>
                <w:sz w:val="20"/>
                <w:szCs w:val="20"/>
                <w:color w:val="auto"/>
              </w:rPr>
            </w:pPr>
            <w:r>
              <w:rPr>
                <w:rFonts w:ascii="Arial" w:cs="Arial" w:eastAsia="Arial" w:hAnsi="Arial"/>
                <w:sz w:val="17"/>
                <w:szCs w:val="17"/>
                <w:b w:val="1"/>
                <w:bCs w:val="1"/>
                <w:color w:val="auto"/>
              </w:rPr>
              <w:t>Registered Office</w:t>
            </w: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National Australia Bank Limited</w:t>
            </w:r>
          </w:p>
        </w:tc>
        <w:tc>
          <w:tcPr>
            <w:tcW w:w="0" w:type="dxa"/>
            <w:vAlign w:val="bottom"/>
          </w:tcPr>
          <w:p>
            <w:pPr>
              <w:spacing w:after="0"/>
              <w:rPr>
                <w:sz w:val="1"/>
                <w:szCs w:val="1"/>
                <w:color w:val="auto"/>
              </w:rPr>
            </w:pPr>
          </w:p>
        </w:tc>
      </w:tr>
      <w:tr>
        <w:trPr>
          <w:trHeight w:val="201"/>
        </w:trPr>
        <w:tc>
          <w:tcPr>
            <w:tcW w:w="43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1238 Hay Street</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c/o Mertons Corporate Services Pty Ltd</w:t>
            </w: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West Perth, WA 6000 Australia</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Level 7</w:t>
            </w:r>
          </w:p>
        </w:tc>
        <w:tc>
          <w:tcPr>
            <w:tcW w:w="104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Stock Exchange</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330 Collins Street</w:t>
            </w:r>
          </w:p>
        </w:tc>
        <w:tc>
          <w:tcPr>
            <w:tcW w:w="1040" w:type="dxa"/>
            <w:vAlign w:val="bottom"/>
          </w:tcPr>
          <w:p>
            <w:pPr>
              <w:spacing w:after="0"/>
              <w:rPr>
                <w:sz w:val="17"/>
                <w:szCs w:val="17"/>
                <w:color w:val="auto"/>
              </w:rPr>
            </w:pPr>
          </w:p>
        </w:tc>
        <w:tc>
          <w:tcPr>
            <w:tcW w:w="3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Melbourne VIC 3000, Australia</w:t>
            </w: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Avita Medical Limited</w:t>
            </w:r>
          </w:p>
        </w:tc>
        <w:tc>
          <w:tcPr>
            <w:tcW w:w="0" w:type="dxa"/>
            <w:vAlign w:val="bottom"/>
          </w:tcPr>
          <w:p>
            <w:pPr>
              <w:spacing w:after="0"/>
              <w:rPr>
                <w:sz w:val="1"/>
                <w:szCs w:val="1"/>
                <w:color w:val="auto"/>
              </w:rPr>
            </w:pPr>
          </w:p>
        </w:tc>
      </w:tr>
      <w:tr>
        <w:trPr>
          <w:trHeight w:val="201"/>
        </w:trPr>
        <w:tc>
          <w:tcPr>
            <w:tcW w:w="4300" w:type="dxa"/>
            <w:vAlign w:val="bottom"/>
            <w:vMerge w:val="restart"/>
          </w:tcPr>
          <w:p>
            <w:pPr>
              <w:spacing w:after="0"/>
              <w:rPr>
                <w:sz w:val="20"/>
                <w:szCs w:val="20"/>
                <w:color w:val="auto"/>
              </w:rPr>
            </w:pPr>
            <w:r>
              <w:rPr>
                <w:rFonts w:ascii="Arial" w:cs="Arial" w:eastAsia="Arial" w:hAnsi="Arial"/>
                <w:sz w:val="17"/>
                <w:szCs w:val="17"/>
                <w:b w:val="1"/>
                <w:bCs w:val="1"/>
                <w:color w:val="auto"/>
              </w:rPr>
              <w:t>Principal Place of Business</w:t>
            </w: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Listed on the Australian Securities Exchange</w:t>
            </w:r>
          </w:p>
        </w:tc>
        <w:tc>
          <w:tcPr>
            <w:tcW w:w="0" w:type="dxa"/>
            <w:vAlign w:val="bottom"/>
          </w:tcPr>
          <w:p>
            <w:pPr>
              <w:spacing w:after="0"/>
              <w:rPr>
                <w:sz w:val="1"/>
                <w:szCs w:val="1"/>
                <w:color w:val="auto"/>
              </w:rPr>
            </w:pPr>
          </w:p>
        </w:tc>
      </w:tr>
      <w:tr>
        <w:trPr>
          <w:trHeight w:val="201"/>
        </w:trPr>
        <w:tc>
          <w:tcPr>
            <w:tcW w:w="43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(ASX Code: AVH)</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28159 Avenue Stanford, Suite 220</w:t>
            </w: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Listed on the OTCQX International</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Valencia, CA 91355</w:t>
            </w:r>
          </w:p>
        </w:tc>
        <w:tc>
          <w:tcPr>
            <w:tcW w:w="104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color w:val="auto"/>
              </w:rPr>
              <w:t>Marketplace in the US (Code: AVMXY)</w:t>
            </w:r>
          </w:p>
        </w:tc>
        <w:tc>
          <w:tcPr>
            <w:tcW w:w="0" w:type="dxa"/>
            <w:vAlign w:val="bottom"/>
          </w:tcPr>
          <w:p>
            <w:pPr>
              <w:spacing w:after="0"/>
              <w:rPr>
                <w:sz w:val="1"/>
                <w:szCs w:val="1"/>
                <w:color w:val="auto"/>
              </w:rPr>
            </w:pPr>
          </w:p>
        </w:tc>
      </w:tr>
      <w:tr>
        <w:trPr>
          <w:trHeight w:val="213"/>
        </w:trPr>
        <w:tc>
          <w:tcPr>
            <w:tcW w:w="4300" w:type="dxa"/>
            <w:vAlign w:val="bottom"/>
          </w:tcPr>
          <w:p>
            <w:pPr>
              <w:spacing w:after="0"/>
              <w:rPr>
                <w:sz w:val="20"/>
                <w:szCs w:val="20"/>
                <w:color w:val="auto"/>
              </w:rPr>
            </w:pPr>
            <w:r>
              <w:rPr>
                <w:rFonts w:ascii="Arial" w:cs="Arial" w:eastAsia="Arial" w:hAnsi="Arial"/>
                <w:sz w:val="17"/>
                <w:szCs w:val="17"/>
                <w:color w:val="auto"/>
              </w:rPr>
              <w:t>USA</w:t>
            </w:r>
          </w:p>
        </w:tc>
        <w:tc>
          <w:tcPr>
            <w:tcW w:w="1040" w:type="dxa"/>
            <w:vAlign w:val="bottom"/>
          </w:tcPr>
          <w:p>
            <w:pPr>
              <w:spacing w:after="0"/>
              <w:rPr>
                <w:sz w:val="18"/>
                <w:szCs w:val="18"/>
                <w:color w:val="auto"/>
              </w:rPr>
            </w:pPr>
          </w:p>
        </w:tc>
        <w:tc>
          <w:tcPr>
            <w:tcW w:w="3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Internet Address</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00" w:type="dxa"/>
            <w:vAlign w:val="bottom"/>
          </w:tcPr>
          <w:p>
            <w:pPr>
              <w:spacing w:after="0" w:line="180" w:lineRule="exact"/>
              <w:rPr>
                <w:sz w:val="20"/>
                <w:szCs w:val="20"/>
                <w:color w:val="auto"/>
              </w:rPr>
            </w:pPr>
            <w:r>
              <w:rPr>
                <w:rFonts w:ascii="Arial" w:cs="Arial" w:eastAsia="Arial" w:hAnsi="Arial"/>
                <w:sz w:val="17"/>
                <w:szCs w:val="17"/>
                <w:b w:val="1"/>
                <w:bCs w:val="1"/>
                <w:color w:val="auto"/>
              </w:rPr>
              <w:t>Share Register</w:t>
            </w:r>
          </w:p>
        </w:tc>
        <w:tc>
          <w:tcPr>
            <w:tcW w:w="1040" w:type="dxa"/>
            <w:vAlign w:val="bottom"/>
          </w:tcPr>
          <w:p>
            <w:pPr>
              <w:spacing w:after="0"/>
              <w:rPr>
                <w:sz w:val="15"/>
                <w:szCs w:val="15"/>
                <w:color w:val="auto"/>
              </w:rPr>
            </w:pPr>
          </w:p>
        </w:tc>
        <w:tc>
          <w:tcPr>
            <w:tcW w:w="344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www.avitamedical.com</w:t>
            </w:r>
          </w:p>
        </w:tc>
        <w:tc>
          <w:tcPr>
            <w:tcW w:w="0" w:type="dxa"/>
            <w:vAlign w:val="bottom"/>
          </w:tcPr>
          <w:p>
            <w:pPr>
              <w:spacing w:after="0"/>
              <w:rPr>
                <w:sz w:val="1"/>
                <w:szCs w:val="1"/>
                <w:color w:val="auto"/>
              </w:rPr>
            </w:pPr>
          </w:p>
        </w:tc>
      </w:tr>
      <w:tr>
        <w:trPr>
          <w:trHeight w:val="206"/>
        </w:trPr>
        <w:tc>
          <w:tcPr>
            <w:tcW w:w="4300" w:type="dxa"/>
            <w:vAlign w:val="bottom"/>
          </w:tcPr>
          <w:p>
            <w:pPr>
              <w:spacing w:after="0"/>
              <w:rPr>
                <w:sz w:val="20"/>
                <w:szCs w:val="20"/>
                <w:color w:val="auto"/>
              </w:rPr>
            </w:pPr>
            <w:r>
              <w:rPr>
                <w:rFonts w:ascii="Arial" w:cs="Arial" w:eastAsia="Arial" w:hAnsi="Arial"/>
                <w:sz w:val="17"/>
                <w:szCs w:val="17"/>
                <w:color w:val="auto"/>
              </w:rPr>
              <w:t>Computershare Investor Services Pty Limited</w:t>
            </w:r>
          </w:p>
        </w:tc>
        <w:tc>
          <w:tcPr>
            <w:tcW w:w="104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20"/>
                <w:szCs w:val="20"/>
                <w:color w:val="auto"/>
              </w:rPr>
            </w:pPr>
            <w:r>
              <w:rPr>
                <w:rFonts w:ascii="Arial" w:cs="Arial" w:eastAsia="Arial" w:hAnsi="Arial"/>
                <w:sz w:val="17"/>
                <w:szCs w:val="17"/>
                <w:color w:val="auto"/>
              </w:rPr>
              <w:t>Level 11, 172 St Georges Terrace</w:t>
            </w:r>
          </w:p>
        </w:tc>
        <w:tc>
          <w:tcPr>
            <w:tcW w:w="10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tcPr>
          <w:p>
            <w:pPr>
              <w:spacing w:after="0"/>
              <w:rPr>
                <w:sz w:val="20"/>
                <w:szCs w:val="20"/>
                <w:color w:val="auto"/>
              </w:rPr>
            </w:pPr>
            <w:r>
              <w:rPr>
                <w:rFonts w:ascii="Arial" w:cs="Arial" w:eastAsia="Arial" w:hAnsi="Arial"/>
                <w:sz w:val="17"/>
                <w:szCs w:val="17"/>
                <w:color w:val="auto"/>
              </w:rPr>
              <w:t>Perth, WA 6000 Australia</w:t>
            </w:r>
          </w:p>
        </w:tc>
        <w:tc>
          <w:tcPr>
            <w:tcW w:w="1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4300" w:type="dxa"/>
            <w:vAlign w:val="bottom"/>
          </w:tcPr>
          <w:p>
            <w:pPr>
              <w:spacing w:after="0"/>
              <w:rPr>
                <w:sz w:val="24"/>
                <w:szCs w:val="24"/>
                <w:color w:val="auto"/>
              </w:rPr>
            </w:pPr>
          </w:p>
        </w:tc>
        <w:tc>
          <w:tcPr>
            <w:tcW w:w="1040" w:type="dxa"/>
            <w:vAlign w:val="bottom"/>
          </w:tcPr>
          <w:p>
            <w:pPr>
              <w:jc w:val="right"/>
              <w:ind w:right="76"/>
              <w:spacing w:after="0"/>
              <w:rPr>
                <w:sz w:val="20"/>
                <w:szCs w:val="20"/>
                <w:color w:val="auto"/>
              </w:rPr>
            </w:pPr>
            <w:r>
              <w:rPr>
                <w:rFonts w:ascii="Arial" w:cs="Arial" w:eastAsia="Arial" w:hAnsi="Arial"/>
                <w:sz w:val="17"/>
                <w:szCs w:val="17"/>
                <w:color w:val="auto"/>
              </w:rPr>
              <w:t>3</w:t>
            </w: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820" w:top="261" w:right="8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LETTER FROM THE CHAIRMAN and CEO</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Dear Shareholders:</w:t>
      </w:r>
    </w:p>
    <w:p>
      <w:pPr>
        <w:spacing w:after="0" w:line="10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It is our privilege to write to you after a truly transformative year at AVITA Medical. As you likely recall, we were granted approval by the U.S. Food and Drug Administration (FDA) of the preliminary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(RECELL System) for the treatment of acute thermal burns in adults in September 2018. Building upon that success, in January of this year, we formally launched our U.S. sales field force, and began selling RECELL to burn centres in the U.S. This has been met by much enthusiasm from doctors, and we are very proud of the team in bringing this innovative technology to burn patients.</w:t>
      </w:r>
    </w:p>
    <w:p>
      <w:pPr>
        <w:spacing w:after="0" w:line="181"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Our ongoing successes are the result of the dedicated efforts and investments made over multiple years by our employees, medical professionals, patients and shareholders. While our excellent regulatory team guided us to premarket approval in September 2018, the financial year 2019 was also a busy time for our commercial team. With our direct sales force of 21 representatives now deployed across the U.S., at our most recent update, we reported that we have sold product into 41 of the 134 U.S. burn centres to date, and 136 of 300 burn surgeons at 59 U.S. burn centres have been trained and have performed a RECELL procedure. Note that U.S. burn centres follow a fairly standard process of evaluating the device and thereafter taking it through their hospital’s Value Analysis Committee (VAC) before they are able to purchase the product. These evaluations and VAC approvals usually take 6 or more months to complete, so we are extremely proud of our team’s efforts in rapidly onboarding centres, as well as with the demand and interest for the product that we are seeing from surgeons.</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had another strong showing this year at the leading U.S. burn conference, the 51st annual meeting of the American Burn Association (ABA), and we were able to report the positive results obtained in patient treatment using the RECELL System in a broad range of patient populations and burn types. This year we had 10 presentations highlighting successful outcomes and our presentation reporting on use in paediatric patients was selected, out of over 500 submissions, as one of the “Best of the Best Abstracts” at the meeting. Additionally, our 2018 publication in the Journal of Burn Care &amp; Research of the RECELL System pivotal trial in second-degree burns was recognized during the “The Year in Review: The Top Journal Publications” session of the ABA meeting. While those two examples certainly underscore our overall success in the field, during the financial year 2019 we delivered over 50 RECELL presentations at over 15 conferences and medical meetings.</w:t>
      </w:r>
    </w:p>
    <w:p>
      <w:pPr>
        <w:spacing w:after="0" w:line="171" w:lineRule="exact"/>
        <w:rPr>
          <w:sz w:val="20"/>
          <w:szCs w:val="20"/>
          <w:color w:val="auto"/>
        </w:rPr>
      </w:pPr>
    </w:p>
    <w:p>
      <w:pPr>
        <w:ind w:right="360"/>
        <w:spacing w:after="0" w:line="254" w:lineRule="auto"/>
        <w:rPr>
          <w:sz w:val="20"/>
          <w:szCs w:val="20"/>
          <w:color w:val="auto"/>
        </w:rPr>
      </w:pPr>
      <w:r>
        <w:rPr>
          <w:rFonts w:ascii="Arial" w:cs="Arial" w:eastAsia="Arial" w:hAnsi="Arial"/>
          <w:sz w:val="17"/>
          <w:szCs w:val="17"/>
          <w:color w:val="auto"/>
        </w:rPr>
        <w:t>With our success in adult burns having been demonstrated, we are now working to expand our RECELL FDA label to include paediatric burns and scalds, as well as trauma indications. Paediatric burns is a large market and one that unfortunately touches many patients and families. FDA has approved an Investigational Device Exemption (IDE) for our U.S. Soft-Tissue Repair Clinical Study, which we have confidence will provide robust pivotal data in support of a trauma indication.</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Our R&amp;D efforts continue to progress, and we have also spent this last year building our pipeline of future opportunities. In addition to paediatric burns and trauma wounds, we’ve also made strides in the clinic with our vitiligo treatment, which presents a relatively untapped market for us to pursue. In June 2019, RECELL System data were presented at the 24th annual World Congress of Dermatology Meeting June 10-15, 2019, in Milan, Italy. Three posters at the World Congress of Dermatology highlighted the potential use of the RECELL System for the treatment of vitiligo and facial acne scars. In the financial year 2021, AVITA expects to commence a pivotal/registration study of the RECELL System for the treatment of patients with vitiligo and anticipates, in collaboration with COSMOTEC, an M3 Group company, securing market approval and reimbursement of the RECELL System in Japan.</w:t>
      </w:r>
    </w:p>
    <w:p>
      <w:pPr>
        <w:spacing w:after="0" w:line="153"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Outside of the U.S., we continue to supply and support our existing users while maintaining our plan to devote limited commercial resources to the select geographical regions in which the RECELL System is already approved for sale. We continue to supply and support our existing users. We will continue to make investments where it makes sense, such as in our announced collaboration agreement with COSMOTEC for Japan. Our expectation is that in the near term, we will devote most of our commercial efforts and resources to ensuring a successful and growing U.S. presence, the largest market for the treatment of burns. As we achieve successes in securing new indications via our advancement’s efforts, especially in vitiligo, our commercial plan will likely broaden geographically.</w:t>
      </w:r>
    </w:p>
    <w:p>
      <w:pPr>
        <w:spacing w:after="0" w:line="181"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On September 19, 2019 we filed a registration statement on Form 20-F under the Securities Exchange Act of 1934 with the Securities and Exchange Commission (“SEC”) relating to the registration in the United States of our class of American Depositary Shares representing ordinary shares of the Company. The registration statement was declared effective by the SEC on September 27, 2019, and the Company has commenced trading of our American Depositary Shares on The Nasdaq Capital Market on October 1, 2019. We view the Nasdaq listing as a natural extension of our growth plan and an exciting next step for AVITA Medical. Our transition to a senior U.S. exchange provides broader access to investors in the United States and worldwide, building on our established ASX shareholder base.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60"/>
          </w:cols>
          <w:pgMar w:left="820" w:top="261" w:right="819" w:bottom="1440" w:gutter="0" w:footer="0" w:header="0"/>
        </w:sectPr>
      </w:pPr>
    </w:p>
    <w:bookmarkStart w:id="7" w:name="page8"/>
    <w:bookmarkEnd w:id="7"/>
    <w:p>
      <w:pPr>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Overall, it’s a time of much growth at AVITA and we continue to be immensely excited about the opportunities available to us to make a material difference in the lives of patients. Our Board of Directors is committed to working alongside management to achieve these results and to consistently deliver value for our shareholders. We truly appreciate the ongoing support of all our shareholders, employees, the Biomedical Advanced Research and Development Authority (BARDA), medical professionals and patients, and we look forward to updating you on our future successes.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806450" cy="806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6450" cy="806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Lou Panaccio</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Non-Executive Chairman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AVITA Medical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1141730" cy="487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1730" cy="48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Dr Michael Perry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AVITA Medical</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140"/>
          </w:cols>
          <w:pgMar w:left="820" w:top="265" w:right="9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Your Directors present their report with respect to the results of Avita Medical Limited (the “Company”) for the year ended 30 June 2019 and the of the Company at that date. Avita Medical Limited is a company limited by shares that is incorporated and domiciled in Australia. The Company has prepared this consolidated financial report incorporating the entities that it controlled during the financial period.</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pacing w:after="0" w:line="110"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The names and details of the Company’s Directors in office during the financial year and until the date of this report are as follows. Directors were in office for this entire period unless otherwise stated.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Lou Panaccio</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Chairman)</w:t>
      </w:r>
    </w:p>
    <w:p>
      <w:pPr>
        <w:spacing w:after="0" w:line="11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Mr Panaccio is a healthcare businessman with extensive experience progressing companies from concept to commercialisation, was appointed to the role of Chairman of the Board, effective from 1 July 2014. Mr Panaccio possesses more than 30 years’ executive leadership experience in healthcare services and life sciences, including more than 20 years’ board-level experience. Mr Panaccio is currently a Non-Executive Director of ASX50 company and one of the world’s largest medical diagnostics companies, Sonic Healthcare Limited, where he has served since 2005. In addition to his Sonic Healthcare Limited role, Mr Panaccio is Non-Executive Director of Unison Housing Limited, Non-Executive Chairman of Genera Biosystems Limited, and a Non-Executive Director of Rhythm Biosciences Limited. Mr Panaccio has also served in executive and board roles with Melbourne Pathology Group, Monash IVF Group, Primelife Corporation Limited, Health Networks Australia Group and other private entities. During the past three years Mr Panaccio has also served as a Director of the following other listed companies:</w:t>
      </w:r>
    </w:p>
    <w:p>
      <w:pPr>
        <w:spacing w:after="0" w:line="85" w:lineRule="exact"/>
        <w:rPr>
          <w:sz w:val="20"/>
          <w:szCs w:val="20"/>
          <w:color w:val="auto"/>
        </w:rPr>
      </w:pPr>
    </w:p>
    <w:p>
      <w:pPr>
        <w:ind w:left="920" w:hanging="412"/>
        <w:spacing w:after="0"/>
        <w:tabs>
          <w:tab w:leader="none" w:pos="920" w:val="left"/>
        </w:tabs>
        <w:numPr>
          <w:ilvl w:val="1"/>
          <w:numId w:val="1"/>
        </w:numPr>
        <w:rPr>
          <w:rFonts w:ascii="Arial" w:cs="Arial" w:eastAsia="Arial" w:hAnsi="Arial"/>
          <w:sz w:val="17"/>
          <w:szCs w:val="17"/>
          <w:color w:val="auto"/>
        </w:rPr>
      </w:pPr>
      <w:r>
        <w:rPr>
          <w:rFonts w:ascii="Arial" w:cs="Arial" w:eastAsia="Arial" w:hAnsi="Arial"/>
          <w:sz w:val="17"/>
          <w:szCs w:val="17"/>
          <w:color w:val="auto"/>
        </w:rPr>
        <w:t>Sonic Healthcare Limited (ASX)* (Appointed June 2005)</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1"/>
          <w:numId w:val="1"/>
        </w:numPr>
        <w:rPr>
          <w:rFonts w:ascii="Arial" w:cs="Arial" w:eastAsia="Arial" w:hAnsi="Arial"/>
          <w:sz w:val="17"/>
          <w:szCs w:val="17"/>
          <w:color w:val="auto"/>
        </w:rPr>
      </w:pPr>
      <w:r>
        <w:rPr>
          <w:rFonts w:ascii="Arial" w:cs="Arial" w:eastAsia="Arial" w:hAnsi="Arial"/>
          <w:sz w:val="17"/>
          <w:szCs w:val="17"/>
          <w:color w:val="auto"/>
        </w:rPr>
        <w:t>Genera Biosystems Limited (ASX)* (Appointed 25 November 2010 until 28 June 2019)</w:t>
      </w:r>
    </w:p>
    <w:p>
      <w:pPr>
        <w:spacing w:after="0" w:line="118" w:lineRule="exact"/>
        <w:rPr>
          <w:rFonts w:ascii="Arial" w:cs="Arial" w:eastAsia="Arial" w:hAnsi="Arial"/>
          <w:sz w:val="17"/>
          <w:szCs w:val="17"/>
          <w:color w:val="auto"/>
        </w:rPr>
      </w:pPr>
    </w:p>
    <w:p>
      <w:pPr>
        <w:ind w:right="4920" w:firstLine="508"/>
        <w:spacing w:after="0" w:line="546" w:lineRule="auto"/>
        <w:tabs>
          <w:tab w:leader="none" w:pos="905" w:val="left"/>
        </w:tabs>
        <w:numPr>
          <w:ilvl w:val="1"/>
          <w:numId w:val="1"/>
        </w:numPr>
        <w:rPr>
          <w:rFonts w:ascii="Arial" w:cs="Arial" w:eastAsia="Arial" w:hAnsi="Arial"/>
          <w:sz w:val="17"/>
          <w:szCs w:val="17"/>
          <w:color w:val="auto"/>
        </w:rPr>
      </w:pPr>
      <w:r>
        <w:rPr>
          <w:rFonts w:ascii="Arial" w:cs="Arial" w:eastAsia="Arial" w:hAnsi="Arial"/>
          <w:sz w:val="17"/>
          <w:szCs w:val="17"/>
          <w:color w:val="auto"/>
        </w:rPr>
        <w:t>Rhythm Biosciences Limited (ASX)* (Appointed 1 August 2017) * denotes current directorship</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 Michael Perry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Director)</w:t>
      </w:r>
    </w:p>
    <w:p>
      <w:pPr>
        <w:spacing w:after="0" w:line="94"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Dr Perry was appointed to the Board on 4 February 2013 and currently serves as Chief Executive Officer of the Company. From 2016 – 2017, he served as Senior Vice President and Chief Scientific Officer of Global Business Development and Licensing for Novartis AG. From 2014 – 2016, Dr Perry served as Chief Scientific Officer of Novartis’ Cell and Gene Therapy Unit and from 2012 – 2014 he served as Vice President and Global Head of Stem Cell Therapy for Novartis Pharmaceuticals Corp, a US affiliate of Switzerland-based Novartis AG. Dr Perry, based in the United States, has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early-stage biotech companies. He also previously served as a Venture Partner with Bay City Capital, LLC based in San Francisco California. During the past three years Dr Perry has also served as a Director of the following other listed companies:</w:t>
      </w:r>
    </w:p>
    <w:p>
      <w:pPr>
        <w:spacing w:after="0" w:line="72" w:lineRule="exact"/>
        <w:rPr>
          <w:sz w:val="20"/>
          <w:szCs w:val="20"/>
          <w:color w:val="auto"/>
        </w:rPr>
      </w:pPr>
    </w:p>
    <w:p>
      <w:pPr>
        <w:ind w:left="920" w:hanging="412"/>
        <w:spacing w:after="0"/>
        <w:tabs>
          <w:tab w:leader="none" w:pos="920" w:val="left"/>
        </w:tabs>
        <w:numPr>
          <w:ilvl w:val="1"/>
          <w:numId w:val="2"/>
        </w:numPr>
        <w:rPr>
          <w:rFonts w:ascii="Arial" w:cs="Arial" w:eastAsia="Arial" w:hAnsi="Arial"/>
          <w:sz w:val="17"/>
          <w:szCs w:val="17"/>
          <w:color w:val="auto"/>
        </w:rPr>
      </w:pPr>
      <w:r>
        <w:rPr>
          <w:rFonts w:ascii="Arial" w:cs="Arial" w:eastAsia="Arial" w:hAnsi="Arial"/>
          <w:sz w:val="17"/>
          <w:szCs w:val="17"/>
          <w:color w:val="auto"/>
        </w:rPr>
        <w:t>Arrowhead Pharmaceuticals (NASDAQ)* (Appointed December 2011)</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AmpliPhi Biosciences Corporation Inc (NYSE) (Appointed November 2005 until May 2019)</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1"/>
          <w:numId w:val="2"/>
        </w:numPr>
        <w:rPr>
          <w:rFonts w:ascii="Arial" w:cs="Arial" w:eastAsia="Arial" w:hAnsi="Arial"/>
          <w:sz w:val="17"/>
          <w:szCs w:val="17"/>
          <w:color w:val="auto"/>
        </w:rPr>
      </w:pPr>
      <w:r>
        <w:rPr>
          <w:rFonts w:ascii="Arial" w:cs="Arial" w:eastAsia="Arial" w:hAnsi="Arial"/>
          <w:sz w:val="17"/>
          <w:szCs w:val="17"/>
          <w:color w:val="auto"/>
        </w:rPr>
        <w:t>Gamida Cell Ltd* (Appointed June 2017)</w:t>
      </w:r>
    </w:p>
    <w:p>
      <w:pPr>
        <w:spacing w:after="0" w:line="118" w:lineRule="exact"/>
        <w:rPr>
          <w:rFonts w:ascii="Arial" w:cs="Arial" w:eastAsia="Arial" w:hAnsi="Arial"/>
          <w:sz w:val="17"/>
          <w:szCs w:val="17"/>
          <w:color w:val="auto"/>
        </w:rPr>
      </w:pPr>
    </w:p>
    <w:p>
      <w:pPr>
        <w:ind w:right="5120" w:firstLine="508"/>
        <w:spacing w:after="0" w:line="546" w:lineRule="auto"/>
        <w:tabs>
          <w:tab w:leader="none" w:pos="905" w:val="left"/>
        </w:tabs>
        <w:numPr>
          <w:ilvl w:val="1"/>
          <w:numId w:val="2"/>
        </w:numPr>
        <w:rPr>
          <w:rFonts w:ascii="Arial" w:cs="Arial" w:eastAsia="Arial" w:hAnsi="Arial"/>
          <w:sz w:val="17"/>
          <w:szCs w:val="17"/>
          <w:color w:val="auto"/>
        </w:rPr>
      </w:pPr>
      <w:r>
        <w:rPr>
          <w:rFonts w:ascii="Arial" w:cs="Arial" w:eastAsia="Arial" w:hAnsi="Arial"/>
          <w:sz w:val="17"/>
          <w:szCs w:val="17"/>
          <w:color w:val="auto"/>
        </w:rPr>
        <w:t>Armata Pharmaceuticals, Inc (NYSE)* (Appointed May 2019) * denotes current directorship</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Jeremy Curnock Cook</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Director)</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Mr Curnock Cook was appointed to the Board on 19 October 2012 and is currently on several boards of International Healthcare and Biotechnology companies. He is the former head of the life science private equity team at Rothschild Asset Management, was responsible for the launch of the first dedicated biotechnology fund for the Australian market and the conception and launch of the International Biotechnology Trust. He is currently the Managing Director of Bioscience Managers Pty Ltd, responsible for the BM Asia Pacific Healthcare Fund, Chairman of International Bioscience Managers Ltd and Avena Therapeutics and Non-Executive Director of Rex Bionics Pty Ltd, SummatiX Ltd and Smart Matrix Ltd. During the past three years Mr Curnock Cook has also served as a director of the following other listed companies:</w:t>
      </w:r>
    </w:p>
    <w:p>
      <w:pPr>
        <w:spacing w:after="0" w:line="78" w:lineRule="exact"/>
        <w:rPr>
          <w:sz w:val="20"/>
          <w:szCs w:val="20"/>
          <w:color w:val="auto"/>
        </w:rPr>
      </w:pPr>
    </w:p>
    <w:p>
      <w:pPr>
        <w:ind w:left="920" w:hanging="41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Phylogica Limited (ASX) (Appointed March 2012, resigned April 2017)</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Adherium Ltd (ASX)* (Appointed July 2015)</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AmpliPhi Biosciences Corporation Inc (NYSE)* (Appointed November 2005 until May 2019)</w:t>
      </w:r>
    </w:p>
    <w:p>
      <w:pPr>
        <w:sectPr>
          <w:pgSz w:w="11900" w:h="16838" w:orient="portrait"/>
          <w:cols w:equalWidth="0" w:num="1">
            <w:col w:w="10240"/>
          </w:cols>
          <w:pgMar w:left="820" w:top="261" w:right="839" w:bottom="1440" w:gutter="0" w:footer="0" w:header="0"/>
        </w:sectPr>
      </w:pP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240"/>
          </w:cols>
          <w:pgMar w:left="820" w:top="261" w:right="8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32" w:lineRule="exact"/>
        <w:rPr>
          <w:sz w:val="20"/>
          <w:szCs w:val="20"/>
          <w:color w:val="auto"/>
        </w:rPr>
      </w:pPr>
    </w:p>
    <w:p>
      <w:pPr>
        <w:ind w:left="920" w:hanging="412"/>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Sea Dragon Limited (NZX)* (Alternate Director) (Appointed October 2012)</w:t>
      </w:r>
    </w:p>
    <w:p>
      <w:pPr>
        <w:spacing w:after="0" w:line="118" w:lineRule="exact"/>
        <w:rPr>
          <w:rFonts w:ascii="Arial" w:cs="Arial" w:eastAsia="Arial" w:hAnsi="Arial"/>
          <w:sz w:val="17"/>
          <w:szCs w:val="17"/>
          <w:color w:val="auto"/>
        </w:rPr>
      </w:pPr>
    </w:p>
    <w:p>
      <w:pPr>
        <w:ind w:right="5120" w:firstLine="508"/>
        <w:spacing w:after="0" w:line="546" w:lineRule="auto"/>
        <w:tabs>
          <w:tab w:leader="none" w:pos="905" w:val="left"/>
        </w:tabs>
        <w:numPr>
          <w:ilvl w:val="1"/>
          <w:numId w:val="4"/>
        </w:numPr>
        <w:rPr>
          <w:rFonts w:ascii="Arial" w:cs="Arial" w:eastAsia="Arial" w:hAnsi="Arial"/>
          <w:sz w:val="17"/>
          <w:szCs w:val="17"/>
          <w:color w:val="auto"/>
        </w:rPr>
      </w:pPr>
      <w:r>
        <w:rPr>
          <w:rFonts w:ascii="Arial" w:cs="Arial" w:eastAsia="Arial" w:hAnsi="Arial"/>
          <w:sz w:val="17"/>
          <w:szCs w:val="17"/>
          <w:color w:val="auto"/>
        </w:rPr>
        <w:t>Armata Pharmaceuticals, Inc (NYSE)* (Appointed May 2019) * denotes current directorship</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Louis Drapeau</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Director)</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Mr Louis Drapeau was appointed to the Board on 13 January 2016 and brings considerable expertise in both the biotech sector and the financial rigour required of US public companies. Mr Drapeau is an Independent Director at AmphliPhi Biosciences Corporation (NYSE) and Surface Pharmaceuticals, Inc. Mr Drapeau has held senior positions with Insite Vision Inc., Nektar Therapeutics and BioMarin Pharmaceutical, Inc., and has been an Audit Partner at Arthur Andersen LLP. Mr Drapeau has formally been an Independent Director at Bio-Rad Laboratories, (NYSE), InterMune, Inc. (NASDAQ), Bionovo, Inc. (NASDAQ), and Inflazyme Pharmaceuticals Ltd (TSE). He has an MBA from Stanford University. During the past three years Mr Louis Drapeau has also served as a director of the following other listed companies:</w:t>
      </w:r>
    </w:p>
    <w:p>
      <w:pPr>
        <w:spacing w:after="0" w:line="78" w:lineRule="exact"/>
        <w:rPr>
          <w:sz w:val="20"/>
          <w:szCs w:val="20"/>
          <w:color w:val="auto"/>
        </w:rPr>
      </w:pPr>
    </w:p>
    <w:p>
      <w:pPr>
        <w:ind w:left="920" w:hanging="412"/>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AmpliPhi Biosciences Corporation Inc (NYSE)* (Appointed March 2011 until May 2019)</w:t>
      </w:r>
    </w:p>
    <w:p>
      <w:pPr>
        <w:spacing w:after="0" w:line="118" w:lineRule="exact"/>
        <w:rPr>
          <w:rFonts w:ascii="Arial" w:cs="Arial" w:eastAsia="Arial" w:hAnsi="Arial"/>
          <w:sz w:val="17"/>
          <w:szCs w:val="17"/>
          <w:color w:val="auto"/>
        </w:rPr>
      </w:pPr>
    </w:p>
    <w:p>
      <w:pPr>
        <w:ind w:right="4580" w:firstLine="508"/>
        <w:spacing w:after="0" w:line="407" w:lineRule="auto"/>
        <w:tabs>
          <w:tab w:leader="none" w:pos="905" w:val="left"/>
        </w:tabs>
        <w:numPr>
          <w:ilvl w:val="1"/>
          <w:numId w:val="5"/>
        </w:numPr>
        <w:rPr>
          <w:rFonts w:ascii="Arial" w:cs="Arial" w:eastAsia="Arial" w:hAnsi="Arial"/>
          <w:sz w:val="17"/>
          <w:szCs w:val="17"/>
          <w:color w:val="auto"/>
        </w:rPr>
      </w:pPr>
      <w:r>
        <w:rPr>
          <w:rFonts w:ascii="Arial" w:cs="Arial" w:eastAsia="Arial" w:hAnsi="Arial"/>
          <w:sz w:val="17"/>
          <w:szCs w:val="17"/>
          <w:color w:val="auto"/>
        </w:rPr>
        <w:t>BIO-RAD Laboratories Inc (NYSE) (Appointed 2007, Resigned 2017) * denotes current directorship</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Mr Damien McDonald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Director)</w:t>
      </w:r>
    </w:p>
    <w:p>
      <w:pPr>
        <w:spacing w:after="0" w:line="9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UK-based Mr Damien McDonald was appointed to the Board on 13 January 2016 and has a proven track record of achieving value in the medical device space. Mr McDonald is currently CEO of LivaNova PLC having previously served as Chief Operating Officer. Prior to that, he was a Group Executive and Corporate Vice President at NYSE-listed Danaher Corporation, a multinational science and technology innovation company that acquires and produces life science and industrial products and brands, where he led a $1.5 billion group of dental consumable companies. Earlier in his tenure, he was Group President of Kerr where he and his team focused on building a strong research and development pipeline while improving operational performance utilising the Denaher Business System. He has also previously worked for Merck &amp;Co, Johnson &amp; Johnson and Zimmer. He has bachelor’s degrees in both pharmacy and economics from the University of Queensland, a master’s degree in International Economics from the University of Wales, and an MBA from IMD of Lausanne, Switzerland. During the past three years Mr Damien McDonald has also served as a director of the following other listed companies:</w:t>
      </w:r>
    </w:p>
    <w:p>
      <w:pPr>
        <w:spacing w:after="0" w:line="81" w:lineRule="exact"/>
        <w:rPr>
          <w:sz w:val="20"/>
          <w:szCs w:val="20"/>
          <w:color w:val="auto"/>
        </w:rPr>
      </w:pPr>
    </w:p>
    <w:p>
      <w:pPr>
        <w:ind w:right="5280" w:firstLine="508"/>
        <w:spacing w:after="0" w:line="407" w:lineRule="auto"/>
        <w:tabs>
          <w:tab w:leader="none" w:pos="905" w:val="left"/>
        </w:tabs>
        <w:numPr>
          <w:ilvl w:val="1"/>
          <w:numId w:val="6"/>
        </w:numPr>
        <w:rPr>
          <w:rFonts w:ascii="Arial" w:cs="Arial" w:eastAsia="Arial" w:hAnsi="Arial"/>
          <w:sz w:val="17"/>
          <w:szCs w:val="17"/>
          <w:color w:val="auto"/>
        </w:rPr>
      </w:pPr>
      <w:r>
        <w:rPr>
          <w:rFonts w:ascii="Arial" w:cs="Arial" w:eastAsia="Arial" w:hAnsi="Arial"/>
          <w:sz w:val="17"/>
          <w:szCs w:val="17"/>
          <w:color w:val="auto"/>
        </w:rPr>
        <w:t>LivaNova PLC (NASDAQ GS) * (Appointed January 2017) * denotes current directorship</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Professor Suzanne Crowe (AM)</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Director)</w:t>
      </w:r>
    </w:p>
    <w:p>
      <w:pPr>
        <w:spacing w:after="0" w:line="9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Professor Suzanne Crowe AM was appointed to the Board on 13 January 2016. Australian-based, she is a physician-scientist and company director with extensive expertise in supporting companies with their medical and scientific strategies. Prof Crowe is a Principal Research Fellow of the Australian National Health and Medical Research Council. She is a Principal Specialist in Infectious Diseases at The Alfred Hospital, Melbourne and Adjunct Professor of Medicine and Infectious Diseases at Monash University, Melbourne, and has published more than 200 peer-reviewed papers. Prof Crowe is a member of the Australian Institute of Company Directors and is a Director of St Vincents Health Australia. Prof Crowe was appointed as a Member of the Order of Australia (AM) in 2011 to recognise her service to medical research in HIV/AIDS. She has medical and MD degrees from Monash University, an internal medicine specialist qualification in Infectious Diseases from the Royal Australasian College of Physicians, and a Diploma in Medical Laboratory Technology from the Royal Melbourne Institute of Technology.</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SECRETARIES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 Licciardo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Company Secretary)</w:t>
      </w:r>
    </w:p>
    <w:p>
      <w:pPr>
        <w:spacing w:after="0" w:line="94"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Mark Licciardo, (B Bus (Acc), GradDip CSP, FGIA, GAICD) was appointed as Joint Company Secretary on 19 March 2018. Mark is Managing Director of Mertons Corporate Services Pty Ltd (Mertons) which provides company secretarial and corporate governance consulting services to ASX listed and unlisted public and private companies. Prior to establishing Mertons, he was Company Secretary of the Transurban Group and Australian Foundation Investment Company Limited. He has also had an extensive commercial banking career with the Commonwealth Bank and State Bank Victoria. Mark is a former Chairman of the Governance Institute Australia (GIA) in Victoria and the Melbourne Fringe Festival, a fellow of GIA, the Institute of Chartered Secretaries (CIS), the Australian Institute of Company Directors (AICD) and former Non-Executive Director of iCar Asia Limited. Mr Licciardo is currently a Non-Executive Director of ASX listed Frontier Digital Ventures Limited and Mobilicom Limited as well as several other public and private companies.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40"/>
          </w:cols>
          <w:pgMar w:left="820" w:top="261" w:right="8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Kate Goland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Company Secretary)</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Kate Goland, (CPA, GIA (Cert)) was appointed as Joint Company Secretary on 19 March 2018 until 11 September 2019. Kate works with Mertons Corporate Services and is an experienced accounting and company secretarial professional. She has demonstrated expertise in supporting clients in meeting their corporate obligations and ASIC compliance requirements. She joined Mertons from BDO where she assisted clients within the company secretarial division. Kate is a current Company Secretary of various public and private companies. She has a strong understanding of corporate compliance matters.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Tamara Barr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Company Secretary)</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Tamara Barr, (GIA (Cert)) was appointed as Joint Company Secretary on 11 September 2019. Tamara Barr has extensive experience as a Company Secretary, working predominantly within the financial services sector for both Australian ASX listed companies and UK unlisted companies. Her experience includes leading a team of company secretaries for a prominent Lloyd’s of London insurance company, Assistant Company Secretary for Australia’s largest listed investment company (Australian Foundation Investment Company), and its sister companies, and providing company secretarial services to corporate finance clients. As a corporate governance professional, she has solid experience in due diligence, corporate finance administration, market research, investor relations and restructuring (procedure and process development). Tamara is currently a Corporate Governance Advisor and Company Secretary to various public and private companies.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in the Shares and Options of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As at the date of this report, the interests of the Directors in the shares and options of the Company were:</w:t>
      </w:r>
    </w:p>
    <w:p>
      <w:pPr>
        <w:spacing w:after="0" w:line="213"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5"/>
              </w:rPr>
              <w:t>Number of</w:t>
            </w:r>
          </w:p>
        </w:tc>
        <w:tc>
          <w:tcPr>
            <w:tcW w:w="14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38"/>
        </w:trPr>
        <w:tc>
          <w:tcPr>
            <w:tcW w:w="3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4"/>
              </w:rPr>
              <w:t>Options over Ordinary</w:t>
            </w:r>
          </w:p>
        </w:tc>
        <w:tc>
          <w:tcPr>
            <w:tcW w:w="0" w:type="dxa"/>
            <w:vAlign w:val="bottom"/>
          </w:tcPr>
          <w:p>
            <w:pPr>
              <w:spacing w:after="0"/>
              <w:rPr>
                <w:sz w:val="1"/>
                <w:szCs w:val="1"/>
                <w:color w:val="auto"/>
              </w:rPr>
            </w:pPr>
          </w:p>
        </w:tc>
      </w:tr>
      <w:tr>
        <w:trPr>
          <w:trHeight w:val="159"/>
        </w:trPr>
        <w:tc>
          <w:tcPr>
            <w:tcW w:w="3120" w:type="dxa"/>
            <w:vAlign w:val="bottom"/>
          </w:tcPr>
          <w:p>
            <w:pPr>
              <w:spacing w:after="0"/>
              <w:rPr>
                <w:sz w:val="13"/>
                <w:szCs w:val="13"/>
                <w:color w:val="auto"/>
              </w:rPr>
            </w:pPr>
          </w:p>
        </w:tc>
        <w:tc>
          <w:tcPr>
            <w:tcW w:w="3240" w:type="dxa"/>
            <w:vAlign w:val="bottom"/>
            <w:gridSpan w:val="3"/>
          </w:tcPr>
          <w:p>
            <w:pPr>
              <w:jc w:val="center"/>
              <w:ind w:left="1480"/>
              <w:spacing w:after="0"/>
              <w:rPr>
                <w:sz w:val="20"/>
                <w:szCs w:val="20"/>
                <w:color w:val="auto"/>
              </w:rPr>
            </w:pPr>
            <w:r>
              <w:rPr>
                <w:rFonts w:ascii="Arial" w:cs="Arial" w:eastAsia="Arial" w:hAnsi="Arial"/>
                <w:sz w:val="13"/>
                <w:szCs w:val="13"/>
                <w:b w:val="1"/>
                <w:bCs w:val="1"/>
                <w:color w:val="auto"/>
                <w:w w:val="94"/>
              </w:rPr>
              <w:t>Ordinary Shares</w:t>
            </w:r>
          </w:p>
        </w:tc>
        <w:tc>
          <w:tcPr>
            <w:tcW w:w="14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194"/>
        </w:trPr>
        <w:tc>
          <w:tcPr>
            <w:tcW w:w="31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L Panaccio</w:t>
            </w:r>
          </w:p>
        </w:tc>
        <w:tc>
          <w:tcPr>
            <w:tcW w:w="19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1,993,588</w:t>
            </w: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ind w:left="1120"/>
              <w:spacing w:after="0" w:line="194"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20"/>
                <w:szCs w:val="20"/>
                <w:color w:val="auto"/>
              </w:rPr>
            </w:pPr>
            <w:r>
              <w:rPr>
                <w:rFonts w:ascii="Arial" w:cs="Arial" w:eastAsia="Arial" w:hAnsi="Arial"/>
                <w:sz w:val="17"/>
                <w:szCs w:val="17"/>
                <w:color w:val="auto"/>
              </w:rPr>
              <w:t xml:space="preserve">J Curnock Cook </w:t>
            </w:r>
            <w:r>
              <w:rPr>
                <w:rFonts w:ascii="Arial" w:cs="Arial" w:eastAsia="Arial" w:hAnsi="Arial"/>
                <w:sz w:val="14"/>
                <w:szCs w:val="14"/>
                <w:color w:val="auto"/>
              </w:rPr>
              <w:t>1</w:t>
            </w:r>
          </w:p>
        </w:tc>
        <w:tc>
          <w:tcPr>
            <w:tcW w:w="1920" w:type="dxa"/>
            <w:vAlign w:val="bottom"/>
          </w:tcPr>
          <w:p>
            <w:pPr>
              <w:spacing w:after="0"/>
              <w:rPr>
                <w:sz w:val="17"/>
                <w:szCs w:val="17"/>
                <w:color w:val="auto"/>
              </w:rPr>
            </w:pPr>
          </w:p>
        </w:tc>
        <w:tc>
          <w:tcPr>
            <w:tcW w:w="13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44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M Perry </w:t>
            </w:r>
            <w:r>
              <w:rPr>
                <w:rFonts w:ascii="Arial" w:cs="Arial" w:eastAsia="Arial" w:hAnsi="Arial"/>
                <w:sz w:val="14"/>
                <w:szCs w:val="14"/>
                <w:color w:val="auto"/>
              </w:rPr>
              <w:t>1</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61,654</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50,000,000 RSUs</w:t>
            </w: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15,000,000 Options</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L Drapeau</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33,938</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120" w:type="dxa"/>
            <w:vAlign w:val="bottom"/>
          </w:tcPr>
          <w:p>
            <w:pPr>
              <w:spacing w:after="0"/>
              <w:rPr>
                <w:sz w:val="20"/>
                <w:szCs w:val="20"/>
                <w:color w:val="auto"/>
              </w:rPr>
            </w:pPr>
            <w:r>
              <w:rPr>
                <w:rFonts w:ascii="Arial" w:cs="Arial" w:eastAsia="Arial" w:hAnsi="Arial"/>
                <w:sz w:val="17"/>
                <w:szCs w:val="17"/>
                <w:color w:val="auto"/>
              </w:rPr>
              <w:t>D McDonald</w:t>
            </w: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1,589,405</w:t>
            </w:r>
          </w:p>
        </w:tc>
        <w:tc>
          <w:tcPr>
            <w:tcW w:w="340" w:type="dxa"/>
            <w:vAlign w:val="bottom"/>
          </w:tcPr>
          <w:p>
            <w:pPr>
              <w:spacing w:after="0"/>
              <w:rPr>
                <w:sz w:val="17"/>
                <w:szCs w:val="17"/>
                <w:color w:val="auto"/>
              </w:rPr>
            </w:pPr>
          </w:p>
        </w:tc>
        <w:tc>
          <w:tcPr>
            <w:tcW w:w="144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S Crowe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298,301</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00" w:right="40" w:hanging="395"/>
        <w:spacing w:after="0" w:line="257" w:lineRule="auto"/>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69,247,669 shares held in the name of One Funds Management Limited &lt;Asia Pac Health Fund II A/C&gt;, and 81,083,334 shares held in the name of Phillip Asset Management Limited &lt;Bioscience MTF1 A/C&gt; at 30 June 2019 are managed and beneficially owned by BioScience Managers Pty Ltd of which Mr Curnock Cook is an officer and Mr Perry is a Director.</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Earnings per share for the current year was a loss of A$2.78 cents per share compared to a loss of A$1.77 cents per share for the previous period.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number of ordinary shares on issue used in the calculation of basic loss and diluted loss per share is 1,266,654,166.</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Since the end of the previous financial period, no amount has been paid or declared by the Company by way of dividend.</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number of full-time employees of the economic entity at 30 June 2019 was 87 (30 June 2018: 55).</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ACTIVITIES</w:t>
      </w:r>
    </w:p>
    <w:p>
      <w:pPr>
        <w:spacing w:after="0" w:line="110"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The principal activities during the year of entities within the consolidated entity focused on the Company’s RECELL System. The first medical device based on the RES technology, the RECELL System, was approved for sale in the U.S. for the treatment of acute thermal burns by the Food and Drug Administration (FDA) in September 2018. The Company initiated its U.S. national market launch of the RECELL System in January 2019, although it did commence commercial shipments in the U.S. during the half-year ended 31 December 2018 in response to pre-launch demand from burn centres.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160"/>
          </w:cols>
          <w:pgMar w:left="820" w:top="261" w:right="91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AND FINANCIAL REVIEW</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10"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Avita Medical Limited and its subsidiaries are a regenerative medicine company with a technology platform positioned to address unmet medical needs in burn injuries, trauma injuries, chronic wounds, and dermatological and aesthetics indications. The Company’s patented and proprietary platform technology provides innovative treatment solutions derived from the regenerative properties of a patient’s own skin. The medical devices work by preparing Spray-On Skin</w:t>
      </w:r>
      <w:r>
        <w:rPr>
          <w:rFonts w:ascii="Arial" w:cs="Arial" w:eastAsia="Arial" w:hAnsi="Arial"/>
          <w:sz w:val="13"/>
          <w:szCs w:val="13"/>
          <w:color w:val="auto"/>
        </w:rPr>
        <w:t>™</w:t>
      </w:r>
      <w:r>
        <w:rPr>
          <w:rFonts w:ascii="Arial" w:cs="Arial" w:eastAsia="Arial" w:hAnsi="Arial"/>
          <w:sz w:val="16"/>
          <w:szCs w:val="16"/>
          <w:color w:val="auto"/>
        </w:rPr>
        <w:t xml:space="preserve"> Cells, an autologous cellular suspension comprised of the patient’s skin cells necessary to regenerate natural healthy epidermis. This autologous suspension is sprayed onto the areas of the patient requiring treatment.</w:t>
      </w:r>
    </w:p>
    <w:p>
      <w:pPr>
        <w:spacing w:after="0" w:line="168"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Company’s first U.S. product, the RECELL System, was approved by the U.S. Food and Drug Administration (FDA) in September 2018 for the treatment of acute thermal burn injuries in patients 18 years and older. The RECELL System is used to prepare Spray-On Skin Cells using a small amount of a patient’s own skin, providing a new way to treat severe burns that significantly reduces the amount of donor skin required. The RECELL System is designed to be used at the point of care alone or in combination with split-thickness skin autografts depending on the depth of the burn injury. Compelling data from prospective, randomized, controlled clinical trials conducted at major U.S. burn centres and real-world use globally, demonstrate that the RECELL System is a significant advancement over the current standard of care for burn patients and offers benefits in clinical outcomes and cost savings.</w:t>
      </w:r>
    </w:p>
    <w:p>
      <w:pPr>
        <w:spacing w:after="0" w:line="184" w:lineRule="exact"/>
        <w:rPr>
          <w:sz w:val="20"/>
          <w:szCs w:val="20"/>
          <w:color w:val="auto"/>
        </w:rPr>
      </w:pPr>
    </w:p>
    <w:p>
      <w:pPr>
        <w:jc w:val="both"/>
        <w:ind w:right="60"/>
        <w:spacing w:after="0" w:line="257" w:lineRule="auto"/>
        <w:rPr>
          <w:sz w:val="20"/>
          <w:szCs w:val="20"/>
          <w:color w:val="auto"/>
        </w:rPr>
      </w:pPr>
      <w:r>
        <w:rPr>
          <w:rFonts w:ascii="Arial" w:cs="Arial" w:eastAsia="Arial" w:hAnsi="Arial"/>
          <w:sz w:val="17"/>
          <w:szCs w:val="17"/>
          <w:color w:val="auto"/>
        </w:rPr>
        <w:t>The RECELL System is Therapeutic Goods Administration (TGA)-registered in Australia and China Food and Drug Administration (CFDA)-cleared in China for use in the treatment of burns, acute wounds, scars and vitiligo. In Europe, the RECELL System received CE-mark approval for the treatment of burns, chronic wounds, scars and vitiligo.</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Results for the Year</w:t>
      </w:r>
    </w:p>
    <w:p>
      <w:pPr>
        <w:spacing w:after="0" w:line="110"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Sale of goods of the RECELL System totalled A$7,705,398 for the year ended 30 June 2019, an increase of A$6,506,537 or 543% over the A$1,198,861 recognised during fiscal 2018. Most of the current fiscal year increase in sales occurred in the U.S. as a result of the September 2018 FDA approval and commencement of the U.S. national market launch of the RECELL System in January 2019. U.S. sales during the fiscal year ended 30 June 2019 totalled A$6,214,660 compared to zero in the prior fiscal year. Gross margin for the fiscal year ended 30 June 2019 was 78% compared to 57% for the same period in 2018, and management expects gross margins to further increase as sales ramp up within the U.S.</w:t>
      </w:r>
    </w:p>
    <w:p>
      <w:pPr>
        <w:spacing w:after="0" w:line="15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Other income totalled A$8,715,847 for the year ended 30 June 2019, a decrease of A$1,456,851 or 14% over the A$10,172,698 recognised during fiscal 2018. As in prior periods, most of the other income consisted of funding from the Biomedical Advanced Research and Development Authority (BARDA), under the Assistant Secretary for Preparedness and Response, within the U.S. Department of Health and Human Services, under ongoing USG Contract No. HHSO100201500028C. Under the BARDA contract, income of A$8,259,152 was recognised during the year ended 30 June 2019 compared to income of A$10,104,081 for fiscal 2018. The decrease was the result of wind-down of certain activities associated with supporting the U.S. FDA approval of the RECELL System as well as the compassionate use and continued access programs.</w:t>
      </w:r>
    </w:p>
    <w:p>
      <w:pPr>
        <w:spacing w:after="0" w:line="16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Operations for the first half of the fiscal year ended 30 June 2019 were focused primarily on preparation for the January 2019 U.S. market launch of the RECELL System. Sales and marketing expenses for the year ended 30 June 2019 totalled A$17,576,754, an increase of A$8,640,313 or 97% over the A$8,936,441 recognised during fiscal 2018. This increase was primarily attributed to the recruitment, hiring and training of a U.S. sales force and the associated product launch sales and marketing materials and activities. Product development expenses for fiscal 2019 totalled A$14,361,995 an increase of A$1,755,868 or 14% over the A$12,606,127 recognised during fiscal 2018. Corporate and administrative expenses totalled A$15,398,177 for the year ended 30 June 2019, an increase of A$10,037,624 or 187% over the A$5,360,553 recognised during fiscal 2018. As the result of investments in commercial, manufacturing, and system capabilities for the U.S. market launch of the RECELL System and related initiatives, operating costs for the year ended 30 June 2019 totalled A$50,063,512, a A$21,298,648 or 74% increase over the A$28,764,864 incurred during fiscal 2018 and were in line with management expectations.</w:t>
      </w:r>
    </w:p>
    <w:p>
      <w:pPr>
        <w:spacing w:after="0" w:line="169"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Net comprehensive loss after tax for the fiscal year ended 30 June 2019 was A$33,377,005, an increase of A$17,421,129 or 109% over A$15,955,876 recognised during fiscal 2018. The increase in net comprehensive loss was driven by the higher operating costs described above, partially offset by the higher sale of goods during the fiscal year. As a result of the U.S. national launch of the RECELL System in January 2019, and the expansion of research and development, operating expenses will increase in future periods. These expenses are expected to be partially offset by increased commercial sales of goods as well as income under the BARDA contract.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60"/>
          </w:cols>
          <w:pgMar w:left="820" w:top="261" w:right="81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of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Structure</w:t>
      </w:r>
    </w:p>
    <w:p>
      <w:pPr>
        <w:spacing w:after="0" w:line="10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During the year ended 30 June 2019, the Company completed a series of equity transactions. The Company issued 65 million shares at a price of $0.050 per share and received gross proceeds of A$3,250,000 on 26 July 2018. The Company completed the first tranche of an institutional placement in which it issued 310,047,015 fully paid ordinary shares at a price of A$0.080 per share raising gross proceeds of A$24,803,761 on 4 December 2018. The institutional placement included a second tranche in which it issued 189,952,985 shares at a price of A$0.080 per share and received gross proceeds of A$15,196,239. In addition, on 11 January 2019, the Company completed a Share Purchase Plan under which it issued 22,061,250 shares of stock at a price of A$0.080 per share and received gross proceeds of A$1,764,900.</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from Operations</w:t>
      </w:r>
    </w:p>
    <w:p>
      <w:pPr>
        <w:spacing w:after="0" w:line="10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Net cash outflows used in operations in the current year were A$27,485,659, an increase of A$11,113,635 or 68% compared to the A$16,372,024 used in operations in fiscal 2018, due to investments in commercial, manufacturing and system capabilities for the U.S. market launch and other related initiatives.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Board is responsible for overseeing the establishment and implementation of an effective risk management system and reviewing and monitoring the Company’s application of that system. Implementation of the risk management system and day-to-day management of risk is the responsibility of the CEO, with the assistance of senior management as required. The CEO is responsible for reporting directly to the Board on all matters associated with risk management.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CHANGES IN STATE OF AFFAIRS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The Company’s Chief Financial Officer, Dale Sander resigned on 15 May 2019 and Timothy Rooney was appointed as interim Chief Financial Officer.</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Otherwise, there have been no significant changes in the state of affairs during the fiscal 2019 financial year.</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EVENTS AFTER THE REPORTING DATE</w:t>
      </w:r>
    </w:p>
    <w:p>
      <w:pPr>
        <w:spacing w:after="0" w:line="1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From the end of the reporting period to the date of this report, no matter or circumstance has arisen which has significantly affected, or may significantly affect, the operations of the Company, the results of those operations or the state of affairs of the Company.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LIKELY DEVELOPMENTS AND EXPECTED RESULTS</w:t>
      </w:r>
    </w:p>
    <w:p>
      <w:pPr>
        <w:spacing w:after="0" w:line="110"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The primary focus of the Company during fiscal 2020 is to increase the U.S. revenues of the RECELL System and the continuous expansion of the clinical development of the RECELL system into additional applications beyond the treatment of burns.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REGULATION AND PERFORMANCE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activities of the Company are not subject to any particular or significant environmental regulations.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60"/>
          </w:cols>
          <w:pgMar w:left="820" w:top="261" w:right="81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OPTIONS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Unissued Shares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As at the reporting date, there were 111,523,332 unissued ordinary shares under options represented by: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16,160,415 exercisable at A$0.085 expiring 18 May 2027 issued to employees on 18 May 2017.</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1,072,916 exercisable at A$0.082 expiring 26 May 2027 issued to an employee on 26 May 2017.</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1,038,333 exercisable at A$0.080 expiring 27 June 2027 issued to employees on 27 June 2017.</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4,000,000 exercisable at A$0.063 expiring 6 September 2027 issued to an employee on 6 September 2017.</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9,000,000 exercisable at A$0.057 expiring 16 April 2028 issued to employees on 16 April 2018.</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3,000,000 exercisable at A$0.057 expiring 18 April 2028 issued to employees on 18 April 2018.</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2,000,000 exercisable at A$0.056 expiring 12 June 2028 issued to an employee on 12 June 2018.</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700,000 exercisable at A$0.057 expiring 14 June 2028 issued to employees on 14 June 2018.</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3,000,000 exercisable at A$0.059 expiring 25 June 2028 issued to an employee on 25 June 2018.</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14,430,000 exercisable at A$0.089 expiring 1 November 2028 issued to employees on 1 November 2018.</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18,881,250 exercisable at A$0.082 expiring 30 November 2028 issued to employees on 30 November 2018.</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15,000,000 exercisable at A$0.082 expiring 30 November 2028 issued to an employee on 30 November 2018.</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1,080,000 exercisable at A$0.082 expiring 2 January 2029 issued to employees on 2 January 2019.</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360,000 exercisable at A$0.082 expiring 30 November 2028 issued to employees on 30 November 2018.</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4,910,000 exercisable at A$0.082 expiring 2 January 2029 issued to employees on 2 January 2019.</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380,000 exercisable at A$0.089 expiring 2 January 2029 issued to employees on 2 January 2019.</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6,866,250 exercisable at A$0.30 expiring 1 April 2029 issued to employees on 1 April 2019.</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9,644,168 exercisable at A$0.42 expiring 28 June 2029 issued to employees on 28 June 2019.</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Option holders do not have any right, by virtue of the option, to participate in any share issue of the Company or any related corporate body.</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Issued as a Result of the Exercise of Options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During the financial year and up to the date of this report, 6,860,000 options were exercised to acquire fully paid ordinary shares in the Company.</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10" w:lineRule="exact"/>
        <w:rPr>
          <w:sz w:val="20"/>
          <w:szCs w:val="20"/>
          <w:color w:val="auto"/>
        </w:rPr>
      </w:pPr>
    </w:p>
    <w:p>
      <w:pPr>
        <w:ind w:right="20"/>
        <w:spacing w:after="0" w:line="336" w:lineRule="auto"/>
        <w:rPr>
          <w:sz w:val="20"/>
          <w:szCs w:val="20"/>
          <w:color w:val="auto"/>
        </w:rPr>
      </w:pPr>
      <w:r>
        <w:rPr>
          <w:rFonts w:ascii="Arial" w:cs="Arial" w:eastAsia="Arial" w:hAnsi="Arial"/>
          <w:sz w:val="15"/>
          <w:szCs w:val="15"/>
          <w:color w:val="auto"/>
        </w:rPr>
        <w:t>The Company has paid premiums in respect of Directors’ and Officers’ Liability Insurance and Company Reimbursement policies that cover all directors and officers of the Company to the extent permitted by law. The policy conditions preclude the Company from any detailed disclosures.</w:t>
      </w:r>
    </w:p>
    <w:p>
      <w:pPr>
        <w:spacing w:after="0" w:line="5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760"/>
          </w:cols>
          <w:pgMar w:left="820" w:top="261" w:right="131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(audited)</w:t>
      </w:r>
    </w:p>
    <w:p>
      <w:pPr>
        <w:spacing w:after="0" w:line="110"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 xml:space="preserve">This Remuneration Report outlines the Director and Executive remuneration arrangements of the Company in accordance with the requirements of the </w:t>
      </w:r>
      <w:r>
        <w:rPr>
          <w:rFonts w:ascii="Arial" w:cs="Arial" w:eastAsia="Arial" w:hAnsi="Arial"/>
          <w:sz w:val="17"/>
          <w:szCs w:val="17"/>
          <w:i w:val="1"/>
          <w:iCs w:val="1"/>
          <w:color w:val="auto"/>
        </w:rPr>
        <w:t xml:space="preserve">Corporations Act 2001 </w:t>
      </w:r>
      <w:r>
        <w:rPr>
          <w:rFonts w:ascii="Arial" w:cs="Arial" w:eastAsia="Arial" w:hAnsi="Arial"/>
          <w:sz w:val="17"/>
          <w:szCs w:val="17"/>
          <w:color w:val="auto"/>
        </w:rPr>
        <w:t>and its Regulations. For the purposes of this report, Key Management Personnel (KMP) of the Company are defined as those</w:t>
      </w:r>
      <w:r>
        <w:rPr>
          <w:rFonts w:ascii="Arial" w:cs="Arial" w:eastAsia="Arial" w:hAnsi="Arial"/>
          <w:sz w:val="17"/>
          <w:szCs w:val="17"/>
          <w:i w:val="1"/>
          <w:iCs w:val="1"/>
          <w:color w:val="auto"/>
        </w:rPr>
        <w:t xml:space="preserve"> </w:t>
      </w:r>
      <w:r>
        <w:rPr>
          <w:rFonts w:ascii="Arial" w:cs="Arial" w:eastAsia="Arial" w:hAnsi="Arial"/>
          <w:sz w:val="17"/>
          <w:szCs w:val="17"/>
          <w:color w:val="auto"/>
        </w:rPr>
        <w:t>persons having authority and responsibility for planning, directing and controlling the major activities of the Company, directly or indirectly, including any Director (whether Executive or otherwise) of the parent company.</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For the purposes of this report, the term ‘executive’ encompasses the Chief Executive and Senior Executives of the Company and the Company.</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Details of Key Management Personnel</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 Directors</w:t>
      </w:r>
    </w:p>
    <w:p>
      <w:pPr>
        <w:sectPr>
          <w:pgSz w:w="11900" w:h="16838" w:orient="portrait"/>
          <w:cols w:equalWidth="0" w:num="1">
            <w:col w:w="10160"/>
          </w:cols>
          <w:pgMar w:left="820" w:top="261" w:right="919" w:bottom="1440" w:gutter="0" w:footer="0" w:header="0"/>
        </w:sectPr>
      </w:pPr>
    </w:p>
    <w:p>
      <w:pPr>
        <w:spacing w:after="0" w:line="106" w:lineRule="exact"/>
        <w:rPr>
          <w:sz w:val="20"/>
          <w:szCs w:val="20"/>
          <w:color w:val="auto"/>
        </w:rPr>
      </w:pPr>
    </w:p>
    <w:p>
      <w:pPr>
        <w:ind w:right="320"/>
        <w:spacing w:after="0" w:line="270" w:lineRule="auto"/>
        <w:rPr>
          <w:sz w:val="20"/>
          <w:szCs w:val="20"/>
          <w:color w:val="auto"/>
        </w:rPr>
      </w:pPr>
      <w:r>
        <w:rPr>
          <w:rFonts w:ascii="Arial" w:cs="Arial" w:eastAsia="Arial" w:hAnsi="Arial"/>
          <w:sz w:val="16"/>
          <w:szCs w:val="16"/>
          <w:color w:val="auto"/>
        </w:rPr>
        <w:t>Lou Panaccio Dr Michael Perry Jeremy Curnock Cook Louis Drapeau Damien McDonald Suzanne Crowe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Non-Executive Chairman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Director (Executive)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Director (Non-Executive)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Director (Non-Executive)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Director (Non-Executive)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Director (Non-Executive)</w:t>
      </w:r>
    </w:p>
    <w:p>
      <w:pPr>
        <w:spacing w:after="0" w:line="217" w:lineRule="exact"/>
        <w:rPr>
          <w:sz w:val="20"/>
          <w:szCs w:val="20"/>
          <w:color w:val="auto"/>
        </w:rPr>
      </w:pPr>
    </w:p>
    <w:p>
      <w:pPr>
        <w:sectPr>
          <w:pgSz w:w="11900" w:h="16838" w:orient="portrait"/>
          <w:cols w:equalWidth="0" w:num="2">
            <w:col w:w="1840" w:space="720"/>
            <w:col w:w="7600"/>
          </w:cols>
          <w:pgMar w:left="820" w:top="261" w:right="91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(ii) Executives</w:t>
      </w:r>
    </w:p>
    <w:p>
      <w:pPr>
        <w:sectPr>
          <w:pgSz w:w="11900" w:h="16838" w:orient="portrait"/>
          <w:cols w:equalWidth="0" w:num="1">
            <w:col w:w="10160"/>
          </w:cols>
          <w:pgMar w:left="820" w:top="261" w:right="91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Dr Michael Perry</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Timothy Rooney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Erin Liberto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Andrew Quick</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Donna Shiroma</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Chief Administrative Officer and Interim Chief Financial Officer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Chief Commercial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Technology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General Counsel</w:t>
      </w:r>
    </w:p>
    <w:p>
      <w:pPr>
        <w:spacing w:after="0" w:line="195" w:lineRule="exact"/>
        <w:rPr>
          <w:sz w:val="20"/>
          <w:szCs w:val="20"/>
          <w:color w:val="auto"/>
        </w:rPr>
      </w:pPr>
    </w:p>
    <w:p>
      <w:pPr>
        <w:sectPr>
          <w:pgSz w:w="11900" w:h="16838" w:orient="portrait"/>
          <w:cols w:equalWidth="0" w:num="2">
            <w:col w:w="1840" w:space="720"/>
            <w:col w:w="7600"/>
          </w:cols>
          <w:pgMar w:left="820" w:top="261" w:right="919" w:bottom="1440" w:gutter="0" w:footer="0" w:header="0"/>
          <w:type w:val="continuous"/>
        </w:sectPr>
      </w:pPr>
    </w:p>
    <w:p>
      <w:pPr>
        <w:spacing w:after="0" w:line="254" w:lineRule="auto"/>
        <w:rPr>
          <w:sz w:val="20"/>
          <w:szCs w:val="20"/>
          <w:color w:val="auto"/>
        </w:rPr>
      </w:pPr>
      <w:r>
        <w:rPr>
          <w:rFonts w:ascii="Arial" w:cs="Arial" w:eastAsia="Arial" w:hAnsi="Arial"/>
          <w:sz w:val="17"/>
          <w:szCs w:val="17"/>
          <w:color w:val="auto"/>
        </w:rPr>
        <w:t>During the year ended 30 June 2019 Andrew Quick was promoted from Senior Vice President Clinical Development to Chief Technology Officer. Dale Sander was appointed Chief Financial Officer effective 5 December 2017, and he served in that position until his resignation on 15 May 2019. On December 5, 2017, the Company also appointed Timothy Rooney as Chief Administrative Officer, and effective May 15, 2019, Mr. Rooney was also appointed as interim Chief Financial Officer.</w:t>
      </w:r>
    </w:p>
    <w:p>
      <w:pPr>
        <w:spacing w:after="0" w:line="178" w:lineRule="exact"/>
        <w:rPr>
          <w:sz w:val="20"/>
          <w:szCs w:val="20"/>
          <w:color w:val="auto"/>
        </w:rPr>
      </w:pPr>
    </w:p>
    <w:p>
      <w:pPr>
        <w:jc w:val="center"/>
        <w:ind w:right="180"/>
        <w:spacing w:after="0" w:line="438" w:lineRule="auto"/>
        <w:rPr>
          <w:sz w:val="20"/>
          <w:szCs w:val="20"/>
          <w:color w:val="auto"/>
        </w:rPr>
      </w:pPr>
      <w:r>
        <w:rPr>
          <w:rFonts w:ascii="Arial" w:cs="Arial" w:eastAsia="Arial" w:hAnsi="Arial"/>
          <w:sz w:val="17"/>
          <w:szCs w:val="17"/>
          <w:color w:val="auto"/>
        </w:rPr>
        <w:t>There were no other changes of Key Management Personnel after the reporting date and before the date the financial report was authorised for issue. 12</w:t>
      </w:r>
    </w:p>
    <w:p>
      <w:pPr>
        <w:sectPr>
          <w:pgSz w:w="11900" w:h="16838" w:orient="portrait"/>
          <w:cols w:equalWidth="0" w:num="1">
            <w:col w:w="10160"/>
          </w:cols>
          <w:pgMar w:left="820" w:top="261" w:right="9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 prior years we identified several key areas for additional emphasis which has resulted in a review of remuneration practices, policies and plans associated with KMP remuneration. To develop an appropriate foundation for future practices the Remuneration Committee has a formal Remuneration Governance Framework which, at the core, consists of:</w:t>
      </w:r>
    </w:p>
    <w:p>
      <w:pPr>
        <w:spacing w:after="0" w:line="89" w:lineRule="exact"/>
        <w:rPr>
          <w:sz w:val="20"/>
          <w:szCs w:val="20"/>
          <w:color w:val="auto"/>
        </w:rPr>
      </w:pPr>
    </w:p>
    <w:p>
      <w:pPr>
        <w:ind w:left="920" w:right="20" w:hanging="412"/>
        <w:spacing w:after="0" w:line="268"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revised Remuneration &amp; Nomination Committee Charter which now mandates the development and maintenance of other Remuneration Governance Framework elements;</w:t>
      </w:r>
    </w:p>
    <w:p>
      <w:pPr>
        <w:spacing w:after="0" w:line="78" w:lineRule="exact"/>
        <w:rPr>
          <w:rFonts w:ascii="Arial" w:cs="Arial" w:eastAsia="Arial" w:hAnsi="Arial"/>
          <w:sz w:val="17"/>
          <w:szCs w:val="17"/>
          <w:color w:val="auto"/>
        </w:rPr>
      </w:pPr>
    </w:p>
    <w:p>
      <w:pPr>
        <w:ind w:left="920" w:hanging="412"/>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Senior Executive Remuneration Policy;</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Short-Term Incentive (STI) Policy &amp; Procedure document; and</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Long-Term Incentive (LTI) Policy &amp; Procedure document.</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Committee</w:t>
      </w:r>
    </w:p>
    <w:p>
      <w:pPr>
        <w:spacing w:after="0" w:line="110"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The Remuneration Committee of the Board of Directors of the Company is responsible for determining and reviewing remuneration arrangements for the Board and Executives.</w:t>
      </w:r>
    </w:p>
    <w:p>
      <w:pPr>
        <w:spacing w:after="0" w:line="167" w:lineRule="exact"/>
        <w:rPr>
          <w:sz w:val="20"/>
          <w:szCs w:val="20"/>
          <w:color w:val="auto"/>
        </w:rPr>
      </w:pPr>
    </w:p>
    <w:p>
      <w:pPr>
        <w:jc w:val="both"/>
        <w:ind w:right="140"/>
        <w:spacing w:after="0" w:line="257" w:lineRule="auto"/>
        <w:rPr>
          <w:sz w:val="20"/>
          <w:szCs w:val="20"/>
          <w:color w:val="auto"/>
        </w:rPr>
      </w:pPr>
      <w:r>
        <w:rPr>
          <w:rFonts w:ascii="Arial" w:cs="Arial" w:eastAsia="Arial" w:hAnsi="Arial"/>
          <w:sz w:val="17"/>
          <w:szCs w:val="17"/>
          <w:color w:val="auto"/>
        </w:rPr>
        <w:t>The Remuneration Committee assesses the appropriateness of the nature and amount of remuneration of Executives on a periodic basis by reference to relevant employment market conditions with the overall objective of ensuring maximum stakeholder benefit from the retention of a high-quality Board and executive team.</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Remuneration Consultants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company did not make use of any external remuneration consultants during the financial year.</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and comments made at the company’s 2018 Annual General Meeting (“AGM”)</w:t>
      </w:r>
    </w:p>
    <w:p>
      <w:pPr>
        <w:spacing w:after="0" w:line="110"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At the 2018 AGM, 93.69% of the votes received supported the adoption of remuneration report for the year ended 30 June 2018. The company did not receive any specific feedback at the AGM regarding its remuneration practices.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Performance and Links between Performance and Reward</w:t>
      </w:r>
    </w:p>
    <w:p>
      <w:pPr>
        <w:spacing w:after="0" w:line="11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following table outlines those measures of performance which are required to be displayed to shareholders under the Corporations Act. However, at this stage in the Company’s evolution, the Board does not believe this perspective is particularly useful to shareholders. Therefore, a discussion of Company performance during fiscal year 2019 follows and should be considered in conjunction with the Operating and Financial review outlined on Page 6 of this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Financial</w:t>
            </w:r>
          </w:p>
        </w:tc>
        <w:tc>
          <w:tcPr>
            <w:tcW w:w="13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Sales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158"/>
              <w:spacing w:after="0"/>
              <w:rPr>
                <w:sz w:val="20"/>
                <w:szCs w:val="20"/>
                <w:color w:val="auto"/>
              </w:rPr>
            </w:pPr>
            <w:r>
              <w:rPr>
                <w:rFonts w:ascii="Arial" w:cs="Arial" w:eastAsia="Arial" w:hAnsi="Arial"/>
                <w:sz w:val="13"/>
                <w:szCs w:val="13"/>
                <w:b w:val="1"/>
                <w:bCs w:val="1"/>
                <w:color w:val="auto"/>
                <w:w w:val="90"/>
              </w:rPr>
              <w:t>Net Loss</w:t>
            </w:r>
          </w:p>
        </w:tc>
        <w:tc>
          <w:tcPr>
            <w:tcW w:w="160" w:type="dxa"/>
            <w:vAlign w:val="bottom"/>
          </w:tcPr>
          <w:p>
            <w:pPr>
              <w:spacing w:after="0"/>
              <w:rPr>
                <w:sz w:val="12"/>
                <w:szCs w:val="12"/>
                <w:color w:val="auto"/>
              </w:rPr>
            </w:pPr>
          </w:p>
        </w:tc>
        <w:tc>
          <w:tcPr>
            <w:tcW w:w="80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88"/>
              </w:rPr>
              <w:t>Loss per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84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vMerge w:val="restart"/>
          </w:tcPr>
          <w:p>
            <w:pPr>
              <w:jc w:val="center"/>
              <w:ind w:right="141"/>
              <w:spacing w:after="0"/>
              <w:rPr>
                <w:sz w:val="20"/>
                <w:szCs w:val="20"/>
                <w:color w:val="auto"/>
              </w:rPr>
            </w:pPr>
            <w:r>
              <w:rPr>
                <w:rFonts w:ascii="Arial" w:cs="Arial" w:eastAsia="Arial" w:hAnsi="Arial"/>
                <w:sz w:val="13"/>
                <w:szCs w:val="13"/>
                <w:b w:val="1"/>
                <w:bCs w:val="1"/>
                <w:color w:val="auto"/>
              </w:rPr>
              <w:t>EBITDA</w:t>
            </w:r>
          </w:p>
        </w:tc>
        <w:tc>
          <w:tcPr>
            <w:tcW w:w="140" w:type="dxa"/>
            <w:vAlign w:val="bottom"/>
          </w:tcPr>
          <w:p>
            <w:pPr>
              <w:spacing w:after="0"/>
              <w:rPr>
                <w:sz w:val="11"/>
                <w:szCs w:val="11"/>
                <w:color w:val="auto"/>
              </w:rPr>
            </w:pPr>
          </w:p>
        </w:tc>
        <w:tc>
          <w:tcPr>
            <w:tcW w:w="1260" w:type="dxa"/>
            <w:vAlign w:val="bottom"/>
            <w:gridSpan w:val="2"/>
            <w:vMerge w:val="restart"/>
          </w:tcPr>
          <w:p>
            <w:pPr>
              <w:jc w:val="center"/>
              <w:ind w:right="141"/>
              <w:spacing w:after="0"/>
              <w:rPr>
                <w:sz w:val="20"/>
                <w:szCs w:val="20"/>
                <w:color w:val="auto"/>
              </w:rPr>
            </w:pPr>
            <w:r>
              <w:rPr>
                <w:rFonts w:ascii="Arial" w:cs="Arial" w:eastAsia="Arial" w:hAnsi="Arial"/>
                <w:sz w:val="13"/>
                <w:szCs w:val="13"/>
                <w:b w:val="1"/>
                <w:bCs w:val="1"/>
                <w:color w:val="auto"/>
              </w:rPr>
              <w:t>EBIT</w:t>
            </w: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58"/>
              <w:spacing w:after="0" w:line="134" w:lineRule="exact"/>
              <w:rPr>
                <w:sz w:val="20"/>
                <w:szCs w:val="20"/>
                <w:color w:val="auto"/>
              </w:rPr>
            </w:pPr>
            <w:r>
              <w:rPr>
                <w:rFonts w:ascii="Arial" w:cs="Arial" w:eastAsia="Arial" w:hAnsi="Arial"/>
                <w:sz w:val="13"/>
                <w:szCs w:val="13"/>
                <w:b w:val="1"/>
                <w:bCs w:val="1"/>
                <w:color w:val="auto"/>
                <w:w w:val="88"/>
              </w:rPr>
              <w:t>Share</w:t>
            </w: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3"/>
                <w:szCs w:val="13"/>
                <w:b w:val="1"/>
                <w:bCs w:val="1"/>
                <w:color w:val="auto"/>
              </w:rPr>
              <w:t>Share Price</w:t>
            </w:r>
          </w:p>
        </w:tc>
        <w:tc>
          <w:tcPr>
            <w:tcW w:w="0" w:type="dxa"/>
            <w:vAlign w:val="bottom"/>
          </w:tcPr>
          <w:p>
            <w:pPr>
              <w:spacing w:after="0"/>
              <w:rPr>
                <w:sz w:val="1"/>
                <w:szCs w:val="1"/>
                <w:color w:val="auto"/>
              </w:rPr>
            </w:pPr>
          </w:p>
        </w:tc>
      </w:tr>
      <w:tr>
        <w:trPr>
          <w:trHeight w:val="151"/>
        </w:trPr>
        <w:tc>
          <w:tcPr>
            <w:tcW w:w="1840" w:type="dxa"/>
            <w:vAlign w:val="bottom"/>
            <w:gridSpan w:val="3"/>
          </w:tcPr>
          <w:p>
            <w:pPr>
              <w:spacing w:after="0"/>
              <w:rPr>
                <w:sz w:val="20"/>
                <w:szCs w:val="20"/>
                <w:color w:val="auto"/>
              </w:rPr>
            </w:pPr>
            <w:r>
              <w:rPr>
                <w:rFonts w:ascii="Arial" w:cs="Arial" w:eastAsia="Arial" w:hAnsi="Arial"/>
                <w:sz w:val="13"/>
                <w:szCs w:val="13"/>
                <w:b w:val="1"/>
                <w:bCs w:val="1"/>
                <w:color w:val="auto"/>
              </w:rPr>
              <w:t>Year</w:t>
            </w:r>
          </w:p>
        </w:tc>
        <w:tc>
          <w:tcPr>
            <w:tcW w:w="13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3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95"/>
              </w:rPr>
              <w:t>after Tax</w:t>
            </w:r>
          </w:p>
        </w:tc>
        <w:tc>
          <w:tcPr>
            <w:tcW w:w="160" w:type="dxa"/>
            <w:vAlign w:val="bottom"/>
          </w:tcPr>
          <w:p>
            <w:pPr>
              <w:spacing w:after="0"/>
              <w:rPr>
                <w:sz w:val="13"/>
                <w:szCs w:val="13"/>
                <w:color w:val="auto"/>
              </w:rPr>
            </w:pPr>
          </w:p>
        </w:tc>
        <w:tc>
          <w:tcPr>
            <w:tcW w:w="80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89"/>
              </w:rPr>
              <w:t>(cents)</w:t>
            </w:r>
          </w:p>
        </w:tc>
        <w:tc>
          <w:tcPr>
            <w:tcW w:w="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82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2019</w:t>
            </w:r>
          </w:p>
        </w:tc>
        <w:tc>
          <w:tcPr>
            <w:tcW w:w="13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0"/>
              </w:rPr>
              <w:t>A$ 7,705,398</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1"/>
              </w:rPr>
              <w:t>A$ (34,962,088</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1"/>
              </w:rPr>
              <w:t>A$ (35,340,090</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2"/>
              </w:rPr>
              <w:t>A$ (35,160,227</w:t>
            </w:r>
          </w:p>
        </w:tc>
        <w:tc>
          <w:tcPr>
            <w:tcW w:w="18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3"/>
              </w:rPr>
              <w:t>A$ (2.78</w:t>
            </w:r>
          </w:p>
        </w:tc>
        <w:tc>
          <w:tcPr>
            <w:tcW w:w="18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93"/>
              </w:rPr>
              <w:t>A$ 0.420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2018</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1,198,861</w:t>
            </w:r>
          </w:p>
        </w:tc>
        <w:tc>
          <w:tcPr>
            <w:tcW w:w="1560" w:type="dxa"/>
            <w:vAlign w:val="bottom"/>
            <w:gridSpan w:val="3"/>
          </w:tcPr>
          <w:p>
            <w:pPr>
              <w:jc w:val="right"/>
              <w:ind w:right="61"/>
              <w:spacing w:after="0"/>
              <w:rPr>
                <w:sz w:val="20"/>
                <w:szCs w:val="20"/>
                <w:color w:val="auto"/>
              </w:rPr>
            </w:pPr>
            <w:r>
              <w:rPr>
                <w:rFonts w:ascii="Arial" w:cs="Arial" w:eastAsia="Arial" w:hAnsi="Arial"/>
                <w:sz w:val="17"/>
                <w:szCs w:val="17"/>
                <w:color w:val="auto"/>
              </w:rPr>
              <w:t>(17,761,405)</w:t>
            </w:r>
          </w:p>
        </w:tc>
        <w:tc>
          <w:tcPr>
            <w:tcW w:w="1400" w:type="dxa"/>
            <w:vAlign w:val="bottom"/>
            <w:gridSpan w:val="3"/>
          </w:tcPr>
          <w:p>
            <w:pPr>
              <w:jc w:val="right"/>
              <w:ind w:right="61"/>
              <w:spacing w:after="0"/>
              <w:rPr>
                <w:sz w:val="20"/>
                <w:szCs w:val="20"/>
                <w:color w:val="auto"/>
              </w:rPr>
            </w:pPr>
            <w:r>
              <w:rPr>
                <w:rFonts w:ascii="Arial" w:cs="Arial" w:eastAsia="Arial" w:hAnsi="Arial"/>
                <w:sz w:val="17"/>
                <w:szCs w:val="17"/>
                <w:color w:val="auto"/>
              </w:rPr>
              <w:t>(17,904,951)</w:t>
            </w:r>
          </w:p>
        </w:tc>
        <w:tc>
          <w:tcPr>
            <w:tcW w:w="1400" w:type="dxa"/>
            <w:vAlign w:val="bottom"/>
            <w:gridSpan w:val="3"/>
          </w:tcPr>
          <w:p>
            <w:pPr>
              <w:jc w:val="right"/>
              <w:ind w:right="98"/>
              <w:spacing w:after="0"/>
              <w:rPr>
                <w:sz w:val="20"/>
                <w:szCs w:val="20"/>
                <w:color w:val="auto"/>
              </w:rPr>
            </w:pPr>
            <w:r>
              <w:rPr>
                <w:rFonts w:ascii="Arial" w:cs="Arial" w:eastAsia="Arial" w:hAnsi="Arial"/>
                <w:sz w:val="17"/>
                <w:szCs w:val="17"/>
                <w:color w:val="auto"/>
              </w:rPr>
              <w:t>(16,519,155)</w:t>
            </w:r>
          </w:p>
        </w:tc>
        <w:tc>
          <w:tcPr>
            <w:tcW w:w="960" w:type="dxa"/>
            <w:vAlign w:val="bottom"/>
            <w:gridSpan w:val="3"/>
          </w:tcPr>
          <w:p>
            <w:pPr>
              <w:jc w:val="right"/>
              <w:ind w:right="98"/>
              <w:spacing w:after="0"/>
              <w:rPr>
                <w:sz w:val="20"/>
                <w:szCs w:val="20"/>
                <w:color w:val="auto"/>
              </w:rPr>
            </w:pPr>
            <w:r>
              <w:rPr>
                <w:rFonts w:ascii="Arial" w:cs="Arial" w:eastAsia="Arial" w:hAnsi="Arial"/>
                <w:sz w:val="17"/>
                <w:szCs w:val="17"/>
                <w:color w:val="auto"/>
              </w:rPr>
              <w:t>(1.77)</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0.069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2017</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901,376</w:t>
            </w:r>
          </w:p>
        </w:tc>
        <w:tc>
          <w:tcPr>
            <w:tcW w:w="1560" w:type="dxa"/>
            <w:vAlign w:val="bottom"/>
            <w:gridSpan w:val="3"/>
            <w:shd w:val="clear" w:color="auto" w:fill="CCEEFF"/>
          </w:tcPr>
          <w:p>
            <w:pPr>
              <w:jc w:val="right"/>
              <w:ind w:right="61"/>
              <w:spacing w:after="0"/>
              <w:rPr>
                <w:sz w:val="20"/>
                <w:szCs w:val="20"/>
                <w:color w:val="auto"/>
              </w:rPr>
            </w:pPr>
            <w:r>
              <w:rPr>
                <w:rFonts w:ascii="Arial" w:cs="Arial" w:eastAsia="Arial" w:hAnsi="Arial"/>
                <w:sz w:val="17"/>
                <w:szCs w:val="17"/>
                <w:color w:val="auto"/>
              </w:rPr>
              <w:t>(12,419,558)</w:t>
            </w:r>
          </w:p>
        </w:tc>
        <w:tc>
          <w:tcPr>
            <w:tcW w:w="1400" w:type="dxa"/>
            <w:vAlign w:val="bottom"/>
            <w:gridSpan w:val="3"/>
            <w:shd w:val="clear" w:color="auto" w:fill="CCEEFF"/>
          </w:tcPr>
          <w:p>
            <w:pPr>
              <w:jc w:val="right"/>
              <w:ind w:right="61"/>
              <w:spacing w:after="0"/>
              <w:rPr>
                <w:sz w:val="20"/>
                <w:szCs w:val="20"/>
                <w:color w:val="auto"/>
              </w:rPr>
            </w:pPr>
            <w:r>
              <w:rPr>
                <w:rFonts w:ascii="Arial" w:cs="Arial" w:eastAsia="Arial" w:hAnsi="Arial"/>
                <w:sz w:val="17"/>
                <w:szCs w:val="17"/>
                <w:color w:val="auto"/>
              </w:rPr>
              <w:t>(12,559,261)</w:t>
            </w:r>
          </w:p>
        </w:tc>
        <w:tc>
          <w:tcPr>
            <w:tcW w:w="1400" w:type="dxa"/>
            <w:vAlign w:val="bottom"/>
            <w:gridSpan w:val="3"/>
            <w:shd w:val="clear" w:color="auto" w:fill="CCEEFF"/>
          </w:tcPr>
          <w:p>
            <w:pPr>
              <w:jc w:val="right"/>
              <w:ind w:right="98"/>
              <w:spacing w:after="0"/>
              <w:rPr>
                <w:sz w:val="20"/>
                <w:szCs w:val="20"/>
                <w:color w:val="auto"/>
              </w:rPr>
            </w:pPr>
            <w:r>
              <w:rPr>
                <w:rFonts w:ascii="Arial" w:cs="Arial" w:eastAsia="Arial" w:hAnsi="Arial"/>
                <w:sz w:val="17"/>
                <w:szCs w:val="17"/>
                <w:color w:val="auto"/>
              </w:rPr>
              <w:t>(11,511,024)</w:t>
            </w:r>
          </w:p>
        </w:tc>
        <w:tc>
          <w:tcPr>
            <w:tcW w:w="960" w:type="dxa"/>
            <w:vAlign w:val="bottom"/>
            <w:gridSpan w:val="3"/>
            <w:shd w:val="clear" w:color="auto" w:fill="CCEEFF"/>
          </w:tcPr>
          <w:p>
            <w:pPr>
              <w:jc w:val="right"/>
              <w:ind w:right="98"/>
              <w:spacing w:after="0"/>
              <w:rPr>
                <w:sz w:val="20"/>
                <w:szCs w:val="20"/>
                <w:color w:val="auto"/>
              </w:rPr>
            </w:pPr>
            <w:r>
              <w:rPr>
                <w:rFonts w:ascii="Arial" w:cs="Arial" w:eastAsia="Arial" w:hAnsi="Arial"/>
                <w:sz w:val="17"/>
                <w:szCs w:val="17"/>
                <w:color w:val="auto"/>
              </w:rPr>
              <w:t>(1.72)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2016</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1,002,007</w:t>
            </w:r>
          </w:p>
        </w:tc>
        <w:tc>
          <w:tcPr>
            <w:tcW w:w="1560" w:type="dxa"/>
            <w:vAlign w:val="bottom"/>
            <w:gridSpan w:val="3"/>
          </w:tcPr>
          <w:p>
            <w:pPr>
              <w:jc w:val="right"/>
              <w:ind w:right="61"/>
              <w:spacing w:after="0"/>
              <w:rPr>
                <w:sz w:val="20"/>
                <w:szCs w:val="20"/>
                <w:color w:val="auto"/>
              </w:rPr>
            </w:pPr>
            <w:r>
              <w:rPr>
                <w:rFonts w:ascii="Arial" w:cs="Arial" w:eastAsia="Arial" w:hAnsi="Arial"/>
                <w:sz w:val="17"/>
                <w:szCs w:val="17"/>
                <w:color w:val="auto"/>
              </w:rPr>
              <w:t>(11,160,119)</w:t>
            </w:r>
          </w:p>
        </w:tc>
        <w:tc>
          <w:tcPr>
            <w:tcW w:w="1400" w:type="dxa"/>
            <w:vAlign w:val="bottom"/>
            <w:gridSpan w:val="3"/>
          </w:tcPr>
          <w:p>
            <w:pPr>
              <w:jc w:val="right"/>
              <w:ind w:right="61"/>
              <w:spacing w:after="0"/>
              <w:rPr>
                <w:sz w:val="20"/>
                <w:szCs w:val="20"/>
                <w:color w:val="auto"/>
              </w:rPr>
            </w:pPr>
            <w:r>
              <w:rPr>
                <w:rFonts w:ascii="Arial" w:cs="Arial" w:eastAsia="Arial" w:hAnsi="Arial"/>
                <w:sz w:val="17"/>
                <w:szCs w:val="17"/>
                <w:color w:val="auto"/>
              </w:rPr>
              <w:t>(11,243,843)</w:t>
            </w:r>
          </w:p>
        </w:tc>
        <w:tc>
          <w:tcPr>
            <w:tcW w:w="1400" w:type="dxa"/>
            <w:vAlign w:val="bottom"/>
            <w:gridSpan w:val="3"/>
          </w:tcPr>
          <w:p>
            <w:pPr>
              <w:jc w:val="right"/>
              <w:ind w:right="98"/>
              <w:spacing w:after="0"/>
              <w:rPr>
                <w:sz w:val="20"/>
                <w:szCs w:val="20"/>
                <w:color w:val="auto"/>
              </w:rPr>
            </w:pPr>
            <w:r>
              <w:rPr>
                <w:rFonts w:ascii="Arial" w:cs="Arial" w:eastAsia="Arial" w:hAnsi="Arial"/>
                <w:sz w:val="17"/>
                <w:szCs w:val="17"/>
                <w:color w:val="auto"/>
              </w:rPr>
              <w:t>(7,778,015)</w:t>
            </w:r>
          </w:p>
        </w:tc>
        <w:tc>
          <w:tcPr>
            <w:tcW w:w="960" w:type="dxa"/>
            <w:vAlign w:val="bottom"/>
            <w:gridSpan w:val="3"/>
          </w:tcPr>
          <w:p>
            <w:pPr>
              <w:jc w:val="right"/>
              <w:ind w:right="98"/>
              <w:spacing w:after="0"/>
              <w:rPr>
                <w:sz w:val="20"/>
                <w:szCs w:val="20"/>
                <w:color w:val="auto"/>
              </w:rPr>
            </w:pPr>
            <w:r>
              <w:rPr>
                <w:rFonts w:ascii="Arial" w:cs="Arial" w:eastAsia="Arial" w:hAnsi="Arial"/>
                <w:sz w:val="17"/>
                <w:szCs w:val="17"/>
                <w:color w:val="auto"/>
              </w:rPr>
              <w:t>(1.56)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0.082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2015</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985,647</w:t>
            </w:r>
          </w:p>
        </w:tc>
        <w:tc>
          <w:tcPr>
            <w:tcW w:w="1560" w:type="dxa"/>
            <w:vAlign w:val="bottom"/>
            <w:gridSpan w:val="3"/>
            <w:shd w:val="clear" w:color="auto" w:fill="CCEEFF"/>
          </w:tcPr>
          <w:p>
            <w:pPr>
              <w:jc w:val="right"/>
              <w:ind w:right="61"/>
              <w:spacing w:after="0"/>
              <w:rPr>
                <w:sz w:val="20"/>
                <w:szCs w:val="20"/>
                <w:color w:val="auto"/>
              </w:rPr>
            </w:pPr>
            <w:r>
              <w:rPr>
                <w:rFonts w:ascii="Arial" w:cs="Arial" w:eastAsia="Arial" w:hAnsi="Arial"/>
                <w:sz w:val="17"/>
                <w:szCs w:val="17"/>
                <w:color w:val="auto"/>
              </w:rPr>
              <w:t>(8,457,496)</w:t>
            </w:r>
          </w:p>
        </w:tc>
        <w:tc>
          <w:tcPr>
            <w:tcW w:w="1400" w:type="dxa"/>
            <w:vAlign w:val="bottom"/>
            <w:gridSpan w:val="3"/>
            <w:shd w:val="clear" w:color="auto" w:fill="CCEEFF"/>
          </w:tcPr>
          <w:p>
            <w:pPr>
              <w:jc w:val="right"/>
              <w:ind w:right="61"/>
              <w:spacing w:after="0"/>
              <w:rPr>
                <w:sz w:val="20"/>
                <w:szCs w:val="20"/>
                <w:color w:val="auto"/>
              </w:rPr>
            </w:pPr>
            <w:r>
              <w:rPr>
                <w:rFonts w:ascii="Arial" w:cs="Arial" w:eastAsia="Arial" w:hAnsi="Arial"/>
                <w:sz w:val="17"/>
                <w:szCs w:val="17"/>
                <w:color w:val="auto"/>
              </w:rPr>
              <w:t>(8,520,120)</w:t>
            </w:r>
          </w:p>
        </w:tc>
        <w:tc>
          <w:tcPr>
            <w:tcW w:w="1400" w:type="dxa"/>
            <w:vAlign w:val="bottom"/>
            <w:gridSpan w:val="3"/>
            <w:shd w:val="clear" w:color="auto" w:fill="CCEEFF"/>
          </w:tcPr>
          <w:p>
            <w:pPr>
              <w:jc w:val="right"/>
              <w:ind w:right="98"/>
              <w:spacing w:after="0"/>
              <w:rPr>
                <w:sz w:val="20"/>
                <w:szCs w:val="20"/>
                <w:color w:val="auto"/>
              </w:rPr>
            </w:pPr>
            <w:r>
              <w:rPr>
                <w:rFonts w:ascii="Arial" w:cs="Arial" w:eastAsia="Arial" w:hAnsi="Arial"/>
                <w:sz w:val="17"/>
                <w:szCs w:val="17"/>
                <w:color w:val="auto"/>
              </w:rPr>
              <w:t>(7,107,497)</w:t>
            </w:r>
          </w:p>
        </w:tc>
        <w:tc>
          <w:tcPr>
            <w:tcW w:w="960" w:type="dxa"/>
            <w:vAlign w:val="bottom"/>
            <w:gridSpan w:val="3"/>
            <w:shd w:val="clear" w:color="auto" w:fill="CCEEFF"/>
          </w:tcPr>
          <w:p>
            <w:pPr>
              <w:jc w:val="right"/>
              <w:ind w:right="98"/>
              <w:spacing w:after="0"/>
              <w:rPr>
                <w:sz w:val="20"/>
                <w:szCs w:val="20"/>
                <w:color w:val="auto"/>
              </w:rPr>
            </w:pPr>
            <w:r>
              <w:rPr>
                <w:rFonts w:ascii="Arial" w:cs="Arial" w:eastAsia="Arial" w:hAnsi="Arial"/>
                <w:sz w:val="17"/>
                <w:szCs w:val="17"/>
                <w:color w:val="auto"/>
              </w:rPr>
              <w:t>(2.01)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There have not been any dividends paid during the period noted in the above table.</w:t>
      </w:r>
    </w:p>
    <w:p>
      <w:pPr>
        <w:spacing w:after="0" w:line="144"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60"/>
          </w:cols>
          <w:pgMar w:left="820" w:top="261" w:right="81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Framework, Philosophy and Policies</w:t>
      </w:r>
    </w:p>
    <w:p>
      <w:pPr>
        <w:spacing w:after="0" w:line="110"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performance of the Company depends upon the quality of its Directors and Executives. To prosper, the Company must attract, motivate and retain highly skilled Directors and Executives.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To this end, the Company embodies the following principles in its remuneration framework:</w:t>
      </w:r>
    </w:p>
    <w:p>
      <w:pPr>
        <w:spacing w:after="0" w:line="119" w:lineRule="exact"/>
        <w:rPr>
          <w:sz w:val="20"/>
          <w:szCs w:val="20"/>
          <w:color w:val="auto"/>
        </w:rPr>
      </w:pPr>
    </w:p>
    <w:p>
      <w:pPr>
        <w:ind w:left="920" w:hanging="412"/>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Provide competitive rewards to attract and retain high calibre Executives;</w:t>
      </w:r>
    </w:p>
    <w:p>
      <w:pPr>
        <w:spacing w:after="0" w:line="118" w:lineRule="exact"/>
        <w:rPr>
          <w:rFonts w:ascii="Arial" w:cs="Arial" w:eastAsia="Arial" w:hAnsi="Arial"/>
          <w:sz w:val="17"/>
          <w:szCs w:val="17"/>
          <w:color w:val="auto"/>
        </w:rPr>
      </w:pPr>
    </w:p>
    <w:p>
      <w:pPr>
        <w:ind w:left="920" w:right="560" w:hanging="412"/>
        <w:spacing w:after="0" w:line="268"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Acceptability to shareholders through transparency and engagement, and ensuring that remuneration frameworks and practices are appropriate to the circumstances of the Company as it evolves;</w:t>
      </w:r>
    </w:p>
    <w:p>
      <w:pPr>
        <w:spacing w:after="0" w:line="78" w:lineRule="exact"/>
        <w:rPr>
          <w:rFonts w:ascii="Arial" w:cs="Arial" w:eastAsia="Arial" w:hAnsi="Arial"/>
          <w:sz w:val="17"/>
          <w:szCs w:val="17"/>
          <w:color w:val="auto"/>
        </w:rPr>
      </w:pPr>
    </w:p>
    <w:p>
      <w:pPr>
        <w:ind w:left="920" w:hanging="412"/>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Performance linkage to and alignment with Executive compensation; and</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 appropriate, demanding performance hurdles as a prerequisite to payment of variable Executive remuneration.</w:t>
      </w:r>
    </w:p>
    <w:p>
      <w:pPr>
        <w:spacing w:after="0" w:line="20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main focus of executives and of performance assessment for Fiscal 2018 was related to the U.S. PMA application for the RECELL System, related activities required to support FDA approval, and preparation for the planned market launch of the RECELL System in the U.S. For 2019, the primary focus will be the continued adoption of the RECELL System in the U.S. and advancement of the Company’s pipeline. Incentives are intended to be linked to shareholder value via product adoption, market penetration, and total shareholder return (TSR).</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Non-Executive Director Remuneration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Objective</w:t>
      </w:r>
    </w:p>
    <w:p>
      <w:pPr>
        <w:spacing w:after="0" w:line="106"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The Board seeks to set aggregate remuneration at a level which provides the Company with the ability to attract and retain Directors of the highest calibre, whilst incurring a cost which is acceptable to shareholders.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Policy</w:t>
      </w:r>
    </w:p>
    <w:p>
      <w:pPr>
        <w:spacing w:after="0" w:line="106" w:lineRule="exact"/>
        <w:rPr>
          <w:sz w:val="20"/>
          <w:szCs w:val="20"/>
          <w:color w:val="auto"/>
        </w:rPr>
      </w:pPr>
    </w:p>
    <w:p>
      <w:pPr>
        <w:jc w:val="both"/>
        <w:ind w:right="180"/>
        <w:spacing w:after="0" w:line="257" w:lineRule="auto"/>
        <w:rPr>
          <w:sz w:val="20"/>
          <w:szCs w:val="20"/>
          <w:color w:val="auto"/>
        </w:rPr>
      </w:pPr>
      <w:r>
        <w:rPr>
          <w:rFonts w:ascii="Arial" w:cs="Arial" w:eastAsia="Arial" w:hAnsi="Arial"/>
          <w:sz w:val="17"/>
          <w:szCs w:val="17"/>
          <w:color w:val="auto"/>
        </w:rPr>
        <w:t>The amount of aggregate remuneration sought to be approved by shareholders and the fee structure is to be commercially acceptable, competitive and subject to an annual review. The Board considers advice from external consultants as well as the fees paid to Non-Executive Directors of comparable companies when undertaking the annual review process.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Structure</w:t>
      </w:r>
    </w:p>
    <w:p>
      <w:pPr>
        <w:spacing w:after="0" w:line="10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accordance with best practice corporate governance, the structure of Non-Executive Director and Senior Management remuneration is separate and distinct. The Constitution and the ASX Listing Rules specify that the aggregate remuneration of Non-Executive Directors shall be determined from time to time by a general meeting. The latest determination was at the Annual General Meeting held on 29 November 2005 when shareholders approved an aggregate remuneration of A$450,000 per year in respect of fees payable to Non-Executive Directors. Please refer to Table 2 of this report for the allocation of Directors’ fees.</w:t>
      </w:r>
    </w:p>
    <w:p>
      <w:pPr>
        <w:spacing w:after="0" w:line="181"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Each Director receives a fee for being a Director of the Company and includes attendance and participation at Board and committee meetings. The Non-Executive Directors do not participate in any incentive programs.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remuneration of Non-Executive Directors for the year ended 30 June 2019 is detailed in Table 2 of this report.</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Remuneration (including Executive Directors)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Objective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Company aims to reward Executives with a level and mix of remuneration commensurate with their position and responsibilities within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Company to:</w:t>
      </w:r>
    </w:p>
    <w:p>
      <w:pPr>
        <w:spacing w:after="0" w:line="220" w:lineRule="exact"/>
        <w:rPr>
          <w:sz w:val="20"/>
          <w:szCs w:val="20"/>
          <w:color w:val="auto"/>
        </w:rPr>
      </w:pPr>
    </w:p>
    <w:p>
      <w:pPr>
        <w:ind w:left="920" w:right="380" w:hanging="412"/>
        <w:spacing w:after="0" w:line="26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Reward Executives for Company and individual performance against targets set by reference to appropriate benchmarks as well as to specific short- and long-term goals of the Company;</w:t>
      </w:r>
    </w:p>
    <w:p>
      <w:pPr>
        <w:spacing w:after="0" w:line="78" w:lineRule="exact"/>
        <w:rPr>
          <w:rFonts w:ascii="Arial" w:cs="Arial" w:eastAsia="Arial" w:hAnsi="Arial"/>
          <w:sz w:val="17"/>
          <w:szCs w:val="17"/>
          <w:color w:val="auto"/>
        </w:rPr>
      </w:pPr>
    </w:p>
    <w:p>
      <w:pPr>
        <w:ind w:left="920" w:hanging="412"/>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Align the interests of Executives with those of shareholders; and</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Ensure total remuneration is competitive by market standards.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20"/>
          </w:cols>
          <w:pgMar w:left="820" w:top="261" w:right="8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Policy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As disclosed in our Remuneration Committee Charter available on our website, the company’s broad framework is noted below:</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Committee is to ensure that:</w:t>
      </w:r>
    </w:p>
    <w:p>
      <w:pPr>
        <w:spacing w:after="0" w:line="119" w:lineRule="exact"/>
        <w:rPr>
          <w:sz w:val="20"/>
          <w:szCs w:val="20"/>
          <w:color w:val="auto"/>
        </w:rPr>
      </w:pPr>
    </w:p>
    <w:p>
      <w:pPr>
        <w:ind w:left="920" w:right="100" w:hanging="412"/>
        <w:spacing w:after="0" w:line="268"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Executive remuneration packages may involve a balance between fixed and incentive pay, reflecting short and/or long-term performance objectives appropriate to the Company’s circumstances and objectives;</w:t>
      </w:r>
    </w:p>
    <w:p>
      <w:pPr>
        <w:spacing w:after="0" w:line="78" w:lineRule="exact"/>
        <w:rPr>
          <w:rFonts w:ascii="Arial" w:cs="Arial" w:eastAsia="Arial" w:hAnsi="Arial"/>
          <w:sz w:val="17"/>
          <w:szCs w:val="17"/>
          <w:color w:val="auto"/>
        </w:rPr>
      </w:pPr>
    </w:p>
    <w:p>
      <w:pPr>
        <w:ind w:left="920" w:hanging="412"/>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proportion of executives’ remuneration is structured in a manner designed to link reward to corporate and individual performances; and</w:t>
      </w:r>
    </w:p>
    <w:p>
      <w:pPr>
        <w:spacing w:after="0" w:line="141" w:lineRule="exact"/>
        <w:rPr>
          <w:rFonts w:ascii="Arial" w:cs="Arial" w:eastAsia="Arial" w:hAnsi="Arial"/>
          <w:sz w:val="15"/>
          <w:szCs w:val="15"/>
          <w:color w:val="auto"/>
        </w:rPr>
      </w:pPr>
    </w:p>
    <w:p>
      <w:pPr>
        <w:ind w:left="920" w:hanging="412"/>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Recommendations are made to the Board with respect to the quantum of bonuses to be paid to executives.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To the extent that the Company adopts a different remuneration structure for its Non-Executive Directors, the Committee shall document its reasons for the purpose of disclosure to stakeholders.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Structure</w:t>
      </w:r>
    </w:p>
    <w:p>
      <w:pPr>
        <w:spacing w:after="0" w:line="106"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The Remuneration Committee determines the level and make-up of the Chief Executive remuneration. The Committee takes advice from the Chief Executive and when necessary receives input from independent market remuneration advisers to set and approve all other executive remuneration. To assist in achieving the Company’s objectives, the Remuneration Committee links the nature and number of officers’ emoluments to the Company’s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Remuneration may consist of the following key elements:</w:t>
      </w:r>
    </w:p>
    <w:p>
      <w:pPr>
        <w:spacing w:after="0" w:line="119" w:lineRule="exact"/>
        <w:rPr>
          <w:sz w:val="20"/>
          <w:szCs w:val="20"/>
          <w:color w:val="auto"/>
        </w:rPr>
      </w:pPr>
    </w:p>
    <w:p>
      <w:pPr>
        <w:ind w:left="920" w:hanging="412"/>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Fixed Remuneration</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Variable Remuneration</w:t>
      </w:r>
    </w:p>
    <w:p>
      <w:pPr>
        <w:spacing w:after="0" w:line="118" w:lineRule="exact"/>
        <w:rPr>
          <w:rFonts w:ascii="Arial" w:cs="Arial" w:eastAsia="Arial" w:hAnsi="Arial"/>
          <w:sz w:val="17"/>
          <w:szCs w:val="17"/>
          <w:color w:val="auto"/>
        </w:rPr>
      </w:pPr>
    </w:p>
    <w:p>
      <w:pPr>
        <w:ind w:left="1320" w:hanging="297"/>
        <w:spacing w:after="0"/>
        <w:tabs>
          <w:tab w:leader="none" w:pos="13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Short-Term Incentive (STI) and/or</w:t>
      </w:r>
    </w:p>
    <w:p>
      <w:pPr>
        <w:spacing w:after="0" w:line="118" w:lineRule="exact"/>
        <w:rPr>
          <w:rFonts w:ascii="Arial" w:cs="Arial" w:eastAsia="Arial" w:hAnsi="Arial"/>
          <w:sz w:val="17"/>
          <w:szCs w:val="17"/>
          <w:color w:val="auto"/>
        </w:rPr>
      </w:pPr>
    </w:p>
    <w:p>
      <w:pPr>
        <w:ind w:left="1320" w:hanging="297"/>
        <w:spacing w:after="0"/>
        <w:tabs>
          <w:tab w:leader="none" w:pos="13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Long-Term Incentive (LTI)</w:t>
      </w:r>
    </w:p>
    <w:p>
      <w:pPr>
        <w:spacing w:after="0" w:line="207"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The proportion of fixed remuneration and variable remuneration (potential short term and long-term incentives) is established for each Executive by the Remuneration Committee annually. Table 2 details the fixed and variable components for the Executives of the Company.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Fixed Remuneration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Objective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The level of fixed remuneration is set to provide a base level of remuneration which is both appropriate to the position and is competitive in the market.</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Structure</w:t>
      </w:r>
    </w:p>
    <w:p>
      <w:pPr>
        <w:spacing w:after="0" w:line="106" w:lineRule="exact"/>
        <w:rPr>
          <w:sz w:val="20"/>
          <w:szCs w:val="20"/>
          <w:color w:val="auto"/>
        </w:rPr>
      </w:pPr>
    </w:p>
    <w:p>
      <w:pPr>
        <w:ind w:right="520"/>
        <w:spacing w:after="0" w:line="268" w:lineRule="auto"/>
        <w:rPr>
          <w:sz w:val="20"/>
          <w:szCs w:val="20"/>
          <w:color w:val="auto"/>
        </w:rPr>
      </w:pPr>
      <w:r>
        <w:rPr>
          <w:rFonts w:ascii="Arial" w:cs="Arial" w:eastAsia="Arial" w:hAnsi="Arial"/>
          <w:sz w:val="17"/>
          <w:szCs w:val="17"/>
          <w:color w:val="auto"/>
        </w:rPr>
        <w:t>Fixed remuneration is reviewed annually by the Remuneration Committee and the process consists of a review of company-wide and individual performance and relevant comparative remuneration in the market.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180"/>
          </w:cols>
          <w:pgMar w:left="820" w:top="261" w:right="89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Variable Remuneration – Short-Term Incentive (STI)</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Objective</w:t>
      </w:r>
    </w:p>
    <w:p>
      <w:pPr>
        <w:spacing w:after="0" w:line="10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objective of variable remuneration is to link the achievement of the Company’s operational targets with the remuneration received by the Executives charged with meeting those targets. The Company’s operational targets are set by the remuneration committee and the targets are based upon financial and non-financial measures. In the current financial year STI objectives consisted mainly of non-financial measures, primarily based around FDA approval and company readiness of commercialization. The target range is between 25-75% of base salary for the key management personnel. The Company’s STI objectives are designed to:</w:t>
      </w:r>
    </w:p>
    <w:p>
      <w:pPr>
        <w:spacing w:after="0" w:line="93" w:lineRule="exact"/>
        <w:rPr>
          <w:sz w:val="20"/>
          <w:szCs w:val="20"/>
          <w:color w:val="auto"/>
        </w:rPr>
      </w:pPr>
    </w:p>
    <w:p>
      <w:pPr>
        <w:ind w:left="920" w:hanging="412"/>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Motivate Senior Executives to achieve the short-term annual objectives linked to Company success and shareholder value creation;</w:t>
      </w:r>
    </w:p>
    <w:p>
      <w:pPr>
        <w:spacing w:after="0" w:line="130" w:lineRule="exact"/>
        <w:rPr>
          <w:rFonts w:ascii="Arial" w:cs="Arial" w:eastAsia="Arial" w:hAnsi="Arial"/>
          <w:sz w:val="16"/>
          <w:szCs w:val="16"/>
          <w:color w:val="auto"/>
        </w:rPr>
      </w:pPr>
    </w:p>
    <w:p>
      <w:pPr>
        <w:ind w:left="920" w:hanging="412"/>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Create a strong link between performance and reward;</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Share company success with the Senior Executives that contribute to it; and</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Create a component of the employment cost that is responsive to short to medium term changes in the circumstances of the Company.</w:t>
      </w:r>
    </w:p>
    <w:p>
      <w:pPr>
        <w:spacing w:after="0" w:line="230"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All key objectives were assessed by the remuneration committee as being fully met. All key management personnel achieved 100% of the maximum bonus available to them under the STI plan and were paid in the current year.</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Structure</w:t>
      </w:r>
    </w:p>
    <w:p>
      <w:pPr>
        <w:spacing w:after="0" w:line="106"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Variable remuneration is reviewed annually by the Remuneration Committee and the process consists of a review of company-wide and individual performance and relevant comparative remuneration in the market.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Variable Remuneration – Long-Term Incentive (LTI)</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Objective</w:t>
      </w:r>
    </w:p>
    <w:p>
      <w:pPr>
        <w:spacing w:after="0" w:line="106" w:lineRule="exact"/>
        <w:rPr>
          <w:sz w:val="20"/>
          <w:szCs w:val="20"/>
          <w:color w:val="auto"/>
        </w:rPr>
      </w:pPr>
    </w:p>
    <w:p>
      <w:pPr>
        <w:jc w:val="both"/>
        <w:ind w:right="480"/>
        <w:spacing w:after="0" w:line="257" w:lineRule="auto"/>
        <w:rPr>
          <w:sz w:val="20"/>
          <w:szCs w:val="20"/>
          <w:color w:val="auto"/>
        </w:rPr>
      </w:pPr>
      <w:r>
        <w:rPr>
          <w:rFonts w:ascii="Arial" w:cs="Arial" w:eastAsia="Arial" w:hAnsi="Arial"/>
          <w:sz w:val="17"/>
          <w:szCs w:val="17"/>
          <w:color w:val="auto"/>
        </w:rPr>
        <w:t>The objective of the LTI plan is to reward Executives in a manner that aligns remuneration with the creation of shareholder value and to create an element of remuneration that supports the executive team working together to achieve this outcome over the long term. The LTI plan is also a key component of the Company’s retention strategy.</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Structure</w:t>
      </w:r>
    </w:p>
    <w:p>
      <w:pPr>
        <w:spacing w:after="0" w:line="106" w:lineRule="exact"/>
        <w:rPr>
          <w:sz w:val="20"/>
          <w:szCs w:val="20"/>
          <w:color w:val="auto"/>
        </w:rPr>
      </w:pPr>
    </w:p>
    <w:p>
      <w:pPr>
        <w:ind w:right="280"/>
        <w:spacing w:after="0" w:line="254" w:lineRule="auto"/>
        <w:rPr>
          <w:sz w:val="20"/>
          <w:szCs w:val="20"/>
          <w:color w:val="auto"/>
        </w:rPr>
      </w:pPr>
      <w:r>
        <w:rPr>
          <w:rFonts w:ascii="Arial" w:cs="Arial" w:eastAsia="Arial" w:hAnsi="Arial"/>
          <w:sz w:val="17"/>
          <w:szCs w:val="17"/>
          <w:color w:val="auto"/>
        </w:rPr>
        <w:t>The Company has two separate LTI plans that it can use as part of incentivizing senior executives and staff for achieving targeted Key Performance Indicators (KPI’s) including financial and non-financial targets, corporate metrics and individual measures of performance. At the 2014 AGM, shareholders approved a Performance Rights Plan. At the General Meeting of shareholders on 24 August 2015, shareholders approved a share option plan for senior executives.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LTI for 2019 financial year</w:t>
      </w:r>
    </w:p>
    <w:p>
      <w:pPr>
        <w:spacing w:after="0" w:line="106"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In addition to the aforementioned CEO Long Term Incentive Plan (Table 2, Operating and Financial Review), 82,391,668 share options were granted during fiscal 2019.</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60"/>
          </w:cols>
          <w:pgMar w:left="820" w:top="261" w:right="81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of Key Management Personnel</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 Employment Contracts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specified terms of the relevant employment contracts for the Key Management Personnel of the Company: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vMerge w:val="restart"/>
          </w:tcPr>
          <w:p>
            <w:pPr>
              <w:spacing w:after="0"/>
              <w:rPr>
                <w:sz w:val="20"/>
                <w:szCs w:val="20"/>
                <w:color w:val="auto"/>
              </w:rPr>
            </w:pPr>
            <w:r>
              <w:rPr>
                <w:rFonts w:ascii="Arial" w:cs="Arial" w:eastAsia="Arial" w:hAnsi="Arial"/>
                <w:sz w:val="13"/>
                <w:szCs w:val="13"/>
                <w:b w:val="1"/>
                <w:bCs w:val="1"/>
                <w:color w:val="auto"/>
                <w:w w:val="92"/>
              </w:rPr>
              <w:t>Role</w:t>
            </w:r>
          </w:p>
        </w:tc>
        <w:tc>
          <w:tcPr>
            <w:tcW w:w="174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Incumbent</w:t>
            </w:r>
          </w:p>
        </w:tc>
        <w:tc>
          <w:tcPr>
            <w:tcW w:w="100" w:type="dxa"/>
            <w:vAlign w:val="bottom"/>
          </w:tcPr>
          <w:p>
            <w:pPr>
              <w:spacing w:after="0"/>
              <w:rPr>
                <w:sz w:val="13"/>
                <w:szCs w:val="13"/>
                <w:color w:val="auto"/>
              </w:rPr>
            </w:pPr>
          </w:p>
        </w:tc>
        <w:tc>
          <w:tcPr>
            <w:tcW w:w="1560" w:type="dxa"/>
            <w:vAlign w:val="bottom"/>
            <w:vMerge w:val="restart"/>
          </w:tcPr>
          <w:p>
            <w:pPr>
              <w:jc w:val="right"/>
              <w:ind w:right="185"/>
              <w:spacing w:after="0"/>
              <w:rPr>
                <w:sz w:val="20"/>
                <w:szCs w:val="20"/>
                <w:color w:val="auto"/>
              </w:rPr>
            </w:pPr>
            <w:r>
              <w:rPr>
                <w:rFonts w:ascii="Arial" w:cs="Arial" w:eastAsia="Arial" w:hAnsi="Arial"/>
                <w:sz w:val="13"/>
                <w:szCs w:val="13"/>
                <w:b w:val="1"/>
                <w:bCs w:val="1"/>
                <w:color w:val="auto"/>
              </w:rPr>
              <w:t>Contract duration</w:t>
            </w:r>
          </w:p>
        </w:tc>
        <w:tc>
          <w:tcPr>
            <w:tcW w:w="100" w:type="dxa"/>
            <w:vAlign w:val="bottom"/>
          </w:tcPr>
          <w:p>
            <w:pPr>
              <w:spacing w:after="0"/>
              <w:rPr>
                <w:sz w:val="13"/>
                <w:szCs w:val="13"/>
                <w:color w:val="auto"/>
              </w:rPr>
            </w:pPr>
          </w:p>
        </w:tc>
        <w:tc>
          <w:tcPr>
            <w:tcW w:w="166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Period of notice</w:t>
            </w:r>
          </w:p>
        </w:tc>
        <w:tc>
          <w:tcPr>
            <w:tcW w:w="100" w:type="dxa"/>
            <w:vAlign w:val="bottom"/>
          </w:tcPr>
          <w:p>
            <w:pPr>
              <w:spacing w:after="0"/>
              <w:rPr>
                <w:sz w:val="13"/>
                <w:szCs w:val="13"/>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Termination payments</w:t>
            </w:r>
          </w:p>
        </w:tc>
        <w:tc>
          <w:tcPr>
            <w:tcW w:w="0" w:type="dxa"/>
            <w:vAlign w:val="bottom"/>
          </w:tcPr>
          <w:p>
            <w:pPr>
              <w:spacing w:after="0"/>
              <w:rPr>
                <w:sz w:val="1"/>
                <w:szCs w:val="1"/>
                <w:color w:val="auto"/>
              </w:rPr>
            </w:pPr>
          </w:p>
        </w:tc>
      </w:tr>
      <w:tr>
        <w:trPr>
          <w:trHeight w:val="179"/>
        </w:trPr>
        <w:tc>
          <w:tcPr>
            <w:tcW w:w="280" w:type="dxa"/>
            <w:vAlign w:val="bottom"/>
            <w:tcBorders>
              <w:bottom w:val="single" w:sz="8" w:color="auto"/>
            </w:tcBorders>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provided for by contract</w:t>
            </w:r>
          </w:p>
        </w:tc>
        <w:tc>
          <w:tcPr>
            <w:tcW w:w="0" w:type="dxa"/>
            <w:vAlign w:val="bottom"/>
          </w:tcPr>
          <w:p>
            <w:pPr>
              <w:spacing w:after="0"/>
              <w:rPr>
                <w:sz w:val="1"/>
                <w:szCs w:val="1"/>
                <w:color w:val="auto"/>
              </w:rPr>
            </w:pPr>
          </w:p>
        </w:tc>
      </w:tr>
      <w:tr>
        <w:trPr>
          <w:trHeight w:val="161"/>
        </w:trPr>
        <w:tc>
          <w:tcPr>
            <w:tcW w:w="2020" w:type="dxa"/>
            <w:vAlign w:val="bottom"/>
            <w:gridSpan w:val="2"/>
          </w:tcPr>
          <w:p>
            <w:pPr>
              <w:spacing w:after="0" w:line="161" w:lineRule="exact"/>
              <w:rPr>
                <w:sz w:val="20"/>
                <w:szCs w:val="20"/>
                <w:color w:val="auto"/>
              </w:rPr>
            </w:pPr>
            <w:r>
              <w:rPr>
                <w:rFonts w:ascii="Arial" w:cs="Arial" w:eastAsia="Arial" w:hAnsi="Arial"/>
                <w:sz w:val="17"/>
                <w:szCs w:val="17"/>
                <w:color w:val="auto"/>
              </w:rPr>
              <w:t>Chief Executive Officer</w:t>
            </w:r>
          </w:p>
        </w:tc>
        <w:tc>
          <w:tcPr>
            <w:tcW w:w="80" w:type="dxa"/>
            <w:vAlign w:val="bottom"/>
          </w:tcPr>
          <w:p>
            <w:pPr>
              <w:spacing w:after="0"/>
              <w:rPr>
                <w:sz w:val="14"/>
                <w:szCs w:val="14"/>
                <w:color w:val="auto"/>
              </w:rPr>
            </w:pPr>
          </w:p>
        </w:tc>
        <w:tc>
          <w:tcPr>
            <w:tcW w:w="1980" w:type="dxa"/>
            <w:vAlign w:val="bottom"/>
          </w:tcPr>
          <w:p>
            <w:pPr>
              <w:spacing w:after="0" w:line="161" w:lineRule="exact"/>
              <w:rPr>
                <w:sz w:val="20"/>
                <w:szCs w:val="20"/>
                <w:color w:val="auto"/>
              </w:rPr>
            </w:pPr>
            <w:r>
              <w:rPr>
                <w:rFonts w:ascii="Arial" w:cs="Arial" w:eastAsia="Arial" w:hAnsi="Arial"/>
                <w:sz w:val="17"/>
                <w:szCs w:val="17"/>
                <w:color w:val="auto"/>
              </w:rPr>
              <w:t>Dr Michael Perry</w:t>
            </w:r>
          </w:p>
        </w:tc>
        <w:tc>
          <w:tcPr>
            <w:tcW w:w="100" w:type="dxa"/>
            <w:vAlign w:val="bottom"/>
          </w:tcPr>
          <w:p>
            <w:pPr>
              <w:spacing w:after="0"/>
              <w:rPr>
                <w:sz w:val="14"/>
                <w:szCs w:val="14"/>
                <w:color w:val="auto"/>
              </w:rPr>
            </w:pPr>
          </w:p>
        </w:tc>
        <w:tc>
          <w:tcPr>
            <w:tcW w:w="1560" w:type="dxa"/>
            <w:vAlign w:val="bottom"/>
          </w:tcPr>
          <w:p>
            <w:pPr>
              <w:jc w:val="right"/>
              <w:ind w:right="105"/>
              <w:spacing w:after="0" w:line="161" w:lineRule="exact"/>
              <w:rPr>
                <w:sz w:val="20"/>
                <w:szCs w:val="20"/>
                <w:color w:val="auto"/>
              </w:rPr>
            </w:pPr>
            <w:r>
              <w:rPr>
                <w:rFonts w:ascii="Arial" w:cs="Arial" w:eastAsia="Arial" w:hAnsi="Arial"/>
                <w:sz w:val="17"/>
                <w:szCs w:val="17"/>
                <w:color w:val="auto"/>
                <w:w w:val="85"/>
              </w:rPr>
              <w:t>Open ended contract</w:t>
            </w:r>
          </w:p>
        </w:tc>
        <w:tc>
          <w:tcPr>
            <w:tcW w:w="100" w:type="dxa"/>
            <w:vAlign w:val="bottom"/>
          </w:tcPr>
          <w:p>
            <w:pPr>
              <w:spacing w:after="0"/>
              <w:rPr>
                <w:sz w:val="14"/>
                <w:szCs w:val="14"/>
                <w:color w:val="auto"/>
              </w:rPr>
            </w:pPr>
          </w:p>
        </w:tc>
        <w:tc>
          <w:tcPr>
            <w:tcW w:w="1660" w:type="dxa"/>
            <w:vAlign w:val="bottom"/>
          </w:tcPr>
          <w:p>
            <w:pPr>
              <w:spacing w:after="0" w:line="161" w:lineRule="exact"/>
              <w:rPr>
                <w:sz w:val="20"/>
                <w:szCs w:val="20"/>
                <w:color w:val="auto"/>
              </w:rPr>
            </w:pPr>
            <w:r>
              <w:rPr>
                <w:rFonts w:ascii="Arial" w:cs="Arial" w:eastAsia="Arial" w:hAnsi="Arial"/>
                <w:sz w:val="17"/>
                <w:szCs w:val="17"/>
                <w:color w:val="auto"/>
                <w:w w:val="94"/>
              </w:rPr>
              <w:t>12-month notice period</w:t>
            </w:r>
          </w:p>
        </w:tc>
        <w:tc>
          <w:tcPr>
            <w:tcW w:w="100" w:type="dxa"/>
            <w:vAlign w:val="bottom"/>
          </w:tcPr>
          <w:p>
            <w:pPr>
              <w:spacing w:after="0"/>
              <w:rPr>
                <w:sz w:val="14"/>
                <w:szCs w:val="14"/>
                <w:color w:val="auto"/>
              </w:rPr>
            </w:pPr>
          </w:p>
        </w:tc>
        <w:tc>
          <w:tcPr>
            <w:tcW w:w="2660" w:type="dxa"/>
            <w:vAlign w:val="bottom"/>
          </w:tcPr>
          <w:p>
            <w:pPr>
              <w:spacing w:after="0" w:line="161" w:lineRule="exact"/>
              <w:rPr>
                <w:sz w:val="20"/>
                <w:szCs w:val="20"/>
                <w:color w:val="auto"/>
              </w:rPr>
            </w:pPr>
            <w:r>
              <w:rPr>
                <w:rFonts w:ascii="Arial" w:cs="Arial" w:eastAsia="Arial" w:hAnsi="Arial"/>
                <w:sz w:val="17"/>
                <w:szCs w:val="17"/>
                <w:color w:val="auto"/>
              </w:rPr>
              <w:t>12 months</w:t>
            </w:r>
          </w:p>
        </w:tc>
        <w:tc>
          <w:tcPr>
            <w:tcW w:w="0" w:type="dxa"/>
            <w:vAlign w:val="bottom"/>
          </w:tcPr>
          <w:p>
            <w:pPr>
              <w:spacing w:after="0"/>
              <w:rPr>
                <w:sz w:val="1"/>
                <w:szCs w:val="1"/>
                <w:color w:val="auto"/>
              </w:rPr>
            </w:pPr>
          </w:p>
        </w:tc>
      </w:tr>
      <w:tr>
        <w:trPr>
          <w:trHeight w:val="201"/>
        </w:trPr>
        <w:tc>
          <w:tcPr>
            <w:tcW w:w="2020" w:type="dxa"/>
            <w:vAlign w:val="bottom"/>
            <w:gridSpan w:val="2"/>
          </w:tcPr>
          <w:p>
            <w:pPr>
              <w:spacing w:after="0"/>
              <w:rPr>
                <w:sz w:val="20"/>
                <w:szCs w:val="20"/>
                <w:color w:val="auto"/>
              </w:rPr>
            </w:pPr>
            <w:r>
              <w:rPr>
                <w:rFonts w:ascii="Arial" w:cs="Arial" w:eastAsia="Arial" w:hAnsi="Arial"/>
                <w:sz w:val="17"/>
                <w:szCs w:val="17"/>
                <w:color w:val="auto"/>
              </w:rPr>
              <w:t>(CEO and Executive</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20" w:type="dxa"/>
            <w:vAlign w:val="bottom"/>
            <w:gridSpan w:val="2"/>
          </w:tcPr>
          <w:p>
            <w:pPr>
              <w:spacing w:after="0"/>
              <w:rPr>
                <w:sz w:val="20"/>
                <w:szCs w:val="20"/>
                <w:color w:val="auto"/>
              </w:rPr>
            </w:pPr>
            <w:r>
              <w:rPr>
                <w:rFonts w:ascii="Arial" w:cs="Arial" w:eastAsia="Arial" w:hAnsi="Arial"/>
                <w:sz w:val="17"/>
                <w:szCs w:val="17"/>
                <w:color w:val="auto"/>
                <w:w w:val="97"/>
              </w:rPr>
              <w:t>Chief Administrative Officer</w:t>
            </w:r>
          </w:p>
        </w:tc>
        <w:tc>
          <w:tcPr>
            <w:tcW w:w="2060" w:type="dxa"/>
            <w:vAlign w:val="bottom"/>
            <w:gridSpan w:val="2"/>
          </w:tcPr>
          <w:p>
            <w:pPr>
              <w:ind w:left="80"/>
              <w:spacing w:after="0"/>
              <w:rPr>
                <w:sz w:val="20"/>
                <w:szCs w:val="20"/>
                <w:color w:val="auto"/>
              </w:rPr>
            </w:pPr>
            <w:r>
              <w:rPr>
                <w:rFonts w:ascii="Arial" w:cs="Arial" w:eastAsia="Arial" w:hAnsi="Arial"/>
                <w:sz w:val="17"/>
                <w:szCs w:val="17"/>
                <w:color w:val="auto"/>
              </w:rPr>
              <w:t>Mr Timothy Rooney</w:t>
            </w:r>
          </w:p>
        </w:tc>
        <w:tc>
          <w:tcPr>
            <w:tcW w:w="1660" w:type="dxa"/>
            <w:vAlign w:val="bottom"/>
            <w:gridSpan w:val="2"/>
          </w:tcPr>
          <w:p>
            <w:pPr>
              <w:jc w:val="right"/>
              <w:ind w:right="105"/>
              <w:spacing w:after="0"/>
              <w:rPr>
                <w:sz w:val="20"/>
                <w:szCs w:val="20"/>
                <w:color w:val="auto"/>
              </w:rPr>
            </w:pPr>
            <w:r>
              <w:rPr>
                <w:rFonts w:ascii="Arial" w:cs="Arial" w:eastAsia="Arial" w:hAnsi="Arial"/>
                <w:sz w:val="17"/>
                <w:szCs w:val="17"/>
                <w:color w:val="auto"/>
                <w:w w:val="91"/>
              </w:rPr>
              <w:t>Open ended contract</w:t>
            </w:r>
          </w:p>
        </w:tc>
        <w:tc>
          <w:tcPr>
            <w:tcW w:w="1760" w:type="dxa"/>
            <w:vAlign w:val="bottom"/>
            <w:gridSpan w:val="2"/>
          </w:tcPr>
          <w:p>
            <w:pPr>
              <w:ind w:left="80"/>
              <w:spacing w:after="0"/>
              <w:rPr>
                <w:sz w:val="20"/>
                <w:szCs w:val="20"/>
                <w:color w:val="auto"/>
              </w:rPr>
            </w:pPr>
            <w:r>
              <w:rPr>
                <w:rFonts w:ascii="Arial" w:cs="Arial" w:eastAsia="Arial" w:hAnsi="Arial"/>
                <w:sz w:val="17"/>
                <w:szCs w:val="17"/>
                <w:color w:val="auto"/>
                <w:w w:val="95"/>
              </w:rPr>
              <w:t>12-month notice period</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rPr>
              <w:t>12 months</w:t>
            </w:r>
          </w:p>
        </w:tc>
        <w:tc>
          <w:tcPr>
            <w:tcW w:w="0" w:type="dxa"/>
            <w:vAlign w:val="bottom"/>
          </w:tcPr>
          <w:p>
            <w:pPr>
              <w:spacing w:after="0"/>
              <w:rPr>
                <w:sz w:val="1"/>
                <w:szCs w:val="1"/>
                <w:color w:val="auto"/>
              </w:rPr>
            </w:pPr>
          </w:p>
        </w:tc>
      </w:tr>
      <w:tr>
        <w:trPr>
          <w:trHeight w:val="201"/>
        </w:trPr>
        <w:tc>
          <w:tcPr>
            <w:tcW w:w="2020" w:type="dxa"/>
            <w:vAlign w:val="bottom"/>
            <w:gridSpan w:val="2"/>
          </w:tcPr>
          <w:p>
            <w:pPr>
              <w:spacing w:after="0"/>
              <w:rPr>
                <w:sz w:val="20"/>
                <w:szCs w:val="20"/>
                <w:color w:val="auto"/>
              </w:rPr>
            </w:pPr>
            <w:r>
              <w:rPr>
                <w:rFonts w:ascii="Arial" w:cs="Arial" w:eastAsia="Arial" w:hAnsi="Arial"/>
                <w:sz w:val="17"/>
                <w:szCs w:val="17"/>
                <w:color w:val="auto"/>
              </w:rPr>
              <w:t>(CAO) and Interim Chief</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20" w:type="dxa"/>
            <w:vAlign w:val="bottom"/>
            <w:gridSpan w:val="2"/>
          </w:tcPr>
          <w:p>
            <w:pPr>
              <w:spacing w:after="0"/>
              <w:rPr>
                <w:sz w:val="20"/>
                <w:szCs w:val="20"/>
                <w:color w:val="auto"/>
              </w:rPr>
            </w:pPr>
            <w:r>
              <w:rPr>
                <w:rFonts w:ascii="Arial" w:cs="Arial" w:eastAsia="Arial" w:hAnsi="Arial"/>
                <w:sz w:val="17"/>
                <w:szCs w:val="17"/>
                <w:color w:val="auto"/>
              </w:rPr>
              <w:t>Financial Officer (CFO)</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20" w:type="dxa"/>
            <w:vAlign w:val="bottom"/>
            <w:gridSpan w:val="2"/>
          </w:tcPr>
          <w:p>
            <w:pPr>
              <w:spacing w:after="0"/>
              <w:rPr>
                <w:sz w:val="20"/>
                <w:szCs w:val="20"/>
                <w:color w:val="auto"/>
              </w:rPr>
            </w:pPr>
            <w:r>
              <w:rPr>
                <w:rFonts w:ascii="Arial" w:cs="Arial" w:eastAsia="Arial" w:hAnsi="Arial"/>
                <w:sz w:val="17"/>
                <w:szCs w:val="17"/>
                <w:color w:val="auto"/>
              </w:rPr>
              <w:t>Chief Commercial Officer</w:t>
            </w:r>
          </w:p>
        </w:tc>
        <w:tc>
          <w:tcPr>
            <w:tcW w:w="2060" w:type="dxa"/>
            <w:vAlign w:val="bottom"/>
            <w:gridSpan w:val="2"/>
          </w:tcPr>
          <w:p>
            <w:pPr>
              <w:ind w:left="80"/>
              <w:spacing w:after="0"/>
              <w:rPr>
                <w:sz w:val="20"/>
                <w:szCs w:val="20"/>
                <w:color w:val="auto"/>
              </w:rPr>
            </w:pPr>
            <w:r>
              <w:rPr>
                <w:rFonts w:ascii="Arial" w:cs="Arial" w:eastAsia="Arial" w:hAnsi="Arial"/>
                <w:sz w:val="17"/>
                <w:szCs w:val="17"/>
                <w:color w:val="auto"/>
              </w:rPr>
              <w:t>Ms Erin Liberto</w:t>
            </w:r>
          </w:p>
        </w:tc>
        <w:tc>
          <w:tcPr>
            <w:tcW w:w="1660" w:type="dxa"/>
            <w:vAlign w:val="bottom"/>
            <w:gridSpan w:val="2"/>
          </w:tcPr>
          <w:p>
            <w:pPr>
              <w:jc w:val="right"/>
              <w:ind w:right="105"/>
              <w:spacing w:after="0"/>
              <w:rPr>
                <w:sz w:val="20"/>
                <w:szCs w:val="20"/>
                <w:color w:val="auto"/>
              </w:rPr>
            </w:pPr>
            <w:r>
              <w:rPr>
                <w:rFonts w:ascii="Arial" w:cs="Arial" w:eastAsia="Arial" w:hAnsi="Arial"/>
                <w:sz w:val="17"/>
                <w:szCs w:val="17"/>
                <w:color w:val="auto"/>
                <w:w w:val="91"/>
              </w:rPr>
              <w:t>Open ended contract</w:t>
            </w:r>
          </w:p>
        </w:tc>
        <w:tc>
          <w:tcPr>
            <w:tcW w:w="1760" w:type="dxa"/>
            <w:vAlign w:val="bottom"/>
            <w:gridSpan w:val="2"/>
          </w:tcPr>
          <w:p>
            <w:pPr>
              <w:ind w:left="80"/>
              <w:spacing w:after="0"/>
              <w:rPr>
                <w:sz w:val="20"/>
                <w:szCs w:val="20"/>
                <w:color w:val="auto"/>
              </w:rPr>
            </w:pPr>
            <w:r>
              <w:rPr>
                <w:rFonts w:ascii="Arial" w:cs="Arial" w:eastAsia="Arial" w:hAnsi="Arial"/>
                <w:sz w:val="17"/>
                <w:szCs w:val="17"/>
                <w:color w:val="auto"/>
              </w:rPr>
              <w:t>6-month notice period</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rPr>
              <w:t>6 months</w:t>
            </w:r>
          </w:p>
        </w:tc>
        <w:tc>
          <w:tcPr>
            <w:tcW w:w="0" w:type="dxa"/>
            <w:vAlign w:val="bottom"/>
          </w:tcPr>
          <w:p>
            <w:pPr>
              <w:spacing w:after="0"/>
              <w:rPr>
                <w:sz w:val="1"/>
                <w:szCs w:val="1"/>
                <w:color w:val="auto"/>
              </w:rPr>
            </w:pPr>
          </w:p>
        </w:tc>
      </w:tr>
      <w:tr>
        <w:trPr>
          <w:trHeight w:val="213"/>
        </w:trPr>
        <w:tc>
          <w:tcPr>
            <w:tcW w:w="2020" w:type="dxa"/>
            <w:vAlign w:val="bottom"/>
            <w:gridSpan w:val="2"/>
          </w:tcPr>
          <w:p>
            <w:pPr>
              <w:spacing w:after="0"/>
              <w:rPr>
                <w:sz w:val="20"/>
                <w:szCs w:val="20"/>
                <w:color w:val="auto"/>
              </w:rPr>
            </w:pPr>
            <w:r>
              <w:rPr>
                <w:rFonts w:ascii="Arial" w:cs="Arial" w:eastAsia="Arial" w:hAnsi="Arial"/>
                <w:sz w:val="17"/>
                <w:szCs w:val="17"/>
                <w:color w:val="auto"/>
              </w:rPr>
              <w:t>(CCO)</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20" w:type="dxa"/>
            <w:vAlign w:val="bottom"/>
            <w:gridSpan w:val="2"/>
          </w:tcPr>
          <w:p>
            <w:pPr>
              <w:spacing w:after="0"/>
              <w:rPr>
                <w:sz w:val="20"/>
                <w:szCs w:val="20"/>
                <w:color w:val="auto"/>
              </w:rPr>
            </w:pPr>
            <w:r>
              <w:rPr>
                <w:rFonts w:ascii="Arial" w:cs="Arial" w:eastAsia="Arial" w:hAnsi="Arial"/>
                <w:sz w:val="17"/>
                <w:szCs w:val="17"/>
                <w:color w:val="auto"/>
              </w:rPr>
              <w:t>Chief Technology Officer</w:t>
            </w:r>
          </w:p>
        </w:tc>
        <w:tc>
          <w:tcPr>
            <w:tcW w:w="2060" w:type="dxa"/>
            <w:vAlign w:val="bottom"/>
            <w:gridSpan w:val="2"/>
          </w:tcPr>
          <w:p>
            <w:pPr>
              <w:ind w:left="80"/>
              <w:spacing w:after="0"/>
              <w:rPr>
                <w:sz w:val="20"/>
                <w:szCs w:val="20"/>
                <w:color w:val="auto"/>
              </w:rPr>
            </w:pPr>
            <w:r>
              <w:rPr>
                <w:rFonts w:ascii="Arial" w:cs="Arial" w:eastAsia="Arial" w:hAnsi="Arial"/>
                <w:sz w:val="17"/>
                <w:szCs w:val="17"/>
                <w:color w:val="auto"/>
              </w:rPr>
              <w:t>Mr Andrew Quick</w:t>
            </w:r>
          </w:p>
        </w:tc>
        <w:tc>
          <w:tcPr>
            <w:tcW w:w="1660" w:type="dxa"/>
            <w:vAlign w:val="bottom"/>
            <w:gridSpan w:val="2"/>
          </w:tcPr>
          <w:p>
            <w:pPr>
              <w:jc w:val="right"/>
              <w:ind w:right="105"/>
              <w:spacing w:after="0"/>
              <w:rPr>
                <w:sz w:val="20"/>
                <w:szCs w:val="20"/>
                <w:color w:val="auto"/>
              </w:rPr>
            </w:pPr>
            <w:r>
              <w:rPr>
                <w:rFonts w:ascii="Arial" w:cs="Arial" w:eastAsia="Arial" w:hAnsi="Arial"/>
                <w:sz w:val="17"/>
                <w:szCs w:val="17"/>
                <w:color w:val="auto"/>
                <w:w w:val="91"/>
              </w:rPr>
              <w:t>Open ended contract</w:t>
            </w:r>
          </w:p>
        </w:tc>
        <w:tc>
          <w:tcPr>
            <w:tcW w:w="1760" w:type="dxa"/>
            <w:vAlign w:val="bottom"/>
            <w:gridSpan w:val="2"/>
          </w:tcPr>
          <w:p>
            <w:pPr>
              <w:ind w:left="80"/>
              <w:spacing w:after="0"/>
              <w:rPr>
                <w:sz w:val="20"/>
                <w:szCs w:val="20"/>
                <w:color w:val="auto"/>
              </w:rPr>
            </w:pPr>
            <w:r>
              <w:rPr>
                <w:rFonts w:ascii="Arial" w:cs="Arial" w:eastAsia="Arial" w:hAnsi="Arial"/>
                <w:sz w:val="17"/>
                <w:szCs w:val="17"/>
                <w:color w:val="auto"/>
              </w:rPr>
              <w:t>3-month notice period</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w w:val="90"/>
              </w:rPr>
              <w:t>Payment in lieu of notice only, no other</w:t>
            </w:r>
          </w:p>
        </w:tc>
        <w:tc>
          <w:tcPr>
            <w:tcW w:w="0" w:type="dxa"/>
            <w:vAlign w:val="bottom"/>
          </w:tcPr>
          <w:p>
            <w:pPr>
              <w:spacing w:after="0"/>
              <w:rPr>
                <w:sz w:val="1"/>
                <w:szCs w:val="1"/>
                <w:color w:val="auto"/>
              </w:rPr>
            </w:pPr>
          </w:p>
        </w:tc>
      </w:tr>
      <w:tr>
        <w:trPr>
          <w:trHeight w:val="213"/>
        </w:trPr>
        <w:tc>
          <w:tcPr>
            <w:tcW w:w="2020" w:type="dxa"/>
            <w:vAlign w:val="bottom"/>
            <w:gridSpan w:val="2"/>
          </w:tcPr>
          <w:p>
            <w:pPr>
              <w:spacing w:after="0"/>
              <w:rPr>
                <w:sz w:val="20"/>
                <w:szCs w:val="20"/>
                <w:color w:val="auto"/>
              </w:rPr>
            </w:pPr>
            <w:r>
              <w:rPr>
                <w:rFonts w:ascii="Arial" w:cs="Arial" w:eastAsia="Arial" w:hAnsi="Arial"/>
                <w:sz w:val="17"/>
                <w:szCs w:val="17"/>
                <w:color w:val="auto"/>
              </w:rPr>
              <w:t>(CTO)</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rPr>
              <w:t>benefits specified</w:t>
            </w:r>
          </w:p>
        </w:tc>
        <w:tc>
          <w:tcPr>
            <w:tcW w:w="0" w:type="dxa"/>
            <w:vAlign w:val="bottom"/>
          </w:tcPr>
          <w:p>
            <w:pPr>
              <w:spacing w:after="0"/>
              <w:rPr>
                <w:sz w:val="1"/>
                <w:szCs w:val="1"/>
                <w:color w:val="auto"/>
              </w:rPr>
            </w:pPr>
          </w:p>
        </w:tc>
      </w:tr>
      <w:tr>
        <w:trPr>
          <w:trHeight w:val="290"/>
        </w:trPr>
        <w:tc>
          <w:tcPr>
            <w:tcW w:w="2020" w:type="dxa"/>
            <w:vAlign w:val="bottom"/>
            <w:gridSpan w:val="2"/>
          </w:tcPr>
          <w:p>
            <w:pPr>
              <w:spacing w:after="0"/>
              <w:rPr>
                <w:sz w:val="20"/>
                <w:szCs w:val="20"/>
                <w:color w:val="auto"/>
              </w:rPr>
            </w:pPr>
            <w:r>
              <w:rPr>
                <w:rFonts w:ascii="Arial" w:cs="Arial" w:eastAsia="Arial" w:hAnsi="Arial"/>
                <w:sz w:val="17"/>
                <w:szCs w:val="17"/>
                <w:color w:val="auto"/>
              </w:rPr>
              <w:t>General Counsel (GC)</w:t>
            </w:r>
          </w:p>
        </w:tc>
        <w:tc>
          <w:tcPr>
            <w:tcW w:w="2060" w:type="dxa"/>
            <w:vAlign w:val="bottom"/>
            <w:gridSpan w:val="2"/>
          </w:tcPr>
          <w:p>
            <w:pPr>
              <w:ind w:left="80"/>
              <w:spacing w:after="0"/>
              <w:rPr>
                <w:sz w:val="20"/>
                <w:szCs w:val="20"/>
                <w:color w:val="auto"/>
              </w:rPr>
            </w:pPr>
            <w:r>
              <w:rPr>
                <w:rFonts w:ascii="Arial" w:cs="Arial" w:eastAsia="Arial" w:hAnsi="Arial"/>
                <w:sz w:val="17"/>
                <w:szCs w:val="17"/>
                <w:color w:val="auto"/>
              </w:rPr>
              <w:t>Ms Donna Shiroma</w:t>
            </w:r>
          </w:p>
        </w:tc>
        <w:tc>
          <w:tcPr>
            <w:tcW w:w="1660" w:type="dxa"/>
            <w:vAlign w:val="bottom"/>
            <w:gridSpan w:val="2"/>
          </w:tcPr>
          <w:p>
            <w:pPr>
              <w:jc w:val="right"/>
              <w:ind w:right="105"/>
              <w:spacing w:after="0"/>
              <w:rPr>
                <w:sz w:val="20"/>
                <w:szCs w:val="20"/>
                <w:color w:val="auto"/>
              </w:rPr>
            </w:pPr>
            <w:r>
              <w:rPr>
                <w:rFonts w:ascii="Arial" w:cs="Arial" w:eastAsia="Arial" w:hAnsi="Arial"/>
                <w:sz w:val="17"/>
                <w:szCs w:val="17"/>
                <w:color w:val="auto"/>
                <w:w w:val="91"/>
              </w:rPr>
              <w:t>Open ended contract</w:t>
            </w:r>
          </w:p>
        </w:tc>
        <w:tc>
          <w:tcPr>
            <w:tcW w:w="1760" w:type="dxa"/>
            <w:vAlign w:val="bottom"/>
            <w:gridSpan w:val="2"/>
          </w:tcPr>
          <w:p>
            <w:pPr>
              <w:ind w:left="80"/>
              <w:spacing w:after="0"/>
              <w:rPr>
                <w:sz w:val="20"/>
                <w:szCs w:val="20"/>
                <w:color w:val="auto"/>
              </w:rPr>
            </w:pPr>
            <w:r>
              <w:rPr>
                <w:rFonts w:ascii="Arial" w:cs="Arial" w:eastAsia="Arial" w:hAnsi="Arial"/>
                <w:sz w:val="17"/>
                <w:szCs w:val="17"/>
                <w:color w:val="auto"/>
              </w:rPr>
              <w:t>3-month notice period</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w w:val="90"/>
              </w:rPr>
              <w:t>Payment in lieu of notice only, no other</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rPr>
              <w:t>benefits specified</w:t>
            </w:r>
          </w:p>
        </w:tc>
        <w:tc>
          <w:tcPr>
            <w:tcW w:w="0" w:type="dxa"/>
            <w:vAlign w:val="bottom"/>
          </w:tcPr>
          <w:p>
            <w:pPr>
              <w:spacing w:after="0"/>
              <w:rPr>
                <w:sz w:val="1"/>
                <w:szCs w:val="1"/>
                <w:color w:val="auto"/>
              </w:rPr>
            </w:pPr>
          </w:p>
        </w:tc>
      </w:tr>
      <w:tr>
        <w:trPr>
          <w:trHeight w:val="290"/>
        </w:trPr>
        <w:tc>
          <w:tcPr>
            <w:tcW w:w="2020" w:type="dxa"/>
            <w:vAlign w:val="bottom"/>
            <w:gridSpan w:val="2"/>
          </w:tcPr>
          <w:p>
            <w:pPr>
              <w:spacing w:after="0"/>
              <w:rPr>
                <w:sz w:val="20"/>
                <w:szCs w:val="20"/>
                <w:color w:val="auto"/>
              </w:rPr>
            </w:pPr>
            <w:r>
              <w:rPr>
                <w:rFonts w:ascii="Arial" w:cs="Arial" w:eastAsia="Arial" w:hAnsi="Arial"/>
                <w:sz w:val="17"/>
                <w:szCs w:val="17"/>
                <w:color w:val="auto"/>
              </w:rPr>
              <w:t>Non-Executive Chairman</w:t>
            </w:r>
          </w:p>
        </w:tc>
        <w:tc>
          <w:tcPr>
            <w:tcW w:w="2060" w:type="dxa"/>
            <w:vAlign w:val="bottom"/>
            <w:gridSpan w:val="2"/>
          </w:tcPr>
          <w:p>
            <w:pPr>
              <w:ind w:left="80"/>
              <w:spacing w:after="0"/>
              <w:rPr>
                <w:sz w:val="20"/>
                <w:szCs w:val="20"/>
                <w:color w:val="auto"/>
              </w:rPr>
            </w:pPr>
            <w:r>
              <w:rPr>
                <w:rFonts w:ascii="Arial" w:cs="Arial" w:eastAsia="Arial" w:hAnsi="Arial"/>
                <w:sz w:val="17"/>
                <w:szCs w:val="17"/>
                <w:color w:val="auto"/>
              </w:rPr>
              <w:t>Mr Lou Panaccio</w:t>
            </w:r>
          </w:p>
        </w:tc>
        <w:tc>
          <w:tcPr>
            <w:tcW w:w="1660" w:type="dxa"/>
            <w:vAlign w:val="bottom"/>
            <w:gridSpan w:val="2"/>
          </w:tcPr>
          <w:p>
            <w:pPr>
              <w:jc w:val="right"/>
              <w:ind w:right="105"/>
              <w:spacing w:after="0"/>
              <w:rPr>
                <w:sz w:val="20"/>
                <w:szCs w:val="20"/>
                <w:color w:val="auto"/>
              </w:rPr>
            </w:pPr>
            <w:r>
              <w:rPr>
                <w:rFonts w:ascii="Arial" w:cs="Arial" w:eastAsia="Arial" w:hAnsi="Arial"/>
                <w:sz w:val="17"/>
                <w:szCs w:val="17"/>
                <w:color w:val="auto"/>
                <w:w w:val="91"/>
              </w:rPr>
              <w:t>Open ended contract</w:t>
            </w:r>
          </w:p>
        </w:tc>
        <w:tc>
          <w:tcPr>
            <w:tcW w:w="1760" w:type="dxa"/>
            <w:vAlign w:val="bottom"/>
            <w:gridSpan w:val="2"/>
          </w:tcPr>
          <w:p>
            <w:pPr>
              <w:ind w:left="80"/>
              <w:spacing w:after="0"/>
              <w:rPr>
                <w:sz w:val="20"/>
                <w:szCs w:val="20"/>
                <w:color w:val="auto"/>
              </w:rPr>
            </w:pPr>
            <w:r>
              <w:rPr>
                <w:rFonts w:ascii="Arial" w:cs="Arial" w:eastAsia="Arial" w:hAnsi="Arial"/>
                <w:sz w:val="17"/>
                <w:szCs w:val="17"/>
                <w:color w:val="auto"/>
                <w:w w:val="91"/>
              </w:rPr>
              <w:t>Nil notice period-subject</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w w:val="90"/>
              </w:rPr>
              <w:t>Payment in lieu of notice only, no other</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7"/>
                <w:szCs w:val="17"/>
                <w:color w:val="auto"/>
              </w:rPr>
              <w:t>to Avita constitution</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rPr>
              <w:t>benefits specified</w:t>
            </w:r>
          </w:p>
        </w:tc>
        <w:tc>
          <w:tcPr>
            <w:tcW w:w="0" w:type="dxa"/>
            <w:vAlign w:val="bottom"/>
          </w:tcPr>
          <w:p>
            <w:pPr>
              <w:spacing w:after="0"/>
              <w:rPr>
                <w:sz w:val="1"/>
                <w:szCs w:val="1"/>
                <w:color w:val="auto"/>
              </w:rPr>
            </w:pPr>
          </w:p>
        </w:tc>
      </w:tr>
      <w:tr>
        <w:trPr>
          <w:trHeight w:val="302"/>
        </w:trPr>
        <w:tc>
          <w:tcPr>
            <w:tcW w:w="2020" w:type="dxa"/>
            <w:vAlign w:val="bottom"/>
            <w:gridSpan w:val="2"/>
          </w:tcPr>
          <w:p>
            <w:pPr>
              <w:spacing w:after="0"/>
              <w:rPr>
                <w:sz w:val="20"/>
                <w:szCs w:val="20"/>
                <w:color w:val="auto"/>
              </w:rPr>
            </w:pPr>
            <w:r>
              <w:rPr>
                <w:rFonts w:ascii="Arial" w:cs="Arial" w:eastAsia="Arial" w:hAnsi="Arial"/>
                <w:sz w:val="17"/>
                <w:szCs w:val="17"/>
                <w:color w:val="auto"/>
              </w:rPr>
              <w:t>All other non-executive</w:t>
            </w:r>
          </w:p>
        </w:tc>
        <w:tc>
          <w:tcPr>
            <w:tcW w:w="2060" w:type="dxa"/>
            <w:vAlign w:val="bottom"/>
            <w:gridSpan w:val="2"/>
          </w:tcPr>
          <w:p>
            <w:pPr>
              <w:ind w:left="80"/>
              <w:spacing w:after="0"/>
              <w:rPr>
                <w:sz w:val="20"/>
                <w:szCs w:val="20"/>
                <w:color w:val="auto"/>
              </w:rPr>
            </w:pPr>
            <w:r>
              <w:rPr>
                <w:rFonts w:ascii="Arial" w:cs="Arial" w:eastAsia="Arial" w:hAnsi="Arial"/>
                <w:sz w:val="17"/>
                <w:szCs w:val="17"/>
                <w:color w:val="auto"/>
              </w:rPr>
              <w:t>Mr Jeremy Curnock Cook</w:t>
            </w:r>
          </w:p>
        </w:tc>
        <w:tc>
          <w:tcPr>
            <w:tcW w:w="1660" w:type="dxa"/>
            <w:vAlign w:val="bottom"/>
            <w:gridSpan w:val="2"/>
          </w:tcPr>
          <w:p>
            <w:pPr>
              <w:jc w:val="right"/>
              <w:ind w:right="105"/>
              <w:spacing w:after="0"/>
              <w:rPr>
                <w:sz w:val="20"/>
                <w:szCs w:val="20"/>
                <w:color w:val="auto"/>
              </w:rPr>
            </w:pPr>
            <w:r>
              <w:rPr>
                <w:rFonts w:ascii="Arial" w:cs="Arial" w:eastAsia="Arial" w:hAnsi="Arial"/>
                <w:sz w:val="17"/>
                <w:szCs w:val="17"/>
                <w:color w:val="auto"/>
                <w:w w:val="91"/>
              </w:rPr>
              <w:t>Open ended contract</w:t>
            </w:r>
          </w:p>
        </w:tc>
        <w:tc>
          <w:tcPr>
            <w:tcW w:w="1760" w:type="dxa"/>
            <w:vAlign w:val="bottom"/>
            <w:gridSpan w:val="2"/>
          </w:tcPr>
          <w:p>
            <w:pPr>
              <w:ind w:left="80"/>
              <w:spacing w:after="0"/>
              <w:rPr>
                <w:sz w:val="20"/>
                <w:szCs w:val="20"/>
                <w:color w:val="auto"/>
              </w:rPr>
            </w:pPr>
            <w:r>
              <w:rPr>
                <w:rFonts w:ascii="Arial" w:cs="Arial" w:eastAsia="Arial" w:hAnsi="Arial"/>
                <w:sz w:val="17"/>
                <w:szCs w:val="17"/>
                <w:color w:val="auto"/>
                <w:w w:val="91"/>
              </w:rPr>
              <w:t>Nil notice period-subject</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w w:val="90"/>
              </w:rPr>
              <w:t>Payment in lieu of notice only, no other</w:t>
            </w:r>
          </w:p>
        </w:tc>
        <w:tc>
          <w:tcPr>
            <w:tcW w:w="0" w:type="dxa"/>
            <w:vAlign w:val="bottom"/>
          </w:tcPr>
          <w:p>
            <w:pPr>
              <w:spacing w:after="0"/>
              <w:rPr>
                <w:sz w:val="1"/>
                <w:szCs w:val="1"/>
                <w:color w:val="auto"/>
              </w:rPr>
            </w:pPr>
          </w:p>
        </w:tc>
      </w:tr>
      <w:tr>
        <w:trPr>
          <w:trHeight w:val="213"/>
        </w:trPr>
        <w:tc>
          <w:tcPr>
            <w:tcW w:w="2020" w:type="dxa"/>
            <w:vAlign w:val="bottom"/>
            <w:gridSpan w:val="2"/>
          </w:tcPr>
          <w:p>
            <w:pPr>
              <w:spacing w:after="0"/>
              <w:rPr>
                <w:sz w:val="20"/>
                <w:szCs w:val="20"/>
                <w:color w:val="auto"/>
              </w:rPr>
            </w:pPr>
            <w:r>
              <w:rPr>
                <w:rFonts w:ascii="Arial" w:cs="Arial" w:eastAsia="Arial" w:hAnsi="Arial"/>
                <w:sz w:val="17"/>
                <w:szCs w:val="17"/>
                <w:color w:val="auto"/>
              </w:rPr>
              <w:t>directors</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7"/>
                <w:szCs w:val="17"/>
                <w:color w:val="auto"/>
              </w:rPr>
              <w:t>to Avita constitution</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rPr>
              <w:t>benefits specified</w:t>
            </w:r>
          </w:p>
        </w:tc>
        <w:tc>
          <w:tcPr>
            <w:tcW w:w="0" w:type="dxa"/>
            <w:vAlign w:val="bottom"/>
          </w:tcPr>
          <w:p>
            <w:pPr>
              <w:spacing w:after="0"/>
              <w:rPr>
                <w:sz w:val="1"/>
                <w:szCs w:val="1"/>
                <w:color w:val="auto"/>
              </w:rPr>
            </w:pPr>
          </w:p>
        </w:tc>
      </w:tr>
      <w:tr>
        <w:trPr>
          <w:trHeight w:val="302"/>
        </w:trPr>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60" w:type="dxa"/>
            <w:vAlign w:val="bottom"/>
            <w:gridSpan w:val="2"/>
          </w:tcPr>
          <w:p>
            <w:pPr>
              <w:ind w:left="80"/>
              <w:spacing w:after="0"/>
              <w:rPr>
                <w:sz w:val="20"/>
                <w:szCs w:val="20"/>
                <w:color w:val="auto"/>
              </w:rPr>
            </w:pPr>
            <w:r>
              <w:rPr>
                <w:rFonts w:ascii="Arial" w:cs="Arial" w:eastAsia="Arial" w:hAnsi="Arial"/>
                <w:sz w:val="17"/>
                <w:szCs w:val="17"/>
                <w:color w:val="auto"/>
              </w:rPr>
              <w:t>Mr Louis Drapeau</w:t>
            </w:r>
          </w:p>
        </w:tc>
        <w:tc>
          <w:tcPr>
            <w:tcW w:w="1660" w:type="dxa"/>
            <w:vAlign w:val="bottom"/>
            <w:gridSpan w:val="2"/>
          </w:tcPr>
          <w:p>
            <w:pPr>
              <w:jc w:val="right"/>
              <w:ind w:right="105"/>
              <w:spacing w:after="0"/>
              <w:rPr>
                <w:sz w:val="20"/>
                <w:szCs w:val="20"/>
                <w:color w:val="auto"/>
              </w:rPr>
            </w:pPr>
            <w:r>
              <w:rPr>
                <w:rFonts w:ascii="Arial" w:cs="Arial" w:eastAsia="Arial" w:hAnsi="Arial"/>
                <w:sz w:val="17"/>
                <w:szCs w:val="17"/>
                <w:color w:val="auto"/>
                <w:w w:val="91"/>
              </w:rPr>
              <w:t>Open ended contract</w:t>
            </w:r>
          </w:p>
        </w:tc>
        <w:tc>
          <w:tcPr>
            <w:tcW w:w="1760" w:type="dxa"/>
            <w:vAlign w:val="bottom"/>
            <w:gridSpan w:val="2"/>
          </w:tcPr>
          <w:p>
            <w:pPr>
              <w:ind w:left="80"/>
              <w:spacing w:after="0"/>
              <w:rPr>
                <w:sz w:val="20"/>
                <w:szCs w:val="20"/>
                <w:color w:val="auto"/>
              </w:rPr>
            </w:pPr>
            <w:r>
              <w:rPr>
                <w:rFonts w:ascii="Arial" w:cs="Arial" w:eastAsia="Arial" w:hAnsi="Arial"/>
                <w:sz w:val="17"/>
                <w:szCs w:val="17"/>
                <w:color w:val="auto"/>
                <w:w w:val="91"/>
              </w:rPr>
              <w:t>Nil notice period-subject</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w w:val="90"/>
              </w:rPr>
              <w:t>Payment in lieu of notice only, no other</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7"/>
                <w:szCs w:val="17"/>
                <w:color w:val="auto"/>
              </w:rPr>
              <w:t>to Avita constitution</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rPr>
              <w:t>benefits specified</w:t>
            </w:r>
          </w:p>
        </w:tc>
        <w:tc>
          <w:tcPr>
            <w:tcW w:w="0" w:type="dxa"/>
            <w:vAlign w:val="bottom"/>
          </w:tcPr>
          <w:p>
            <w:pPr>
              <w:spacing w:after="0"/>
              <w:rPr>
                <w:sz w:val="1"/>
                <w:szCs w:val="1"/>
                <w:color w:val="auto"/>
              </w:rPr>
            </w:pPr>
          </w:p>
        </w:tc>
      </w:tr>
      <w:tr>
        <w:trPr>
          <w:trHeight w:val="302"/>
        </w:trPr>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60" w:type="dxa"/>
            <w:vAlign w:val="bottom"/>
            <w:gridSpan w:val="2"/>
          </w:tcPr>
          <w:p>
            <w:pPr>
              <w:ind w:left="80"/>
              <w:spacing w:after="0"/>
              <w:rPr>
                <w:sz w:val="20"/>
                <w:szCs w:val="20"/>
                <w:color w:val="auto"/>
              </w:rPr>
            </w:pPr>
            <w:r>
              <w:rPr>
                <w:rFonts w:ascii="Arial" w:cs="Arial" w:eastAsia="Arial" w:hAnsi="Arial"/>
                <w:sz w:val="17"/>
                <w:szCs w:val="17"/>
                <w:color w:val="auto"/>
              </w:rPr>
              <w:t>Mr Damien McDonald</w:t>
            </w:r>
          </w:p>
        </w:tc>
        <w:tc>
          <w:tcPr>
            <w:tcW w:w="1660" w:type="dxa"/>
            <w:vAlign w:val="bottom"/>
            <w:gridSpan w:val="2"/>
          </w:tcPr>
          <w:p>
            <w:pPr>
              <w:jc w:val="right"/>
              <w:ind w:right="105"/>
              <w:spacing w:after="0"/>
              <w:rPr>
                <w:sz w:val="20"/>
                <w:szCs w:val="20"/>
                <w:color w:val="auto"/>
              </w:rPr>
            </w:pPr>
            <w:r>
              <w:rPr>
                <w:rFonts w:ascii="Arial" w:cs="Arial" w:eastAsia="Arial" w:hAnsi="Arial"/>
                <w:sz w:val="17"/>
                <w:szCs w:val="17"/>
                <w:color w:val="auto"/>
                <w:w w:val="91"/>
              </w:rPr>
              <w:t>Open ended contract</w:t>
            </w:r>
          </w:p>
        </w:tc>
        <w:tc>
          <w:tcPr>
            <w:tcW w:w="1760" w:type="dxa"/>
            <w:vAlign w:val="bottom"/>
            <w:gridSpan w:val="2"/>
          </w:tcPr>
          <w:p>
            <w:pPr>
              <w:ind w:left="80"/>
              <w:spacing w:after="0"/>
              <w:rPr>
                <w:sz w:val="20"/>
                <w:szCs w:val="20"/>
                <w:color w:val="auto"/>
              </w:rPr>
            </w:pPr>
            <w:r>
              <w:rPr>
                <w:rFonts w:ascii="Arial" w:cs="Arial" w:eastAsia="Arial" w:hAnsi="Arial"/>
                <w:sz w:val="17"/>
                <w:szCs w:val="17"/>
                <w:color w:val="auto"/>
                <w:w w:val="91"/>
              </w:rPr>
              <w:t>Nil notice period-subject</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w w:val="90"/>
              </w:rPr>
              <w:t>Payment in lieu of notice only, no other</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7"/>
                <w:szCs w:val="17"/>
                <w:color w:val="auto"/>
              </w:rPr>
              <w:t>to Avita constitution</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rPr>
              <w:t>benefits specified</w:t>
            </w:r>
          </w:p>
        </w:tc>
        <w:tc>
          <w:tcPr>
            <w:tcW w:w="0" w:type="dxa"/>
            <w:vAlign w:val="bottom"/>
          </w:tcPr>
          <w:p>
            <w:pPr>
              <w:spacing w:after="0"/>
              <w:rPr>
                <w:sz w:val="1"/>
                <w:szCs w:val="1"/>
                <w:color w:val="auto"/>
              </w:rPr>
            </w:pPr>
          </w:p>
        </w:tc>
      </w:tr>
      <w:tr>
        <w:trPr>
          <w:trHeight w:val="302"/>
        </w:trPr>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60" w:type="dxa"/>
            <w:vAlign w:val="bottom"/>
            <w:gridSpan w:val="2"/>
          </w:tcPr>
          <w:p>
            <w:pPr>
              <w:ind w:left="80"/>
              <w:spacing w:after="0"/>
              <w:rPr>
                <w:sz w:val="20"/>
                <w:szCs w:val="20"/>
                <w:color w:val="auto"/>
              </w:rPr>
            </w:pPr>
            <w:r>
              <w:rPr>
                <w:rFonts w:ascii="Arial" w:cs="Arial" w:eastAsia="Arial" w:hAnsi="Arial"/>
                <w:sz w:val="17"/>
                <w:szCs w:val="17"/>
                <w:color w:val="auto"/>
                <w:w w:val="98"/>
              </w:rPr>
              <w:t>Professor Suzanne Crowe</w:t>
            </w:r>
          </w:p>
        </w:tc>
        <w:tc>
          <w:tcPr>
            <w:tcW w:w="1660" w:type="dxa"/>
            <w:vAlign w:val="bottom"/>
            <w:gridSpan w:val="2"/>
          </w:tcPr>
          <w:p>
            <w:pPr>
              <w:jc w:val="right"/>
              <w:ind w:right="105"/>
              <w:spacing w:after="0"/>
              <w:rPr>
                <w:sz w:val="20"/>
                <w:szCs w:val="20"/>
                <w:color w:val="auto"/>
              </w:rPr>
            </w:pPr>
            <w:r>
              <w:rPr>
                <w:rFonts w:ascii="Arial" w:cs="Arial" w:eastAsia="Arial" w:hAnsi="Arial"/>
                <w:sz w:val="17"/>
                <w:szCs w:val="17"/>
                <w:color w:val="auto"/>
                <w:w w:val="91"/>
              </w:rPr>
              <w:t>Open ended contract</w:t>
            </w:r>
          </w:p>
        </w:tc>
        <w:tc>
          <w:tcPr>
            <w:tcW w:w="1760" w:type="dxa"/>
            <w:vAlign w:val="bottom"/>
            <w:gridSpan w:val="2"/>
          </w:tcPr>
          <w:p>
            <w:pPr>
              <w:ind w:left="80"/>
              <w:spacing w:after="0"/>
              <w:rPr>
                <w:sz w:val="20"/>
                <w:szCs w:val="20"/>
                <w:color w:val="auto"/>
              </w:rPr>
            </w:pPr>
            <w:r>
              <w:rPr>
                <w:rFonts w:ascii="Arial" w:cs="Arial" w:eastAsia="Arial" w:hAnsi="Arial"/>
                <w:sz w:val="17"/>
                <w:szCs w:val="17"/>
                <w:color w:val="auto"/>
                <w:w w:val="91"/>
              </w:rPr>
              <w:t>Nil notice period-subject</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w w:val="90"/>
              </w:rPr>
              <w:t>Payment in lieu of notice only, no other</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7"/>
                <w:szCs w:val="17"/>
                <w:color w:val="auto"/>
              </w:rPr>
              <w:t>to Avita constitution</w:t>
            </w:r>
          </w:p>
        </w:tc>
        <w:tc>
          <w:tcPr>
            <w:tcW w:w="2760" w:type="dxa"/>
            <w:vAlign w:val="bottom"/>
            <w:gridSpan w:val="2"/>
          </w:tcPr>
          <w:p>
            <w:pPr>
              <w:ind w:left="100"/>
              <w:spacing w:after="0"/>
              <w:rPr>
                <w:sz w:val="20"/>
                <w:szCs w:val="20"/>
                <w:color w:val="auto"/>
              </w:rPr>
            </w:pPr>
            <w:r>
              <w:rPr>
                <w:rFonts w:ascii="Arial" w:cs="Arial" w:eastAsia="Arial" w:hAnsi="Arial"/>
                <w:sz w:val="17"/>
                <w:szCs w:val="17"/>
                <w:color w:val="auto"/>
              </w:rPr>
              <w:t>benefits specified</w:t>
            </w:r>
          </w:p>
        </w:tc>
        <w:tc>
          <w:tcPr>
            <w:tcW w:w="0" w:type="dxa"/>
            <w:vAlign w:val="bottom"/>
          </w:tcPr>
          <w:p>
            <w:pPr>
              <w:spacing w:after="0"/>
              <w:rPr>
                <w:sz w:val="1"/>
                <w:szCs w:val="1"/>
                <w:color w:val="auto"/>
              </w:rPr>
            </w:pPr>
          </w:p>
        </w:tc>
      </w:tr>
      <w:tr>
        <w:trPr>
          <w:trHeight w:val="352"/>
        </w:trPr>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60" w:type="dxa"/>
            <w:vAlign w:val="bottom"/>
            <w:gridSpan w:val="2"/>
          </w:tcPr>
          <w:p>
            <w:pPr>
              <w:jc w:val="right"/>
              <w:ind w:right="44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820" w:top="261" w:right="81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of Key Management Personnel</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2: Remuneration for the year ended 30 June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center"/>
              <w:ind w:right="113"/>
              <w:spacing w:after="0"/>
              <w:rPr>
                <w:sz w:val="20"/>
                <w:szCs w:val="20"/>
                <w:color w:val="auto"/>
              </w:rPr>
            </w:pPr>
            <w:r>
              <w:rPr>
                <w:rFonts w:ascii="Arial" w:cs="Arial" w:eastAsia="Arial" w:hAnsi="Arial"/>
                <w:sz w:val="13"/>
                <w:szCs w:val="13"/>
                <w:b w:val="1"/>
                <w:bCs w:val="1"/>
                <w:color w:val="auto"/>
                <w:w w:val="92"/>
              </w:rPr>
              <w:t>Post-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Proportion of Element</w:t>
            </w:r>
          </w:p>
        </w:tc>
        <w:tc>
          <w:tcPr>
            <w:tcW w:w="12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4"/>
              </w:rPr>
              <w:t>Proportion of</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Equity-settled Share-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3"/>
              </w:rPr>
              <w:t>of Remuneration Related to</w:t>
            </w:r>
          </w:p>
        </w:tc>
        <w:tc>
          <w:tcPr>
            <w:tcW w:w="120" w:type="dxa"/>
            <w:vAlign w:val="bottom"/>
          </w:tcPr>
          <w:p>
            <w:pPr>
              <w:spacing w:after="0"/>
              <w:rPr>
                <w:sz w:val="12"/>
                <w:szCs w:val="12"/>
                <w:color w:val="auto"/>
              </w:rPr>
            </w:pPr>
          </w:p>
        </w:tc>
        <w:tc>
          <w:tcPr>
            <w:tcW w:w="86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89"/>
              </w:rPr>
              <w:t>Elements of</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4"/>
            <w:vMerge w:val="restart"/>
          </w:tcPr>
          <w:p>
            <w:pPr>
              <w:jc w:val="right"/>
              <w:ind w:right="333"/>
              <w:spacing w:after="0"/>
              <w:rPr>
                <w:sz w:val="20"/>
                <w:szCs w:val="20"/>
                <w:color w:val="auto"/>
              </w:rPr>
            </w:pPr>
            <w:r>
              <w:rPr>
                <w:rFonts w:ascii="Arial" w:cs="Arial" w:eastAsia="Arial" w:hAnsi="Arial"/>
                <w:sz w:val="13"/>
                <w:szCs w:val="13"/>
                <w:b w:val="1"/>
                <w:bCs w:val="1"/>
                <w:color w:val="auto"/>
                <w:w w:val="97"/>
              </w:rPr>
              <w:t>Short-term Benefits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3"/>
              <w:spacing w:after="0" w:line="138" w:lineRule="exact"/>
              <w:rPr>
                <w:sz w:val="20"/>
                <w:szCs w:val="20"/>
                <w:color w:val="auto"/>
              </w:rPr>
            </w:pPr>
            <w:r>
              <w:rPr>
                <w:rFonts w:ascii="Arial" w:cs="Arial" w:eastAsia="Arial" w:hAnsi="Arial"/>
                <w:sz w:val="13"/>
                <w:szCs w:val="13"/>
                <w:b w:val="1"/>
                <w:bCs w:val="1"/>
                <w:color w:val="auto"/>
                <w:w w:val="96"/>
              </w:rPr>
              <w:t>employment</w:t>
            </w:r>
          </w:p>
        </w:tc>
        <w:tc>
          <w:tcPr>
            <w:tcW w:w="10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5"/>
              </w:rPr>
              <w:t>Performance (Other than</w:t>
            </w:r>
          </w:p>
        </w:tc>
        <w:tc>
          <w:tcPr>
            <w:tcW w:w="980" w:type="dxa"/>
            <w:vAlign w:val="bottom"/>
            <w:gridSpan w:val="3"/>
          </w:tcPr>
          <w:p>
            <w:pPr>
              <w:jc w:val="center"/>
              <w:ind w:left="13"/>
              <w:spacing w:after="0" w:line="138" w:lineRule="exact"/>
              <w:rPr>
                <w:sz w:val="20"/>
                <w:szCs w:val="20"/>
                <w:color w:val="auto"/>
              </w:rPr>
            </w:pPr>
            <w:r>
              <w:rPr>
                <w:rFonts w:ascii="Arial" w:cs="Arial" w:eastAsia="Arial" w:hAnsi="Arial"/>
                <w:sz w:val="13"/>
                <w:szCs w:val="13"/>
                <w:b w:val="1"/>
                <w:bCs w:val="1"/>
                <w:color w:val="auto"/>
                <w:w w:val="93"/>
              </w:rPr>
              <w:t>Remuneration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113"/>
              <w:spacing w:after="0" w:line="138" w:lineRule="exact"/>
              <w:rPr>
                <w:sz w:val="20"/>
                <w:szCs w:val="20"/>
                <w:color w:val="auto"/>
              </w:rPr>
            </w:pPr>
            <w:r>
              <w:rPr>
                <w:rFonts w:ascii="Arial" w:cs="Arial" w:eastAsia="Arial" w:hAnsi="Arial"/>
                <w:sz w:val="13"/>
                <w:szCs w:val="13"/>
                <w:b w:val="1"/>
                <w:bCs w:val="1"/>
                <w:color w:val="auto"/>
                <w:w w:val="89"/>
              </w:rPr>
              <w:t>Benefits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right"/>
              <w:ind w:right="213"/>
              <w:spacing w:after="0" w:line="138" w:lineRule="exact"/>
              <w:rPr>
                <w:sz w:val="20"/>
                <w:szCs w:val="20"/>
                <w:color w:val="auto"/>
              </w:rPr>
            </w:pPr>
            <w:r>
              <w:rPr>
                <w:rFonts w:ascii="Arial" w:cs="Arial" w:eastAsia="Arial" w:hAnsi="Arial"/>
                <w:sz w:val="13"/>
                <w:szCs w:val="13"/>
                <w:b w:val="1"/>
                <w:bCs w:val="1"/>
                <w:color w:val="auto"/>
                <w:w w:val="97"/>
              </w:rPr>
              <w:t>based Payments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1"/>
              </w:rPr>
              <w:t>Options Issued –Note 2)</w:t>
            </w:r>
          </w:p>
        </w:tc>
        <w:tc>
          <w:tcPr>
            <w:tcW w:w="980" w:type="dxa"/>
            <w:vAlign w:val="bottom"/>
            <w:gridSpan w:val="3"/>
          </w:tcPr>
          <w:p>
            <w:pPr>
              <w:jc w:val="center"/>
              <w:ind w:left="13"/>
              <w:spacing w:after="0" w:line="138" w:lineRule="exact"/>
              <w:rPr>
                <w:sz w:val="20"/>
                <w:szCs w:val="20"/>
                <w:color w:val="auto"/>
              </w:rPr>
            </w:pPr>
            <w:r>
              <w:rPr>
                <w:rFonts w:ascii="Arial" w:cs="Arial" w:eastAsia="Arial" w:hAnsi="Arial"/>
                <w:sz w:val="13"/>
                <w:szCs w:val="13"/>
                <w:b w:val="1"/>
                <w:bCs w:val="1"/>
                <w:color w:val="auto"/>
                <w:w w:val="93"/>
              </w:rPr>
              <w:t>Not Related to</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spacing w:after="0" w:line="138" w:lineRule="exact"/>
              <w:rPr>
                <w:sz w:val="20"/>
                <w:szCs w:val="20"/>
                <w:color w:val="auto"/>
              </w:rPr>
            </w:pPr>
            <w:r>
              <w:rPr>
                <w:rFonts w:ascii="Arial" w:cs="Arial" w:eastAsia="Arial" w:hAnsi="Arial"/>
                <w:sz w:val="13"/>
                <w:szCs w:val="13"/>
                <w:color w:val="auto"/>
                <w:w w:val="90"/>
              </w:rPr>
              <w:t>Salary, fees</w:t>
            </w:r>
          </w:p>
        </w:tc>
        <w:tc>
          <w:tcPr>
            <w:tcW w:w="120" w:type="dxa"/>
            <w:vAlign w:val="bottom"/>
          </w:tcPr>
          <w:p>
            <w:pPr>
              <w:spacing w:after="0"/>
              <w:rPr>
                <w:sz w:val="12"/>
                <w:szCs w:val="12"/>
                <w:color w:val="auto"/>
              </w:rPr>
            </w:pPr>
          </w:p>
        </w:tc>
        <w:tc>
          <w:tcPr>
            <w:tcW w:w="920" w:type="dxa"/>
            <w:vAlign w:val="bottom"/>
            <w:gridSpan w:val="2"/>
          </w:tcPr>
          <w:p>
            <w:pPr>
              <w:jc w:val="right"/>
              <w:ind w:right="33"/>
              <w:spacing w:after="0" w:line="138" w:lineRule="exact"/>
              <w:rPr>
                <w:sz w:val="20"/>
                <w:szCs w:val="20"/>
                <w:color w:val="auto"/>
              </w:rPr>
            </w:pPr>
            <w:r>
              <w:rPr>
                <w:rFonts w:ascii="Arial" w:cs="Arial" w:eastAsia="Arial" w:hAnsi="Arial"/>
                <w:sz w:val="13"/>
                <w:szCs w:val="13"/>
                <w:color w:val="auto"/>
              </w:rPr>
              <w:t>Profit share &amp;</w:t>
            </w:r>
          </w:p>
        </w:tc>
        <w:tc>
          <w:tcPr>
            <w:tcW w:w="900" w:type="dxa"/>
            <w:vAlign w:val="bottom"/>
            <w:gridSpan w:val="3"/>
          </w:tcPr>
          <w:p>
            <w:pPr>
              <w:ind w:left="100"/>
              <w:spacing w:after="0" w:line="138" w:lineRule="exact"/>
              <w:rPr>
                <w:sz w:val="20"/>
                <w:szCs w:val="20"/>
                <w:color w:val="auto"/>
              </w:rPr>
            </w:pPr>
            <w:r>
              <w:rPr>
                <w:rFonts w:ascii="Arial" w:cs="Arial" w:eastAsia="Arial" w:hAnsi="Arial"/>
                <w:sz w:val="13"/>
                <w:szCs w:val="13"/>
                <w:color w:val="auto"/>
                <w:w w:val="94"/>
              </w:rPr>
              <w:t>Non-monetary</w:t>
            </w:r>
          </w:p>
        </w:tc>
        <w:tc>
          <w:tcPr>
            <w:tcW w:w="120" w:type="dxa"/>
            <w:vAlign w:val="bottom"/>
          </w:tcPr>
          <w:p>
            <w:pPr>
              <w:spacing w:after="0"/>
              <w:rPr>
                <w:sz w:val="12"/>
                <w:szCs w:val="12"/>
                <w:color w:val="auto"/>
              </w:rPr>
            </w:pPr>
          </w:p>
        </w:tc>
        <w:tc>
          <w:tcPr>
            <w:tcW w:w="60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12"/>
                <w:szCs w:val="12"/>
                <w:color w:val="auto"/>
              </w:rPr>
            </w:pPr>
          </w:p>
        </w:tc>
        <w:tc>
          <w:tcPr>
            <w:tcW w:w="84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1"/>
              </w:rPr>
              <w:t>Pension and</w:t>
            </w:r>
          </w:p>
        </w:tc>
        <w:tc>
          <w:tcPr>
            <w:tcW w:w="100" w:type="dxa"/>
            <w:vAlign w:val="bottom"/>
          </w:tcPr>
          <w:p>
            <w:pPr>
              <w:spacing w:after="0"/>
              <w:rPr>
                <w:sz w:val="12"/>
                <w:szCs w:val="12"/>
                <w:color w:val="auto"/>
              </w:rPr>
            </w:pPr>
          </w:p>
        </w:tc>
        <w:tc>
          <w:tcPr>
            <w:tcW w:w="62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2"/>
                <w:szCs w:val="12"/>
                <w:color w:val="auto"/>
              </w:rPr>
            </w:pPr>
          </w:p>
        </w:tc>
        <w:tc>
          <w:tcPr>
            <w:tcW w:w="720" w:type="dxa"/>
            <w:vAlign w:val="bottom"/>
            <w:gridSpan w:val="2"/>
          </w:tcPr>
          <w:p>
            <w:pPr>
              <w:jc w:val="right"/>
              <w:ind w:right="73"/>
              <w:spacing w:after="0" w:line="138" w:lineRule="exact"/>
              <w:rPr>
                <w:sz w:val="20"/>
                <w:szCs w:val="20"/>
                <w:color w:val="auto"/>
              </w:rPr>
            </w:pPr>
            <w:r>
              <w:rPr>
                <w:rFonts w:ascii="Arial" w:cs="Arial" w:eastAsia="Arial" w:hAnsi="Arial"/>
                <w:sz w:val="13"/>
                <w:szCs w:val="13"/>
                <w:color w:val="auto"/>
              </w:rPr>
              <w:t>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Total</w:t>
            </w:r>
          </w:p>
        </w:tc>
        <w:tc>
          <w:tcPr>
            <w:tcW w:w="1380" w:type="dxa"/>
            <w:vAlign w:val="bottom"/>
            <w:gridSpan w:val="2"/>
          </w:tcPr>
          <w:p>
            <w:pPr>
              <w:jc w:val="right"/>
              <w:spacing w:after="0" w:line="138" w:lineRule="exact"/>
              <w:rPr>
                <w:sz w:val="20"/>
                <w:szCs w:val="20"/>
                <w:color w:val="auto"/>
              </w:rPr>
            </w:pPr>
            <w:r>
              <w:rPr>
                <w:rFonts w:ascii="Arial" w:cs="Arial" w:eastAsia="Arial" w:hAnsi="Arial"/>
                <w:sz w:val="13"/>
                <w:szCs w:val="13"/>
                <w:color w:val="auto"/>
                <w:w w:val="98"/>
              </w:rPr>
              <w:t>Non-salary Cash-based</w:t>
            </w:r>
          </w:p>
        </w:tc>
        <w:tc>
          <w:tcPr>
            <w:tcW w:w="5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2"/>
                <w:szCs w:val="12"/>
                <w:color w:val="auto"/>
              </w:rPr>
            </w:pPr>
          </w:p>
        </w:tc>
        <w:tc>
          <w:tcPr>
            <w:tcW w:w="86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93"/>
              </w:rPr>
              <w:t>Performance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right"/>
              <w:ind w:right="33"/>
              <w:spacing w:after="0"/>
              <w:rPr>
                <w:sz w:val="20"/>
                <w:szCs w:val="20"/>
                <w:color w:val="auto"/>
              </w:rPr>
            </w:pPr>
            <w:r>
              <w:rPr>
                <w:rFonts w:ascii="Arial" w:cs="Arial" w:eastAsia="Arial" w:hAnsi="Arial"/>
                <w:sz w:val="13"/>
                <w:szCs w:val="13"/>
                <w:color w:val="auto"/>
              </w:rPr>
              <w:t>and leave</w:t>
            </w:r>
          </w:p>
        </w:tc>
        <w:tc>
          <w:tcPr>
            <w:tcW w:w="1040" w:type="dxa"/>
            <w:vAlign w:val="bottom"/>
            <w:gridSpan w:val="3"/>
          </w:tcPr>
          <w:p>
            <w:pPr>
              <w:ind w:left="120"/>
              <w:spacing w:after="0"/>
              <w:rPr>
                <w:sz w:val="20"/>
                <w:szCs w:val="20"/>
                <w:color w:val="auto"/>
              </w:rPr>
            </w:pPr>
            <w:r>
              <w:rPr>
                <w:rFonts w:ascii="Arial" w:cs="Arial" w:eastAsia="Arial" w:hAnsi="Arial"/>
                <w:sz w:val="13"/>
                <w:szCs w:val="13"/>
                <w:color w:val="auto"/>
                <w:w w:val="90"/>
              </w:rPr>
              <w:t>bonuses (Note 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33"/>
              <w:spacing w:after="0"/>
              <w:rPr>
                <w:sz w:val="20"/>
                <w:szCs w:val="20"/>
                <w:color w:val="auto"/>
              </w:rPr>
            </w:pPr>
            <w:r>
              <w:rPr>
                <w:rFonts w:ascii="Arial" w:cs="Arial" w:eastAsia="Arial" w:hAnsi="Arial"/>
                <w:sz w:val="13"/>
                <w:szCs w:val="13"/>
                <w:color w:val="auto"/>
                <w:w w:val="87"/>
              </w:rPr>
              <w:t>benefits</w:t>
            </w:r>
          </w:p>
        </w:tc>
        <w:tc>
          <w:tcPr>
            <w:tcW w:w="12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color w:val="auto"/>
                <w:w w:val="92"/>
              </w:rPr>
              <w:t>benefits</w:t>
            </w:r>
          </w:p>
        </w:tc>
        <w:tc>
          <w:tcPr>
            <w:tcW w:w="960" w:type="dxa"/>
            <w:vAlign w:val="bottom"/>
            <w:gridSpan w:val="3"/>
          </w:tcPr>
          <w:p>
            <w:pPr>
              <w:ind w:left="120"/>
              <w:spacing w:after="0"/>
              <w:rPr>
                <w:sz w:val="20"/>
                <w:szCs w:val="20"/>
                <w:color w:val="auto"/>
              </w:rPr>
            </w:pPr>
            <w:r>
              <w:rPr>
                <w:rFonts w:ascii="Arial" w:cs="Arial" w:eastAsia="Arial" w:hAnsi="Arial"/>
                <w:sz w:val="13"/>
                <w:szCs w:val="13"/>
                <w:color w:val="auto"/>
                <w:w w:val="91"/>
              </w:rPr>
              <w:t>superannuation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93"/>
              <w:spacing w:after="0"/>
              <w:rPr>
                <w:sz w:val="20"/>
                <w:szCs w:val="20"/>
                <w:color w:val="auto"/>
              </w:rPr>
            </w:pPr>
            <w:r>
              <w:rPr>
                <w:rFonts w:ascii="Arial" w:cs="Arial" w:eastAsia="Arial" w:hAnsi="Arial"/>
                <w:sz w:val="13"/>
                <w:szCs w:val="13"/>
                <w:color w:val="auto"/>
                <w:w w:val="94"/>
              </w:rPr>
              <w:t>Units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33"/>
              <w:spacing w:after="0"/>
              <w:rPr>
                <w:sz w:val="20"/>
                <w:szCs w:val="20"/>
                <w:color w:val="auto"/>
              </w:rPr>
            </w:pPr>
            <w:r>
              <w:rPr>
                <w:rFonts w:ascii="Arial" w:cs="Arial" w:eastAsia="Arial" w:hAnsi="Arial"/>
                <w:sz w:val="13"/>
                <w:szCs w:val="13"/>
                <w:color w:val="auto"/>
                <w:w w:val="92"/>
              </w:rPr>
              <w:t>Rights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293"/>
              <w:spacing w:after="0"/>
              <w:rPr>
                <w:sz w:val="20"/>
                <w:szCs w:val="20"/>
                <w:color w:val="auto"/>
              </w:rPr>
            </w:pPr>
            <w:r>
              <w:rPr>
                <w:rFonts w:ascii="Arial" w:cs="Arial" w:eastAsia="Arial" w:hAnsi="Arial"/>
                <w:sz w:val="13"/>
                <w:szCs w:val="13"/>
                <w:color w:val="auto"/>
              </w:rPr>
              <w:t>Incentives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Units</w:t>
            </w:r>
          </w:p>
        </w:tc>
        <w:tc>
          <w:tcPr>
            <w:tcW w:w="12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4"/>
              </w:rPr>
              <w:t>(Note 3)</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40" w:type="dxa"/>
            <w:vAlign w:val="bottom"/>
            <w:tcBorders>
              <w:top w:val="single" w:sz="8" w:color="CCEEFF"/>
            </w:tcBorders>
            <w:shd w:val="clear" w:color="auto" w:fill="CCEEFF"/>
          </w:tcPr>
          <w:p>
            <w:pPr>
              <w:spacing w:after="0" w:line="98" w:lineRule="exact"/>
              <w:rPr>
                <w:sz w:val="20"/>
                <w:szCs w:val="20"/>
                <w:color w:val="auto"/>
              </w:rPr>
            </w:pPr>
            <w:r>
              <w:rPr>
                <w:rFonts w:ascii="Arial" w:cs="Arial" w:eastAsia="Arial" w:hAnsi="Arial"/>
                <w:sz w:val="11"/>
                <w:szCs w:val="11"/>
                <w:b w:val="1"/>
                <w:bCs w:val="1"/>
                <w:color w:val="auto"/>
              </w:rPr>
              <w:t>Non-Executive</w:t>
            </w: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Directors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Arial" w:cs="Arial" w:eastAsia="Arial" w:hAnsi="Arial"/>
                <w:sz w:val="13"/>
                <w:szCs w:val="13"/>
                <w:color w:val="auto"/>
              </w:rPr>
              <w:t>L Panaccio –</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3"/>
                <w:szCs w:val="13"/>
                <w:color w:val="auto"/>
              </w:rPr>
              <w:t>Non-Executive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ind w:left="120"/>
              <w:spacing w:after="0"/>
              <w:rPr>
                <w:sz w:val="20"/>
                <w:szCs w:val="20"/>
                <w:color w:val="auto"/>
              </w:rPr>
            </w:pPr>
            <w:r>
              <w:rPr>
                <w:rFonts w:ascii="Arial" w:cs="Arial" w:eastAsia="Arial" w:hAnsi="Arial"/>
                <w:sz w:val="13"/>
                <w:szCs w:val="13"/>
                <w:color w:val="auto"/>
              </w:rPr>
              <w:t>Chairman</w:t>
            </w:r>
          </w:p>
        </w:tc>
        <w:tc>
          <w:tcPr>
            <w:tcW w:w="180" w:type="dxa"/>
            <w:vAlign w:val="bottom"/>
            <w:gridSpan w:val="2"/>
          </w:tcPr>
          <w:p>
            <w:pPr>
              <w:spacing w:after="0"/>
              <w:rPr>
                <w:sz w:val="20"/>
                <w:szCs w:val="20"/>
                <w:color w:val="auto"/>
              </w:rPr>
            </w:pPr>
            <w:r>
              <w:rPr>
                <w:rFonts w:ascii="Arial" w:cs="Arial" w:eastAsia="Arial" w:hAnsi="Arial"/>
                <w:sz w:val="13"/>
                <w:szCs w:val="13"/>
                <w:color w:val="auto"/>
              </w:rPr>
              <w:t>A$</w:t>
            </w:r>
          </w:p>
        </w:tc>
        <w:tc>
          <w:tcPr>
            <w:tcW w:w="540" w:type="dxa"/>
            <w:vAlign w:val="bottom"/>
          </w:tcPr>
          <w:p>
            <w:pPr>
              <w:jc w:val="right"/>
              <w:spacing w:after="0"/>
              <w:rPr>
                <w:sz w:val="20"/>
                <w:szCs w:val="20"/>
                <w:color w:val="auto"/>
              </w:rPr>
            </w:pPr>
            <w:r>
              <w:rPr>
                <w:rFonts w:ascii="Arial" w:cs="Arial" w:eastAsia="Arial" w:hAnsi="Arial"/>
                <w:sz w:val="13"/>
                <w:szCs w:val="13"/>
                <w:color w:val="auto"/>
              </w:rPr>
              <w:t>58,758</w:t>
            </w:r>
          </w:p>
        </w:tc>
        <w:tc>
          <w:tcPr>
            <w:tcW w:w="340" w:type="dxa"/>
            <w:vAlign w:val="bottom"/>
            <w:gridSpan w:val="2"/>
          </w:tcPr>
          <w:p>
            <w:pPr>
              <w:ind w:left="120"/>
              <w:spacing w:after="0"/>
              <w:rPr>
                <w:sz w:val="20"/>
                <w:szCs w:val="20"/>
                <w:color w:val="auto"/>
              </w:rPr>
            </w:pPr>
            <w:r>
              <w:rPr>
                <w:rFonts w:ascii="Arial" w:cs="Arial" w:eastAsia="Arial" w:hAnsi="Arial"/>
                <w:sz w:val="13"/>
                <w:szCs w:val="13"/>
                <w:color w:val="auto"/>
              </w:rPr>
              <w:t>A$</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A$</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A$</w:t>
            </w: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w w:val="87"/>
              </w:rPr>
              <w:t>A$</w:t>
            </w:r>
          </w:p>
        </w:tc>
        <w:tc>
          <w:tcPr>
            <w:tcW w:w="680" w:type="dxa"/>
            <w:vAlign w:val="bottom"/>
          </w:tcPr>
          <w:p>
            <w:pPr>
              <w:jc w:val="right"/>
              <w:spacing w:after="0"/>
              <w:rPr>
                <w:sz w:val="20"/>
                <w:szCs w:val="20"/>
                <w:color w:val="auto"/>
              </w:rPr>
            </w:pPr>
            <w:r>
              <w:rPr>
                <w:rFonts w:ascii="Arial" w:cs="Arial" w:eastAsia="Arial" w:hAnsi="Arial"/>
                <w:sz w:val="13"/>
                <w:szCs w:val="13"/>
                <w:color w:val="auto"/>
              </w:rPr>
              <w:t>7,481</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w w:val="87"/>
              </w:rPr>
              <w:t>A$</w:t>
            </w:r>
          </w:p>
        </w:tc>
        <w:tc>
          <w:tcPr>
            <w:tcW w:w="460" w:type="dxa"/>
            <w:vAlign w:val="bottom"/>
          </w:tcPr>
          <w:p>
            <w:pPr>
              <w:jc w:val="right"/>
              <w:spacing w:after="0"/>
              <w:rPr>
                <w:sz w:val="20"/>
                <w:szCs w:val="20"/>
                <w:color w:val="auto"/>
              </w:rPr>
            </w:pPr>
            <w:r>
              <w:rPr>
                <w:rFonts w:ascii="Arial" w:cs="Arial" w:eastAsia="Arial" w:hAnsi="Arial"/>
                <w:sz w:val="13"/>
                <w:szCs w:val="13"/>
                <w:color w:val="auto"/>
              </w:rPr>
              <w:t>19,992</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A$</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w w:val="87"/>
              </w:rPr>
              <w:t>A$</w:t>
            </w:r>
          </w:p>
        </w:tc>
        <w:tc>
          <w:tcPr>
            <w:tcW w:w="560" w:type="dxa"/>
            <w:vAlign w:val="bottom"/>
          </w:tcPr>
          <w:p>
            <w:pPr>
              <w:jc w:val="right"/>
              <w:spacing w:after="0"/>
              <w:rPr>
                <w:sz w:val="20"/>
                <w:szCs w:val="20"/>
                <w:color w:val="auto"/>
              </w:rPr>
            </w:pPr>
            <w:r>
              <w:rPr>
                <w:rFonts w:ascii="Arial" w:cs="Arial" w:eastAsia="Arial" w:hAnsi="Arial"/>
                <w:sz w:val="13"/>
                <w:szCs w:val="13"/>
                <w:color w:val="auto"/>
              </w:rPr>
              <w:t>86,231</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J Curnock Cook</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61,040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61,040</w:t>
            </w:r>
          </w:p>
        </w:tc>
        <w:tc>
          <w:tcPr>
            <w:tcW w:w="13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0%</w:t>
            </w:r>
          </w:p>
        </w:tc>
        <w:tc>
          <w:tcPr>
            <w:tcW w:w="5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0%</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line="138" w:lineRule="exact"/>
              <w:rPr>
                <w:sz w:val="20"/>
                <w:szCs w:val="20"/>
                <w:color w:val="auto"/>
              </w:rPr>
            </w:pPr>
            <w:r>
              <w:rPr>
                <w:rFonts w:ascii="Arial" w:cs="Arial" w:eastAsia="Arial" w:hAnsi="Arial"/>
                <w:sz w:val="13"/>
                <w:szCs w:val="13"/>
                <w:color w:val="auto"/>
              </w:rPr>
              <w:t>L Drapeau</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60,811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ind w:left="240"/>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color w:val="auto"/>
              </w:rPr>
              <w:t>60,811</w:t>
            </w:r>
          </w:p>
        </w:tc>
        <w:tc>
          <w:tcPr>
            <w:tcW w:w="13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0%</w:t>
            </w:r>
          </w:p>
        </w:tc>
        <w:tc>
          <w:tcPr>
            <w:tcW w:w="5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0%</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 McDonald</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61,128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61,128</w:t>
            </w:r>
          </w:p>
        </w:tc>
        <w:tc>
          <w:tcPr>
            <w:tcW w:w="13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0%</w:t>
            </w:r>
          </w:p>
        </w:tc>
        <w:tc>
          <w:tcPr>
            <w:tcW w:w="5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0%</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spacing w:after="0" w:line="138" w:lineRule="exact"/>
              <w:rPr>
                <w:sz w:val="20"/>
                <w:szCs w:val="20"/>
                <w:color w:val="auto"/>
              </w:rPr>
            </w:pPr>
            <w:r>
              <w:rPr>
                <w:rFonts w:ascii="Arial" w:cs="Arial" w:eastAsia="Arial" w:hAnsi="Arial"/>
                <w:sz w:val="13"/>
                <w:szCs w:val="13"/>
                <w:color w:val="auto"/>
              </w:rPr>
              <w:t>S Crowe</w:t>
            </w: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45,989</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40"/>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5,296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9,755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61,040</w:t>
            </w:r>
          </w:p>
        </w:tc>
        <w:tc>
          <w:tcPr>
            <w:tcW w:w="13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0%</w:t>
            </w:r>
          </w:p>
        </w:tc>
        <w:tc>
          <w:tcPr>
            <w:tcW w:w="5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0%</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Sub-total</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b w:val="1"/>
                <w:bCs w:val="1"/>
                <w:color w:val="auto"/>
                <w:w w:val="99"/>
              </w:rPr>
              <w:t>Non-Executive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226,598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12,777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90,875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330,250</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Directors</w:t>
            </w: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149" w:lineRule="exact"/>
              <w:rPr>
                <w:sz w:val="20"/>
                <w:szCs w:val="20"/>
                <w:color w:val="auto"/>
              </w:rPr>
            </w:pPr>
            <w:r>
              <w:rPr>
                <w:rFonts w:ascii="Arial" w:cs="Arial" w:eastAsia="Arial" w:hAnsi="Arial"/>
                <w:sz w:val="13"/>
                <w:szCs w:val="13"/>
                <w:b w:val="1"/>
                <w:bCs w:val="1"/>
                <w:color w:val="auto"/>
              </w:rPr>
              <w:t>Other Key</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3"/>
                <w:szCs w:val="13"/>
                <w:b w:val="1"/>
                <w:bCs w:val="1"/>
                <w:color w:val="auto"/>
              </w:rPr>
              <w:t>Management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3"/>
                <w:szCs w:val="13"/>
                <w:b w:val="1"/>
                <w:bCs w:val="1"/>
                <w:color w:val="auto"/>
              </w:rPr>
              <w:t>Personnel &amp;</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rPr>
                <w:sz w:val="20"/>
                <w:szCs w:val="20"/>
                <w:color w:val="auto"/>
              </w:rPr>
            </w:pPr>
            <w:r>
              <w:rPr>
                <w:rFonts w:ascii="Arial" w:cs="Arial" w:eastAsia="Arial" w:hAnsi="Arial"/>
                <w:sz w:val="13"/>
                <w:szCs w:val="13"/>
                <w:b w:val="1"/>
                <w:bCs w:val="1"/>
                <w:color w:val="auto"/>
              </w:rPr>
              <w:t>Executives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 Perry – CEO</w:t>
            </w:r>
          </w:p>
        </w:tc>
        <w:tc>
          <w:tcPr>
            <w:tcW w:w="1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663,926</w:t>
            </w:r>
          </w:p>
        </w:tc>
        <w:tc>
          <w:tcPr>
            <w:tcW w:w="3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A$</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515,159</w:t>
            </w:r>
          </w:p>
        </w:tc>
        <w:tc>
          <w:tcPr>
            <w:tcW w:w="28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rPr>
              <w:t>A$</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27,608</w:t>
            </w: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A$</w:t>
            </w:r>
          </w:p>
        </w:tc>
        <w:tc>
          <w:tcPr>
            <w:tcW w:w="44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w w:val="87"/>
              </w:rPr>
              <w:t>A$</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43,148</w:t>
            </w:r>
          </w:p>
        </w:tc>
        <w:tc>
          <w:tcPr>
            <w:tcW w:w="2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w w:val="87"/>
              </w:rPr>
              <w:t>A$</w:t>
            </w: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3"/>
              </w:rPr>
              <w:t>536,679</w:t>
            </w: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A$</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598,357</w:t>
            </w:r>
          </w:p>
        </w:tc>
        <w:tc>
          <w:tcPr>
            <w:tcW w:w="2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w w:val="87"/>
              </w:rPr>
              <w:t>A$</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3"/>
              </w:rPr>
              <w:t>2,384,877</w:t>
            </w:r>
          </w:p>
        </w:tc>
        <w:tc>
          <w:tcPr>
            <w:tcW w:w="13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22%</w:t>
            </w:r>
          </w:p>
        </w:tc>
        <w:tc>
          <w:tcPr>
            <w:tcW w:w="5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27%</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Arial" w:cs="Arial" w:eastAsia="Arial" w:hAnsi="Arial"/>
                <w:sz w:val="13"/>
                <w:szCs w:val="13"/>
                <w:color w:val="auto"/>
              </w:rPr>
              <w:t>T Rooney – CAO</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3"/>
                <w:szCs w:val="13"/>
                <w:color w:val="auto"/>
              </w:rPr>
              <w:t>and Interim</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ind w:left="120"/>
              <w:spacing w:after="0"/>
              <w:rPr>
                <w:sz w:val="20"/>
                <w:szCs w:val="20"/>
                <w:color w:val="auto"/>
              </w:rPr>
            </w:pPr>
            <w:r>
              <w:rPr>
                <w:rFonts w:ascii="Arial" w:cs="Arial" w:eastAsia="Arial" w:hAnsi="Arial"/>
                <w:sz w:val="13"/>
                <w:szCs w:val="13"/>
                <w:color w:val="auto"/>
              </w:rPr>
              <w:t>CFO</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441,683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147,893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16,550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23,106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136,647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765,879</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63%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D Sander – CFO</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(resigned</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15 May 2019)</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379,908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246,299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31,660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3"/>
                <w:szCs w:val="13"/>
                <w:color w:val="auto"/>
                <w:w w:val="89"/>
              </w:rPr>
              <w:t>270,450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23,193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80,727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1,032,237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line="138" w:lineRule="exact"/>
              <w:rPr>
                <w:sz w:val="20"/>
                <w:szCs w:val="20"/>
                <w:color w:val="auto"/>
              </w:rPr>
            </w:pPr>
            <w:r>
              <w:rPr>
                <w:rFonts w:ascii="Arial" w:cs="Arial" w:eastAsia="Arial" w:hAnsi="Arial"/>
                <w:sz w:val="13"/>
                <w:szCs w:val="13"/>
                <w:color w:val="auto"/>
              </w:rPr>
              <w:t>E Liberto – CCO</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398,353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rPr>
              <w:t>147,893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41,897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ind w:left="240"/>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22,530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color w:val="auto"/>
              </w:rPr>
              <w:t>207,097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color w:val="auto"/>
              </w:rPr>
              <w:t>817,770</w:t>
            </w:r>
          </w:p>
        </w:tc>
        <w:tc>
          <w:tcPr>
            <w:tcW w:w="13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18%</w:t>
            </w:r>
          </w:p>
        </w:tc>
        <w:tc>
          <w:tcPr>
            <w:tcW w:w="5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0%</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 Quick – CTO</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403,853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119,723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36,807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23,592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181,914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765,889</w:t>
            </w:r>
          </w:p>
        </w:tc>
        <w:tc>
          <w:tcPr>
            <w:tcW w:w="13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16%</w:t>
            </w:r>
          </w:p>
        </w:tc>
        <w:tc>
          <w:tcPr>
            <w:tcW w:w="5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0%</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spacing w:after="0" w:line="138" w:lineRule="exact"/>
              <w:rPr>
                <w:sz w:val="20"/>
                <w:szCs w:val="20"/>
                <w:color w:val="auto"/>
              </w:rPr>
            </w:pPr>
            <w:r>
              <w:rPr>
                <w:rFonts w:ascii="Arial" w:cs="Arial" w:eastAsia="Arial" w:hAnsi="Arial"/>
                <w:sz w:val="13"/>
                <w:szCs w:val="13"/>
                <w:color w:val="auto"/>
              </w:rPr>
              <w:t>D Shiroma – GC</w:t>
            </w: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419,319</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117,519</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13,632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40"/>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27,075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230,284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807,829</w:t>
            </w:r>
          </w:p>
        </w:tc>
        <w:tc>
          <w:tcPr>
            <w:tcW w:w="13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15%</w:t>
            </w:r>
          </w:p>
        </w:tc>
        <w:tc>
          <w:tcPr>
            <w:tcW w:w="5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0%</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Sub-total</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b w:val="1"/>
                <w:bCs w:val="1"/>
                <w:color w:val="auto"/>
              </w:rPr>
              <w:t>executive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b w:val="1"/>
                <w:bCs w:val="1"/>
                <w:color w:val="auto"/>
              </w:rPr>
              <w:t>KMP &amp;</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2,707,042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1,294,486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168,154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9"/>
              </w:rPr>
              <w:t>270,450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162,644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536,679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1,435,026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6,574,481</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Executives</w:t>
            </w: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Totals</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u w:val="single" w:color="auto"/>
                <w:color w:val="auto"/>
                <w:w w:val="83"/>
              </w:rPr>
              <w:t>A$</w:t>
            </w: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89"/>
              </w:rPr>
              <w:t>2,933,640</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u w:val="single" w:color="auto"/>
                <w:color w:val="auto"/>
              </w:rPr>
              <w:t>A</w:t>
            </w: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1,294,486</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u w:val="single" w:color="auto"/>
                <w:color w:val="auto"/>
                <w:w w:val="95"/>
              </w:rPr>
              <w:t>A</w:t>
            </w:r>
            <w:r>
              <w:rPr>
                <w:rFonts w:ascii="Arial" w:cs="Arial" w:eastAsia="Arial" w:hAnsi="Arial"/>
                <w:sz w:val="13"/>
                <w:szCs w:val="13"/>
                <w:b w:val="1"/>
                <w:bCs w:val="1"/>
                <w:color w:val="auto"/>
                <w:w w:val="95"/>
              </w:rPr>
              <w:t>$</w:t>
            </w:r>
          </w:p>
        </w:tc>
        <w:tc>
          <w:tcPr>
            <w:tcW w:w="6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168,154</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u w:val="single" w:color="auto"/>
                <w:color w:val="auto"/>
                <w:w w:val="83"/>
              </w:rPr>
              <w:t>A$</w:t>
            </w:r>
          </w:p>
        </w:tc>
        <w:tc>
          <w:tcPr>
            <w:tcW w:w="4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w w:val="89"/>
              </w:rPr>
              <w:t>270,450</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u w:val="single" w:color="auto"/>
                <w:color w:val="auto"/>
                <w:w w:val="83"/>
              </w:rPr>
              <w:t>A</w:t>
            </w:r>
            <w:r>
              <w:rPr>
                <w:rFonts w:ascii="Arial" w:cs="Arial" w:eastAsia="Arial" w:hAnsi="Arial"/>
                <w:sz w:val="13"/>
                <w:szCs w:val="13"/>
                <w:b w:val="1"/>
                <w:bCs w:val="1"/>
                <w:color w:val="auto"/>
                <w:w w:val="83"/>
              </w:rPr>
              <w:t>$</w:t>
            </w: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175,421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u w:val="single" w:color="auto"/>
                <w:color w:val="auto"/>
                <w:w w:val="83"/>
              </w:rPr>
              <w:t>A$</w:t>
            </w:r>
          </w:p>
        </w:tc>
        <w:tc>
          <w:tcPr>
            <w:tcW w:w="4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3"/>
              </w:rPr>
              <w:t>627,554</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u w:val="single" w:color="auto"/>
                <w:color w:val="auto"/>
                <w:w w:val="83"/>
              </w:rPr>
              <w:t>A$</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89"/>
              </w:rPr>
              <w:t>1,435,026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u w:val="single" w:color="auto"/>
                <w:color w:val="auto"/>
                <w:w w:val="83"/>
              </w:rPr>
              <w:t>A$</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3"/>
              </w:rPr>
              <w:t>6,904,731</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Note</w:t>
            </w:r>
          </w:p>
        </w:tc>
        <w:tc>
          <w:tcPr>
            <w:tcW w:w="220" w:type="dxa"/>
            <w:vAlign w:val="bottom"/>
          </w:tcPr>
          <w:p>
            <w:pPr>
              <w:jc w:val="right"/>
              <w:spacing w:after="0"/>
              <w:rPr>
                <w:sz w:val="20"/>
                <w:szCs w:val="20"/>
                <w:color w:val="auto"/>
              </w:rPr>
            </w:pPr>
            <w:r>
              <w:rPr>
                <w:rFonts w:ascii="Arial" w:cs="Arial" w:eastAsia="Arial" w:hAnsi="Arial"/>
                <w:sz w:val="17"/>
                <w:szCs w:val="17"/>
                <w:color w:val="auto"/>
              </w:rPr>
              <w:t>1</w:t>
            </w:r>
          </w:p>
        </w:tc>
        <w:tc>
          <w:tcPr>
            <w:tcW w:w="9580" w:type="dxa"/>
            <w:vAlign w:val="bottom"/>
          </w:tcPr>
          <w:p>
            <w:pPr>
              <w:ind w:left="40"/>
              <w:spacing w:after="0"/>
              <w:rPr>
                <w:sz w:val="20"/>
                <w:szCs w:val="20"/>
                <w:color w:val="auto"/>
              </w:rPr>
            </w:pPr>
            <w:r>
              <w:rPr>
                <w:rFonts w:ascii="Arial" w:cs="Arial" w:eastAsia="Arial" w:hAnsi="Arial"/>
                <w:sz w:val="17"/>
                <w:szCs w:val="17"/>
                <w:color w:val="auto"/>
              </w:rPr>
              <w:t>Profit share and bonuses are based upon the achievement of corporate goals, which are approved by the Board of Directors.</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Note</w:t>
            </w:r>
          </w:p>
        </w:tc>
        <w:tc>
          <w:tcPr>
            <w:tcW w:w="220" w:type="dxa"/>
            <w:vAlign w:val="bottom"/>
          </w:tcPr>
          <w:p>
            <w:pPr>
              <w:jc w:val="right"/>
              <w:spacing w:after="0"/>
              <w:rPr>
                <w:sz w:val="20"/>
                <w:szCs w:val="20"/>
                <w:color w:val="auto"/>
              </w:rPr>
            </w:pPr>
            <w:r>
              <w:rPr>
                <w:rFonts w:ascii="Arial" w:cs="Arial" w:eastAsia="Arial" w:hAnsi="Arial"/>
                <w:sz w:val="17"/>
                <w:szCs w:val="17"/>
                <w:color w:val="auto"/>
              </w:rPr>
              <w:t>2</w:t>
            </w:r>
          </w:p>
        </w:tc>
        <w:tc>
          <w:tcPr>
            <w:tcW w:w="9580" w:type="dxa"/>
            <w:vAlign w:val="bottom"/>
          </w:tcPr>
          <w:p>
            <w:pPr>
              <w:ind w:left="40"/>
              <w:spacing w:after="0"/>
              <w:rPr>
                <w:sz w:val="20"/>
                <w:szCs w:val="20"/>
                <w:color w:val="auto"/>
              </w:rPr>
            </w:pPr>
            <w:r>
              <w:rPr>
                <w:rFonts w:ascii="Arial" w:cs="Arial" w:eastAsia="Arial" w:hAnsi="Arial"/>
                <w:sz w:val="17"/>
                <w:szCs w:val="17"/>
                <w:color w:val="auto"/>
                <w:w w:val="88"/>
              </w:rPr>
              <w:t>Non-salary cash-based incentives % is equal to profit share and bonuses divided by total compensation. Shares or units % is equal to shares or</w:t>
            </w:r>
          </w:p>
        </w:tc>
      </w:tr>
      <w:tr>
        <w:trPr>
          <w:trHeight w:val="201"/>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Pr>
          <w:p>
            <w:pPr>
              <w:ind w:left="40"/>
              <w:spacing w:after="0"/>
              <w:rPr>
                <w:sz w:val="20"/>
                <w:szCs w:val="20"/>
                <w:color w:val="auto"/>
              </w:rPr>
            </w:pPr>
            <w:r>
              <w:rPr>
                <w:rFonts w:ascii="Arial" w:cs="Arial" w:eastAsia="Arial" w:hAnsi="Arial"/>
                <w:sz w:val="17"/>
                <w:szCs w:val="17"/>
                <w:color w:val="auto"/>
              </w:rPr>
              <w:t>units divided by total compensation.</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Note</w:t>
            </w:r>
          </w:p>
        </w:tc>
        <w:tc>
          <w:tcPr>
            <w:tcW w:w="220" w:type="dxa"/>
            <w:vAlign w:val="bottom"/>
          </w:tcPr>
          <w:p>
            <w:pPr>
              <w:jc w:val="right"/>
              <w:spacing w:after="0"/>
              <w:rPr>
                <w:sz w:val="20"/>
                <w:szCs w:val="20"/>
                <w:color w:val="auto"/>
              </w:rPr>
            </w:pPr>
            <w:r>
              <w:rPr>
                <w:rFonts w:ascii="Arial" w:cs="Arial" w:eastAsia="Arial" w:hAnsi="Arial"/>
                <w:sz w:val="17"/>
                <w:szCs w:val="17"/>
                <w:color w:val="auto"/>
              </w:rPr>
              <w:t>3</w:t>
            </w:r>
          </w:p>
        </w:tc>
        <w:tc>
          <w:tcPr>
            <w:tcW w:w="9580" w:type="dxa"/>
            <w:vAlign w:val="bottom"/>
          </w:tcPr>
          <w:p>
            <w:pPr>
              <w:ind w:left="40"/>
              <w:spacing w:after="0"/>
              <w:rPr>
                <w:sz w:val="20"/>
                <w:szCs w:val="20"/>
                <w:color w:val="auto"/>
              </w:rPr>
            </w:pPr>
            <w:r>
              <w:rPr>
                <w:rFonts w:ascii="Arial" w:cs="Arial" w:eastAsia="Arial" w:hAnsi="Arial"/>
                <w:sz w:val="17"/>
                <w:szCs w:val="17"/>
                <w:color w:val="auto"/>
                <w:w w:val="88"/>
              </w:rPr>
              <w:t>The percentage disclosed does not include the value of options expensed during the year or pension and superannuation benefits paid per the</w:t>
            </w:r>
          </w:p>
        </w:tc>
      </w:tr>
      <w:tr>
        <w:trPr>
          <w:trHeight w:val="213"/>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7"/>
                <w:szCs w:val="17"/>
                <w:color w:val="auto"/>
                <w:w w:val="91"/>
              </w:rPr>
              <w:t>requirements of Corporations Act 2001. Thus, the sum of the percentages for compensation related to performance and compensation not</w:t>
            </w:r>
          </w:p>
        </w:tc>
      </w:tr>
    </w:tbl>
    <w:p>
      <w:pPr>
        <w:ind w:left="680" w:right="380"/>
        <w:spacing w:after="0" w:line="249" w:lineRule="auto"/>
        <w:rPr>
          <w:sz w:val="20"/>
          <w:szCs w:val="20"/>
          <w:color w:val="auto"/>
        </w:rPr>
      </w:pPr>
      <w:r>
        <w:rPr>
          <w:rFonts w:ascii="Arial" w:cs="Arial" w:eastAsia="Arial" w:hAnsi="Arial"/>
          <w:sz w:val="17"/>
          <w:szCs w:val="17"/>
          <w:color w:val="auto"/>
        </w:rPr>
        <w:t>related to performance disclosed for certain individuals may be less than 100%. Proportion of elements of remuneration not related to performance is equal to the sum of salary, fees and leave, non-monetary benefits, pension and superannuation and other compensation, divided by total compensation. As an example, for Dr. Michael Perry, this calculation would be as follows: (A$663,926+A$27,608+A$43,148) / A$2,384,877 = 31%.</w:t>
      </w:r>
    </w:p>
    <w:p>
      <w:pPr>
        <w:spacing w:after="0" w:line="182" w:lineRule="exact"/>
        <w:rPr>
          <w:sz w:val="20"/>
          <w:szCs w:val="20"/>
          <w:color w:val="auto"/>
        </w:rPr>
      </w:pPr>
    </w:p>
    <w:p>
      <w:pPr>
        <w:ind w:right="560"/>
        <w:spacing w:after="0" w:line="268" w:lineRule="auto"/>
        <w:rPr>
          <w:sz w:val="20"/>
          <w:szCs w:val="20"/>
          <w:color w:val="auto"/>
        </w:rPr>
      </w:pPr>
      <w:r>
        <w:rPr>
          <w:rFonts w:ascii="Arial" w:cs="Arial" w:eastAsia="Arial" w:hAnsi="Arial"/>
          <w:sz w:val="17"/>
          <w:szCs w:val="17"/>
          <w:color w:val="auto"/>
        </w:rPr>
        <w:t>On the 30 November 2018, the shareholders of the Company approved, and Dr. Perry was issued 15,000,000 options to purchase ordinary shares at an exercise price of A$0.082 expiring on 30 November 2028 based on the following milestones:</w:t>
      </w:r>
    </w:p>
    <w:p>
      <w:pPr>
        <w:spacing w:after="0" w:line="79" w:lineRule="exact"/>
        <w:rPr>
          <w:sz w:val="20"/>
          <w:szCs w:val="20"/>
          <w:color w:val="auto"/>
        </w:rPr>
      </w:pPr>
    </w:p>
    <w:p>
      <w:pPr>
        <w:ind w:left="920" w:hanging="513"/>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Tenure </w:t>
      </w:r>
      <w:r>
        <w:rPr>
          <w:rFonts w:ascii="Arial" w:cs="Arial" w:eastAsia="Arial" w:hAnsi="Arial"/>
          <w:sz w:val="17"/>
          <w:szCs w:val="17"/>
          <w:color w:val="auto"/>
        </w:rPr>
        <w:t>– a total of 3,333,333 options issued but to vest over the two-year period commencing June 1,2019;</w:t>
      </w:r>
    </w:p>
    <w:p>
      <w:pPr>
        <w:spacing w:after="0" w:line="118" w:lineRule="exact"/>
        <w:rPr>
          <w:rFonts w:ascii="Arial" w:cs="Arial" w:eastAsia="Arial" w:hAnsi="Arial"/>
          <w:sz w:val="17"/>
          <w:szCs w:val="17"/>
          <w:color w:val="auto"/>
        </w:rPr>
      </w:pPr>
    </w:p>
    <w:p>
      <w:pPr>
        <w:ind w:left="920" w:right="720" w:hanging="513"/>
        <w:spacing w:after="0" w:line="257"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Company Share Price </w:t>
      </w:r>
      <w:r>
        <w:rPr>
          <w:rFonts w:ascii="Arial" w:cs="Arial" w:eastAsia="Arial" w:hAnsi="Arial"/>
          <w:sz w:val="17"/>
          <w:szCs w:val="17"/>
          <w:color w:val="auto"/>
        </w:rPr>
        <w:t>– a total of 5,000,001 options issued but to vest in three equal tranches subject to the Volume Weighted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Price (VWAP) of Company share price (as at close of trade on the ASX on relevant date) achieving multiples of 2x, 3x and 4x the Company’s share price at the time of shareholder approval; and</w:t>
      </w:r>
    </w:p>
    <w:p>
      <w:pPr>
        <w:spacing w:after="0" w:line="88" w:lineRule="exact"/>
        <w:rPr>
          <w:rFonts w:ascii="Arial" w:cs="Arial" w:eastAsia="Arial" w:hAnsi="Arial"/>
          <w:sz w:val="17"/>
          <w:szCs w:val="17"/>
          <w:color w:val="auto"/>
        </w:rPr>
      </w:pPr>
    </w:p>
    <w:p>
      <w:pPr>
        <w:ind w:left="920" w:right="860" w:hanging="513"/>
        <w:spacing w:after="0" w:line="268"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Milestone performance </w:t>
      </w:r>
      <w:r>
        <w:rPr>
          <w:rFonts w:ascii="Arial" w:cs="Arial" w:eastAsia="Arial" w:hAnsi="Arial"/>
          <w:sz w:val="17"/>
          <w:szCs w:val="17"/>
          <w:color w:val="auto"/>
        </w:rPr>
        <w:t>– a total of 2,500,000 options issued, but to vest upon the achievement of initial BARDA procurement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CLIN2 of the BARDA Contract.</w:t>
      </w:r>
    </w:p>
    <w:p>
      <w:pPr>
        <w:spacing w:after="0" w:line="78" w:lineRule="exact"/>
        <w:rPr>
          <w:rFonts w:ascii="Arial" w:cs="Arial" w:eastAsia="Arial" w:hAnsi="Arial"/>
          <w:sz w:val="17"/>
          <w:szCs w:val="17"/>
          <w:color w:val="auto"/>
        </w:rPr>
      </w:pPr>
    </w:p>
    <w:p>
      <w:pPr>
        <w:ind w:left="920" w:right="540" w:hanging="513"/>
        <w:spacing w:after="0" w:line="268"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Vested Due to Milestone Achievement </w:t>
      </w:r>
      <w:r>
        <w:rPr>
          <w:rFonts w:ascii="Arial" w:cs="Arial" w:eastAsia="Arial" w:hAnsi="Arial"/>
          <w:sz w:val="17"/>
          <w:szCs w:val="17"/>
          <w:color w:val="auto"/>
        </w:rPr>
        <w:t>– A total of 4,166,666 options, fully vested due to prior achievement of a milestone related to FDA</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of RECELL for burns.</w:t>
      </w:r>
    </w:p>
    <w:p>
      <w:pPr>
        <w:spacing w:after="0" w:line="104"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640"/>
          </w:cols>
          <w:pgMar w:left="820" w:top="261" w:right="4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Remuneration paid as a cash bonus is determined by % of the employee’s annual salary, linked to individual performance through achievement of KPI’s.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2: Remuneration for the year ended 30 June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w w:val="92"/>
              </w:rPr>
              <w:t>Post-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ind w:left="220"/>
              <w:spacing w:after="0"/>
              <w:rPr>
                <w:sz w:val="20"/>
                <w:szCs w:val="20"/>
                <w:color w:val="auto"/>
              </w:rPr>
            </w:pPr>
            <w:r>
              <w:rPr>
                <w:rFonts w:ascii="Arial" w:cs="Arial" w:eastAsia="Arial" w:hAnsi="Arial"/>
                <w:sz w:val="13"/>
                <w:szCs w:val="13"/>
                <w:b w:val="1"/>
                <w:bCs w:val="1"/>
                <w:color w:val="auto"/>
              </w:rPr>
              <w:t>Proportion of Element of</w:t>
            </w:r>
          </w:p>
        </w:tc>
        <w:tc>
          <w:tcPr>
            <w:tcW w:w="4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Proportion of</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vMerge w:val="restart"/>
          </w:tcPr>
          <w:p>
            <w:pPr>
              <w:jc w:val="right"/>
              <w:ind w:right="13"/>
              <w:spacing w:after="0"/>
              <w:rPr>
                <w:sz w:val="20"/>
                <w:szCs w:val="20"/>
                <w:color w:val="auto"/>
              </w:rPr>
            </w:pPr>
            <w:r>
              <w:rPr>
                <w:rFonts w:ascii="Arial" w:cs="Arial" w:eastAsia="Arial" w:hAnsi="Arial"/>
                <w:sz w:val="13"/>
                <w:szCs w:val="13"/>
                <w:b w:val="1"/>
                <w:bCs w:val="1"/>
                <w:color w:val="auto"/>
                <w:w w:val="96"/>
              </w:rPr>
              <w:t>Equity-settled Share-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5"/>
          </w:tcPr>
          <w:p>
            <w:pPr>
              <w:ind w:left="200"/>
              <w:spacing w:after="0" w:line="138" w:lineRule="exact"/>
              <w:rPr>
                <w:sz w:val="20"/>
                <w:szCs w:val="20"/>
                <w:color w:val="auto"/>
              </w:rPr>
            </w:pPr>
            <w:r>
              <w:rPr>
                <w:rFonts w:ascii="Arial" w:cs="Arial" w:eastAsia="Arial" w:hAnsi="Arial"/>
                <w:sz w:val="13"/>
                <w:szCs w:val="13"/>
                <w:b w:val="1"/>
                <w:bCs w:val="1"/>
                <w:color w:val="auto"/>
              </w:rPr>
              <w:t>Remuneration Related to</w:t>
            </w:r>
          </w:p>
        </w:tc>
        <w:tc>
          <w:tcPr>
            <w:tcW w:w="40" w:type="dxa"/>
            <w:vAlign w:val="bottom"/>
          </w:tcPr>
          <w:p>
            <w:pPr>
              <w:spacing w:after="0"/>
              <w:rPr>
                <w:sz w:val="12"/>
                <w:szCs w:val="12"/>
                <w:color w:val="auto"/>
              </w:rPr>
            </w:pPr>
          </w:p>
        </w:tc>
        <w:tc>
          <w:tcPr>
            <w:tcW w:w="98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3"/>
              </w:rPr>
              <w:t>Element of</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Short-term Benefits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3"/>
              <w:spacing w:after="0" w:line="138" w:lineRule="exact"/>
              <w:rPr>
                <w:sz w:val="20"/>
                <w:szCs w:val="20"/>
                <w:color w:val="auto"/>
              </w:rPr>
            </w:pPr>
            <w:r>
              <w:rPr>
                <w:rFonts w:ascii="Arial" w:cs="Arial" w:eastAsia="Arial" w:hAnsi="Arial"/>
                <w:sz w:val="13"/>
                <w:szCs w:val="13"/>
                <w:b w:val="1"/>
                <w:bCs w:val="1"/>
                <w:color w:val="auto"/>
                <w:w w:val="96"/>
              </w:rPr>
              <w:t>employment</w:t>
            </w:r>
          </w:p>
        </w:tc>
        <w:tc>
          <w:tcPr>
            <w:tcW w:w="12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5"/>
          </w:tcPr>
          <w:p>
            <w:pPr>
              <w:ind w:left="200"/>
              <w:spacing w:after="0" w:line="138" w:lineRule="exact"/>
              <w:rPr>
                <w:sz w:val="20"/>
                <w:szCs w:val="20"/>
                <w:color w:val="auto"/>
              </w:rPr>
            </w:pPr>
            <w:r>
              <w:rPr>
                <w:rFonts w:ascii="Arial" w:cs="Arial" w:eastAsia="Arial" w:hAnsi="Arial"/>
                <w:sz w:val="13"/>
                <w:szCs w:val="13"/>
                <w:b w:val="1"/>
                <w:bCs w:val="1"/>
                <w:color w:val="auto"/>
              </w:rPr>
              <w:t>Performance (Other than</w:t>
            </w:r>
          </w:p>
        </w:tc>
        <w:tc>
          <w:tcPr>
            <w:tcW w:w="1020" w:type="dxa"/>
            <w:vAlign w:val="bottom"/>
            <w:gridSpan w:val="3"/>
          </w:tcPr>
          <w:p>
            <w:pPr>
              <w:jc w:val="center"/>
              <w:ind w:right="100"/>
              <w:spacing w:after="0" w:line="138" w:lineRule="exact"/>
              <w:rPr>
                <w:sz w:val="20"/>
                <w:szCs w:val="20"/>
                <w:color w:val="auto"/>
              </w:rPr>
            </w:pPr>
            <w:r>
              <w:rPr>
                <w:rFonts w:ascii="Arial" w:cs="Arial" w:eastAsia="Arial" w:hAnsi="Arial"/>
                <w:sz w:val="13"/>
                <w:szCs w:val="13"/>
                <w:b w:val="1"/>
                <w:bCs w:val="1"/>
                <w:color w:val="auto"/>
                <w:w w:val="96"/>
              </w:rPr>
              <w:t>Remuneration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133"/>
              <w:spacing w:after="0" w:line="138" w:lineRule="exact"/>
              <w:rPr>
                <w:sz w:val="20"/>
                <w:szCs w:val="20"/>
                <w:color w:val="auto"/>
              </w:rPr>
            </w:pPr>
            <w:r>
              <w:rPr>
                <w:rFonts w:ascii="Arial" w:cs="Arial" w:eastAsia="Arial" w:hAnsi="Arial"/>
                <w:sz w:val="13"/>
                <w:szCs w:val="13"/>
                <w:b w:val="1"/>
                <w:bCs w:val="1"/>
                <w:color w:val="auto"/>
                <w:w w:val="89"/>
              </w:rPr>
              <w:t>Benefits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4"/>
          </w:tcPr>
          <w:p>
            <w:pPr>
              <w:jc w:val="right"/>
              <w:ind w:right="153"/>
              <w:spacing w:after="0" w:line="138" w:lineRule="exact"/>
              <w:rPr>
                <w:sz w:val="20"/>
                <w:szCs w:val="20"/>
                <w:color w:val="auto"/>
              </w:rPr>
            </w:pPr>
            <w:r>
              <w:rPr>
                <w:rFonts w:ascii="Arial" w:cs="Arial" w:eastAsia="Arial" w:hAnsi="Arial"/>
                <w:sz w:val="13"/>
                <w:szCs w:val="13"/>
                <w:b w:val="1"/>
                <w:bCs w:val="1"/>
                <w:color w:val="auto"/>
                <w:w w:val="93"/>
              </w:rPr>
              <w:t>based Payments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5"/>
          </w:tcPr>
          <w:p>
            <w:pPr>
              <w:ind w:left="240"/>
              <w:spacing w:after="0" w:line="138" w:lineRule="exact"/>
              <w:rPr>
                <w:sz w:val="20"/>
                <w:szCs w:val="20"/>
                <w:color w:val="auto"/>
              </w:rPr>
            </w:pPr>
            <w:r>
              <w:rPr>
                <w:rFonts w:ascii="Arial" w:cs="Arial" w:eastAsia="Arial" w:hAnsi="Arial"/>
                <w:sz w:val="13"/>
                <w:szCs w:val="13"/>
                <w:b w:val="1"/>
                <w:bCs w:val="1"/>
                <w:color w:val="auto"/>
              </w:rPr>
              <w:t>Options Issued – Note 2)</w:t>
            </w:r>
          </w:p>
        </w:tc>
        <w:tc>
          <w:tcPr>
            <w:tcW w:w="1020" w:type="dxa"/>
            <w:vAlign w:val="bottom"/>
            <w:gridSpan w:val="3"/>
          </w:tcPr>
          <w:p>
            <w:pPr>
              <w:jc w:val="center"/>
              <w:ind w:right="100"/>
              <w:spacing w:after="0" w:line="138" w:lineRule="exact"/>
              <w:rPr>
                <w:sz w:val="20"/>
                <w:szCs w:val="20"/>
                <w:color w:val="auto"/>
              </w:rPr>
            </w:pPr>
            <w:r>
              <w:rPr>
                <w:rFonts w:ascii="Arial" w:cs="Arial" w:eastAsia="Arial" w:hAnsi="Arial"/>
                <w:sz w:val="13"/>
                <w:szCs w:val="13"/>
                <w:b w:val="1"/>
                <w:bCs w:val="1"/>
                <w:color w:val="auto"/>
                <w:w w:val="95"/>
              </w:rPr>
              <w:t>Not Related to</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color w:val="auto"/>
                <w:w w:val="93"/>
              </w:rPr>
              <w:t>Salary, fees</w:t>
            </w:r>
          </w:p>
        </w:tc>
        <w:tc>
          <w:tcPr>
            <w:tcW w:w="120" w:type="dxa"/>
            <w:vAlign w:val="bottom"/>
          </w:tcPr>
          <w:p>
            <w:pPr>
              <w:spacing w:after="0"/>
              <w:rPr>
                <w:sz w:val="12"/>
                <w:szCs w:val="12"/>
                <w:color w:val="auto"/>
              </w:rPr>
            </w:pPr>
          </w:p>
        </w:tc>
        <w:tc>
          <w:tcPr>
            <w:tcW w:w="920" w:type="dxa"/>
            <w:vAlign w:val="bottom"/>
            <w:gridSpan w:val="2"/>
          </w:tcPr>
          <w:p>
            <w:pPr>
              <w:jc w:val="right"/>
              <w:ind w:right="13"/>
              <w:spacing w:after="0" w:line="138" w:lineRule="exact"/>
              <w:rPr>
                <w:sz w:val="20"/>
                <w:szCs w:val="20"/>
                <w:color w:val="auto"/>
              </w:rPr>
            </w:pPr>
            <w:r>
              <w:rPr>
                <w:rFonts w:ascii="Arial" w:cs="Arial" w:eastAsia="Arial" w:hAnsi="Arial"/>
                <w:sz w:val="13"/>
                <w:szCs w:val="13"/>
                <w:color w:val="auto"/>
              </w:rPr>
              <w:t>Profit share &amp;</w:t>
            </w:r>
          </w:p>
        </w:tc>
        <w:tc>
          <w:tcPr>
            <w:tcW w:w="920" w:type="dxa"/>
            <w:vAlign w:val="bottom"/>
            <w:gridSpan w:val="3"/>
          </w:tcPr>
          <w:p>
            <w:pPr>
              <w:ind w:left="120"/>
              <w:spacing w:after="0" w:line="138" w:lineRule="exact"/>
              <w:rPr>
                <w:sz w:val="20"/>
                <w:szCs w:val="20"/>
                <w:color w:val="auto"/>
              </w:rPr>
            </w:pPr>
            <w:r>
              <w:rPr>
                <w:rFonts w:ascii="Arial" w:cs="Arial" w:eastAsia="Arial" w:hAnsi="Arial"/>
                <w:sz w:val="13"/>
                <w:szCs w:val="13"/>
                <w:color w:val="auto"/>
                <w:w w:val="94"/>
              </w:rPr>
              <w:t>Non-monetary</w:t>
            </w:r>
          </w:p>
        </w:tc>
        <w:tc>
          <w:tcPr>
            <w:tcW w:w="120" w:type="dxa"/>
            <w:vAlign w:val="bottom"/>
          </w:tcPr>
          <w:p>
            <w:pPr>
              <w:spacing w:after="0"/>
              <w:rPr>
                <w:sz w:val="12"/>
                <w:szCs w:val="12"/>
                <w:color w:val="auto"/>
              </w:rPr>
            </w:pPr>
          </w:p>
        </w:tc>
        <w:tc>
          <w:tcPr>
            <w:tcW w:w="84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1"/>
              </w:rPr>
              <w:t>Pension and</w:t>
            </w:r>
          </w:p>
        </w:tc>
        <w:tc>
          <w:tcPr>
            <w:tcW w:w="120" w:type="dxa"/>
            <w:vAlign w:val="bottom"/>
          </w:tcPr>
          <w:p>
            <w:pPr>
              <w:spacing w:after="0"/>
              <w:rPr>
                <w:sz w:val="12"/>
                <w:szCs w:val="12"/>
                <w:color w:val="auto"/>
              </w:rPr>
            </w:pPr>
          </w:p>
        </w:tc>
        <w:tc>
          <w:tcPr>
            <w:tcW w:w="620" w:type="dxa"/>
            <w:vAlign w:val="bottom"/>
            <w:gridSpan w:val="2"/>
          </w:tcPr>
          <w:p>
            <w:pPr>
              <w:jc w:val="right"/>
              <w:ind w:right="53"/>
              <w:spacing w:after="0" w:line="138" w:lineRule="exact"/>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2"/>
                <w:szCs w:val="12"/>
                <w:color w:val="auto"/>
              </w:rPr>
            </w:pPr>
          </w:p>
        </w:tc>
        <w:tc>
          <w:tcPr>
            <w:tcW w:w="620" w:type="dxa"/>
            <w:vAlign w:val="bottom"/>
            <w:gridSpan w:val="2"/>
          </w:tcPr>
          <w:p>
            <w:pPr>
              <w:jc w:val="right"/>
              <w:ind w:right="13"/>
              <w:spacing w:after="0" w:line="138" w:lineRule="exact"/>
              <w:rPr>
                <w:sz w:val="20"/>
                <w:szCs w:val="20"/>
                <w:color w:val="auto"/>
              </w:rPr>
            </w:pPr>
            <w:r>
              <w:rPr>
                <w:rFonts w:ascii="Arial" w:cs="Arial" w:eastAsia="Arial" w:hAnsi="Arial"/>
                <w:sz w:val="13"/>
                <w:szCs w:val="13"/>
                <w:color w:val="auto"/>
              </w:rPr>
              <w:t>Options/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w w:val="96"/>
              </w:rPr>
              <w:t>Total</w:t>
            </w:r>
          </w:p>
        </w:tc>
        <w:tc>
          <w:tcPr>
            <w:tcW w:w="154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w w:val="99"/>
              </w:rPr>
              <w:t>Non-salary Cash-based</w:t>
            </w:r>
          </w:p>
        </w:tc>
        <w:tc>
          <w:tcPr>
            <w:tcW w:w="60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w w:val="93"/>
              </w:rPr>
              <w:t>Shares/</w:t>
            </w:r>
          </w:p>
        </w:tc>
        <w:tc>
          <w:tcPr>
            <w:tcW w:w="40" w:type="dxa"/>
            <w:vAlign w:val="bottom"/>
          </w:tcPr>
          <w:p>
            <w:pPr>
              <w:spacing w:after="0"/>
              <w:rPr>
                <w:sz w:val="12"/>
                <w:szCs w:val="12"/>
                <w:color w:val="auto"/>
              </w:rPr>
            </w:pPr>
          </w:p>
        </w:tc>
        <w:tc>
          <w:tcPr>
            <w:tcW w:w="98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3"/>
              </w:rPr>
              <w:t>Performance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53"/>
              <w:spacing w:after="0"/>
              <w:rPr>
                <w:sz w:val="20"/>
                <w:szCs w:val="20"/>
                <w:color w:val="auto"/>
              </w:rPr>
            </w:pPr>
            <w:r>
              <w:rPr>
                <w:rFonts w:ascii="Arial" w:cs="Arial" w:eastAsia="Arial" w:hAnsi="Arial"/>
                <w:sz w:val="13"/>
                <w:szCs w:val="13"/>
                <w:color w:val="auto"/>
              </w:rPr>
              <w:t>and leave</w:t>
            </w:r>
          </w:p>
        </w:tc>
        <w:tc>
          <w:tcPr>
            <w:tcW w:w="1040" w:type="dxa"/>
            <w:vAlign w:val="bottom"/>
            <w:gridSpan w:val="3"/>
          </w:tcPr>
          <w:p>
            <w:pPr>
              <w:ind w:left="120"/>
              <w:spacing w:after="0"/>
              <w:rPr>
                <w:sz w:val="20"/>
                <w:szCs w:val="20"/>
                <w:color w:val="auto"/>
              </w:rPr>
            </w:pPr>
            <w:r>
              <w:rPr>
                <w:rFonts w:ascii="Arial" w:cs="Arial" w:eastAsia="Arial" w:hAnsi="Arial"/>
                <w:sz w:val="13"/>
                <w:szCs w:val="13"/>
                <w:color w:val="auto"/>
                <w:w w:val="90"/>
              </w:rPr>
              <w:t>bonuses (Note 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13"/>
              <w:spacing w:after="0"/>
              <w:rPr>
                <w:sz w:val="20"/>
                <w:szCs w:val="20"/>
                <w:color w:val="auto"/>
              </w:rPr>
            </w:pPr>
            <w:r>
              <w:rPr>
                <w:rFonts w:ascii="Arial" w:cs="Arial" w:eastAsia="Arial" w:hAnsi="Arial"/>
                <w:sz w:val="13"/>
                <w:szCs w:val="13"/>
                <w:color w:val="auto"/>
                <w:w w:val="92"/>
              </w:rPr>
              <w:t>benefits</w:t>
            </w:r>
          </w:p>
        </w:tc>
        <w:tc>
          <w:tcPr>
            <w:tcW w:w="960" w:type="dxa"/>
            <w:vAlign w:val="bottom"/>
            <w:gridSpan w:val="3"/>
          </w:tcPr>
          <w:p>
            <w:pPr>
              <w:jc w:val="center"/>
              <w:ind w:left="33"/>
              <w:spacing w:after="0"/>
              <w:rPr>
                <w:sz w:val="20"/>
                <w:szCs w:val="20"/>
                <w:color w:val="auto"/>
              </w:rPr>
            </w:pPr>
            <w:r>
              <w:rPr>
                <w:rFonts w:ascii="Arial" w:cs="Arial" w:eastAsia="Arial" w:hAnsi="Arial"/>
                <w:sz w:val="13"/>
                <w:szCs w:val="13"/>
                <w:color w:val="auto"/>
                <w:w w:val="91"/>
              </w:rPr>
              <w:t>superannuation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113"/>
              <w:spacing w:after="0"/>
              <w:rPr>
                <w:sz w:val="20"/>
                <w:szCs w:val="20"/>
                <w:color w:val="auto"/>
              </w:rPr>
            </w:pPr>
            <w:r>
              <w:rPr>
                <w:rFonts w:ascii="Arial" w:cs="Arial" w:eastAsia="Arial" w:hAnsi="Arial"/>
                <w:sz w:val="13"/>
                <w:szCs w:val="13"/>
                <w:color w:val="auto"/>
                <w:w w:val="87"/>
              </w:rPr>
              <w:t>Units</w:t>
            </w:r>
          </w:p>
        </w:tc>
        <w:tc>
          <w:tcPr>
            <w:tcW w:w="120" w:type="dxa"/>
            <w:vAlign w:val="bottom"/>
          </w:tcPr>
          <w:p>
            <w:pPr>
              <w:spacing w:after="0"/>
              <w:rPr>
                <w:sz w:val="13"/>
                <w:szCs w:val="13"/>
                <w:color w:val="auto"/>
              </w:rPr>
            </w:pPr>
          </w:p>
        </w:tc>
        <w:tc>
          <w:tcPr>
            <w:tcW w:w="620" w:type="dxa"/>
            <w:vAlign w:val="bottom"/>
            <w:gridSpan w:val="2"/>
          </w:tcPr>
          <w:p>
            <w:pPr>
              <w:jc w:val="right"/>
              <w:ind w:right="73"/>
              <w:spacing w:after="0"/>
              <w:rPr>
                <w:sz w:val="20"/>
                <w:szCs w:val="20"/>
                <w:color w:val="auto"/>
              </w:rPr>
            </w:pPr>
            <w:r>
              <w:rPr>
                <w:rFonts w:ascii="Arial" w:cs="Arial" w:eastAsia="Arial" w:hAnsi="Arial"/>
                <w:sz w:val="13"/>
                <w:szCs w:val="13"/>
                <w:color w:val="auto"/>
              </w:rPr>
              <w:t>Rights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3"/>
                <w:szCs w:val="13"/>
                <w:color w:val="auto"/>
              </w:rPr>
              <w:t>Incentives</w:t>
            </w:r>
          </w:p>
        </w:tc>
        <w:tc>
          <w:tcPr>
            <w:tcW w:w="4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Units</w:t>
            </w:r>
          </w:p>
        </w:tc>
        <w:tc>
          <w:tcPr>
            <w:tcW w:w="4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(Note 3)</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tcBorders>
              <w:top w:val="single" w:sz="8" w:color="CCEEFF"/>
            </w:tcBorders>
            <w:gridSpan w:val="3"/>
            <w:shd w:val="clear" w:color="auto" w:fill="CCEEFF"/>
          </w:tcPr>
          <w:p>
            <w:pPr>
              <w:spacing w:after="0" w:line="98" w:lineRule="exact"/>
              <w:rPr>
                <w:sz w:val="20"/>
                <w:szCs w:val="20"/>
                <w:color w:val="auto"/>
              </w:rPr>
            </w:pPr>
            <w:r>
              <w:rPr>
                <w:rFonts w:ascii="Arial" w:cs="Arial" w:eastAsia="Arial" w:hAnsi="Arial"/>
                <w:sz w:val="11"/>
                <w:szCs w:val="11"/>
                <w:b w:val="1"/>
                <w:bCs w:val="1"/>
                <w:color w:val="auto"/>
              </w:rPr>
              <w:t>Non-Executive</w:t>
            </w: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w w:val="98"/>
              </w:rPr>
              <w:t>Directors</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0" w:type="dxa"/>
            <w:vAlign w:val="bottom"/>
            <w:gridSpan w:val="2"/>
          </w:tcPr>
          <w:p>
            <w:pPr>
              <w:spacing w:after="0" w:line="120" w:lineRule="exact"/>
              <w:rPr>
                <w:sz w:val="20"/>
                <w:szCs w:val="20"/>
                <w:color w:val="auto"/>
              </w:rPr>
            </w:pPr>
            <w:r>
              <w:rPr>
                <w:rFonts w:ascii="Arial" w:cs="Arial" w:eastAsia="Arial" w:hAnsi="Arial"/>
                <w:sz w:val="13"/>
                <w:szCs w:val="13"/>
                <w:color w:val="auto"/>
                <w:w w:val="90"/>
              </w:rPr>
              <w:t>L Panaccio –</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3"/>
          </w:tcPr>
          <w:p>
            <w:pPr>
              <w:ind w:left="120"/>
              <w:spacing w:after="0" w:line="138" w:lineRule="exact"/>
              <w:rPr>
                <w:sz w:val="20"/>
                <w:szCs w:val="20"/>
                <w:color w:val="auto"/>
              </w:rPr>
            </w:pPr>
            <w:r>
              <w:rPr>
                <w:rFonts w:ascii="Arial" w:cs="Arial" w:eastAsia="Arial" w:hAnsi="Arial"/>
                <w:sz w:val="13"/>
                <w:szCs w:val="13"/>
                <w:color w:val="auto"/>
              </w:rPr>
              <w:t>Non-Executive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color w:val="auto"/>
                <w:w w:val="99"/>
              </w:rPr>
              <w:t>Chairman</w:t>
            </w:r>
          </w:p>
        </w:tc>
        <w:tc>
          <w:tcPr>
            <w:tcW w:w="360" w:type="dxa"/>
            <w:vAlign w:val="bottom"/>
          </w:tcPr>
          <w:p>
            <w:pPr>
              <w:spacing w:after="0"/>
              <w:rPr>
                <w:sz w:val="13"/>
                <w:szCs w:val="13"/>
                <w:color w:val="auto"/>
              </w:rPr>
            </w:pPr>
          </w:p>
        </w:tc>
        <w:tc>
          <w:tcPr>
            <w:tcW w:w="220" w:type="dxa"/>
            <w:vAlign w:val="bottom"/>
            <w:gridSpan w:val="2"/>
          </w:tcPr>
          <w:p>
            <w:pPr>
              <w:ind w:left="60"/>
              <w:spacing w:after="0"/>
              <w:rPr>
                <w:sz w:val="20"/>
                <w:szCs w:val="20"/>
                <w:color w:val="auto"/>
              </w:rPr>
            </w:pPr>
            <w:r>
              <w:rPr>
                <w:rFonts w:ascii="Arial" w:cs="Arial" w:eastAsia="Arial" w:hAnsi="Arial"/>
                <w:sz w:val="13"/>
                <w:szCs w:val="13"/>
                <w:color w:val="auto"/>
                <w:w w:val="87"/>
              </w:rPr>
              <w:t>A$</w:t>
            </w:r>
          </w:p>
        </w:tc>
        <w:tc>
          <w:tcPr>
            <w:tcW w:w="560" w:type="dxa"/>
            <w:vAlign w:val="bottom"/>
          </w:tcPr>
          <w:p>
            <w:pPr>
              <w:jc w:val="right"/>
              <w:spacing w:after="0"/>
              <w:rPr>
                <w:sz w:val="20"/>
                <w:szCs w:val="20"/>
                <w:color w:val="auto"/>
              </w:rPr>
            </w:pPr>
            <w:r>
              <w:rPr>
                <w:rFonts w:ascii="Arial" w:cs="Arial" w:eastAsia="Arial" w:hAnsi="Arial"/>
                <w:sz w:val="13"/>
                <w:szCs w:val="13"/>
                <w:color w:val="auto"/>
              </w:rPr>
              <w:t>58,758</w:t>
            </w:r>
          </w:p>
        </w:tc>
        <w:tc>
          <w:tcPr>
            <w:tcW w:w="440" w:type="dxa"/>
            <w:vAlign w:val="bottom"/>
            <w:gridSpan w:val="2"/>
          </w:tcPr>
          <w:p>
            <w:pPr>
              <w:ind w:left="120"/>
              <w:spacing w:after="0"/>
              <w:rPr>
                <w:sz w:val="20"/>
                <w:szCs w:val="20"/>
                <w:color w:val="auto"/>
              </w:rPr>
            </w:pPr>
            <w:r>
              <w:rPr>
                <w:rFonts w:ascii="Arial" w:cs="Arial" w:eastAsia="Arial" w:hAnsi="Arial"/>
                <w:sz w:val="13"/>
                <w:szCs w:val="13"/>
                <w:color w:val="auto"/>
              </w:rPr>
              <w:t>A$</w:t>
            </w: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A$</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A$</w:t>
            </w:r>
          </w:p>
        </w:tc>
        <w:tc>
          <w:tcPr>
            <w:tcW w:w="660" w:type="dxa"/>
            <w:vAlign w:val="bottom"/>
          </w:tcPr>
          <w:p>
            <w:pPr>
              <w:jc w:val="right"/>
              <w:spacing w:after="0"/>
              <w:rPr>
                <w:sz w:val="20"/>
                <w:szCs w:val="20"/>
                <w:color w:val="auto"/>
              </w:rPr>
            </w:pPr>
            <w:r>
              <w:rPr>
                <w:rFonts w:ascii="Arial" w:cs="Arial" w:eastAsia="Arial" w:hAnsi="Arial"/>
                <w:sz w:val="13"/>
                <w:szCs w:val="13"/>
                <w:color w:val="auto"/>
              </w:rPr>
              <w:t>7,481</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w w:val="87"/>
              </w:rPr>
              <w:t>A$</w:t>
            </w:r>
          </w:p>
        </w:tc>
        <w:tc>
          <w:tcPr>
            <w:tcW w:w="460" w:type="dxa"/>
            <w:vAlign w:val="bottom"/>
          </w:tcPr>
          <w:p>
            <w:pPr>
              <w:jc w:val="right"/>
              <w:spacing w:after="0"/>
              <w:rPr>
                <w:sz w:val="20"/>
                <w:szCs w:val="20"/>
                <w:color w:val="auto"/>
              </w:rPr>
            </w:pPr>
            <w:r>
              <w:rPr>
                <w:rFonts w:ascii="Arial" w:cs="Arial" w:eastAsia="Arial" w:hAnsi="Arial"/>
                <w:sz w:val="13"/>
                <w:szCs w:val="13"/>
                <w:color w:val="auto"/>
              </w:rPr>
              <w:t>19,992</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w w:val="87"/>
              </w:rPr>
              <w:t>A$</w:t>
            </w:r>
          </w:p>
        </w:tc>
        <w:tc>
          <w:tcPr>
            <w:tcW w:w="4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A$</w:t>
            </w:r>
          </w:p>
        </w:tc>
        <w:tc>
          <w:tcPr>
            <w:tcW w:w="540" w:type="dxa"/>
            <w:vAlign w:val="bottom"/>
          </w:tcPr>
          <w:p>
            <w:pPr>
              <w:jc w:val="right"/>
              <w:spacing w:after="0"/>
              <w:rPr>
                <w:sz w:val="20"/>
                <w:szCs w:val="20"/>
                <w:color w:val="auto"/>
              </w:rPr>
            </w:pPr>
            <w:r>
              <w:rPr>
                <w:rFonts w:ascii="Arial" w:cs="Arial" w:eastAsia="Arial" w:hAnsi="Arial"/>
                <w:sz w:val="13"/>
                <w:szCs w:val="13"/>
                <w:color w:val="auto"/>
              </w:rPr>
              <w:t>86,231</w:t>
            </w:r>
          </w:p>
        </w:tc>
        <w:tc>
          <w:tcPr>
            <w:tcW w:w="1540" w:type="dxa"/>
            <w:vAlign w:val="bottom"/>
            <w:gridSpan w:val="3"/>
          </w:tcPr>
          <w:p>
            <w:pPr>
              <w:jc w:val="right"/>
              <w:ind w:right="60"/>
              <w:spacing w:after="0"/>
              <w:rPr>
                <w:sz w:val="20"/>
                <w:szCs w:val="20"/>
                <w:color w:val="auto"/>
              </w:rPr>
            </w:pPr>
            <w:r>
              <w:rPr>
                <w:rFonts w:ascii="Arial" w:cs="Arial" w:eastAsia="Arial" w:hAnsi="Arial"/>
                <w:sz w:val="13"/>
                <w:szCs w:val="13"/>
                <w:color w:val="auto"/>
              </w:rPr>
              <w:t>0%</w:t>
            </w: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0%</w:t>
            </w:r>
          </w:p>
        </w:tc>
        <w:tc>
          <w:tcPr>
            <w:tcW w:w="1020" w:type="dxa"/>
            <w:vAlign w:val="bottom"/>
            <w:gridSpan w:val="3"/>
          </w:tcPr>
          <w:p>
            <w:pPr>
              <w:jc w:val="right"/>
              <w:ind w:right="4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J Curnock Cook</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61,040</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61,040</w:t>
            </w:r>
          </w:p>
        </w:tc>
        <w:tc>
          <w:tcPr>
            <w:tcW w:w="154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0%</w:t>
            </w:r>
          </w:p>
        </w:tc>
        <w:tc>
          <w:tcPr>
            <w:tcW w:w="6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0%</w:t>
            </w:r>
          </w:p>
        </w:tc>
        <w:tc>
          <w:tcPr>
            <w:tcW w:w="10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gridSpan w:val="2"/>
          </w:tcPr>
          <w:p>
            <w:pPr>
              <w:spacing w:after="0" w:line="138" w:lineRule="exact"/>
              <w:rPr>
                <w:sz w:val="20"/>
                <w:szCs w:val="20"/>
                <w:color w:val="auto"/>
              </w:rPr>
            </w:pPr>
            <w:r>
              <w:rPr>
                <w:rFonts w:ascii="Arial" w:cs="Arial" w:eastAsia="Arial" w:hAnsi="Arial"/>
                <w:sz w:val="13"/>
                <w:szCs w:val="13"/>
                <w:color w:val="auto"/>
              </w:rPr>
              <w:t>L Drapeau</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color w:val="auto"/>
              </w:rPr>
              <w:t>56,213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56,213</w:t>
            </w:r>
          </w:p>
        </w:tc>
        <w:tc>
          <w:tcPr>
            <w:tcW w:w="154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0%</w:t>
            </w:r>
          </w:p>
        </w:tc>
        <w:tc>
          <w:tcPr>
            <w:tcW w:w="6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0%</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w w:val="95"/>
              </w:rPr>
              <w:t>D McDonald</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56,549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56,549</w:t>
            </w:r>
          </w:p>
        </w:tc>
        <w:tc>
          <w:tcPr>
            <w:tcW w:w="154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0%</w:t>
            </w:r>
          </w:p>
        </w:tc>
        <w:tc>
          <w:tcPr>
            <w:tcW w:w="6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0%</w:t>
            </w:r>
          </w:p>
        </w:tc>
        <w:tc>
          <w:tcPr>
            <w:tcW w:w="10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0" w:type="dxa"/>
            <w:vAlign w:val="bottom"/>
          </w:tcPr>
          <w:p>
            <w:pPr>
              <w:spacing w:after="0" w:line="138" w:lineRule="exact"/>
              <w:rPr>
                <w:sz w:val="20"/>
                <w:szCs w:val="20"/>
                <w:color w:val="auto"/>
              </w:rPr>
            </w:pPr>
            <w:r>
              <w:rPr>
                <w:rFonts w:ascii="Arial" w:cs="Arial" w:eastAsia="Arial" w:hAnsi="Arial"/>
                <w:sz w:val="13"/>
                <w:szCs w:val="13"/>
                <w:color w:val="auto"/>
              </w:rPr>
              <w:t>S Crowe</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45,989</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5,296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9,755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61,040</w:t>
            </w:r>
          </w:p>
        </w:tc>
        <w:tc>
          <w:tcPr>
            <w:tcW w:w="154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0%</w:t>
            </w:r>
          </w:p>
        </w:tc>
        <w:tc>
          <w:tcPr>
            <w:tcW w:w="6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0%</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 w:type="dxa"/>
            <w:vAlign w:val="bottom"/>
            <w:shd w:val="clear" w:color="auto" w:fill="CCEEFF"/>
          </w:tcPr>
          <w:p>
            <w:pPr>
              <w:spacing w:after="0" w:line="118" w:lineRule="exact"/>
              <w:rPr>
                <w:sz w:val="20"/>
                <w:szCs w:val="20"/>
                <w:color w:val="auto"/>
              </w:rPr>
            </w:pPr>
            <w:r>
              <w:rPr>
                <w:rFonts w:ascii="Arial" w:cs="Arial" w:eastAsia="Arial" w:hAnsi="Arial"/>
                <w:sz w:val="13"/>
                <w:szCs w:val="13"/>
                <w:b w:val="1"/>
                <w:bCs w:val="1"/>
                <w:color w:val="auto"/>
                <w:w w:val="88"/>
              </w:rPr>
              <w:t>Sub-total</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3"/>
            <w:shd w:val="clear" w:color="auto" w:fill="CCEEFF"/>
          </w:tcPr>
          <w:p>
            <w:pPr>
              <w:ind w:left="120"/>
              <w:spacing w:after="0" w:line="138" w:lineRule="exact"/>
              <w:rPr>
                <w:sz w:val="20"/>
                <w:szCs w:val="20"/>
                <w:color w:val="auto"/>
              </w:rPr>
            </w:pPr>
            <w:r>
              <w:rPr>
                <w:rFonts w:ascii="Arial" w:cs="Arial" w:eastAsia="Arial" w:hAnsi="Arial"/>
                <w:sz w:val="13"/>
                <w:szCs w:val="13"/>
                <w:b w:val="1"/>
                <w:bCs w:val="1"/>
                <w:color w:val="auto"/>
              </w:rPr>
              <w:t>Non-Executive</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222,000</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12,777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86,296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321,073</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w w:val="98"/>
              </w:rPr>
              <w:t>Directors</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gridSpan w:val="3"/>
            <w:vMerge w:val="restart"/>
          </w:tcPr>
          <w:p>
            <w:pPr>
              <w:spacing w:after="0" w:line="149" w:lineRule="exact"/>
              <w:rPr>
                <w:sz w:val="20"/>
                <w:szCs w:val="20"/>
                <w:color w:val="auto"/>
              </w:rPr>
            </w:pPr>
            <w:r>
              <w:rPr>
                <w:rFonts w:ascii="Arial" w:cs="Arial" w:eastAsia="Arial" w:hAnsi="Arial"/>
                <w:sz w:val="13"/>
                <w:szCs w:val="13"/>
                <w:b w:val="1"/>
                <w:bCs w:val="1"/>
                <w:color w:val="auto"/>
              </w:rPr>
              <w:t>Other Key</w:t>
            </w: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2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3"/>
          </w:tcPr>
          <w:p>
            <w:pPr>
              <w:ind w:left="120"/>
              <w:spacing w:after="0" w:line="138" w:lineRule="exact"/>
              <w:rPr>
                <w:sz w:val="20"/>
                <w:szCs w:val="20"/>
                <w:color w:val="auto"/>
              </w:rPr>
            </w:pPr>
            <w:r>
              <w:rPr>
                <w:rFonts w:ascii="Arial" w:cs="Arial" w:eastAsia="Arial" w:hAnsi="Arial"/>
                <w:sz w:val="13"/>
                <w:szCs w:val="13"/>
                <w:b w:val="1"/>
                <w:bCs w:val="1"/>
                <w:color w:val="auto"/>
              </w:rPr>
              <w:t>Management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3"/>
          </w:tcPr>
          <w:p>
            <w:pPr>
              <w:ind w:left="120"/>
              <w:spacing w:after="0" w:line="138" w:lineRule="exact"/>
              <w:rPr>
                <w:sz w:val="20"/>
                <w:szCs w:val="20"/>
                <w:color w:val="auto"/>
              </w:rPr>
            </w:pPr>
            <w:r>
              <w:rPr>
                <w:rFonts w:ascii="Arial" w:cs="Arial" w:eastAsia="Arial" w:hAnsi="Arial"/>
                <w:sz w:val="13"/>
                <w:szCs w:val="13"/>
                <w:b w:val="1"/>
                <w:bCs w:val="1"/>
                <w:color w:val="auto"/>
              </w:rPr>
              <w:t>Personnel &amp;</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gridSpan w:val="3"/>
          </w:tcPr>
          <w:p>
            <w:pPr>
              <w:ind w:left="120"/>
              <w:spacing w:after="0"/>
              <w:rPr>
                <w:sz w:val="20"/>
                <w:szCs w:val="20"/>
                <w:color w:val="auto"/>
              </w:rPr>
            </w:pPr>
            <w:r>
              <w:rPr>
                <w:rFonts w:ascii="Arial" w:cs="Arial" w:eastAsia="Arial" w:hAnsi="Arial"/>
                <w:sz w:val="13"/>
                <w:szCs w:val="13"/>
                <w:b w:val="1"/>
                <w:bCs w:val="1"/>
                <w:color w:val="auto"/>
              </w:rPr>
              <w:t>Executives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M Perry – CEO</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662,022</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327,337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73,271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3"/>
              </w:rPr>
              <w:t>701,408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9"/>
              </w:rPr>
              <w:t>1,764,038</w:t>
            </w:r>
          </w:p>
        </w:tc>
        <w:tc>
          <w:tcPr>
            <w:tcW w:w="154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19%</w:t>
            </w:r>
          </w:p>
        </w:tc>
        <w:tc>
          <w:tcPr>
            <w:tcW w:w="6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40%</w:t>
            </w:r>
          </w:p>
        </w:tc>
        <w:tc>
          <w:tcPr>
            <w:tcW w:w="10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gridSpan w:val="3"/>
          </w:tcPr>
          <w:p>
            <w:pPr>
              <w:spacing w:after="0" w:line="120" w:lineRule="exact"/>
              <w:rPr>
                <w:sz w:val="20"/>
                <w:szCs w:val="20"/>
                <w:color w:val="auto"/>
              </w:rPr>
            </w:pPr>
            <w:r>
              <w:rPr>
                <w:rFonts w:ascii="Arial" w:cs="Arial" w:eastAsia="Arial" w:hAnsi="Arial"/>
                <w:sz w:val="13"/>
                <w:szCs w:val="13"/>
                <w:color w:val="auto"/>
              </w:rPr>
              <w:t>A Kelliher – CEO</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3"/>
          </w:tcPr>
          <w:p>
            <w:pPr>
              <w:ind w:left="120"/>
              <w:spacing w:after="0" w:line="138" w:lineRule="exact"/>
              <w:rPr>
                <w:sz w:val="20"/>
                <w:szCs w:val="20"/>
                <w:color w:val="auto"/>
              </w:rPr>
            </w:pPr>
            <w:r>
              <w:rPr>
                <w:rFonts w:ascii="Arial" w:cs="Arial" w:eastAsia="Arial" w:hAnsi="Arial"/>
                <w:sz w:val="13"/>
                <w:szCs w:val="13"/>
                <w:color w:val="auto"/>
                <w:w w:val="94"/>
              </w:rPr>
              <w:t>(resigned 1 June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40" w:type="dxa"/>
            <w:vAlign w:val="bottom"/>
            <w:gridSpan w:val="2"/>
          </w:tcPr>
          <w:p>
            <w:pPr>
              <w:ind w:left="140"/>
              <w:spacing w:after="0"/>
              <w:rPr>
                <w:sz w:val="20"/>
                <w:szCs w:val="20"/>
                <w:color w:val="auto"/>
              </w:rPr>
            </w:pPr>
            <w:r>
              <w:rPr>
                <w:rFonts w:ascii="Arial" w:cs="Arial" w:eastAsia="Arial" w:hAnsi="Arial"/>
                <w:sz w:val="13"/>
                <w:szCs w:val="13"/>
                <w:color w:val="auto"/>
              </w:rPr>
              <w:t>2017)</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372,149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87,860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24,004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15,905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499,918</w:t>
            </w:r>
          </w:p>
        </w:tc>
        <w:tc>
          <w:tcPr>
            <w:tcW w:w="1540" w:type="dxa"/>
            <w:vAlign w:val="bottom"/>
            <w:gridSpan w:val="3"/>
          </w:tcPr>
          <w:p>
            <w:pPr>
              <w:jc w:val="right"/>
              <w:ind w:right="60"/>
              <w:spacing w:after="0"/>
              <w:rPr>
                <w:sz w:val="20"/>
                <w:szCs w:val="20"/>
                <w:color w:val="auto"/>
              </w:rPr>
            </w:pPr>
            <w:r>
              <w:rPr>
                <w:rFonts w:ascii="Arial" w:cs="Arial" w:eastAsia="Arial" w:hAnsi="Arial"/>
                <w:sz w:val="13"/>
                <w:szCs w:val="13"/>
                <w:color w:val="auto"/>
              </w:rPr>
              <w:t>18%</w:t>
            </w: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0%</w:t>
            </w:r>
          </w:p>
        </w:tc>
        <w:tc>
          <w:tcPr>
            <w:tcW w:w="1020" w:type="dxa"/>
            <w:vAlign w:val="bottom"/>
            <w:gridSpan w:val="3"/>
          </w:tcPr>
          <w:p>
            <w:pPr>
              <w:jc w:val="right"/>
              <w:ind w:right="4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D Sander – CFO</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236,156</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63,395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40,900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8,226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89,384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438,061</w:t>
            </w:r>
          </w:p>
        </w:tc>
        <w:tc>
          <w:tcPr>
            <w:tcW w:w="154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14%</w:t>
            </w:r>
          </w:p>
        </w:tc>
        <w:tc>
          <w:tcPr>
            <w:tcW w:w="6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0%</w:t>
            </w:r>
          </w:p>
        </w:tc>
        <w:tc>
          <w:tcPr>
            <w:tcW w:w="10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3"/>
          </w:tcPr>
          <w:p>
            <w:pPr>
              <w:spacing w:after="0" w:line="138" w:lineRule="exact"/>
              <w:rPr>
                <w:sz w:val="20"/>
                <w:szCs w:val="20"/>
                <w:color w:val="auto"/>
              </w:rPr>
            </w:pPr>
            <w:r>
              <w:rPr>
                <w:rFonts w:ascii="Arial" w:cs="Arial" w:eastAsia="Arial" w:hAnsi="Arial"/>
                <w:sz w:val="13"/>
                <w:szCs w:val="13"/>
                <w:color w:val="auto"/>
              </w:rPr>
              <w:t>T Rooney – CAO</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color w:val="auto"/>
              </w:rPr>
              <w:t>406,791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97,143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41,670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20,808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3"/>
                <w:szCs w:val="13"/>
                <w:color w:val="auto"/>
                <w:w w:val="93"/>
              </w:rPr>
              <w:t>367,384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933,796</w:t>
            </w:r>
          </w:p>
        </w:tc>
        <w:tc>
          <w:tcPr>
            <w:tcW w:w="154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10%</w:t>
            </w:r>
          </w:p>
        </w:tc>
        <w:tc>
          <w:tcPr>
            <w:tcW w:w="6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0%</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gridSpan w:val="3"/>
            <w:shd w:val="clear" w:color="auto" w:fill="CCEEFF"/>
          </w:tcPr>
          <w:p>
            <w:pPr>
              <w:spacing w:after="0" w:line="120" w:lineRule="exact"/>
              <w:rPr>
                <w:sz w:val="20"/>
                <w:szCs w:val="20"/>
                <w:color w:val="auto"/>
              </w:rPr>
            </w:pPr>
            <w:r>
              <w:rPr>
                <w:rFonts w:ascii="Arial" w:cs="Arial" w:eastAsia="Arial" w:hAnsi="Arial"/>
                <w:sz w:val="13"/>
                <w:szCs w:val="13"/>
                <w:color w:val="auto"/>
              </w:rPr>
              <w:t>T Barring – COO</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(resigned</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16 June 2017)</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34,474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34,474</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3"/>
          </w:tcPr>
          <w:p>
            <w:pPr>
              <w:spacing w:after="0" w:line="138" w:lineRule="exact"/>
              <w:rPr>
                <w:sz w:val="20"/>
                <w:szCs w:val="20"/>
                <w:color w:val="auto"/>
              </w:rPr>
            </w:pPr>
            <w:r>
              <w:rPr>
                <w:rFonts w:ascii="Arial" w:cs="Arial" w:eastAsia="Arial" w:hAnsi="Arial"/>
                <w:sz w:val="13"/>
                <w:szCs w:val="13"/>
                <w:color w:val="auto"/>
              </w:rPr>
              <w:t>E Liberto – CCO</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color w:val="auto"/>
              </w:rPr>
              <w:t>311,938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226,601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63,066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12,891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3"/>
                <w:szCs w:val="13"/>
                <w:color w:val="auto"/>
                <w:w w:val="93"/>
              </w:rPr>
              <w:t>123,231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737,727</w:t>
            </w:r>
          </w:p>
        </w:tc>
        <w:tc>
          <w:tcPr>
            <w:tcW w:w="154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31%</w:t>
            </w:r>
          </w:p>
        </w:tc>
        <w:tc>
          <w:tcPr>
            <w:tcW w:w="6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0%</w:t>
            </w:r>
          </w:p>
        </w:tc>
        <w:tc>
          <w:tcPr>
            <w:tcW w:w="10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gridSpan w:val="3"/>
            <w:shd w:val="clear" w:color="auto" w:fill="CCEEFF"/>
          </w:tcPr>
          <w:p>
            <w:pPr>
              <w:spacing w:after="0" w:line="120" w:lineRule="exact"/>
              <w:rPr>
                <w:sz w:val="20"/>
                <w:szCs w:val="20"/>
                <w:color w:val="auto"/>
              </w:rPr>
            </w:pPr>
            <w:r>
              <w:rPr>
                <w:rFonts w:ascii="Arial" w:cs="Arial" w:eastAsia="Arial" w:hAnsi="Arial"/>
                <w:sz w:val="13"/>
                <w:szCs w:val="13"/>
                <w:color w:val="auto"/>
              </w:rPr>
              <w:t>A Quick – SVP,</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Clinical</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Development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341,138</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67,888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52,802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194,191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675,924</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gridSpan w:val="3"/>
          </w:tcPr>
          <w:p>
            <w:pPr>
              <w:spacing w:after="0" w:line="120" w:lineRule="exact"/>
              <w:rPr>
                <w:sz w:val="20"/>
                <w:szCs w:val="20"/>
                <w:color w:val="auto"/>
              </w:rPr>
            </w:pPr>
            <w:r>
              <w:rPr>
                <w:rFonts w:ascii="Arial" w:cs="Arial" w:eastAsia="Arial" w:hAnsi="Arial"/>
                <w:sz w:val="13"/>
                <w:szCs w:val="13"/>
                <w:color w:val="auto"/>
              </w:rPr>
              <w:t>G Chiappini –</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Company</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Secretary</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3"/>
          </w:tcPr>
          <w:p>
            <w:pPr>
              <w:ind w:left="120"/>
              <w:spacing w:after="0" w:line="138" w:lineRule="exact"/>
              <w:rPr>
                <w:sz w:val="20"/>
                <w:szCs w:val="20"/>
                <w:color w:val="auto"/>
              </w:rPr>
            </w:pPr>
            <w:r>
              <w:rPr>
                <w:rFonts w:ascii="Arial" w:cs="Arial" w:eastAsia="Arial" w:hAnsi="Arial"/>
                <w:sz w:val="13"/>
                <w:szCs w:val="13"/>
                <w:color w:val="auto"/>
                <w:w w:val="97"/>
              </w:rPr>
              <w:t>(resigned March</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0" w:type="dxa"/>
            <w:vAlign w:val="bottom"/>
            <w:gridSpan w:val="2"/>
          </w:tcPr>
          <w:p>
            <w:pPr>
              <w:ind w:left="140"/>
              <w:spacing w:after="0"/>
              <w:rPr>
                <w:sz w:val="20"/>
                <w:szCs w:val="20"/>
                <w:color w:val="auto"/>
              </w:rPr>
            </w:pPr>
            <w:r>
              <w:rPr>
                <w:rFonts w:ascii="Arial" w:cs="Arial" w:eastAsia="Arial" w:hAnsi="Arial"/>
                <w:sz w:val="13"/>
                <w:szCs w:val="13"/>
                <w:color w:val="auto"/>
              </w:rPr>
              <w:t>2018)</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52,010</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52,010</w:t>
            </w:r>
          </w:p>
        </w:tc>
        <w:tc>
          <w:tcPr>
            <w:tcW w:w="1540" w:type="dxa"/>
            <w:vAlign w:val="bottom"/>
            <w:gridSpan w:val="3"/>
          </w:tcPr>
          <w:p>
            <w:pPr>
              <w:jc w:val="right"/>
              <w:ind w:right="60"/>
              <w:spacing w:after="0"/>
              <w:rPr>
                <w:sz w:val="20"/>
                <w:szCs w:val="20"/>
                <w:color w:val="auto"/>
              </w:rPr>
            </w:pPr>
            <w:r>
              <w:rPr>
                <w:rFonts w:ascii="Arial" w:cs="Arial" w:eastAsia="Arial" w:hAnsi="Arial"/>
                <w:sz w:val="13"/>
                <w:szCs w:val="13"/>
                <w:color w:val="auto"/>
              </w:rPr>
              <w:t>0%</w:t>
            </w: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0%</w:t>
            </w:r>
          </w:p>
        </w:tc>
        <w:tc>
          <w:tcPr>
            <w:tcW w:w="1020" w:type="dxa"/>
            <w:vAlign w:val="bottom"/>
            <w:gridSpan w:val="3"/>
          </w:tcPr>
          <w:p>
            <w:pPr>
              <w:jc w:val="right"/>
              <w:ind w:right="4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 w:type="dxa"/>
            <w:vAlign w:val="bottom"/>
            <w:shd w:val="clear" w:color="auto" w:fill="CCEEFF"/>
          </w:tcPr>
          <w:p>
            <w:pPr>
              <w:spacing w:after="0" w:line="118" w:lineRule="exact"/>
              <w:rPr>
                <w:sz w:val="20"/>
                <w:szCs w:val="20"/>
                <w:color w:val="auto"/>
              </w:rPr>
            </w:pPr>
            <w:r>
              <w:rPr>
                <w:rFonts w:ascii="Arial" w:cs="Arial" w:eastAsia="Arial" w:hAnsi="Arial"/>
                <w:sz w:val="13"/>
                <w:szCs w:val="13"/>
                <w:b w:val="1"/>
                <w:bCs w:val="1"/>
                <w:color w:val="auto"/>
                <w:w w:val="88"/>
              </w:rPr>
              <w:t>Sub-total</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b w:val="1"/>
                <w:bCs w:val="1"/>
                <w:color w:val="auto"/>
                <w:w w:val="94"/>
              </w:rPr>
              <w:t>executive</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b w:val="1"/>
                <w:bCs w:val="1"/>
                <w:color w:val="auto"/>
              </w:rPr>
              <w:t>KMP &amp;</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2,382,204</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870,224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295,713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77,735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701,408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808,664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5,135,948</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gridSpan w:val="3"/>
            <w:shd w:val="clear" w:color="auto" w:fill="CCEEFF"/>
          </w:tcPr>
          <w:p>
            <w:pPr>
              <w:ind w:left="120"/>
              <w:spacing w:after="0"/>
              <w:rPr>
                <w:sz w:val="20"/>
                <w:szCs w:val="20"/>
                <w:color w:val="auto"/>
              </w:rPr>
            </w:pPr>
            <w:r>
              <w:rPr>
                <w:rFonts w:ascii="Arial" w:cs="Arial" w:eastAsia="Arial" w:hAnsi="Arial"/>
                <w:sz w:val="13"/>
                <w:szCs w:val="13"/>
                <w:b w:val="1"/>
                <w:bCs w:val="1"/>
                <w:color w:val="auto"/>
              </w:rPr>
              <w:t>Executives</w:t>
            </w: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Totals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u w:val="single" w:color="auto"/>
                <w:color w:val="auto"/>
                <w:w w:val="83"/>
              </w:rPr>
              <w:t>A$</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3"/>
              </w:rPr>
              <w:t>2,604,204</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A$</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870,224</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u w:val="single" w:color="auto"/>
                <w:color w:val="auto"/>
                <w:w w:val="95"/>
              </w:rPr>
              <w:t>A</w:t>
            </w:r>
            <w:r>
              <w:rPr>
                <w:rFonts w:ascii="Arial" w:cs="Arial" w:eastAsia="Arial" w:hAnsi="Arial"/>
                <w:sz w:val="13"/>
                <w:szCs w:val="13"/>
                <w:b w:val="1"/>
                <w:bCs w:val="1"/>
                <w:color w:val="auto"/>
                <w:w w:val="95"/>
              </w:rPr>
              <w:t>$</w:t>
            </w:r>
          </w:p>
        </w:tc>
        <w:tc>
          <w:tcPr>
            <w:tcW w:w="6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295,713</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w w:val="96"/>
              </w:rPr>
              <w:t>A$</w:t>
            </w: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90,512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u w:val="single" w:color="auto"/>
                <w:color w:val="auto"/>
                <w:w w:val="83"/>
              </w:rPr>
              <w:t>A$</w:t>
            </w:r>
          </w:p>
        </w:tc>
        <w:tc>
          <w:tcPr>
            <w:tcW w:w="4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3"/>
              </w:rPr>
              <w:t>787,704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u w:val="single" w:color="auto"/>
                <w:color w:val="auto"/>
                <w:w w:val="83"/>
              </w:rPr>
              <w:t>A$</w:t>
            </w:r>
          </w:p>
        </w:tc>
        <w:tc>
          <w:tcPr>
            <w:tcW w:w="4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3"/>
              </w:rPr>
              <w:t>808,664</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u w:val="single" w:color="auto"/>
                <w:color w:val="auto"/>
                <w:w w:val="96"/>
              </w:rPr>
              <w:t>A$</w:t>
            </w: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89"/>
              </w:rPr>
              <w:t>5,457,021</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40" w:type="dxa"/>
            <w:vAlign w:val="bottom"/>
            <w:gridSpan w:val="2"/>
          </w:tcPr>
          <w:p>
            <w:pPr>
              <w:spacing w:after="0"/>
              <w:rPr>
                <w:sz w:val="20"/>
                <w:szCs w:val="20"/>
                <w:color w:val="auto"/>
              </w:rPr>
            </w:pPr>
            <w:r>
              <w:rPr>
                <w:rFonts w:ascii="Arial" w:cs="Arial" w:eastAsia="Arial" w:hAnsi="Arial"/>
                <w:sz w:val="17"/>
                <w:szCs w:val="17"/>
                <w:color w:val="auto"/>
              </w:rPr>
              <w:t>Note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1</w:t>
            </w:r>
          </w:p>
        </w:tc>
        <w:tc>
          <w:tcPr>
            <w:tcW w:w="8520" w:type="dxa"/>
            <w:vAlign w:val="bottom"/>
            <w:gridSpan w:val="28"/>
          </w:tcPr>
          <w:p>
            <w:pPr>
              <w:ind w:left="20"/>
              <w:spacing w:after="0"/>
              <w:rPr>
                <w:sz w:val="20"/>
                <w:szCs w:val="20"/>
                <w:color w:val="auto"/>
              </w:rPr>
            </w:pPr>
            <w:r>
              <w:rPr>
                <w:rFonts w:ascii="Arial" w:cs="Arial" w:eastAsia="Arial" w:hAnsi="Arial"/>
                <w:sz w:val="17"/>
                <w:szCs w:val="17"/>
                <w:color w:val="auto"/>
                <w:w w:val="90"/>
              </w:rPr>
              <w:t>Profit share and bonuses are based upon the achievement of corporate goals, which are approved by the Board of Directors.</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0" w:type="dxa"/>
            <w:vAlign w:val="bottom"/>
            <w:gridSpan w:val="2"/>
          </w:tcPr>
          <w:p>
            <w:pPr>
              <w:spacing w:after="0"/>
              <w:rPr>
                <w:sz w:val="20"/>
                <w:szCs w:val="20"/>
                <w:color w:val="auto"/>
              </w:rPr>
            </w:pPr>
            <w:r>
              <w:rPr>
                <w:rFonts w:ascii="Arial" w:cs="Arial" w:eastAsia="Arial" w:hAnsi="Arial"/>
                <w:sz w:val="17"/>
                <w:szCs w:val="17"/>
                <w:color w:val="auto"/>
              </w:rPr>
              <w:t>Note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2</w:t>
            </w:r>
          </w:p>
        </w:tc>
        <w:tc>
          <w:tcPr>
            <w:tcW w:w="9540" w:type="dxa"/>
            <w:vAlign w:val="bottom"/>
            <w:gridSpan w:val="31"/>
          </w:tcPr>
          <w:p>
            <w:pPr>
              <w:ind w:left="20"/>
              <w:spacing w:after="0"/>
              <w:rPr>
                <w:sz w:val="20"/>
                <w:szCs w:val="20"/>
                <w:color w:val="auto"/>
              </w:rPr>
            </w:pPr>
            <w:r>
              <w:rPr>
                <w:rFonts w:ascii="Arial" w:cs="Arial" w:eastAsia="Arial" w:hAnsi="Arial"/>
                <w:sz w:val="17"/>
                <w:szCs w:val="17"/>
                <w:color w:val="auto"/>
                <w:w w:val="89"/>
              </w:rPr>
              <w:t>Non-salary cash-based incentives % is equal to profit share and bonuses divided by total compensation. Shares or units % is equal to shares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10"/>
          </w:tcPr>
          <w:p>
            <w:pPr>
              <w:ind w:left="20"/>
              <w:spacing w:after="0"/>
              <w:rPr>
                <w:sz w:val="20"/>
                <w:szCs w:val="20"/>
                <w:color w:val="auto"/>
              </w:rPr>
            </w:pPr>
            <w:r>
              <w:rPr>
                <w:rFonts w:ascii="Arial" w:cs="Arial" w:eastAsia="Arial" w:hAnsi="Arial"/>
                <w:sz w:val="17"/>
                <w:szCs w:val="17"/>
                <w:color w:val="auto"/>
              </w:rPr>
              <w:t>or units divided by total compensation.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 w:type="dxa"/>
            <w:vAlign w:val="bottom"/>
            <w:gridSpan w:val="2"/>
          </w:tcPr>
          <w:p>
            <w:pPr>
              <w:spacing w:after="0"/>
              <w:rPr>
                <w:sz w:val="20"/>
                <w:szCs w:val="20"/>
                <w:color w:val="auto"/>
              </w:rPr>
            </w:pPr>
            <w:r>
              <w:rPr>
                <w:rFonts w:ascii="Arial" w:cs="Arial" w:eastAsia="Arial" w:hAnsi="Arial"/>
                <w:sz w:val="17"/>
                <w:szCs w:val="17"/>
                <w:color w:val="auto"/>
              </w:rPr>
              <w:t>Note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3</w:t>
            </w:r>
          </w:p>
        </w:tc>
        <w:tc>
          <w:tcPr>
            <w:tcW w:w="9540" w:type="dxa"/>
            <w:vAlign w:val="bottom"/>
            <w:gridSpan w:val="31"/>
          </w:tcPr>
          <w:p>
            <w:pPr>
              <w:ind w:left="20"/>
              <w:spacing w:after="0"/>
              <w:rPr>
                <w:sz w:val="20"/>
                <w:szCs w:val="20"/>
                <w:color w:val="auto"/>
              </w:rPr>
            </w:pPr>
            <w:r>
              <w:rPr>
                <w:rFonts w:ascii="Arial" w:cs="Arial" w:eastAsia="Arial" w:hAnsi="Arial"/>
                <w:sz w:val="17"/>
                <w:szCs w:val="17"/>
                <w:color w:val="auto"/>
                <w:w w:val="88"/>
              </w:rPr>
              <w:t>The percentage disclosed does not include the value of options expensed during the year or pension and superannuation benefits paid per the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40" w:type="dxa"/>
            <w:vAlign w:val="bottom"/>
            <w:gridSpan w:val="31"/>
          </w:tcPr>
          <w:p>
            <w:pPr>
              <w:ind w:left="20"/>
              <w:spacing w:after="0"/>
              <w:rPr>
                <w:sz w:val="20"/>
                <w:szCs w:val="20"/>
                <w:color w:val="auto"/>
              </w:rPr>
            </w:pPr>
            <w:r>
              <w:rPr>
                <w:rFonts w:ascii="Arial" w:cs="Arial" w:eastAsia="Arial" w:hAnsi="Arial"/>
                <w:sz w:val="17"/>
                <w:szCs w:val="17"/>
                <w:color w:val="auto"/>
                <w:w w:val="91"/>
              </w:rPr>
              <w:t>requirements of Corporations Act 2001. Thus, the sum of the percentages for compensation related to performance and compensation not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40" w:type="dxa"/>
            <w:vAlign w:val="bottom"/>
            <w:gridSpan w:val="31"/>
          </w:tcPr>
          <w:p>
            <w:pPr>
              <w:ind w:left="20"/>
              <w:spacing w:after="0"/>
              <w:rPr>
                <w:sz w:val="20"/>
                <w:szCs w:val="20"/>
                <w:color w:val="auto"/>
              </w:rPr>
            </w:pPr>
            <w:r>
              <w:rPr>
                <w:rFonts w:ascii="Arial" w:cs="Arial" w:eastAsia="Arial" w:hAnsi="Arial"/>
                <w:sz w:val="17"/>
                <w:szCs w:val="17"/>
                <w:color w:val="auto"/>
                <w:w w:val="94"/>
              </w:rPr>
              <w:t>related to performance disclosed for certain individuals may be less than 100%. Proportion of elements of remuneration not related to</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40" w:type="dxa"/>
            <w:vAlign w:val="bottom"/>
            <w:gridSpan w:val="31"/>
          </w:tcPr>
          <w:p>
            <w:pPr>
              <w:ind w:left="20"/>
              <w:spacing w:after="0"/>
              <w:rPr>
                <w:sz w:val="20"/>
                <w:szCs w:val="20"/>
                <w:color w:val="auto"/>
              </w:rPr>
            </w:pPr>
            <w:r>
              <w:rPr>
                <w:rFonts w:ascii="Arial" w:cs="Arial" w:eastAsia="Arial" w:hAnsi="Arial"/>
                <w:sz w:val="17"/>
                <w:szCs w:val="17"/>
                <w:color w:val="auto"/>
                <w:w w:val="92"/>
              </w:rPr>
              <w:t>performance is equal to the sum of salary, fees and leave, non-monetary benefits, pension and superannuation and other compensation,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40" w:type="dxa"/>
            <w:vAlign w:val="bottom"/>
            <w:gridSpan w:val="31"/>
          </w:tcPr>
          <w:p>
            <w:pPr>
              <w:ind w:left="20"/>
              <w:spacing w:after="0"/>
              <w:rPr>
                <w:sz w:val="20"/>
                <w:szCs w:val="20"/>
                <w:color w:val="auto"/>
              </w:rPr>
            </w:pPr>
            <w:r>
              <w:rPr>
                <w:rFonts w:ascii="Arial" w:cs="Arial" w:eastAsia="Arial" w:hAnsi="Arial"/>
                <w:sz w:val="17"/>
                <w:szCs w:val="17"/>
                <w:color w:val="auto"/>
                <w:w w:val="93"/>
              </w:rPr>
              <w:t>divided by total compensation. As an example, for Dr. Michael Perry, this calculation would be as follows: (A$662,022+A$73,271+A$0)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6"/>
          </w:tcPr>
          <w:p>
            <w:pPr>
              <w:ind w:left="20"/>
              <w:spacing w:after="0"/>
              <w:rPr>
                <w:sz w:val="20"/>
                <w:szCs w:val="20"/>
                <w:color w:val="auto"/>
              </w:rPr>
            </w:pPr>
            <w:r>
              <w:rPr>
                <w:rFonts w:ascii="Arial" w:cs="Arial" w:eastAsia="Arial" w:hAnsi="Arial"/>
                <w:sz w:val="17"/>
                <w:szCs w:val="17"/>
                <w:color w:val="auto"/>
                <w:w w:val="99"/>
              </w:rPr>
              <w:t>A$1,764,038 = 42%.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On the 30 November 2017, 50,000,000 Restrictive Stock Units, issued as part of an LTI, each equal to one ordinary share, were issued to Dr. Michael Perry based on the following milestones:</w:t>
      </w:r>
    </w:p>
    <w:p>
      <w:pPr>
        <w:spacing w:after="0" w:line="79" w:lineRule="exact"/>
        <w:rPr>
          <w:sz w:val="20"/>
          <w:szCs w:val="20"/>
          <w:color w:val="auto"/>
        </w:rPr>
      </w:pPr>
    </w:p>
    <w:p>
      <w:pPr>
        <w:ind w:left="920" w:hanging="513"/>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Tenure </w:t>
      </w:r>
      <w:r>
        <w:rPr>
          <w:rFonts w:ascii="Arial" w:cs="Arial" w:eastAsia="Arial" w:hAnsi="Arial"/>
          <w:sz w:val="17"/>
          <w:szCs w:val="17"/>
          <w:color w:val="auto"/>
        </w:rPr>
        <w:t>– a total of 16,666,666 LTIs issued but to vest over the three-year period commencing July 1,2017;</w:t>
      </w:r>
    </w:p>
    <w:p>
      <w:pPr>
        <w:spacing w:after="0" w:line="118" w:lineRule="exact"/>
        <w:rPr>
          <w:rFonts w:ascii="Arial" w:cs="Arial" w:eastAsia="Arial" w:hAnsi="Arial"/>
          <w:sz w:val="17"/>
          <w:szCs w:val="17"/>
          <w:color w:val="auto"/>
        </w:rPr>
      </w:pPr>
    </w:p>
    <w:p>
      <w:pPr>
        <w:ind w:left="920" w:right="60" w:hanging="513"/>
        <w:spacing w:after="0" w:line="257" w:lineRule="auto"/>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Company Share Price </w:t>
      </w:r>
      <w:r>
        <w:rPr>
          <w:rFonts w:ascii="Arial" w:cs="Arial" w:eastAsia="Arial" w:hAnsi="Arial"/>
          <w:sz w:val="17"/>
          <w:szCs w:val="17"/>
          <w:color w:val="auto"/>
        </w:rPr>
        <w:t>– a total of 16,666,666 LTIs issued but to vest in three equal tranches subject to the Volume Weighted Average Price</w:t>
      </w:r>
      <w:r>
        <w:rPr>
          <w:rFonts w:ascii="Arial" w:cs="Arial" w:eastAsia="Arial" w:hAnsi="Arial"/>
          <w:sz w:val="17"/>
          <w:szCs w:val="17"/>
          <w:i w:val="1"/>
          <w:iCs w:val="1"/>
          <w:color w:val="auto"/>
        </w:rPr>
        <w:t xml:space="preserve"> </w:t>
      </w:r>
      <w:r>
        <w:rPr>
          <w:rFonts w:ascii="Arial" w:cs="Arial" w:eastAsia="Arial" w:hAnsi="Arial"/>
          <w:sz w:val="17"/>
          <w:szCs w:val="17"/>
          <w:color w:val="auto"/>
        </w:rPr>
        <w:t>(VWAP) of Company share price (as at close of trade on the ASX on relevant date) achieving multiples of 2x, 3x and 4x the Company’s share price at the time of shareholder approval; and</w:t>
      </w:r>
    </w:p>
    <w:p>
      <w:pPr>
        <w:spacing w:after="0" w:line="88" w:lineRule="exact"/>
        <w:rPr>
          <w:rFonts w:ascii="Arial" w:cs="Arial" w:eastAsia="Arial" w:hAnsi="Arial"/>
          <w:sz w:val="17"/>
          <w:szCs w:val="17"/>
          <w:color w:val="auto"/>
        </w:rPr>
      </w:pPr>
    </w:p>
    <w:p>
      <w:pPr>
        <w:ind w:left="920" w:right="20" w:hanging="513"/>
        <w:spacing w:after="0" w:line="268" w:lineRule="auto"/>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Milestone performance </w:t>
      </w:r>
      <w:r>
        <w:rPr>
          <w:rFonts w:ascii="Arial" w:cs="Arial" w:eastAsia="Arial" w:hAnsi="Arial"/>
          <w:sz w:val="17"/>
          <w:szCs w:val="17"/>
          <w:color w:val="auto"/>
        </w:rPr>
        <w:t>– a total of 16,666,668 LTIs issued, but to vest in two equal tranches with one tranche to vest upon the achievement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following milestones:</w:t>
      </w:r>
    </w:p>
    <w:p>
      <w:pPr>
        <w:spacing w:after="0" w:line="78" w:lineRule="exact"/>
        <w:rPr>
          <w:rFonts w:ascii="Arial" w:cs="Arial" w:eastAsia="Arial" w:hAnsi="Arial"/>
          <w:sz w:val="17"/>
          <w:szCs w:val="17"/>
          <w:color w:val="auto"/>
        </w:rPr>
      </w:pPr>
    </w:p>
    <w:p>
      <w:pPr>
        <w:ind w:left="1320" w:hanging="397"/>
        <w:spacing w:after="0"/>
        <w:tabs>
          <w:tab w:leader="none" w:pos="13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FDA PMA approval of RECELL for burns</w:t>
      </w:r>
    </w:p>
    <w:p>
      <w:pPr>
        <w:spacing w:after="0" w:line="118" w:lineRule="exact"/>
        <w:rPr>
          <w:rFonts w:ascii="Arial" w:cs="Arial" w:eastAsia="Arial" w:hAnsi="Arial"/>
          <w:sz w:val="17"/>
          <w:szCs w:val="17"/>
          <w:color w:val="auto"/>
        </w:rPr>
      </w:pPr>
    </w:p>
    <w:p>
      <w:pPr>
        <w:ind w:left="1320" w:hanging="397"/>
        <w:spacing w:after="0"/>
        <w:tabs>
          <w:tab w:leader="none" w:pos="13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Initial BARDA procurement under CLIN2 of the BARDA Contract</w:t>
      </w:r>
    </w:p>
    <w:p>
      <w:pPr>
        <w:sectPr>
          <w:pgSz w:w="11900" w:h="16838" w:orient="portrait"/>
          <w:cols w:equalWidth="0" w:num="1">
            <w:col w:w="10260"/>
          </w:cols>
          <w:pgMar w:left="820" w:top="261" w:right="81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260"/>
          </w:cols>
          <w:pgMar w:left="820" w:top="261" w:right="8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3: Compensation of Key Management Personnel</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gridSpan w:val="4"/>
          </w:tcPr>
          <w:p>
            <w:pPr>
              <w:jc w:val="center"/>
              <w:ind w:left="498"/>
              <w:spacing w:after="0"/>
              <w:rPr>
                <w:sz w:val="20"/>
                <w:szCs w:val="20"/>
                <w:color w:val="auto"/>
              </w:rPr>
            </w:pPr>
            <w:r>
              <w:rPr>
                <w:rFonts w:ascii="Arial" w:cs="Arial" w:eastAsia="Arial" w:hAnsi="Arial"/>
                <w:sz w:val="13"/>
                <w:szCs w:val="13"/>
                <w:b w:val="1"/>
                <w:bCs w:val="1"/>
                <w:color w:val="auto"/>
                <w:w w:val="96"/>
              </w:rPr>
              <w:t>2019</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gridSpan w:val="3"/>
          </w:tcPr>
          <w:p>
            <w:pPr>
              <w:jc w:val="center"/>
              <w:ind w:left="185"/>
              <w:spacing w:after="0"/>
              <w:rPr>
                <w:sz w:val="20"/>
                <w:szCs w:val="20"/>
                <w:color w:val="auto"/>
              </w:rPr>
            </w:pPr>
            <w:r>
              <w:rPr>
                <w:rFonts w:ascii="Arial" w:cs="Arial" w:eastAsia="Arial" w:hAnsi="Arial"/>
                <w:sz w:val="13"/>
                <w:szCs w:val="13"/>
                <w:b w:val="1"/>
                <w:bCs w:val="1"/>
                <w:color w:val="auto"/>
                <w:w w:val="89"/>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00" w:type="dxa"/>
            <w:vAlign w:val="bottom"/>
            <w:tcBorders>
              <w:top w:val="single" w:sz="8" w:color="CCEEFF"/>
            </w:tcBorders>
            <w:gridSpan w:val="4"/>
            <w:shd w:val="clear" w:color="auto" w:fill="CCEEFF"/>
          </w:tcPr>
          <w:p>
            <w:pPr>
              <w:spacing w:after="0" w:line="194" w:lineRule="exact"/>
              <w:rPr>
                <w:sz w:val="20"/>
                <w:szCs w:val="20"/>
                <w:color w:val="auto"/>
              </w:rPr>
            </w:pPr>
            <w:r>
              <w:rPr>
                <w:rFonts w:ascii="Arial" w:cs="Arial" w:eastAsia="Arial" w:hAnsi="Arial"/>
                <w:sz w:val="17"/>
                <w:szCs w:val="17"/>
                <w:color w:val="auto"/>
                <w:w w:val="93"/>
              </w:rPr>
              <w:t>Short-term employee benefits</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gridSpan w:val="4"/>
            <w:shd w:val="clear" w:color="auto" w:fill="CCEEFF"/>
          </w:tcPr>
          <w:p>
            <w:pPr>
              <w:jc w:val="center"/>
              <w:spacing w:after="0" w:line="194" w:lineRule="exact"/>
              <w:rPr>
                <w:sz w:val="20"/>
                <w:szCs w:val="20"/>
                <w:color w:val="auto"/>
              </w:rPr>
            </w:pPr>
            <w:r>
              <w:rPr>
                <w:rFonts w:ascii="Arial" w:cs="Arial" w:eastAsia="Arial" w:hAnsi="Arial"/>
                <w:sz w:val="17"/>
                <w:szCs w:val="17"/>
                <w:color w:val="auto"/>
                <w:w w:val="91"/>
              </w:rPr>
              <w:t>A$4,396,280</w:t>
            </w: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gridSpan w:val="3"/>
            <w:shd w:val="clear" w:color="auto" w:fill="CCEEFF"/>
          </w:tcPr>
          <w:p>
            <w:pPr>
              <w:jc w:val="center"/>
              <w:ind w:right="1"/>
              <w:spacing w:after="0" w:line="194" w:lineRule="exact"/>
              <w:rPr>
                <w:sz w:val="20"/>
                <w:szCs w:val="20"/>
                <w:color w:val="auto"/>
              </w:rPr>
            </w:pPr>
            <w:r>
              <w:rPr>
                <w:rFonts w:ascii="Arial" w:cs="Arial" w:eastAsia="Arial" w:hAnsi="Arial"/>
                <w:sz w:val="17"/>
                <w:szCs w:val="17"/>
                <w:color w:val="auto"/>
                <w:w w:val="91"/>
              </w:rPr>
              <w:t>A$3,770,141</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0" w:type="dxa"/>
            <w:vAlign w:val="bottom"/>
            <w:gridSpan w:val="7"/>
          </w:tcPr>
          <w:p>
            <w:pPr>
              <w:spacing w:after="0"/>
              <w:rPr>
                <w:sz w:val="20"/>
                <w:szCs w:val="20"/>
                <w:color w:val="auto"/>
              </w:rPr>
            </w:pPr>
            <w:r>
              <w:rPr>
                <w:rFonts w:ascii="Arial" w:cs="Arial" w:eastAsia="Arial" w:hAnsi="Arial"/>
                <w:sz w:val="17"/>
                <w:szCs w:val="17"/>
                <w:color w:val="auto"/>
              </w:rPr>
              <w:t>Post-employment employee benefits</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6"/>
          </w:tcPr>
          <w:p>
            <w:pPr>
              <w:jc w:val="right"/>
              <w:spacing w:after="0"/>
              <w:rPr>
                <w:sz w:val="20"/>
                <w:szCs w:val="20"/>
                <w:color w:val="auto"/>
              </w:rPr>
            </w:pPr>
            <w:r>
              <w:rPr>
                <w:rFonts w:ascii="Arial" w:cs="Arial" w:eastAsia="Arial" w:hAnsi="Arial"/>
                <w:sz w:val="17"/>
                <w:szCs w:val="17"/>
                <w:color w:val="auto"/>
              </w:rPr>
              <w:t>445,871</w:t>
            </w:r>
          </w:p>
        </w:tc>
        <w:tc>
          <w:tcPr>
            <w:tcW w:w="400" w:type="dxa"/>
            <w:vAlign w:val="bottom"/>
          </w:tcPr>
          <w:p>
            <w:pPr>
              <w:spacing w:after="0"/>
              <w:rPr>
                <w:sz w:val="17"/>
                <w:szCs w:val="17"/>
                <w:color w:val="auto"/>
              </w:rPr>
            </w:pPr>
          </w:p>
        </w:tc>
        <w:tc>
          <w:tcPr>
            <w:tcW w:w="1080" w:type="dxa"/>
            <w:vAlign w:val="bottom"/>
            <w:gridSpan w:val="5"/>
          </w:tcPr>
          <w:p>
            <w:pPr>
              <w:jc w:val="right"/>
              <w:ind w:right="1"/>
              <w:spacing w:after="0"/>
              <w:rPr>
                <w:sz w:val="20"/>
                <w:szCs w:val="20"/>
                <w:color w:val="auto"/>
              </w:rPr>
            </w:pPr>
            <w:r>
              <w:rPr>
                <w:rFonts w:ascii="Arial" w:cs="Arial" w:eastAsia="Arial" w:hAnsi="Arial"/>
                <w:sz w:val="17"/>
                <w:szCs w:val="17"/>
                <w:color w:val="auto"/>
              </w:rPr>
              <w:t>90,512</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Share-based payment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2,062,580</w:t>
            </w:r>
          </w:p>
        </w:tc>
        <w:tc>
          <w:tcPr>
            <w:tcW w:w="4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5"/>
            <w:shd w:val="clear" w:color="auto" w:fill="CCEEFF"/>
          </w:tcPr>
          <w:p>
            <w:pPr>
              <w:jc w:val="right"/>
              <w:ind w:right="1"/>
              <w:spacing w:after="0"/>
              <w:rPr>
                <w:sz w:val="20"/>
                <w:szCs w:val="20"/>
                <w:color w:val="auto"/>
              </w:rPr>
            </w:pPr>
            <w:r>
              <w:rPr>
                <w:rFonts w:ascii="Arial" w:cs="Arial" w:eastAsia="Arial" w:hAnsi="Arial"/>
                <w:sz w:val="17"/>
                <w:szCs w:val="17"/>
                <w:color w:val="auto"/>
              </w:rPr>
              <w:t>1,596,368</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gridSpan w:val="5"/>
          </w:tcPr>
          <w:p>
            <w:pPr>
              <w:ind w:left="440"/>
              <w:spacing w:after="0"/>
              <w:rPr>
                <w:sz w:val="20"/>
                <w:szCs w:val="20"/>
                <w:color w:val="auto"/>
              </w:rPr>
            </w:pPr>
            <w:r>
              <w:rPr>
                <w:rFonts w:ascii="Arial" w:cs="Arial" w:eastAsia="Arial" w:hAnsi="Arial"/>
                <w:sz w:val="17"/>
                <w:szCs w:val="17"/>
                <w:b w:val="1"/>
                <w:bCs w:val="1"/>
                <w:color w:val="auto"/>
              </w:rPr>
              <w:t>Total compensation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7"/>
                <w:szCs w:val="17"/>
                <w:b w:val="1"/>
                <w:bCs w:val="1"/>
                <w:u w:val="single" w:color="auto"/>
                <w:color w:val="auto"/>
                <w:w w:val="90"/>
              </w:rPr>
              <w:t>A$</w:t>
            </w:r>
            <w:r>
              <w:rPr>
                <w:rFonts w:ascii="Arial" w:cs="Arial" w:eastAsia="Arial" w:hAnsi="Arial"/>
                <w:sz w:val="17"/>
                <w:szCs w:val="17"/>
                <w:b w:val="1"/>
                <w:bCs w:val="1"/>
                <w:color w:val="auto"/>
                <w:w w:val="90"/>
              </w:rPr>
              <w:t>6,904,731</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Borders>
              <w:top w:val="single" w:sz="8" w:color="auto"/>
              <w:bottom w:val="single" w:sz="8" w:color="auto"/>
            </w:tcBorders>
            <w:gridSpan w:val="3"/>
          </w:tcPr>
          <w:p>
            <w:pPr>
              <w:jc w:val="center"/>
              <w:ind w:right="1"/>
              <w:spacing w:after="0"/>
              <w:rPr>
                <w:sz w:val="20"/>
                <w:szCs w:val="20"/>
                <w:color w:val="auto"/>
              </w:rPr>
            </w:pPr>
            <w:r>
              <w:rPr>
                <w:rFonts w:ascii="Arial" w:cs="Arial" w:eastAsia="Arial" w:hAnsi="Arial"/>
                <w:sz w:val="17"/>
                <w:szCs w:val="17"/>
                <w:b w:val="1"/>
                <w:bCs w:val="1"/>
                <w:u w:val="single" w:color="auto"/>
                <w:color w:val="auto"/>
                <w:w w:val="90"/>
              </w:rPr>
              <w:t>A$</w:t>
            </w:r>
            <w:r>
              <w:rPr>
                <w:rFonts w:ascii="Arial" w:cs="Arial" w:eastAsia="Arial" w:hAnsi="Arial"/>
                <w:sz w:val="17"/>
                <w:szCs w:val="17"/>
                <w:b w:val="1"/>
                <w:bCs w:val="1"/>
                <w:color w:val="auto"/>
                <w:w w:val="90"/>
              </w:rPr>
              <w:t>5,457,021</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gridSpan w:val="12"/>
            <w:vMerge w:val="restart"/>
          </w:tcPr>
          <w:p>
            <w:pPr>
              <w:spacing w:after="0"/>
              <w:rPr>
                <w:sz w:val="20"/>
                <w:szCs w:val="20"/>
                <w:color w:val="auto"/>
              </w:rPr>
            </w:pPr>
            <w:r>
              <w:rPr>
                <w:rFonts w:ascii="Arial" w:cs="Arial" w:eastAsia="Arial" w:hAnsi="Arial"/>
                <w:sz w:val="17"/>
                <w:szCs w:val="17"/>
                <w:b w:val="1"/>
                <w:bCs w:val="1"/>
                <w:color w:val="auto"/>
                <w:w w:val="89"/>
              </w:rPr>
              <w:t>Table 4: Option holdings of Key Management Personnel</w:t>
            </w: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040" w:type="dxa"/>
            <w:vAlign w:val="bottom"/>
            <w:gridSpan w:val="12"/>
            <w:vMerge w:val="continue"/>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Balance at</w:t>
            </w:r>
          </w:p>
        </w:tc>
        <w:tc>
          <w:tcPr>
            <w:tcW w:w="1060" w:type="dxa"/>
            <w:vAlign w:val="bottom"/>
          </w:tcPr>
          <w:p>
            <w:pPr>
              <w:spacing w:after="0"/>
              <w:rPr>
                <w:sz w:val="24"/>
                <w:szCs w:val="2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8"/>
              </w:rPr>
              <w:t>Grant Details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vMerge w:val="restart"/>
          </w:tcPr>
          <w:p>
            <w:pPr>
              <w:jc w:val="right"/>
              <w:ind w:right="101"/>
              <w:spacing w:after="0"/>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24"/>
                <w:szCs w:val="24"/>
                <w:color w:val="auto"/>
              </w:rPr>
            </w:pPr>
          </w:p>
        </w:tc>
        <w:tc>
          <w:tcPr>
            <w:tcW w:w="1140" w:type="dxa"/>
            <w:vAlign w:val="bottom"/>
            <w:gridSpan w:val="4"/>
            <w:vMerge w:val="restart"/>
          </w:tcPr>
          <w:p>
            <w:pPr>
              <w:ind w:left="300"/>
              <w:spacing w:after="0"/>
              <w:rPr>
                <w:sz w:val="20"/>
                <w:szCs w:val="20"/>
                <w:color w:val="auto"/>
              </w:rPr>
            </w:pPr>
            <w:r>
              <w:rPr>
                <w:rFonts w:ascii="Arial" w:cs="Arial" w:eastAsia="Arial" w:hAnsi="Arial"/>
                <w:sz w:val="13"/>
                <w:szCs w:val="13"/>
                <w:b w:val="1"/>
                <w:bCs w:val="1"/>
                <w:color w:val="auto"/>
              </w:rPr>
              <w:t>Exercised</w:t>
            </w:r>
          </w:p>
        </w:tc>
        <w:tc>
          <w:tcPr>
            <w:tcW w:w="6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87"/>
              </w:rPr>
              <w:t>Cancelled</w:t>
            </w:r>
          </w:p>
        </w:tc>
        <w:tc>
          <w:tcPr>
            <w:tcW w:w="5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87"/>
              </w:rPr>
              <w:t>Lapsed</w:t>
            </w:r>
          </w:p>
        </w:tc>
        <w:tc>
          <w:tcPr>
            <w:tcW w:w="80" w:type="dxa"/>
            <w:vAlign w:val="bottom"/>
          </w:tcPr>
          <w:p>
            <w:pPr>
              <w:spacing w:after="0"/>
              <w:rPr>
                <w:sz w:val="24"/>
                <w:szCs w:val="24"/>
                <w:color w:val="auto"/>
              </w:rPr>
            </w:pPr>
          </w:p>
        </w:tc>
        <w:tc>
          <w:tcPr>
            <w:tcW w:w="80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2"/>
              </w:rPr>
              <w:t>Balance at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4"/>
            <w:vMerge w:val="restart"/>
          </w:tcPr>
          <w:p>
            <w:pPr>
              <w:ind w:left="300"/>
              <w:spacing w:after="0"/>
              <w:rPr>
                <w:sz w:val="20"/>
                <w:szCs w:val="20"/>
                <w:color w:val="auto"/>
              </w:rPr>
            </w:pPr>
            <w:r>
              <w:rPr>
                <w:rFonts w:ascii="Arial" w:cs="Arial" w:eastAsia="Arial" w:hAnsi="Arial"/>
                <w:sz w:val="13"/>
                <w:szCs w:val="13"/>
                <w:b w:val="1"/>
                <w:bCs w:val="1"/>
                <w:color w:val="auto"/>
              </w:rPr>
              <w:t>Vested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Total at</w:t>
            </w: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Unvested</w:t>
            </w:r>
          </w:p>
        </w:tc>
        <w:tc>
          <w:tcPr>
            <w:tcW w:w="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Unv</w:t>
            </w:r>
          </w:p>
        </w:tc>
        <w:tc>
          <w:tcPr>
            <w:tcW w:w="0" w:type="dxa"/>
            <w:vAlign w:val="bottom"/>
          </w:tcPr>
          <w:p>
            <w:pPr>
              <w:spacing w:after="0"/>
              <w:rPr>
                <w:sz w:val="1"/>
                <w:szCs w:val="1"/>
                <w:color w:val="auto"/>
              </w:rPr>
            </w:pPr>
          </w:p>
        </w:tc>
      </w:tr>
      <w:tr>
        <w:trPr>
          <w:trHeight w:val="138"/>
        </w:trPr>
        <w:tc>
          <w:tcPr>
            <w:tcW w:w="7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1"/>
              </w:rPr>
              <w:t>30 June 2018</w:t>
            </w:r>
          </w:p>
        </w:tc>
        <w:tc>
          <w:tcPr>
            <w:tcW w:w="68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2"/>
              </w:rPr>
              <w:t>1 July 2018</w:t>
            </w: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Issued Date</w:t>
            </w: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Balance at</w:t>
            </w:r>
          </w:p>
        </w:tc>
        <w:tc>
          <w:tcPr>
            <w:tcW w:w="80" w:type="dxa"/>
            <w:vAlign w:val="bottom"/>
          </w:tcPr>
          <w:p>
            <w:pPr>
              <w:spacing w:after="0"/>
              <w:rPr>
                <w:sz w:val="12"/>
                <w:szCs w:val="12"/>
                <w:color w:val="auto"/>
              </w:rPr>
            </w:pPr>
          </w:p>
        </w:tc>
        <w:tc>
          <w:tcPr>
            <w:tcW w:w="3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Tot</w:t>
            </w:r>
          </w:p>
        </w:tc>
        <w:tc>
          <w:tcPr>
            <w:tcW w:w="0" w:type="dxa"/>
            <w:vAlign w:val="bottom"/>
          </w:tcPr>
          <w:p>
            <w:pPr>
              <w:spacing w:after="0"/>
              <w:rPr>
                <w:sz w:val="1"/>
                <w:szCs w:val="1"/>
                <w:color w:val="auto"/>
              </w:rPr>
            </w:pPr>
          </w:p>
        </w:tc>
      </w:tr>
      <w:tr>
        <w:trPr>
          <w:trHeight w:val="159"/>
        </w:trPr>
        <w:tc>
          <w:tcPr>
            <w:tcW w:w="7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No.</w:t>
            </w:r>
          </w:p>
        </w:tc>
        <w:tc>
          <w:tcPr>
            <w:tcW w:w="10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ind w:right="240"/>
              <w:spacing w:after="0"/>
              <w:rPr>
                <w:sz w:val="20"/>
                <w:szCs w:val="20"/>
                <w:color w:val="auto"/>
              </w:rPr>
            </w:pPr>
            <w:r>
              <w:rPr>
                <w:rFonts w:ascii="Arial" w:cs="Arial" w:eastAsia="Arial" w:hAnsi="Arial"/>
                <w:sz w:val="13"/>
                <w:szCs w:val="13"/>
                <w:b w:val="1"/>
                <w:bCs w:val="1"/>
                <w:color w:val="auto"/>
              </w:rPr>
              <w:t>No.</w:t>
            </w:r>
          </w:p>
        </w:tc>
        <w:tc>
          <w:tcPr>
            <w:tcW w:w="80" w:type="dxa"/>
            <w:vAlign w:val="bottom"/>
          </w:tcPr>
          <w:p>
            <w:pPr>
              <w:spacing w:after="0"/>
              <w:rPr>
                <w:sz w:val="13"/>
                <w:szCs w:val="13"/>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3"/>
                <w:szCs w:val="13"/>
                <w:b w:val="1"/>
                <w:bCs w:val="1"/>
                <w:color w:val="auto"/>
              </w:rPr>
              <w:t>(Note1)</w:t>
            </w:r>
          </w:p>
        </w:tc>
        <w:tc>
          <w:tcPr>
            <w:tcW w:w="60" w:type="dxa"/>
            <w:vAlign w:val="bottom"/>
          </w:tcPr>
          <w:p>
            <w:pPr>
              <w:spacing w:after="0"/>
              <w:rPr>
                <w:sz w:val="13"/>
                <w:szCs w:val="13"/>
                <w:color w:val="auto"/>
              </w:rPr>
            </w:pPr>
          </w:p>
        </w:tc>
        <w:tc>
          <w:tcPr>
            <w:tcW w:w="520" w:type="dxa"/>
            <w:vAlign w:val="bottom"/>
          </w:tcPr>
          <w:p>
            <w:pPr>
              <w:ind w:left="160"/>
              <w:spacing w:after="0"/>
              <w:rPr>
                <w:sz w:val="20"/>
                <w:szCs w:val="20"/>
                <w:color w:val="auto"/>
              </w:rPr>
            </w:pPr>
            <w:r>
              <w:rPr>
                <w:rFonts w:ascii="Arial" w:cs="Arial" w:eastAsia="Arial" w:hAnsi="Arial"/>
                <w:sz w:val="13"/>
                <w:szCs w:val="13"/>
                <w:b w:val="1"/>
                <w:bCs w:val="1"/>
                <w:color w:val="auto"/>
              </w:rPr>
              <w:t>No.</w:t>
            </w: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Value</w:t>
            </w:r>
          </w:p>
        </w:tc>
        <w:tc>
          <w:tcPr>
            <w:tcW w:w="8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3"/>
                <w:szCs w:val="13"/>
                <w:b w:val="1"/>
                <w:bCs w:val="1"/>
                <w:color w:val="auto"/>
              </w:rPr>
              <w:t>No.</w:t>
            </w:r>
          </w:p>
        </w:tc>
        <w:tc>
          <w:tcPr>
            <w:tcW w:w="8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Arial" w:cs="Arial" w:eastAsia="Arial" w:hAnsi="Arial"/>
                <w:sz w:val="13"/>
                <w:szCs w:val="13"/>
                <w:b w:val="1"/>
                <w:bCs w:val="1"/>
                <w:color w:val="auto"/>
              </w:rPr>
              <w:t>No.</w:t>
            </w:r>
          </w:p>
        </w:tc>
        <w:tc>
          <w:tcPr>
            <w:tcW w:w="8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1"/>
              </w:rPr>
              <w:t>30 June 2019</w:t>
            </w:r>
          </w:p>
        </w:tc>
        <w:tc>
          <w:tcPr>
            <w:tcW w:w="700" w:type="dxa"/>
            <w:vAlign w:val="bottom"/>
            <w:gridSpan w:val="3"/>
          </w:tcPr>
          <w:p>
            <w:pPr>
              <w:jc w:val="right"/>
              <w:spacing w:after="0"/>
              <w:rPr>
                <w:sz w:val="20"/>
                <w:szCs w:val="20"/>
                <w:color w:val="auto"/>
              </w:rPr>
            </w:pPr>
            <w:r>
              <w:rPr>
                <w:rFonts w:ascii="Arial" w:cs="Arial" w:eastAsia="Arial" w:hAnsi="Arial"/>
                <w:sz w:val="13"/>
                <w:szCs w:val="13"/>
                <w:b w:val="1"/>
                <w:bCs w:val="1"/>
                <w:color w:val="auto"/>
                <w:w w:val="91"/>
              </w:rPr>
              <w:t>Exercisable</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w w:val="90"/>
              </w:rPr>
              <w:t>Unexercisable</w:t>
            </w:r>
          </w:p>
        </w:tc>
        <w:tc>
          <w:tcPr>
            <w:tcW w:w="880" w:type="dxa"/>
            <w:vAlign w:val="bottom"/>
            <w:gridSpan w:val="4"/>
          </w:tcPr>
          <w:p>
            <w:pPr>
              <w:ind w:left="80"/>
              <w:spacing w:after="0"/>
              <w:rPr>
                <w:sz w:val="20"/>
                <w:szCs w:val="20"/>
                <w:color w:val="auto"/>
              </w:rPr>
            </w:pPr>
            <w:r>
              <w:rPr>
                <w:rFonts w:ascii="Arial" w:cs="Arial" w:eastAsia="Arial" w:hAnsi="Arial"/>
                <w:sz w:val="13"/>
                <w:szCs w:val="13"/>
                <w:b w:val="1"/>
                <w:bCs w:val="1"/>
                <w:color w:val="auto"/>
                <w:w w:val="96"/>
              </w:rPr>
              <w:t>30 June 2019</w:t>
            </w: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30 June 2019</w:t>
            </w:r>
          </w:p>
        </w:tc>
        <w:tc>
          <w:tcPr>
            <w:tcW w:w="440" w:type="dxa"/>
            <w:vAlign w:val="bottom"/>
            <w:gridSpan w:val="2"/>
          </w:tcPr>
          <w:p>
            <w:pPr>
              <w:jc w:val="right"/>
              <w:spacing w:after="0"/>
              <w:rPr>
                <w:sz w:val="20"/>
                <w:szCs w:val="20"/>
                <w:color w:val="auto"/>
              </w:rPr>
            </w:pPr>
            <w:r>
              <w:rPr>
                <w:rFonts w:ascii="Arial" w:cs="Arial" w:eastAsia="Arial" w:hAnsi="Arial"/>
                <w:sz w:val="13"/>
                <w:szCs w:val="13"/>
                <w:b w:val="1"/>
                <w:bCs w:val="1"/>
                <w:color w:val="auto"/>
              </w:rPr>
              <w:t>30 Jun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M Perry</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left="21"/>
              <w:spacing w:after="0" w:line="126" w:lineRule="exact"/>
              <w:rPr>
                <w:sz w:val="20"/>
                <w:szCs w:val="20"/>
                <w:color w:val="auto"/>
              </w:rPr>
            </w:pPr>
            <w:r>
              <w:rPr>
                <w:rFonts w:ascii="Arial" w:cs="Arial" w:eastAsia="Arial" w:hAnsi="Arial"/>
                <w:sz w:val="12"/>
                <w:szCs w:val="12"/>
                <w:color w:val="auto"/>
                <w:w w:val="88"/>
              </w:rPr>
              <w:t>30 November 2018</w:t>
            </w:r>
          </w:p>
        </w:tc>
        <w:tc>
          <w:tcPr>
            <w:tcW w:w="82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15,000,000</w:t>
            </w:r>
          </w:p>
        </w:tc>
        <w:tc>
          <w:tcPr>
            <w:tcW w:w="22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A$</w:t>
            </w:r>
          </w:p>
        </w:tc>
        <w:tc>
          <w:tcPr>
            <w:tcW w:w="4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812,500</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80"/>
              <w:spacing w:after="0" w:line="126" w:lineRule="exact"/>
              <w:rPr>
                <w:sz w:val="20"/>
                <w:szCs w:val="20"/>
                <w:color w:val="auto"/>
              </w:rPr>
            </w:pPr>
            <w:r>
              <w:rPr>
                <w:rFonts w:ascii="Arial" w:cs="Arial" w:eastAsia="Arial" w:hAnsi="Arial"/>
                <w:sz w:val="12"/>
                <w:szCs w:val="12"/>
                <w:color w:val="auto"/>
                <w:w w:val="81"/>
              </w:rPr>
              <w:t>A$</w:t>
            </w:r>
          </w:p>
        </w:tc>
        <w:tc>
          <w:tcPr>
            <w:tcW w:w="400" w:type="dxa"/>
            <w:vAlign w:val="bottom"/>
            <w:shd w:val="clear" w:color="auto" w:fill="CCEEFF"/>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15,000,000</w:t>
            </w:r>
          </w:p>
        </w:tc>
        <w:tc>
          <w:tcPr>
            <w:tcW w:w="4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10,833,333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560"/>
              <w:spacing w:after="0" w:line="126"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10,833,333</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4,166,667</w:t>
            </w:r>
          </w:p>
        </w:tc>
        <w:tc>
          <w:tcPr>
            <w:tcW w:w="4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1"/>
        </w:trPr>
        <w:tc>
          <w:tcPr>
            <w:tcW w:w="680" w:type="dxa"/>
            <w:vAlign w:val="bottom"/>
            <w:gridSpan w:val="2"/>
          </w:tcPr>
          <w:p>
            <w:pPr>
              <w:spacing w:after="0" w:line="131" w:lineRule="exact"/>
              <w:rPr>
                <w:sz w:val="20"/>
                <w:szCs w:val="20"/>
                <w:color w:val="auto"/>
              </w:rPr>
            </w:pPr>
            <w:r>
              <w:rPr>
                <w:rFonts w:ascii="Arial" w:cs="Arial" w:eastAsia="Arial" w:hAnsi="Arial"/>
                <w:sz w:val="12"/>
                <w:szCs w:val="12"/>
                <w:color w:val="auto"/>
              </w:rPr>
              <w:t>T Rooney</w:t>
            </w:r>
          </w:p>
        </w:tc>
        <w:tc>
          <w:tcPr>
            <w:tcW w:w="100" w:type="dxa"/>
            <w:vAlign w:val="bottom"/>
          </w:tcPr>
          <w:p>
            <w:pPr>
              <w:spacing w:after="0"/>
              <w:rPr>
                <w:sz w:val="11"/>
                <w:szCs w:val="11"/>
                <w:color w:val="auto"/>
              </w:rPr>
            </w:pPr>
          </w:p>
        </w:tc>
        <w:tc>
          <w:tcPr>
            <w:tcW w:w="680" w:type="dxa"/>
            <w:vAlign w:val="bottom"/>
            <w:gridSpan w:val="3"/>
          </w:tcPr>
          <w:p>
            <w:pPr>
              <w:jc w:val="right"/>
              <w:spacing w:after="0" w:line="131" w:lineRule="exact"/>
              <w:rPr>
                <w:sz w:val="20"/>
                <w:szCs w:val="20"/>
                <w:color w:val="auto"/>
              </w:rPr>
            </w:pPr>
            <w:r>
              <w:rPr>
                <w:rFonts w:ascii="Arial" w:cs="Arial" w:eastAsia="Arial" w:hAnsi="Arial"/>
                <w:sz w:val="12"/>
                <w:szCs w:val="12"/>
                <w:color w:val="auto"/>
              </w:rPr>
              <w:t>7,800,000</w:t>
            </w:r>
          </w:p>
        </w:tc>
        <w:tc>
          <w:tcPr>
            <w:tcW w:w="1060" w:type="dxa"/>
            <w:vAlign w:val="bottom"/>
          </w:tcPr>
          <w:p>
            <w:pPr>
              <w:jc w:val="center"/>
              <w:ind w:left="1"/>
              <w:spacing w:after="0" w:line="131"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21"/>
              <w:spacing w:after="0" w:line="131"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spacing w:after="0" w:line="131" w:lineRule="exact"/>
              <w:rPr>
                <w:sz w:val="20"/>
                <w:szCs w:val="20"/>
                <w:color w:val="auto"/>
              </w:rPr>
            </w:pPr>
            <w:r>
              <w:rPr>
                <w:rFonts w:ascii="Arial" w:cs="Arial" w:eastAsia="Arial" w:hAnsi="Arial"/>
                <w:sz w:val="12"/>
                <w:szCs w:val="12"/>
                <w:color w:val="auto"/>
              </w:rPr>
              <w:t>1,750,000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right"/>
              <w:spacing w:after="0" w:line="131" w:lineRule="exact"/>
              <w:rPr>
                <w:sz w:val="20"/>
                <w:szCs w:val="20"/>
                <w:color w:val="auto"/>
              </w:rPr>
            </w:pPr>
            <w:r>
              <w:rPr>
                <w:rFonts w:ascii="Arial" w:cs="Arial" w:eastAsia="Arial" w:hAnsi="Arial"/>
                <w:sz w:val="12"/>
                <w:szCs w:val="12"/>
                <w:color w:val="auto"/>
                <w:w w:val="87"/>
              </w:rPr>
              <w:t>131,950</w:t>
            </w:r>
          </w:p>
        </w:tc>
        <w:tc>
          <w:tcPr>
            <w:tcW w:w="80" w:type="dxa"/>
            <w:vAlign w:val="bottom"/>
          </w:tcPr>
          <w:p>
            <w:pPr>
              <w:spacing w:after="0"/>
              <w:rPr>
                <w:sz w:val="11"/>
                <w:szCs w:val="11"/>
                <w:color w:val="auto"/>
              </w:rPr>
            </w:pPr>
          </w:p>
        </w:tc>
        <w:tc>
          <w:tcPr>
            <w:tcW w:w="560" w:type="dxa"/>
            <w:vAlign w:val="bottom"/>
          </w:tcPr>
          <w:p>
            <w:pPr>
              <w:ind w:left="380"/>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20" w:type="dxa"/>
            <w:vAlign w:val="bottom"/>
          </w:tcPr>
          <w:p>
            <w:pPr>
              <w:ind w:left="240"/>
              <w:spacing w:after="0" w:line="131"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spacing w:after="0" w:line="131" w:lineRule="exact"/>
              <w:rPr>
                <w:sz w:val="20"/>
                <w:szCs w:val="20"/>
                <w:color w:val="auto"/>
              </w:rPr>
            </w:pPr>
            <w:r>
              <w:rPr>
                <w:rFonts w:ascii="Arial" w:cs="Arial" w:eastAsia="Arial" w:hAnsi="Arial"/>
                <w:sz w:val="12"/>
                <w:szCs w:val="12"/>
                <w:color w:val="auto"/>
              </w:rPr>
              <w:t>6,050,000</w:t>
            </w:r>
          </w:p>
        </w:tc>
        <w:tc>
          <w:tcPr>
            <w:tcW w:w="40" w:type="dxa"/>
            <w:vAlign w:val="bottom"/>
          </w:tcPr>
          <w:p>
            <w:pPr>
              <w:spacing w:after="0"/>
              <w:rPr>
                <w:sz w:val="11"/>
                <w:szCs w:val="11"/>
                <w:color w:val="auto"/>
              </w:rPr>
            </w:pPr>
          </w:p>
        </w:tc>
        <w:tc>
          <w:tcPr>
            <w:tcW w:w="700" w:type="dxa"/>
            <w:vAlign w:val="bottom"/>
            <w:gridSpan w:val="3"/>
          </w:tcPr>
          <w:p>
            <w:pPr>
              <w:jc w:val="right"/>
              <w:spacing w:after="0" w:line="131" w:lineRule="exact"/>
              <w:rPr>
                <w:sz w:val="20"/>
                <w:szCs w:val="20"/>
                <w:color w:val="auto"/>
              </w:rPr>
            </w:pPr>
            <w:r>
              <w:rPr>
                <w:rFonts w:ascii="Arial" w:cs="Arial" w:eastAsia="Arial" w:hAnsi="Arial"/>
                <w:sz w:val="12"/>
                <w:szCs w:val="12"/>
                <w:color w:val="auto"/>
              </w:rPr>
              <w:t>4,330,000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560"/>
              <w:spacing w:after="0" w:line="131"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31" w:lineRule="exact"/>
              <w:rPr>
                <w:sz w:val="20"/>
                <w:szCs w:val="20"/>
                <w:color w:val="auto"/>
              </w:rPr>
            </w:pPr>
            <w:r>
              <w:rPr>
                <w:rFonts w:ascii="Arial" w:cs="Arial" w:eastAsia="Arial" w:hAnsi="Arial"/>
                <w:sz w:val="12"/>
                <w:szCs w:val="12"/>
                <w:color w:val="auto"/>
              </w:rPr>
              <w:t>4,330,000</w:t>
            </w:r>
          </w:p>
        </w:tc>
        <w:tc>
          <w:tcPr>
            <w:tcW w:w="60" w:type="dxa"/>
            <w:vAlign w:val="bottom"/>
          </w:tcPr>
          <w:p>
            <w:pPr>
              <w:spacing w:after="0"/>
              <w:rPr>
                <w:sz w:val="11"/>
                <w:szCs w:val="11"/>
                <w:color w:val="auto"/>
              </w:rPr>
            </w:pPr>
          </w:p>
        </w:tc>
        <w:tc>
          <w:tcPr>
            <w:tcW w:w="780" w:type="dxa"/>
            <w:vAlign w:val="bottom"/>
            <w:gridSpan w:val="2"/>
          </w:tcPr>
          <w:p>
            <w:pPr>
              <w:jc w:val="right"/>
              <w:spacing w:after="0" w:line="131" w:lineRule="exact"/>
              <w:rPr>
                <w:sz w:val="20"/>
                <w:szCs w:val="20"/>
                <w:color w:val="auto"/>
              </w:rPr>
            </w:pPr>
            <w:r>
              <w:rPr>
                <w:rFonts w:ascii="Arial" w:cs="Arial" w:eastAsia="Arial" w:hAnsi="Arial"/>
                <w:sz w:val="12"/>
                <w:szCs w:val="12"/>
                <w:color w:val="auto"/>
              </w:rPr>
              <w:t>1,720,000</w:t>
            </w: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jc w:val="center"/>
              <w:ind w:left="1"/>
              <w:spacing w:after="0" w:line="126" w:lineRule="exact"/>
              <w:rPr>
                <w:sz w:val="20"/>
                <w:szCs w:val="20"/>
                <w:color w:val="auto"/>
              </w:rPr>
            </w:pPr>
            <w:r>
              <w:rPr>
                <w:rFonts w:ascii="Arial" w:cs="Arial" w:eastAsia="Arial" w:hAnsi="Arial"/>
                <w:sz w:val="12"/>
                <w:szCs w:val="12"/>
                <w:color w:val="auto"/>
                <w:w w:val="88"/>
              </w:rPr>
              <w:t>1 November 2018</w:t>
            </w:r>
          </w:p>
        </w:tc>
        <w:tc>
          <w:tcPr>
            <w:tcW w:w="82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32,839</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500,000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1"/>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56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ind w:left="440"/>
              <w:spacing w:after="0" w:line="126"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left="21"/>
              <w:spacing w:after="0" w:line="126" w:lineRule="exact"/>
              <w:rPr>
                <w:sz w:val="20"/>
                <w:szCs w:val="20"/>
                <w:color w:val="auto"/>
              </w:rPr>
            </w:pPr>
            <w:r>
              <w:rPr>
                <w:rFonts w:ascii="Arial" w:cs="Arial" w:eastAsia="Arial" w:hAnsi="Arial"/>
                <w:sz w:val="12"/>
                <w:szCs w:val="12"/>
                <w:color w:val="auto"/>
                <w:w w:val="88"/>
              </w:rPr>
              <w:t>30 November 2018</w:t>
            </w:r>
          </w:p>
        </w:tc>
        <w:tc>
          <w:tcPr>
            <w:tcW w:w="82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3,420,000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Arial" w:cs="Arial" w:eastAsia="Arial" w:hAnsi="Arial"/>
                <w:sz w:val="12"/>
                <w:szCs w:val="12"/>
                <w:color w:val="auto"/>
              </w:rPr>
              <w:t>196,822</w:t>
            </w:r>
          </w:p>
        </w:tc>
        <w:tc>
          <w:tcPr>
            <w:tcW w:w="60" w:type="dxa"/>
            <w:vAlign w:val="bottom"/>
          </w:tcPr>
          <w:p>
            <w:pPr>
              <w:spacing w:after="0"/>
              <w:rPr>
                <w:sz w:val="10"/>
                <w:szCs w:val="10"/>
                <w:color w:val="auto"/>
              </w:rPr>
            </w:pPr>
          </w:p>
        </w:tc>
        <w:tc>
          <w:tcPr>
            <w:tcW w:w="520" w:type="dxa"/>
            <w:vAlign w:val="bottom"/>
          </w:tcPr>
          <w:p>
            <w:pPr>
              <w:ind w:left="3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60" w:type="dxa"/>
            <w:vAlign w:val="bottom"/>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20" w:type="dxa"/>
            <w:vAlign w:val="bottom"/>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3,420,000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jc w:val="right"/>
              <w:ind w:right="1"/>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56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ind w:left="440"/>
              <w:spacing w:after="0" w:line="126"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3,420,000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jc w:val="center"/>
              <w:ind w:left="21"/>
              <w:spacing w:after="0" w:line="126" w:lineRule="exact"/>
              <w:rPr>
                <w:sz w:val="20"/>
                <w:szCs w:val="20"/>
                <w:color w:val="auto"/>
              </w:rPr>
            </w:pPr>
            <w:r>
              <w:rPr>
                <w:rFonts w:ascii="Arial" w:cs="Arial" w:eastAsia="Arial" w:hAnsi="Arial"/>
                <w:sz w:val="12"/>
                <w:szCs w:val="12"/>
                <w:color w:val="auto"/>
                <w:w w:val="88"/>
              </w:rPr>
              <w:t>30 November 2018</w:t>
            </w:r>
          </w:p>
        </w:tc>
        <w:tc>
          <w:tcPr>
            <w:tcW w:w="82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360,000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84,816</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360,000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1"/>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56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ind w:left="440"/>
              <w:spacing w:after="0" w:line="126"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360,000</w:t>
            </w:r>
          </w:p>
        </w:tc>
        <w:tc>
          <w:tcPr>
            <w:tcW w:w="4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Pr>
          <w:p>
            <w:pPr>
              <w:spacing w:after="0" w:line="106" w:lineRule="exact"/>
              <w:rPr>
                <w:sz w:val="20"/>
                <w:szCs w:val="20"/>
                <w:color w:val="auto"/>
              </w:rPr>
            </w:pPr>
            <w:r>
              <w:rPr>
                <w:rFonts w:ascii="Arial" w:cs="Arial" w:eastAsia="Arial" w:hAnsi="Arial"/>
                <w:sz w:val="12"/>
                <w:szCs w:val="12"/>
                <w:color w:val="auto"/>
              </w:rPr>
              <w:t>A Quick</w:t>
            </w:r>
          </w:p>
        </w:tc>
        <w:tc>
          <w:tcPr>
            <w:tcW w:w="100" w:type="dxa"/>
            <w:vAlign w:val="bottom"/>
          </w:tcPr>
          <w:p>
            <w:pPr>
              <w:spacing w:after="0"/>
              <w:rPr>
                <w:sz w:val="9"/>
                <w:szCs w:val="9"/>
                <w:color w:val="auto"/>
              </w:rPr>
            </w:pPr>
          </w:p>
        </w:tc>
        <w:tc>
          <w:tcPr>
            <w:tcW w:w="680" w:type="dxa"/>
            <w:vAlign w:val="bottom"/>
            <w:gridSpan w:val="3"/>
          </w:tcPr>
          <w:p>
            <w:pPr>
              <w:jc w:val="right"/>
              <w:spacing w:after="0" w:line="106" w:lineRule="exact"/>
              <w:rPr>
                <w:sz w:val="20"/>
                <w:szCs w:val="20"/>
                <w:color w:val="auto"/>
              </w:rPr>
            </w:pPr>
            <w:r>
              <w:rPr>
                <w:rFonts w:ascii="Arial" w:cs="Arial" w:eastAsia="Arial" w:hAnsi="Arial"/>
                <w:sz w:val="12"/>
                <w:szCs w:val="12"/>
                <w:color w:val="auto"/>
              </w:rPr>
              <w:t>4,518,750</w:t>
            </w:r>
          </w:p>
        </w:tc>
        <w:tc>
          <w:tcPr>
            <w:tcW w:w="1060" w:type="dxa"/>
            <w:vAlign w:val="bottom"/>
          </w:tcPr>
          <w:p>
            <w:pPr>
              <w:jc w:val="center"/>
              <w:ind w:left="1"/>
              <w:spacing w:after="0" w:line="106"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ind w:right="21"/>
              <w:spacing w:after="0" w:line="10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520" w:type="dxa"/>
            <w:vAlign w:val="bottom"/>
          </w:tcPr>
          <w:p>
            <w:pPr>
              <w:ind w:left="340"/>
              <w:spacing w:after="0" w:line="10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ind w:left="220"/>
              <w:spacing w:after="0" w:line="10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560" w:type="dxa"/>
            <w:vAlign w:val="bottom"/>
          </w:tcPr>
          <w:p>
            <w:pPr>
              <w:ind w:left="380"/>
              <w:spacing w:after="0" w:line="10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420" w:type="dxa"/>
            <w:vAlign w:val="bottom"/>
          </w:tcPr>
          <w:p>
            <w:pPr>
              <w:ind w:left="240"/>
              <w:spacing w:after="0" w:line="106"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spacing w:after="0" w:line="106" w:lineRule="exact"/>
              <w:rPr>
                <w:sz w:val="20"/>
                <w:szCs w:val="20"/>
                <w:color w:val="auto"/>
              </w:rPr>
            </w:pPr>
            <w:r>
              <w:rPr>
                <w:rFonts w:ascii="Arial" w:cs="Arial" w:eastAsia="Arial" w:hAnsi="Arial"/>
                <w:sz w:val="12"/>
                <w:szCs w:val="12"/>
                <w:color w:val="auto"/>
              </w:rPr>
              <w:t>4,518,750</w:t>
            </w:r>
          </w:p>
        </w:tc>
        <w:tc>
          <w:tcPr>
            <w:tcW w:w="40" w:type="dxa"/>
            <w:vAlign w:val="bottom"/>
          </w:tcPr>
          <w:p>
            <w:pPr>
              <w:spacing w:after="0"/>
              <w:rPr>
                <w:sz w:val="9"/>
                <w:szCs w:val="9"/>
                <w:color w:val="auto"/>
              </w:rPr>
            </w:pPr>
          </w:p>
        </w:tc>
        <w:tc>
          <w:tcPr>
            <w:tcW w:w="700" w:type="dxa"/>
            <w:vAlign w:val="bottom"/>
            <w:gridSpan w:val="3"/>
          </w:tcPr>
          <w:p>
            <w:pPr>
              <w:jc w:val="right"/>
              <w:spacing w:after="0" w:line="106" w:lineRule="exact"/>
              <w:rPr>
                <w:sz w:val="20"/>
                <w:szCs w:val="20"/>
                <w:color w:val="auto"/>
              </w:rPr>
            </w:pPr>
            <w:r>
              <w:rPr>
                <w:rFonts w:ascii="Arial" w:cs="Arial" w:eastAsia="Arial" w:hAnsi="Arial"/>
                <w:sz w:val="12"/>
                <w:szCs w:val="12"/>
                <w:color w:val="auto"/>
              </w:rPr>
              <w:t>3,211,250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ind w:left="560"/>
              <w:spacing w:after="0" w:line="106"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spacing w:after="0" w:line="106" w:lineRule="exact"/>
              <w:rPr>
                <w:sz w:val="20"/>
                <w:szCs w:val="20"/>
                <w:color w:val="auto"/>
              </w:rPr>
            </w:pPr>
            <w:r>
              <w:rPr>
                <w:rFonts w:ascii="Arial" w:cs="Arial" w:eastAsia="Arial" w:hAnsi="Arial"/>
                <w:sz w:val="12"/>
                <w:szCs w:val="12"/>
                <w:color w:val="auto"/>
              </w:rPr>
              <w:t>3,211,250</w:t>
            </w:r>
          </w:p>
        </w:tc>
        <w:tc>
          <w:tcPr>
            <w:tcW w:w="60" w:type="dxa"/>
            <w:vAlign w:val="bottom"/>
          </w:tcPr>
          <w:p>
            <w:pPr>
              <w:spacing w:after="0"/>
              <w:rPr>
                <w:sz w:val="9"/>
                <w:szCs w:val="9"/>
                <w:color w:val="auto"/>
              </w:rPr>
            </w:pPr>
          </w:p>
        </w:tc>
        <w:tc>
          <w:tcPr>
            <w:tcW w:w="780" w:type="dxa"/>
            <w:vAlign w:val="bottom"/>
            <w:gridSpan w:val="2"/>
          </w:tcPr>
          <w:p>
            <w:pPr>
              <w:jc w:val="right"/>
              <w:spacing w:after="0" w:line="106" w:lineRule="exact"/>
              <w:rPr>
                <w:sz w:val="20"/>
                <w:szCs w:val="20"/>
                <w:color w:val="auto"/>
              </w:rPr>
            </w:pPr>
            <w:r>
              <w:rPr>
                <w:rFonts w:ascii="Arial" w:cs="Arial" w:eastAsia="Arial" w:hAnsi="Arial"/>
                <w:sz w:val="12"/>
                <w:szCs w:val="12"/>
                <w:color w:val="auto"/>
              </w:rPr>
              <w:t>1,307,500</w:t>
            </w:r>
          </w:p>
        </w:tc>
        <w:tc>
          <w:tcPr>
            <w:tcW w:w="8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jc w:val="center"/>
              <w:ind w:left="1"/>
              <w:spacing w:after="0" w:line="126" w:lineRule="exact"/>
              <w:rPr>
                <w:sz w:val="20"/>
                <w:szCs w:val="20"/>
                <w:color w:val="auto"/>
              </w:rPr>
            </w:pPr>
            <w:r>
              <w:rPr>
                <w:rFonts w:ascii="Arial" w:cs="Arial" w:eastAsia="Arial" w:hAnsi="Arial"/>
                <w:sz w:val="12"/>
                <w:szCs w:val="12"/>
                <w:color w:val="auto"/>
                <w:w w:val="88"/>
              </w:rPr>
              <w:t>1 November 2018</w:t>
            </w:r>
          </w:p>
        </w:tc>
        <w:tc>
          <w:tcPr>
            <w:tcW w:w="82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32,839</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500,000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1"/>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56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ind w:left="440"/>
              <w:spacing w:after="0" w:line="126"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left="21"/>
              <w:spacing w:after="0" w:line="126" w:lineRule="exact"/>
              <w:rPr>
                <w:sz w:val="20"/>
                <w:szCs w:val="20"/>
                <w:color w:val="auto"/>
              </w:rPr>
            </w:pPr>
            <w:r>
              <w:rPr>
                <w:rFonts w:ascii="Arial" w:cs="Arial" w:eastAsia="Arial" w:hAnsi="Arial"/>
                <w:sz w:val="12"/>
                <w:szCs w:val="12"/>
                <w:color w:val="auto"/>
                <w:w w:val="88"/>
              </w:rPr>
              <w:t>30 November 2018</w:t>
            </w:r>
          </w:p>
        </w:tc>
        <w:tc>
          <w:tcPr>
            <w:tcW w:w="82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3,021,250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Arial" w:cs="Arial" w:eastAsia="Arial" w:hAnsi="Arial"/>
                <w:sz w:val="12"/>
                <w:szCs w:val="12"/>
                <w:color w:val="auto"/>
              </w:rPr>
              <w:t>173,873</w:t>
            </w:r>
          </w:p>
        </w:tc>
        <w:tc>
          <w:tcPr>
            <w:tcW w:w="60" w:type="dxa"/>
            <w:vAlign w:val="bottom"/>
          </w:tcPr>
          <w:p>
            <w:pPr>
              <w:spacing w:after="0"/>
              <w:rPr>
                <w:sz w:val="10"/>
                <w:szCs w:val="10"/>
                <w:color w:val="auto"/>
              </w:rPr>
            </w:pPr>
          </w:p>
        </w:tc>
        <w:tc>
          <w:tcPr>
            <w:tcW w:w="520" w:type="dxa"/>
            <w:vAlign w:val="bottom"/>
          </w:tcPr>
          <w:p>
            <w:pPr>
              <w:ind w:left="3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60" w:type="dxa"/>
            <w:vAlign w:val="bottom"/>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20" w:type="dxa"/>
            <w:vAlign w:val="bottom"/>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3,021,250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jc w:val="right"/>
              <w:ind w:right="1"/>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56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ind w:left="440"/>
              <w:spacing w:after="0" w:line="126"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3,021,250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jc w:val="center"/>
              <w:ind w:left="1"/>
              <w:spacing w:after="0" w:line="126" w:lineRule="exact"/>
              <w:rPr>
                <w:sz w:val="20"/>
                <w:szCs w:val="20"/>
                <w:color w:val="auto"/>
              </w:rPr>
            </w:pPr>
            <w:r>
              <w:rPr>
                <w:rFonts w:ascii="Arial" w:cs="Arial" w:eastAsia="Arial" w:hAnsi="Arial"/>
                <w:sz w:val="12"/>
                <w:szCs w:val="12"/>
                <w:color w:val="auto"/>
                <w:w w:val="93"/>
              </w:rPr>
              <w:t>1 April 2019</w:t>
            </w:r>
          </w:p>
        </w:tc>
        <w:tc>
          <w:tcPr>
            <w:tcW w:w="82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4,040,000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759,722</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4,040,000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1"/>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56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ind w:left="440"/>
              <w:spacing w:after="0" w:line="126"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4,040,000</w:t>
            </w:r>
          </w:p>
        </w:tc>
        <w:tc>
          <w:tcPr>
            <w:tcW w:w="4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line="118" w:lineRule="exact"/>
              <w:rPr>
                <w:sz w:val="20"/>
                <w:szCs w:val="20"/>
                <w:color w:val="auto"/>
              </w:rPr>
            </w:pPr>
            <w:r>
              <w:rPr>
                <w:rFonts w:ascii="Arial" w:cs="Arial" w:eastAsia="Arial" w:hAnsi="Arial"/>
                <w:sz w:val="12"/>
                <w:szCs w:val="12"/>
                <w:color w:val="auto"/>
              </w:rPr>
              <w:t>T Barring</w:t>
            </w:r>
          </w:p>
        </w:tc>
        <w:tc>
          <w:tcPr>
            <w:tcW w:w="100" w:type="dxa"/>
            <w:vAlign w:val="bottom"/>
          </w:tcPr>
          <w:p>
            <w:pPr>
              <w:spacing w:after="0"/>
              <w:rPr>
                <w:sz w:val="10"/>
                <w:szCs w:val="10"/>
                <w:color w:val="auto"/>
              </w:rPr>
            </w:pPr>
          </w:p>
        </w:tc>
        <w:tc>
          <w:tcPr>
            <w:tcW w:w="680" w:type="dxa"/>
            <w:vAlign w:val="bottom"/>
            <w:gridSpan w:val="3"/>
          </w:tcPr>
          <w:p>
            <w:pPr>
              <w:jc w:val="right"/>
              <w:spacing w:after="0" w:line="118" w:lineRule="exact"/>
              <w:rPr>
                <w:sz w:val="20"/>
                <w:szCs w:val="20"/>
                <w:color w:val="auto"/>
              </w:rPr>
            </w:pPr>
            <w:r>
              <w:rPr>
                <w:rFonts w:ascii="Arial" w:cs="Arial" w:eastAsia="Arial" w:hAnsi="Arial"/>
                <w:sz w:val="12"/>
                <w:szCs w:val="12"/>
                <w:color w:val="auto"/>
              </w:rPr>
              <w:t>1,110,000</w:t>
            </w:r>
          </w:p>
        </w:tc>
        <w:tc>
          <w:tcPr>
            <w:tcW w:w="1060" w:type="dxa"/>
            <w:vAlign w:val="bottom"/>
          </w:tcPr>
          <w:p>
            <w:pPr>
              <w:jc w:val="center"/>
              <w:ind w:left="1"/>
              <w:spacing w:after="0" w:line="118"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21"/>
              <w:spacing w:after="0" w:line="118"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1,110,000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spacing w:after="0" w:line="118" w:lineRule="exact"/>
              <w:rPr>
                <w:sz w:val="20"/>
                <w:szCs w:val="20"/>
                <w:color w:val="auto"/>
              </w:rPr>
            </w:pPr>
            <w:r>
              <w:rPr>
                <w:rFonts w:ascii="Arial" w:cs="Arial" w:eastAsia="Arial" w:hAnsi="Arial"/>
                <w:sz w:val="12"/>
                <w:szCs w:val="12"/>
                <w:color w:val="auto"/>
              </w:rPr>
              <w:t>34,474</w:t>
            </w:r>
          </w:p>
        </w:tc>
        <w:tc>
          <w:tcPr>
            <w:tcW w:w="80" w:type="dxa"/>
            <w:vAlign w:val="bottom"/>
          </w:tcPr>
          <w:p>
            <w:pPr>
              <w:spacing w:after="0"/>
              <w:rPr>
                <w:sz w:val="10"/>
                <w:szCs w:val="10"/>
                <w:color w:val="auto"/>
              </w:rPr>
            </w:pPr>
          </w:p>
        </w:tc>
        <w:tc>
          <w:tcPr>
            <w:tcW w:w="560" w:type="dxa"/>
            <w:vAlign w:val="bottom"/>
          </w:tcPr>
          <w:p>
            <w:pPr>
              <w:ind w:left="380"/>
              <w:spacing w:after="0" w:line="11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20" w:type="dxa"/>
            <w:vAlign w:val="bottom"/>
          </w:tcPr>
          <w:p>
            <w:pPr>
              <w:ind w:left="240"/>
              <w:spacing w:after="0" w:line="11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tcPr>
          <w:p>
            <w:pPr>
              <w:jc w:val="center"/>
              <w:ind w:left="189"/>
              <w:spacing w:after="0" w:line="118" w:lineRule="exact"/>
              <w:rPr>
                <w:sz w:val="20"/>
                <w:szCs w:val="20"/>
                <w:color w:val="auto"/>
              </w:rPr>
            </w:pPr>
            <w:r>
              <w:rPr>
                <w:rFonts w:ascii="Arial" w:cs="Arial" w:eastAsia="Arial" w:hAnsi="Arial"/>
                <w:sz w:val="12"/>
                <w:szCs w:val="12"/>
                <w:color w:val="auto"/>
                <w:w w:val="82"/>
              </w:rPr>
              <w:t>—</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jc w:val="right"/>
              <w:ind w:right="1"/>
              <w:spacing w:after="0" w:line="11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560"/>
              <w:spacing w:after="0" w:line="11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ind w:left="440"/>
              <w:spacing w:after="0" w:line="11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76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E Liberto</w:t>
            </w:r>
          </w:p>
        </w:tc>
        <w:tc>
          <w:tcPr>
            <w:tcW w:w="100" w:type="dxa"/>
            <w:vAlign w:val="bottom"/>
            <w:shd w:val="clear" w:color="auto" w:fill="CCEEFF"/>
          </w:tcPr>
          <w:p>
            <w:pPr>
              <w:spacing w:after="0"/>
              <w:rPr>
                <w:sz w:val="10"/>
                <w:szCs w:val="10"/>
                <w:color w:val="auto"/>
              </w:rPr>
            </w:pPr>
          </w:p>
        </w:tc>
        <w:tc>
          <w:tcPr>
            <w:tcW w:w="68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4,000,000</w:t>
            </w:r>
          </w:p>
        </w:tc>
        <w:tc>
          <w:tcPr>
            <w:tcW w:w="1060" w:type="dxa"/>
            <w:vAlign w:val="bottom"/>
            <w:shd w:val="clear" w:color="auto" w:fill="CCEEFF"/>
          </w:tcPr>
          <w:p>
            <w:pPr>
              <w:jc w:val="center"/>
              <w:ind w:left="1"/>
              <w:spacing w:after="0" w:line="126"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21"/>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4,000,000</w:t>
            </w:r>
          </w:p>
        </w:tc>
        <w:tc>
          <w:tcPr>
            <w:tcW w:w="4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2,300,000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560"/>
              <w:spacing w:after="0" w:line="126"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2,300,000</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1,700,000</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left="1"/>
              <w:spacing w:after="0" w:line="126" w:lineRule="exact"/>
              <w:rPr>
                <w:sz w:val="20"/>
                <w:szCs w:val="20"/>
                <w:color w:val="auto"/>
              </w:rPr>
            </w:pPr>
            <w:r>
              <w:rPr>
                <w:rFonts w:ascii="Arial" w:cs="Arial" w:eastAsia="Arial" w:hAnsi="Arial"/>
                <w:sz w:val="12"/>
                <w:szCs w:val="12"/>
                <w:color w:val="auto"/>
                <w:w w:val="88"/>
              </w:rPr>
              <w:t>1 November 2018</w:t>
            </w:r>
          </w:p>
        </w:tc>
        <w:tc>
          <w:tcPr>
            <w:tcW w:w="82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2,110,000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Arial" w:cs="Arial" w:eastAsia="Arial" w:hAnsi="Arial"/>
                <w:sz w:val="12"/>
                <w:szCs w:val="12"/>
                <w:color w:val="auto"/>
              </w:rPr>
              <w:t>138,574</w:t>
            </w:r>
          </w:p>
        </w:tc>
        <w:tc>
          <w:tcPr>
            <w:tcW w:w="60" w:type="dxa"/>
            <w:vAlign w:val="bottom"/>
          </w:tcPr>
          <w:p>
            <w:pPr>
              <w:spacing w:after="0"/>
              <w:rPr>
                <w:sz w:val="10"/>
                <w:szCs w:val="10"/>
                <w:color w:val="auto"/>
              </w:rPr>
            </w:pPr>
          </w:p>
        </w:tc>
        <w:tc>
          <w:tcPr>
            <w:tcW w:w="520" w:type="dxa"/>
            <w:vAlign w:val="bottom"/>
          </w:tcPr>
          <w:p>
            <w:pPr>
              <w:ind w:left="3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60" w:type="dxa"/>
            <w:vAlign w:val="bottom"/>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20" w:type="dxa"/>
            <w:vAlign w:val="bottom"/>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2,110,000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jc w:val="right"/>
              <w:ind w:right="1"/>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56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ind w:left="440"/>
              <w:spacing w:after="0" w:line="126"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2,110,000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jc w:val="center"/>
              <w:ind w:left="21"/>
              <w:spacing w:after="0" w:line="126" w:lineRule="exact"/>
              <w:rPr>
                <w:sz w:val="20"/>
                <w:szCs w:val="20"/>
                <w:color w:val="auto"/>
              </w:rPr>
            </w:pPr>
            <w:r>
              <w:rPr>
                <w:rFonts w:ascii="Arial" w:cs="Arial" w:eastAsia="Arial" w:hAnsi="Arial"/>
                <w:sz w:val="12"/>
                <w:szCs w:val="12"/>
                <w:color w:val="auto"/>
                <w:w w:val="88"/>
              </w:rPr>
              <w:t>30 November 2018</w:t>
            </w:r>
          </w:p>
        </w:tc>
        <w:tc>
          <w:tcPr>
            <w:tcW w:w="82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5,970,000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343,574</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5,970,000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1"/>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56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ind w:left="440"/>
              <w:spacing w:after="0" w:line="126"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5,970,000</w:t>
            </w:r>
          </w:p>
        </w:tc>
        <w:tc>
          <w:tcPr>
            <w:tcW w:w="4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line="118" w:lineRule="exact"/>
              <w:rPr>
                <w:sz w:val="20"/>
                <w:szCs w:val="20"/>
                <w:color w:val="auto"/>
              </w:rPr>
            </w:pPr>
            <w:r>
              <w:rPr>
                <w:rFonts w:ascii="Arial" w:cs="Arial" w:eastAsia="Arial" w:hAnsi="Arial"/>
                <w:sz w:val="12"/>
                <w:szCs w:val="12"/>
                <w:color w:val="auto"/>
              </w:rPr>
              <w:t>D Sander</w:t>
            </w:r>
          </w:p>
        </w:tc>
        <w:tc>
          <w:tcPr>
            <w:tcW w:w="100" w:type="dxa"/>
            <w:vAlign w:val="bottom"/>
          </w:tcPr>
          <w:p>
            <w:pPr>
              <w:spacing w:after="0"/>
              <w:rPr>
                <w:sz w:val="10"/>
                <w:szCs w:val="10"/>
                <w:color w:val="auto"/>
              </w:rPr>
            </w:pPr>
          </w:p>
        </w:tc>
        <w:tc>
          <w:tcPr>
            <w:tcW w:w="680" w:type="dxa"/>
            <w:vAlign w:val="bottom"/>
            <w:gridSpan w:val="3"/>
          </w:tcPr>
          <w:p>
            <w:pPr>
              <w:jc w:val="right"/>
              <w:spacing w:after="0" w:line="118" w:lineRule="exact"/>
              <w:rPr>
                <w:sz w:val="20"/>
                <w:szCs w:val="20"/>
                <w:color w:val="auto"/>
              </w:rPr>
            </w:pPr>
            <w:r>
              <w:rPr>
                <w:rFonts w:ascii="Arial" w:cs="Arial" w:eastAsia="Arial" w:hAnsi="Arial"/>
                <w:sz w:val="12"/>
                <w:szCs w:val="12"/>
                <w:color w:val="auto"/>
              </w:rPr>
              <w:t>4,000,000</w:t>
            </w:r>
          </w:p>
        </w:tc>
        <w:tc>
          <w:tcPr>
            <w:tcW w:w="1060" w:type="dxa"/>
            <w:vAlign w:val="bottom"/>
          </w:tcPr>
          <w:p>
            <w:pPr>
              <w:jc w:val="center"/>
              <w:ind w:left="1"/>
              <w:spacing w:after="0" w:line="118"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21"/>
              <w:spacing w:after="0" w:line="118"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4,000,000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spacing w:after="0" w:line="118" w:lineRule="exact"/>
              <w:rPr>
                <w:sz w:val="20"/>
                <w:szCs w:val="20"/>
                <w:color w:val="auto"/>
              </w:rPr>
            </w:pPr>
            <w:r>
              <w:rPr>
                <w:rFonts w:ascii="Arial" w:cs="Arial" w:eastAsia="Arial" w:hAnsi="Arial"/>
                <w:sz w:val="12"/>
                <w:szCs w:val="12"/>
                <w:color w:val="auto"/>
                <w:w w:val="87"/>
              </w:rPr>
              <w:t>199,200</w:t>
            </w:r>
          </w:p>
        </w:tc>
        <w:tc>
          <w:tcPr>
            <w:tcW w:w="80" w:type="dxa"/>
            <w:vAlign w:val="bottom"/>
          </w:tcPr>
          <w:p>
            <w:pPr>
              <w:spacing w:after="0"/>
              <w:rPr>
                <w:sz w:val="10"/>
                <w:szCs w:val="10"/>
                <w:color w:val="auto"/>
              </w:rPr>
            </w:pPr>
          </w:p>
        </w:tc>
        <w:tc>
          <w:tcPr>
            <w:tcW w:w="560" w:type="dxa"/>
            <w:vAlign w:val="bottom"/>
          </w:tcPr>
          <w:p>
            <w:pPr>
              <w:ind w:left="380"/>
              <w:spacing w:after="0" w:line="11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20" w:type="dxa"/>
            <w:vAlign w:val="bottom"/>
          </w:tcPr>
          <w:p>
            <w:pPr>
              <w:ind w:left="240"/>
              <w:spacing w:after="0" w:line="11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tcPr>
          <w:p>
            <w:pPr>
              <w:jc w:val="center"/>
              <w:ind w:left="189"/>
              <w:spacing w:after="0" w:line="118" w:lineRule="exact"/>
              <w:rPr>
                <w:sz w:val="20"/>
                <w:szCs w:val="20"/>
                <w:color w:val="auto"/>
              </w:rPr>
            </w:pPr>
            <w:r>
              <w:rPr>
                <w:rFonts w:ascii="Arial" w:cs="Arial" w:eastAsia="Arial" w:hAnsi="Arial"/>
                <w:sz w:val="12"/>
                <w:szCs w:val="12"/>
                <w:color w:val="auto"/>
                <w:w w:val="82"/>
              </w:rPr>
              <w:t>—</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jc w:val="right"/>
              <w:ind w:right="1"/>
              <w:spacing w:after="0" w:line="11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560"/>
              <w:spacing w:after="0" w:line="11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ind w:left="440"/>
              <w:spacing w:after="0" w:line="11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76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D Shiroma</w:t>
            </w:r>
          </w:p>
        </w:tc>
        <w:tc>
          <w:tcPr>
            <w:tcW w:w="100" w:type="dxa"/>
            <w:vAlign w:val="bottom"/>
            <w:shd w:val="clear" w:color="auto" w:fill="CCEEFF"/>
          </w:tcPr>
          <w:p>
            <w:pPr>
              <w:spacing w:after="0"/>
              <w:rPr>
                <w:sz w:val="10"/>
                <w:szCs w:val="10"/>
                <w:color w:val="auto"/>
              </w:rPr>
            </w:pPr>
          </w:p>
        </w:tc>
        <w:tc>
          <w:tcPr>
            <w:tcW w:w="68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3,000,000</w:t>
            </w:r>
          </w:p>
        </w:tc>
        <w:tc>
          <w:tcPr>
            <w:tcW w:w="1060" w:type="dxa"/>
            <w:vAlign w:val="bottom"/>
            <w:shd w:val="clear" w:color="auto" w:fill="CCEEFF"/>
          </w:tcPr>
          <w:p>
            <w:pPr>
              <w:jc w:val="center"/>
              <w:ind w:left="1"/>
              <w:spacing w:after="0" w:line="126"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21"/>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3,000,000</w:t>
            </w:r>
          </w:p>
        </w:tc>
        <w:tc>
          <w:tcPr>
            <w:tcW w:w="4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1,520,000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560"/>
              <w:spacing w:after="0" w:line="126"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1,520,000</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1,480,000</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left="1"/>
              <w:spacing w:after="0" w:line="126" w:lineRule="exact"/>
              <w:rPr>
                <w:sz w:val="20"/>
                <w:szCs w:val="20"/>
                <w:color w:val="auto"/>
              </w:rPr>
            </w:pPr>
            <w:r>
              <w:rPr>
                <w:rFonts w:ascii="Arial" w:cs="Arial" w:eastAsia="Arial" w:hAnsi="Arial"/>
                <w:sz w:val="12"/>
                <w:szCs w:val="12"/>
                <w:color w:val="auto"/>
                <w:w w:val="88"/>
              </w:rPr>
              <w:t>1 November 2018</w:t>
            </w:r>
          </w:p>
        </w:tc>
        <w:tc>
          <w:tcPr>
            <w:tcW w:w="82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2,610,000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Arial" w:cs="Arial" w:eastAsia="Arial" w:hAnsi="Arial"/>
                <w:sz w:val="12"/>
                <w:szCs w:val="12"/>
                <w:color w:val="auto"/>
              </w:rPr>
              <w:t>171,412</w:t>
            </w:r>
          </w:p>
        </w:tc>
        <w:tc>
          <w:tcPr>
            <w:tcW w:w="60" w:type="dxa"/>
            <w:vAlign w:val="bottom"/>
          </w:tcPr>
          <w:p>
            <w:pPr>
              <w:spacing w:after="0"/>
              <w:rPr>
                <w:sz w:val="10"/>
                <w:szCs w:val="10"/>
                <w:color w:val="auto"/>
              </w:rPr>
            </w:pPr>
          </w:p>
        </w:tc>
        <w:tc>
          <w:tcPr>
            <w:tcW w:w="520" w:type="dxa"/>
            <w:vAlign w:val="bottom"/>
          </w:tcPr>
          <w:p>
            <w:pPr>
              <w:ind w:left="3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60" w:type="dxa"/>
            <w:vAlign w:val="bottom"/>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20" w:type="dxa"/>
            <w:vAlign w:val="bottom"/>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2,610,000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jc w:val="right"/>
              <w:ind w:right="1"/>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56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ind w:left="440"/>
              <w:spacing w:after="0" w:line="126"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2,610,000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jc w:val="center"/>
              <w:ind w:left="21"/>
              <w:spacing w:after="0" w:line="126" w:lineRule="exact"/>
              <w:rPr>
                <w:sz w:val="20"/>
                <w:szCs w:val="20"/>
                <w:color w:val="auto"/>
              </w:rPr>
            </w:pPr>
            <w:r>
              <w:rPr>
                <w:rFonts w:ascii="Arial" w:cs="Arial" w:eastAsia="Arial" w:hAnsi="Arial"/>
                <w:sz w:val="12"/>
                <w:szCs w:val="12"/>
                <w:color w:val="auto"/>
                <w:w w:val="88"/>
              </w:rPr>
              <w:t>30 November 2018</w:t>
            </w:r>
          </w:p>
        </w:tc>
        <w:tc>
          <w:tcPr>
            <w:tcW w:w="82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6,470,000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372,349</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color w:val="auto"/>
              </w:rPr>
              <w:t>6,470,000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1"/>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56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ind w:left="440"/>
              <w:spacing w:after="0" w:line="126"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6,470,000</w:t>
            </w:r>
          </w:p>
        </w:tc>
        <w:tc>
          <w:tcPr>
            <w:tcW w:w="4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2"/>
                <w:szCs w:val="12"/>
                <w:b w:val="1"/>
                <w:bCs w:val="1"/>
                <w:color w:val="auto"/>
              </w:rPr>
              <w:t>24,428,750</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44,001,250</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u w:val="single" w:color="auto"/>
                <w:color w:val="auto"/>
                <w:w w:val="77"/>
              </w:rPr>
              <w:t>A$</w:t>
            </w:r>
          </w:p>
        </w:tc>
        <w:tc>
          <w:tcPr>
            <w:tcW w:w="4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w w:val="82"/>
              </w:rPr>
              <w:t>3,119,320</w:t>
            </w:r>
          </w:p>
        </w:tc>
        <w:tc>
          <w:tcPr>
            <w:tcW w:w="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w w:val="93"/>
              </w:rPr>
              <w:t>6,860,000</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1" w:lineRule="exact"/>
              <w:rPr>
                <w:sz w:val="20"/>
                <w:szCs w:val="20"/>
                <w:color w:val="auto"/>
              </w:rPr>
            </w:pPr>
            <w:r>
              <w:rPr>
                <w:rFonts w:ascii="Arial" w:cs="Arial" w:eastAsia="Arial" w:hAnsi="Arial"/>
                <w:sz w:val="12"/>
                <w:szCs w:val="12"/>
                <w:b w:val="1"/>
                <w:bCs w:val="1"/>
                <w:u w:val="single" w:color="auto"/>
                <w:color w:val="auto"/>
                <w:w w:val="77"/>
              </w:rPr>
              <w:t>A$</w:t>
            </w:r>
          </w:p>
        </w:tc>
        <w:tc>
          <w:tcPr>
            <w:tcW w:w="40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w w:val="87"/>
              </w:rPr>
              <w:t>365,624</w:t>
            </w:r>
          </w:p>
        </w:tc>
        <w:tc>
          <w:tcPr>
            <w:tcW w:w="80" w:type="dxa"/>
            <w:vAlign w:val="bottom"/>
          </w:tcPr>
          <w:p>
            <w:pPr>
              <w:spacing w:after="0"/>
              <w:rPr>
                <w:sz w:val="11"/>
                <w:szCs w:val="11"/>
                <w:color w:val="auto"/>
              </w:rPr>
            </w:pPr>
          </w:p>
        </w:tc>
        <w:tc>
          <w:tcPr>
            <w:tcW w:w="560" w:type="dxa"/>
            <w:vAlign w:val="bottom"/>
            <w:tcBorders>
              <w:top w:val="single" w:sz="8" w:color="auto"/>
              <w:bottom w:val="single" w:sz="8" w:color="auto"/>
            </w:tcBorders>
          </w:tcPr>
          <w:p>
            <w:pPr>
              <w:ind w:left="380"/>
              <w:spacing w:after="0" w:line="131"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420" w:type="dxa"/>
            <w:vAlign w:val="bottom"/>
            <w:tcBorders>
              <w:top w:val="single" w:sz="8" w:color="auto"/>
              <w:bottom w:val="single" w:sz="8" w:color="auto"/>
            </w:tcBorders>
          </w:tcPr>
          <w:p>
            <w:pPr>
              <w:ind w:left="240"/>
              <w:spacing w:after="0" w:line="131"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76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2"/>
                <w:szCs w:val="12"/>
                <w:b w:val="1"/>
                <w:bCs w:val="1"/>
                <w:color w:val="auto"/>
              </w:rPr>
              <w:t>61,570,000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2"/>
                <w:szCs w:val="12"/>
                <w:b w:val="1"/>
                <w:bCs w:val="1"/>
                <w:color w:val="auto"/>
              </w:rPr>
              <w:t>22,194,583</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ind w:left="560"/>
              <w:spacing w:after="0" w:line="131"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2"/>
                <w:szCs w:val="12"/>
                <w:b w:val="1"/>
                <w:bCs w:val="1"/>
                <w:color w:val="auto"/>
              </w:rPr>
              <w:t>22,194,583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39,375,417</w:t>
            </w:r>
          </w:p>
        </w:tc>
        <w:tc>
          <w:tcPr>
            <w:tcW w:w="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39,</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80" w:type="dxa"/>
            <w:vAlign w:val="bottom"/>
            <w:gridSpan w:val="2"/>
          </w:tcPr>
          <w:p>
            <w:pPr>
              <w:spacing w:after="0"/>
              <w:rPr>
                <w:sz w:val="20"/>
                <w:szCs w:val="20"/>
                <w:color w:val="auto"/>
              </w:rPr>
            </w:pPr>
            <w:r>
              <w:rPr>
                <w:rFonts w:ascii="Arial" w:cs="Arial" w:eastAsia="Arial" w:hAnsi="Arial"/>
                <w:sz w:val="17"/>
                <w:szCs w:val="17"/>
                <w:color w:val="auto"/>
              </w:rPr>
              <w:t>Note   1</w:t>
            </w:r>
          </w:p>
        </w:tc>
        <w:tc>
          <w:tcPr>
            <w:tcW w:w="9040" w:type="dxa"/>
            <w:vAlign w:val="bottom"/>
            <w:gridSpan w:val="33"/>
          </w:tcPr>
          <w:p>
            <w:pPr>
              <w:ind w:left="60"/>
              <w:spacing w:after="0"/>
              <w:rPr>
                <w:sz w:val="20"/>
                <w:szCs w:val="20"/>
                <w:color w:val="auto"/>
              </w:rPr>
            </w:pPr>
            <w:r>
              <w:rPr>
                <w:rFonts w:ascii="Arial" w:cs="Arial" w:eastAsia="Arial" w:hAnsi="Arial"/>
                <w:sz w:val="17"/>
                <w:szCs w:val="17"/>
                <w:color w:val="auto"/>
                <w:w w:val="88"/>
              </w:rPr>
              <w:t>The fair value of options granted as remuneration and as shown in the above table has been determined in accordance with Australian</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20" w:type="dxa"/>
            <w:vAlign w:val="bottom"/>
            <w:gridSpan w:val="35"/>
          </w:tcPr>
          <w:p>
            <w:pPr>
              <w:ind w:left="60"/>
              <w:spacing w:after="0"/>
              <w:rPr>
                <w:sz w:val="20"/>
                <w:szCs w:val="20"/>
                <w:color w:val="auto"/>
              </w:rPr>
            </w:pPr>
            <w:r>
              <w:rPr>
                <w:rFonts w:ascii="Arial" w:cs="Arial" w:eastAsia="Arial" w:hAnsi="Arial"/>
                <w:sz w:val="17"/>
                <w:szCs w:val="17"/>
                <w:color w:val="auto"/>
                <w:w w:val="95"/>
              </w:rPr>
              <w:t>Accounting Standards and will be recognised  as an expense over the relevant vesting period to the extent that conditions necessary for</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gridSpan w:val="5"/>
          </w:tcPr>
          <w:p>
            <w:pPr>
              <w:ind w:left="60"/>
              <w:spacing w:after="0"/>
              <w:rPr>
                <w:sz w:val="20"/>
                <w:szCs w:val="20"/>
                <w:color w:val="auto"/>
              </w:rPr>
            </w:pPr>
            <w:r>
              <w:rPr>
                <w:rFonts w:ascii="Arial" w:cs="Arial" w:eastAsia="Arial" w:hAnsi="Arial"/>
                <w:sz w:val="17"/>
                <w:szCs w:val="17"/>
                <w:color w:val="auto"/>
              </w:rPr>
              <w:t>vesting are satisfied.</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ind w:left="220"/>
              <w:spacing w:after="0"/>
              <w:rPr>
                <w:sz w:val="20"/>
                <w:szCs w:val="20"/>
                <w:color w:val="auto"/>
              </w:rPr>
            </w:pPr>
            <w:r>
              <w:rPr>
                <w:rFonts w:ascii="Arial" w:cs="Arial" w:eastAsia="Arial" w:hAnsi="Arial"/>
                <w:sz w:val="17"/>
                <w:szCs w:val="17"/>
                <w:color w:val="auto"/>
                <w:w w:val="84"/>
              </w:rPr>
              <w:t>20</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820" w:top="261" w:right="1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4: Option holdings of Key Management Personnel (continued)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options issued in the period have vesting criteria based on the following performance conditions:</w:t>
      </w:r>
    </w:p>
    <w:p>
      <w:pPr>
        <w:spacing w:after="0" w:line="119" w:lineRule="exact"/>
        <w:rPr>
          <w:sz w:val="20"/>
          <w:szCs w:val="20"/>
          <w:color w:val="auto"/>
        </w:rPr>
      </w:pPr>
    </w:p>
    <w:p>
      <w:pPr>
        <w:ind w:left="920" w:hanging="412"/>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Tenure with the Company</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 target</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FDA PMA approval of RECELL for burns</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Initial BARDA procurement under CLIN2 of the BARDA Contract</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US Quotation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Balance at</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2"/>
              </w:rPr>
              <w:t>Unvested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1 July</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Grant Details</w:t>
            </w:r>
          </w:p>
        </w:tc>
        <w:tc>
          <w:tcPr>
            <w:tcW w:w="120" w:type="dxa"/>
            <w:vAlign w:val="bottom"/>
          </w:tcPr>
          <w:p>
            <w:pPr>
              <w:spacing w:after="0"/>
              <w:rPr>
                <w:sz w:val="12"/>
                <w:szCs w:val="12"/>
                <w:color w:val="auto"/>
              </w:rPr>
            </w:pPr>
          </w:p>
        </w:tc>
        <w:tc>
          <w:tcPr>
            <w:tcW w:w="620" w:type="dxa"/>
            <w:vAlign w:val="bottom"/>
            <w:gridSpan w:val="2"/>
            <w:vMerge w:val="restart"/>
          </w:tcPr>
          <w:p>
            <w:pPr>
              <w:jc w:val="right"/>
              <w:ind w:right="91"/>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2"/>
                <w:szCs w:val="12"/>
                <w:color w:val="auto"/>
              </w:rPr>
            </w:pPr>
          </w:p>
        </w:tc>
        <w:tc>
          <w:tcPr>
            <w:tcW w:w="7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7"/>
              </w:rPr>
              <w:t>Exercised</w:t>
            </w:r>
          </w:p>
        </w:tc>
        <w:tc>
          <w:tcPr>
            <w:tcW w:w="4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Cancelled</w:t>
            </w:r>
          </w:p>
        </w:tc>
        <w:tc>
          <w:tcPr>
            <w:tcW w:w="5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w w:val="92"/>
              </w:rPr>
              <w:t>Lapsed</w:t>
            </w:r>
          </w:p>
        </w:tc>
        <w:tc>
          <w:tcPr>
            <w:tcW w:w="100" w:type="dxa"/>
            <w:vAlign w:val="bottom"/>
          </w:tcPr>
          <w:p>
            <w:pPr>
              <w:spacing w:after="0"/>
              <w:rPr>
                <w:sz w:val="12"/>
                <w:szCs w:val="12"/>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Balance at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Vested</w:t>
            </w:r>
          </w:p>
        </w:tc>
        <w:tc>
          <w:tcPr>
            <w:tcW w:w="120" w:type="dxa"/>
            <w:vAlign w:val="bottom"/>
          </w:tcPr>
          <w:p>
            <w:pPr>
              <w:spacing w:after="0"/>
              <w:rPr>
                <w:sz w:val="12"/>
                <w:szCs w:val="12"/>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Total at</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8"/>
              </w:rPr>
              <w:t>30 June 2018</w:t>
            </w: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2017</w:t>
            </w:r>
          </w:p>
        </w:tc>
        <w:tc>
          <w:tcPr>
            <w:tcW w:w="1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Issued Date</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Exercisable</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95"/>
              </w:rPr>
              <w:t>Total at</w:t>
            </w:r>
          </w:p>
        </w:tc>
        <w:tc>
          <w:tcPr>
            <w:tcW w:w="0" w:type="dxa"/>
            <w:vAlign w:val="bottom"/>
          </w:tcPr>
          <w:p>
            <w:pPr>
              <w:spacing w:after="0"/>
              <w:rPr>
                <w:sz w:val="1"/>
                <w:szCs w:val="1"/>
                <w:color w:val="auto"/>
              </w:rPr>
            </w:pPr>
          </w:p>
        </w:tc>
      </w:tr>
      <w:tr>
        <w:trPr>
          <w:trHeight w:val="159"/>
        </w:trPr>
        <w:tc>
          <w:tcPr>
            <w:tcW w:w="840" w:type="dxa"/>
            <w:vAlign w:val="bottom"/>
            <w:gridSpan w:val="3"/>
            <w:vMerge w:val="continue"/>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No.</w:t>
            </w: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33"/>
              <w:spacing w:after="0"/>
              <w:rPr>
                <w:sz w:val="20"/>
                <w:szCs w:val="20"/>
                <w:color w:val="auto"/>
              </w:rPr>
            </w:pPr>
            <w:r>
              <w:rPr>
                <w:rFonts w:ascii="Arial" w:cs="Arial" w:eastAsia="Arial" w:hAnsi="Arial"/>
                <w:sz w:val="13"/>
                <w:szCs w:val="13"/>
                <w:b w:val="1"/>
                <w:bCs w:val="1"/>
                <w:color w:val="auto"/>
              </w:rPr>
              <w:t>No.</w:t>
            </w:r>
          </w:p>
        </w:tc>
        <w:tc>
          <w:tcPr>
            <w:tcW w:w="120" w:type="dxa"/>
            <w:vAlign w:val="bottom"/>
          </w:tcPr>
          <w:p>
            <w:pPr>
              <w:spacing w:after="0"/>
              <w:rPr>
                <w:sz w:val="13"/>
                <w:szCs w:val="13"/>
                <w:color w:val="auto"/>
              </w:rPr>
            </w:pPr>
          </w:p>
        </w:tc>
        <w:tc>
          <w:tcPr>
            <w:tcW w:w="620" w:type="dxa"/>
            <w:vAlign w:val="bottom"/>
            <w:gridSpan w:val="2"/>
          </w:tcPr>
          <w:p>
            <w:pPr>
              <w:jc w:val="right"/>
              <w:ind w:right="31"/>
              <w:spacing w:after="0"/>
              <w:rPr>
                <w:sz w:val="20"/>
                <w:szCs w:val="20"/>
                <w:color w:val="auto"/>
              </w:rPr>
            </w:pPr>
            <w:r>
              <w:rPr>
                <w:rFonts w:ascii="Arial" w:cs="Arial" w:eastAsia="Arial" w:hAnsi="Arial"/>
                <w:sz w:val="13"/>
                <w:szCs w:val="13"/>
                <w:b w:val="1"/>
                <w:bCs w:val="1"/>
                <w:color w:val="auto"/>
              </w:rPr>
              <w:t>(Note1)</w:t>
            </w:r>
          </w:p>
        </w:tc>
        <w:tc>
          <w:tcPr>
            <w:tcW w:w="100" w:type="dxa"/>
            <w:vAlign w:val="bottom"/>
          </w:tcPr>
          <w:p>
            <w:pPr>
              <w:spacing w:after="0"/>
              <w:rPr>
                <w:sz w:val="13"/>
                <w:szCs w:val="13"/>
                <w:color w:val="auto"/>
              </w:rPr>
            </w:pPr>
          </w:p>
        </w:tc>
        <w:tc>
          <w:tcPr>
            <w:tcW w:w="240" w:type="dxa"/>
            <w:vAlign w:val="bottom"/>
          </w:tcPr>
          <w:p>
            <w:pPr>
              <w:ind w:left="20"/>
              <w:spacing w:after="0"/>
              <w:rPr>
                <w:sz w:val="20"/>
                <w:szCs w:val="20"/>
                <w:color w:val="auto"/>
              </w:rPr>
            </w:pPr>
            <w:r>
              <w:rPr>
                <w:rFonts w:ascii="Arial" w:cs="Arial" w:eastAsia="Arial" w:hAnsi="Arial"/>
                <w:sz w:val="13"/>
                <w:szCs w:val="13"/>
                <w:b w:val="1"/>
                <w:bCs w:val="1"/>
                <w:color w:val="auto"/>
                <w:w w:val="95"/>
              </w:rPr>
              <w:t>No.</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92"/>
              </w:rPr>
              <w:t>Value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b w:val="1"/>
                <w:bCs w:val="1"/>
                <w:color w:val="auto"/>
              </w:rPr>
              <w:t>No.</w:t>
            </w:r>
          </w:p>
        </w:tc>
        <w:tc>
          <w:tcPr>
            <w:tcW w:w="100" w:type="dxa"/>
            <w:vAlign w:val="bottom"/>
          </w:tcPr>
          <w:p>
            <w:pPr>
              <w:spacing w:after="0"/>
              <w:rPr>
                <w:sz w:val="13"/>
                <w:szCs w:val="13"/>
                <w:color w:val="auto"/>
              </w:rPr>
            </w:pPr>
          </w:p>
        </w:tc>
        <w:tc>
          <w:tcPr>
            <w:tcW w:w="440" w:type="dxa"/>
            <w:vAlign w:val="bottom"/>
          </w:tcPr>
          <w:p>
            <w:pPr>
              <w:ind w:left="120"/>
              <w:spacing w:after="0"/>
              <w:rPr>
                <w:sz w:val="20"/>
                <w:szCs w:val="20"/>
                <w:color w:val="auto"/>
              </w:rPr>
            </w:pPr>
            <w:r>
              <w:rPr>
                <w:rFonts w:ascii="Arial" w:cs="Arial" w:eastAsia="Arial" w:hAnsi="Arial"/>
                <w:sz w:val="13"/>
                <w:szCs w:val="13"/>
                <w:b w:val="1"/>
                <w:bCs w:val="1"/>
                <w:color w:val="auto"/>
              </w:rPr>
              <w:t>No.</w:t>
            </w: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30 June 2018</w:t>
            </w:r>
          </w:p>
        </w:tc>
        <w:tc>
          <w:tcPr>
            <w:tcW w:w="780" w:type="dxa"/>
            <w:vAlign w:val="bottom"/>
            <w:gridSpan w:val="2"/>
            <w:vMerge w:val="continue"/>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w w:val="88"/>
              </w:rPr>
              <w:t>Unexercisable</w:t>
            </w: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30 June 2018</w:t>
            </w:r>
          </w:p>
        </w:tc>
        <w:tc>
          <w:tcPr>
            <w:tcW w:w="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30 June 2018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 Rooney</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7,800,000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ind w:left="80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A$</w:t>
            </w:r>
          </w:p>
        </w:tc>
        <w:tc>
          <w:tcPr>
            <w:tcW w:w="460" w:type="dxa"/>
            <w:vAlign w:val="bottom"/>
            <w:shd w:val="clear" w:color="auto" w:fill="CCEEFF"/>
          </w:tcPr>
          <w:p>
            <w:pPr>
              <w:jc w:val="right"/>
              <w:ind w:right="11"/>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ind w:left="34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7,800,000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4,360,000</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4,360,000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3,440,000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spacing w:after="0" w:line="138" w:lineRule="exact"/>
              <w:rPr>
                <w:sz w:val="20"/>
                <w:szCs w:val="20"/>
                <w:color w:val="auto"/>
              </w:rPr>
            </w:pPr>
            <w:r>
              <w:rPr>
                <w:rFonts w:ascii="Arial" w:cs="Arial" w:eastAsia="Arial" w:hAnsi="Arial"/>
                <w:sz w:val="13"/>
                <w:szCs w:val="13"/>
                <w:color w:val="auto"/>
              </w:rPr>
              <w:t>A Quick</w:t>
            </w:r>
          </w:p>
        </w:tc>
        <w:tc>
          <w:tcPr>
            <w:tcW w:w="160" w:type="dxa"/>
            <w:vAlign w:val="bottom"/>
          </w:tcPr>
          <w:p>
            <w:pPr>
              <w:spacing w:after="0"/>
              <w:rPr>
                <w:sz w:val="12"/>
                <w:szCs w:val="12"/>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4,518,750</w:t>
            </w:r>
          </w:p>
        </w:tc>
        <w:tc>
          <w:tcPr>
            <w:tcW w:w="120" w:type="dxa"/>
            <w:vAlign w:val="bottom"/>
          </w:tcPr>
          <w:p>
            <w:pPr>
              <w:spacing w:after="0"/>
              <w:rPr>
                <w:sz w:val="12"/>
                <w:szCs w:val="12"/>
                <w:color w:val="auto"/>
              </w:rPr>
            </w:pPr>
          </w:p>
        </w:tc>
        <w:tc>
          <w:tcPr>
            <w:tcW w:w="1020" w:type="dxa"/>
            <w:vAlign w:val="bottom"/>
          </w:tcPr>
          <w:p>
            <w:pPr>
              <w:ind w:left="80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11"/>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40" w:type="dxa"/>
            <w:vAlign w:val="bottom"/>
          </w:tcPr>
          <w:p>
            <w:pPr>
              <w:ind w:left="40"/>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34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ind w:left="22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4,518,750</w:t>
            </w:r>
          </w:p>
        </w:tc>
        <w:tc>
          <w:tcPr>
            <w:tcW w:w="7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2,903,750</w:t>
            </w:r>
          </w:p>
        </w:tc>
        <w:tc>
          <w:tcPr>
            <w:tcW w:w="120" w:type="dxa"/>
            <w:vAlign w:val="bottom"/>
          </w:tcPr>
          <w:p>
            <w:pPr>
              <w:spacing w:after="0"/>
              <w:rPr>
                <w:sz w:val="12"/>
                <w:szCs w:val="12"/>
                <w:color w:val="auto"/>
              </w:rPr>
            </w:pPr>
          </w:p>
        </w:tc>
        <w:tc>
          <w:tcPr>
            <w:tcW w:w="80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2,903,750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1,615,000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 Barring</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1 July 2017</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1,110,000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34,474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ind w:left="34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1,110,000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1,110,000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spacing w:after="0" w:line="138" w:lineRule="exact"/>
              <w:rPr>
                <w:sz w:val="20"/>
                <w:szCs w:val="20"/>
                <w:color w:val="auto"/>
              </w:rPr>
            </w:pPr>
            <w:r>
              <w:rPr>
                <w:rFonts w:ascii="Arial" w:cs="Arial" w:eastAsia="Arial" w:hAnsi="Arial"/>
                <w:sz w:val="13"/>
                <w:szCs w:val="13"/>
                <w:color w:val="auto"/>
              </w:rPr>
              <w:t>E Liberto</w:t>
            </w:r>
          </w:p>
        </w:tc>
        <w:tc>
          <w:tcPr>
            <w:tcW w:w="160" w:type="dxa"/>
            <w:vAlign w:val="bottom"/>
          </w:tcPr>
          <w:p>
            <w:pPr>
              <w:spacing w:after="0"/>
              <w:rPr>
                <w:sz w:val="12"/>
                <w:szCs w:val="12"/>
                <w:color w:val="auto"/>
              </w:rPr>
            </w:pPr>
          </w:p>
        </w:tc>
        <w:tc>
          <w:tcPr>
            <w:tcW w:w="6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jc w:val="center"/>
              <w:spacing w:after="0" w:line="138" w:lineRule="exact"/>
              <w:rPr>
                <w:sz w:val="20"/>
                <w:szCs w:val="20"/>
                <w:color w:val="auto"/>
              </w:rPr>
            </w:pPr>
            <w:r>
              <w:rPr>
                <w:rFonts w:ascii="Arial" w:cs="Arial" w:eastAsia="Arial" w:hAnsi="Arial"/>
                <w:sz w:val="13"/>
                <w:szCs w:val="13"/>
                <w:color w:val="auto"/>
                <w:w w:val="91"/>
              </w:rPr>
              <w:t>6 September 2017</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4,000,000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3"/>
                <w:szCs w:val="13"/>
                <w:color w:val="auto"/>
                <w:w w:val="89"/>
              </w:rPr>
              <w:t>123,231</w:t>
            </w:r>
          </w:p>
        </w:tc>
        <w:tc>
          <w:tcPr>
            <w:tcW w:w="100" w:type="dxa"/>
            <w:vAlign w:val="bottom"/>
          </w:tcPr>
          <w:p>
            <w:pPr>
              <w:spacing w:after="0"/>
              <w:rPr>
                <w:sz w:val="12"/>
                <w:szCs w:val="12"/>
                <w:color w:val="auto"/>
              </w:rPr>
            </w:pPr>
          </w:p>
        </w:tc>
        <w:tc>
          <w:tcPr>
            <w:tcW w:w="240" w:type="dxa"/>
            <w:vAlign w:val="bottom"/>
          </w:tcPr>
          <w:p>
            <w:pPr>
              <w:ind w:left="40"/>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34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ind w:left="22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4,000,000</w:t>
            </w:r>
          </w:p>
        </w:tc>
        <w:tc>
          <w:tcPr>
            <w:tcW w:w="120" w:type="dxa"/>
            <w:vAlign w:val="bottom"/>
          </w:tcPr>
          <w:p>
            <w:pPr>
              <w:spacing w:after="0"/>
              <w:rPr>
                <w:sz w:val="12"/>
                <w:szCs w:val="12"/>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4,000,000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 Sander</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3 January 2018</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4,000,000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89,384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ind w:left="34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4,000,000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4,000,000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5"/>
              </w:rPr>
              <w:t>12,318,750</w:t>
            </w:r>
          </w:p>
        </w:tc>
        <w:tc>
          <w:tcPr>
            <w:tcW w:w="12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9,110,000</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u w:val="single" w:color="auto"/>
                <w:color w:val="auto"/>
                <w:w w:val="83"/>
              </w:rPr>
              <w:t>A$</w:t>
            </w:r>
          </w:p>
        </w:tc>
        <w:tc>
          <w:tcPr>
            <w:tcW w:w="4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89"/>
              </w:rPr>
              <w:t>247,089</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ind w:left="40"/>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u w:val="single" w:color="auto"/>
                <w:color w:val="auto"/>
                <w:w w:val="94"/>
              </w:rPr>
              <w:t>A</w:t>
            </w:r>
            <w:r>
              <w:rPr>
                <w:rFonts w:ascii="Arial" w:cs="Arial" w:eastAsia="Arial" w:hAnsi="Arial"/>
                <w:sz w:val="13"/>
                <w:szCs w:val="13"/>
                <w:b w:val="1"/>
                <w:bCs w:val="1"/>
                <w:color w:val="auto"/>
                <w:w w:val="94"/>
              </w:rPr>
              <w:t>$—</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340"/>
              <w:spacing w:after="0" w:line="144"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220"/>
              <w:spacing w:after="0" w:line="144"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21,428,750</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7,263,750</w:t>
            </w: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600"/>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7,263,750</w:t>
            </w:r>
          </w:p>
        </w:tc>
        <w:tc>
          <w:tcPr>
            <w:tcW w:w="1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14,165,000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80" w:type="dxa"/>
            <w:vAlign w:val="bottom"/>
            <w:gridSpan w:val="2"/>
          </w:tcPr>
          <w:p>
            <w:pPr>
              <w:spacing w:after="0"/>
              <w:rPr>
                <w:sz w:val="20"/>
                <w:szCs w:val="20"/>
                <w:color w:val="auto"/>
              </w:rPr>
            </w:pPr>
            <w:r>
              <w:rPr>
                <w:rFonts w:ascii="Arial" w:cs="Arial" w:eastAsia="Arial" w:hAnsi="Arial"/>
                <w:sz w:val="17"/>
                <w:szCs w:val="17"/>
                <w:color w:val="auto"/>
              </w:rPr>
              <w:t>Note   1</w:t>
            </w:r>
          </w:p>
        </w:tc>
        <w:tc>
          <w:tcPr>
            <w:tcW w:w="9040" w:type="dxa"/>
            <w:vAlign w:val="bottom"/>
            <w:gridSpan w:val="26"/>
          </w:tcPr>
          <w:p>
            <w:pPr>
              <w:ind w:left="60"/>
              <w:spacing w:after="0"/>
              <w:rPr>
                <w:sz w:val="20"/>
                <w:szCs w:val="20"/>
                <w:color w:val="auto"/>
              </w:rPr>
            </w:pPr>
            <w:r>
              <w:rPr>
                <w:rFonts w:ascii="Arial" w:cs="Arial" w:eastAsia="Arial" w:hAnsi="Arial"/>
                <w:sz w:val="17"/>
                <w:szCs w:val="17"/>
                <w:color w:val="auto"/>
                <w:w w:val="88"/>
              </w:rPr>
              <w:t>The fair value of options granted as remuneration and as shown in the above table has been determined in accordance with Australian</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00" w:type="dxa"/>
            <w:vAlign w:val="bottom"/>
            <w:gridSpan w:val="8"/>
          </w:tcPr>
          <w:p>
            <w:pPr>
              <w:jc w:val="right"/>
              <w:spacing w:after="0"/>
              <w:rPr>
                <w:sz w:val="20"/>
                <w:szCs w:val="20"/>
                <w:color w:val="auto"/>
              </w:rPr>
            </w:pPr>
            <w:r>
              <w:rPr>
                <w:rFonts w:ascii="Arial" w:cs="Arial" w:eastAsia="Arial" w:hAnsi="Arial"/>
                <w:sz w:val="17"/>
                <w:szCs w:val="17"/>
                <w:color w:val="auto"/>
                <w:w w:val="90"/>
              </w:rPr>
              <w:t>Accounting Standards and will be recognised</w:t>
            </w:r>
          </w:p>
        </w:tc>
        <w:tc>
          <w:tcPr>
            <w:tcW w:w="6860" w:type="dxa"/>
            <w:vAlign w:val="bottom"/>
            <w:gridSpan w:val="21"/>
          </w:tcPr>
          <w:p>
            <w:pPr>
              <w:ind w:left="160"/>
              <w:spacing w:after="0"/>
              <w:rPr>
                <w:sz w:val="20"/>
                <w:szCs w:val="20"/>
                <w:color w:val="auto"/>
              </w:rPr>
            </w:pPr>
            <w:r>
              <w:rPr>
                <w:rFonts w:ascii="Arial" w:cs="Arial" w:eastAsia="Arial" w:hAnsi="Arial"/>
                <w:sz w:val="17"/>
                <w:szCs w:val="17"/>
                <w:color w:val="auto"/>
                <w:w w:val="99"/>
              </w:rPr>
              <w:t>as an expense over the relevant vesting period to the extent that conditions necessary for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40" w:type="dxa"/>
            <w:vAlign w:val="bottom"/>
            <w:gridSpan w:val="4"/>
          </w:tcPr>
          <w:p>
            <w:pPr>
              <w:ind w:left="60"/>
              <w:spacing w:after="0"/>
              <w:rPr>
                <w:sz w:val="20"/>
                <w:szCs w:val="20"/>
                <w:color w:val="auto"/>
              </w:rPr>
            </w:pPr>
            <w:r>
              <w:rPr>
                <w:rFonts w:ascii="Arial" w:cs="Arial" w:eastAsia="Arial" w:hAnsi="Arial"/>
                <w:sz w:val="17"/>
                <w:szCs w:val="17"/>
                <w:color w:val="auto"/>
              </w:rPr>
              <w:t>vesting are satisfied.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3"/>
          </w:tcPr>
          <w:p>
            <w:pPr>
              <w:jc w:val="right"/>
              <w:ind w:right="473"/>
              <w:spacing w:after="0"/>
              <w:rPr>
                <w:sz w:val="20"/>
                <w:szCs w:val="20"/>
                <w:color w:val="auto"/>
              </w:rPr>
            </w:pPr>
            <w:r>
              <w:rPr>
                <w:rFonts w:ascii="Arial" w:cs="Arial" w:eastAsia="Arial" w:hAnsi="Arial"/>
                <w:sz w:val="17"/>
                <w:szCs w:val="17"/>
                <w:color w:val="auto"/>
                <w:w w:val="84"/>
              </w:rPr>
              <w:t>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820" w:top="261" w:right="4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REPORT (continued)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Equity-related KMP Transactions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There have been no other transactions involving equity instruments apart from those described in the tables above relating to options and shareholdings.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Transactions with KMP and/or their Related Parties</w:t>
      </w:r>
    </w:p>
    <w:p>
      <w:pPr>
        <w:spacing w:after="0" w:line="110" w:lineRule="exact"/>
        <w:rPr>
          <w:sz w:val="20"/>
          <w:szCs w:val="20"/>
          <w:color w:val="auto"/>
        </w:rPr>
      </w:pPr>
    </w:p>
    <w:p>
      <w:pPr>
        <w:jc w:val="both"/>
        <w:ind w:right="260"/>
        <w:spacing w:after="0" w:line="257" w:lineRule="auto"/>
        <w:rPr>
          <w:sz w:val="20"/>
          <w:szCs w:val="20"/>
          <w:color w:val="auto"/>
        </w:rPr>
      </w:pPr>
      <w:r>
        <w:rPr>
          <w:rFonts w:ascii="Arial" w:cs="Arial" w:eastAsia="Arial" w:hAnsi="Arial"/>
          <w:sz w:val="17"/>
          <w:szCs w:val="17"/>
          <w:color w:val="auto"/>
        </w:rPr>
        <w:t>There were no other transactions conducted between the Company and KMP or their parties, apart from those disclosed above relating to equity and compensation, that was conducted other than in accordance with normal employees, customer or supplier relationships on terms no more favourable than those reasonably expected under arm’s length dealings with unrelated persons.</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END OF REMUNERATION REPORT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GLOSSARY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assembles the various acronyms in use throughout this report.</w:t>
      </w:r>
    </w:p>
    <w:p>
      <w:pPr>
        <w:sectPr>
          <w:pgSz w:w="11900" w:h="16838" w:orient="portrait"/>
          <w:cols w:equalWidth="0" w:num="1">
            <w:col w:w="10200"/>
          </w:cols>
          <w:pgMar w:left="820" w:top="261" w:right="87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BARDA</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Biomedical Advanced Research and Development Authority</w:t>
      </w:r>
    </w:p>
    <w:p>
      <w:pPr>
        <w:spacing w:after="0" w:line="128" w:lineRule="exact"/>
        <w:rPr>
          <w:sz w:val="20"/>
          <w:szCs w:val="20"/>
          <w:color w:val="auto"/>
        </w:rPr>
      </w:pPr>
    </w:p>
    <w:p>
      <w:pPr>
        <w:sectPr>
          <w:pgSz w:w="11900" w:h="16838" w:orient="portrait"/>
          <w:cols w:equalWidth="0" w:num="2">
            <w:col w:w="740" w:space="720"/>
            <w:col w:w="8740"/>
          </w:cols>
          <w:pgMar w:left="820" w:top="261" w:right="879" w:bottom="1440" w:gutter="0" w:footer="0" w:header="0"/>
          <w:type w:val="continuous"/>
        </w:sectPr>
      </w:pPr>
    </w:p>
    <w:p>
      <w:pPr>
        <w:spacing w:after="0"/>
        <w:rPr>
          <w:sz w:val="20"/>
          <w:szCs w:val="20"/>
          <w:color w:val="auto"/>
        </w:rPr>
      </w:pPr>
      <w:r>
        <w:rPr>
          <w:rFonts w:ascii="Arial" w:cs="Arial" w:eastAsia="Arial" w:hAnsi="Arial"/>
          <w:sz w:val="16"/>
          <w:szCs w:val="16"/>
          <w:color w:val="auto"/>
        </w:rPr>
        <w:t>EMEA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Europe, Middle East and Africa</w:t>
      </w:r>
    </w:p>
    <w:p>
      <w:pPr>
        <w:spacing w:after="0" w:line="129" w:lineRule="exact"/>
        <w:rPr>
          <w:sz w:val="20"/>
          <w:szCs w:val="20"/>
          <w:color w:val="auto"/>
        </w:rPr>
      </w:pPr>
    </w:p>
    <w:p>
      <w:pPr>
        <w:sectPr>
          <w:pgSz w:w="11900" w:h="16838" w:orient="portrait"/>
          <w:cols w:equalWidth="0" w:num="2">
            <w:col w:w="740" w:space="720"/>
            <w:col w:w="8740"/>
          </w:cols>
          <w:pgMar w:left="820" w:top="261" w:right="879" w:bottom="1440" w:gutter="0" w:footer="0" w:header="0"/>
          <w:type w:val="continuous"/>
        </w:sectPr>
      </w:pPr>
    </w:p>
    <w:p>
      <w:pPr>
        <w:spacing w:after="0"/>
        <w:rPr>
          <w:sz w:val="20"/>
          <w:szCs w:val="20"/>
          <w:color w:val="auto"/>
        </w:rPr>
      </w:pPr>
      <w:r>
        <w:rPr>
          <w:rFonts w:ascii="Arial" w:cs="Arial" w:eastAsia="Arial" w:hAnsi="Arial"/>
          <w:sz w:val="16"/>
          <w:szCs w:val="16"/>
          <w:color w:val="auto"/>
        </w:rPr>
        <w:t>APAC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Asia and Pacific</w:t>
      </w:r>
    </w:p>
    <w:p>
      <w:pPr>
        <w:spacing w:after="0" w:line="129" w:lineRule="exact"/>
        <w:rPr>
          <w:sz w:val="20"/>
          <w:szCs w:val="20"/>
          <w:color w:val="auto"/>
        </w:rPr>
      </w:pPr>
    </w:p>
    <w:p>
      <w:pPr>
        <w:sectPr>
          <w:pgSz w:w="11900" w:h="16838" w:orient="portrait"/>
          <w:cols w:equalWidth="0" w:num="2">
            <w:col w:w="740" w:space="720"/>
            <w:col w:w="8740"/>
          </w:cols>
          <w:pgMar w:left="820" w:top="261" w:right="879" w:bottom="1440" w:gutter="0" w:footer="0" w:header="0"/>
          <w:type w:val="continuous"/>
        </w:sectPr>
      </w:pPr>
    </w:p>
    <w:p>
      <w:pPr>
        <w:spacing w:after="0"/>
        <w:rPr>
          <w:sz w:val="20"/>
          <w:szCs w:val="20"/>
          <w:color w:val="auto"/>
        </w:rPr>
      </w:pPr>
      <w:r>
        <w:rPr>
          <w:rFonts w:ascii="Arial" w:cs="Arial" w:eastAsia="Arial" w:hAnsi="Arial"/>
          <w:sz w:val="16"/>
          <w:szCs w:val="16"/>
          <w:color w:val="auto"/>
        </w:rPr>
        <w:t>PMA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Pre-Market Application</w:t>
      </w:r>
    </w:p>
    <w:p>
      <w:pPr>
        <w:spacing w:after="0" w:line="129" w:lineRule="exact"/>
        <w:rPr>
          <w:sz w:val="20"/>
          <w:szCs w:val="20"/>
          <w:color w:val="auto"/>
        </w:rPr>
      </w:pPr>
    </w:p>
    <w:p>
      <w:pPr>
        <w:sectPr>
          <w:pgSz w:w="11900" w:h="16838" w:orient="portrait"/>
          <w:cols w:equalWidth="0" w:num="2">
            <w:col w:w="740" w:space="720"/>
            <w:col w:w="8740"/>
          </w:cols>
          <w:pgMar w:left="820" w:top="261" w:right="879" w:bottom="1440" w:gutter="0" w:footer="0" w:header="0"/>
          <w:type w:val="continuous"/>
        </w:sectPr>
      </w:pPr>
    </w:p>
    <w:p>
      <w:pPr>
        <w:spacing w:after="0"/>
        <w:rPr>
          <w:sz w:val="20"/>
          <w:szCs w:val="20"/>
          <w:color w:val="auto"/>
        </w:rPr>
      </w:pPr>
      <w:r>
        <w:rPr>
          <w:rFonts w:ascii="Arial" w:cs="Arial" w:eastAsia="Arial" w:hAnsi="Arial"/>
          <w:sz w:val="17"/>
          <w:szCs w:val="17"/>
          <w:color w:val="auto"/>
        </w:rPr>
        <w:t>FDA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States Food and Drug Administration</w:t>
      </w:r>
    </w:p>
    <w:p>
      <w:pPr>
        <w:spacing w:after="0" w:line="128" w:lineRule="exact"/>
        <w:rPr>
          <w:sz w:val="20"/>
          <w:szCs w:val="20"/>
          <w:color w:val="auto"/>
        </w:rPr>
      </w:pPr>
    </w:p>
    <w:p>
      <w:pPr>
        <w:sectPr>
          <w:pgSz w:w="11900" w:h="16838" w:orient="portrait"/>
          <w:cols w:equalWidth="0" w:num="2">
            <w:col w:w="740" w:space="720"/>
            <w:col w:w="8740"/>
          </w:cols>
          <w:pgMar w:left="820" w:top="261" w:right="879" w:bottom="1440" w:gutter="0" w:footer="0" w:header="0"/>
          <w:type w:val="continuous"/>
        </w:sectPr>
      </w:pPr>
    </w:p>
    <w:p>
      <w:pPr>
        <w:spacing w:after="0"/>
        <w:rPr>
          <w:sz w:val="20"/>
          <w:szCs w:val="20"/>
          <w:color w:val="auto"/>
        </w:rPr>
      </w:pPr>
      <w:r>
        <w:rPr>
          <w:rFonts w:ascii="Arial" w:cs="Arial" w:eastAsia="Arial" w:hAnsi="Arial"/>
          <w:sz w:val="17"/>
          <w:szCs w:val="17"/>
          <w:color w:val="auto"/>
        </w:rPr>
        <w:t>LTI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Long Term Incentives</w:t>
      </w:r>
    </w:p>
    <w:p>
      <w:pPr>
        <w:spacing w:after="0" w:line="128" w:lineRule="exact"/>
        <w:rPr>
          <w:sz w:val="20"/>
          <w:szCs w:val="20"/>
          <w:color w:val="auto"/>
        </w:rPr>
      </w:pPr>
    </w:p>
    <w:p>
      <w:pPr>
        <w:sectPr>
          <w:pgSz w:w="11900" w:h="16838" w:orient="portrait"/>
          <w:cols w:equalWidth="0" w:num="2">
            <w:col w:w="740" w:space="720"/>
            <w:col w:w="8740"/>
          </w:cols>
          <w:pgMar w:left="820" w:top="261" w:right="879" w:bottom="1440" w:gutter="0" w:footer="0" w:header="0"/>
          <w:type w:val="continuous"/>
        </w:sectPr>
      </w:pPr>
    </w:p>
    <w:p>
      <w:pPr>
        <w:spacing w:after="0"/>
        <w:rPr>
          <w:sz w:val="20"/>
          <w:szCs w:val="20"/>
          <w:color w:val="auto"/>
        </w:rPr>
      </w:pPr>
      <w:r>
        <w:rPr>
          <w:rFonts w:ascii="Arial" w:cs="Arial" w:eastAsia="Arial" w:hAnsi="Arial"/>
          <w:sz w:val="16"/>
          <w:szCs w:val="16"/>
          <w:color w:val="auto"/>
        </w:rPr>
        <w:t>STI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Short Term Incentives</w:t>
      </w:r>
    </w:p>
    <w:p>
      <w:pPr>
        <w:spacing w:after="0" w:line="129" w:lineRule="exact"/>
        <w:rPr>
          <w:sz w:val="20"/>
          <w:szCs w:val="20"/>
          <w:color w:val="auto"/>
        </w:rPr>
      </w:pPr>
    </w:p>
    <w:p>
      <w:pPr>
        <w:sectPr>
          <w:pgSz w:w="11900" w:h="16838" w:orient="portrait"/>
          <w:cols w:equalWidth="0" w:num="2">
            <w:col w:w="740" w:space="720"/>
            <w:col w:w="8740"/>
          </w:cols>
          <w:pgMar w:left="820" w:top="261" w:right="879" w:bottom="1440" w:gutter="0" w:footer="0" w:header="0"/>
          <w:type w:val="continuous"/>
        </w:sectPr>
      </w:pPr>
    </w:p>
    <w:p>
      <w:pPr>
        <w:spacing w:after="0"/>
        <w:rPr>
          <w:sz w:val="20"/>
          <w:szCs w:val="20"/>
          <w:color w:val="auto"/>
        </w:rPr>
      </w:pPr>
      <w:r>
        <w:rPr>
          <w:rFonts w:ascii="Arial" w:cs="Arial" w:eastAsia="Arial" w:hAnsi="Arial"/>
          <w:sz w:val="15"/>
          <w:szCs w:val="15"/>
          <w:color w:val="auto"/>
        </w:rPr>
        <w:t>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Regenerative Epidermal Suspension</w:t>
      </w:r>
    </w:p>
    <w:p>
      <w:pPr>
        <w:spacing w:after="0" w:line="178" w:lineRule="exact"/>
        <w:rPr>
          <w:sz w:val="20"/>
          <w:szCs w:val="20"/>
          <w:color w:val="auto"/>
        </w:rPr>
      </w:pPr>
    </w:p>
    <w:p>
      <w:pPr>
        <w:sectPr>
          <w:pgSz w:w="11900" w:h="16838" w:orient="portrait"/>
          <w:cols w:equalWidth="0" w:num="2">
            <w:col w:w="740" w:space="720"/>
            <w:col w:w="8740"/>
          </w:cols>
          <w:pgMar w:left="820" w:top="261" w:right="879" w:bottom="1440"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200"/>
          </w:cols>
          <w:pgMar w:left="820" w:top="261" w:right="87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MEETINGS</w:t>
      </w:r>
    </w:p>
    <w:p>
      <w:pPr>
        <w:spacing w:after="0" w:line="110"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The number of meetings of Directors (including meetings of Committees of Directors) held during the year and the number of meetings attended by each Director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Directors</w:t>
            </w:r>
          </w:p>
        </w:tc>
        <w:tc>
          <w:tcPr>
            <w:tcW w:w="3000" w:type="dxa"/>
            <w:vAlign w:val="bottom"/>
          </w:tcPr>
          <w:p>
            <w:pPr>
              <w:jc w:val="center"/>
              <w:spacing w:after="0"/>
              <w:rPr>
                <w:sz w:val="20"/>
                <w:szCs w:val="20"/>
                <w:color w:val="auto"/>
              </w:rPr>
            </w:pPr>
            <w:r>
              <w:rPr>
                <w:rFonts w:ascii="Arial" w:cs="Arial" w:eastAsia="Arial" w:hAnsi="Arial"/>
                <w:sz w:val="13"/>
                <w:szCs w:val="13"/>
                <w:b w:val="1"/>
                <w:bCs w:val="1"/>
                <w:color w:val="auto"/>
                <w:w w:val="91"/>
              </w:rPr>
              <w:t>Meetings of Committees</w:t>
            </w:r>
          </w:p>
        </w:tc>
        <w:tc>
          <w:tcPr>
            <w:tcW w:w="2160" w:type="dxa"/>
            <w:vAlign w:val="bottom"/>
            <w:vMerge w:val="restart"/>
          </w:tcPr>
          <w:p>
            <w:pPr>
              <w:jc w:val="center"/>
              <w:ind w:right="98"/>
              <w:spacing w:after="0"/>
              <w:rPr>
                <w:sz w:val="20"/>
                <w:szCs w:val="20"/>
                <w:color w:val="auto"/>
              </w:rPr>
            </w:pPr>
            <w:r>
              <w:rPr>
                <w:rFonts w:ascii="Arial" w:cs="Arial" w:eastAsia="Arial" w:hAnsi="Arial"/>
                <w:sz w:val="13"/>
                <w:szCs w:val="13"/>
                <w:b w:val="1"/>
                <w:bCs w:val="1"/>
                <w:color w:val="auto"/>
              </w:rPr>
              <w:t>Audit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3000" w:type="dxa"/>
            <w:vAlign w:val="bottom"/>
          </w:tcPr>
          <w:p>
            <w:pPr>
              <w:jc w:val="center"/>
              <w:spacing w:after="0"/>
              <w:rPr>
                <w:sz w:val="20"/>
                <w:szCs w:val="20"/>
                <w:color w:val="auto"/>
              </w:rPr>
            </w:pPr>
            <w:r>
              <w:rPr>
                <w:rFonts w:ascii="Arial" w:cs="Arial" w:eastAsia="Arial" w:hAnsi="Arial"/>
                <w:sz w:val="13"/>
                <w:szCs w:val="13"/>
                <w:b w:val="1"/>
                <w:bCs w:val="1"/>
                <w:color w:val="auto"/>
                <w:w w:val="93"/>
              </w:rPr>
              <w:t>Remuneration</w:t>
            </w:r>
          </w:p>
        </w:tc>
        <w:tc>
          <w:tcPr>
            <w:tcW w:w="2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Number of meetings held:</w:t>
            </w:r>
          </w:p>
        </w:tc>
        <w:tc>
          <w:tcPr>
            <w:tcW w:w="2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11</w:t>
            </w:r>
          </w:p>
        </w:tc>
        <w:tc>
          <w:tcPr>
            <w:tcW w:w="2160" w:type="dxa"/>
            <w:vAlign w:val="bottom"/>
            <w:shd w:val="clear" w:color="auto" w:fill="CCEEFF"/>
          </w:tcPr>
          <w:p>
            <w:pPr>
              <w:jc w:val="center"/>
              <w:ind w:right="118"/>
              <w:spacing w:after="0"/>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Arial" w:cs="Arial" w:eastAsia="Arial" w:hAnsi="Arial"/>
                <w:sz w:val="17"/>
                <w:szCs w:val="17"/>
                <w:b w:val="1"/>
                <w:bCs w:val="1"/>
                <w:color w:val="auto"/>
              </w:rPr>
              <w:t>Number of meetings attended:</w:t>
            </w:r>
          </w:p>
        </w:tc>
        <w:tc>
          <w:tcPr>
            <w:tcW w:w="2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Lou Panaccio</w:t>
            </w:r>
          </w:p>
        </w:tc>
        <w:tc>
          <w:tcPr>
            <w:tcW w:w="2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10</w:t>
            </w:r>
          </w:p>
        </w:tc>
        <w:tc>
          <w:tcPr>
            <w:tcW w:w="2160" w:type="dxa"/>
            <w:vAlign w:val="bottom"/>
            <w:shd w:val="clear" w:color="auto" w:fill="CCEEFF"/>
          </w:tcPr>
          <w:p>
            <w:pPr>
              <w:jc w:val="center"/>
              <w:ind w:right="118"/>
              <w:spacing w:after="0"/>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Arial" w:cs="Arial" w:eastAsia="Arial" w:hAnsi="Arial"/>
                <w:sz w:val="17"/>
                <w:szCs w:val="17"/>
                <w:color w:val="auto"/>
              </w:rPr>
              <w:t>Jeremy Curnock Cook</w:t>
            </w:r>
          </w:p>
        </w:tc>
        <w:tc>
          <w:tcPr>
            <w:tcW w:w="214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3000" w:type="dxa"/>
            <w:vAlign w:val="bottom"/>
          </w:tcPr>
          <w:p>
            <w:pPr>
              <w:jc w:val="center"/>
              <w:spacing w:after="0"/>
              <w:rPr>
                <w:sz w:val="20"/>
                <w:szCs w:val="20"/>
                <w:color w:val="auto"/>
              </w:rPr>
            </w:pPr>
            <w:r>
              <w:rPr>
                <w:rFonts w:ascii="Arial" w:cs="Arial" w:eastAsia="Arial" w:hAnsi="Arial"/>
                <w:sz w:val="17"/>
                <w:szCs w:val="17"/>
                <w:color w:val="auto"/>
                <w:w w:val="84"/>
              </w:rPr>
              <w:t>8</w:t>
            </w:r>
          </w:p>
        </w:tc>
        <w:tc>
          <w:tcPr>
            <w:tcW w:w="2160" w:type="dxa"/>
            <w:vAlign w:val="bottom"/>
          </w:tcPr>
          <w:p>
            <w:pPr>
              <w:jc w:val="center"/>
              <w:ind w:right="98"/>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Michael Perry</w:t>
            </w:r>
          </w:p>
        </w:tc>
        <w:tc>
          <w:tcPr>
            <w:tcW w:w="2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w:t>
            </w:r>
          </w:p>
        </w:tc>
        <w:tc>
          <w:tcPr>
            <w:tcW w:w="2160" w:type="dxa"/>
            <w:vAlign w:val="bottom"/>
            <w:shd w:val="clear" w:color="auto" w:fill="CCEEFF"/>
          </w:tcPr>
          <w:p>
            <w:pPr>
              <w:jc w:val="center"/>
              <w:ind w:right="118"/>
              <w:spacing w:after="0"/>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Arial" w:cs="Arial" w:eastAsia="Arial" w:hAnsi="Arial"/>
                <w:sz w:val="17"/>
                <w:szCs w:val="17"/>
                <w:color w:val="auto"/>
              </w:rPr>
              <w:t>Louis Drapeau</w:t>
            </w:r>
          </w:p>
        </w:tc>
        <w:tc>
          <w:tcPr>
            <w:tcW w:w="214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3000" w:type="dxa"/>
            <w:vAlign w:val="bottom"/>
          </w:tcPr>
          <w:p>
            <w:pPr>
              <w:jc w:val="center"/>
              <w:spacing w:after="0"/>
              <w:rPr>
                <w:sz w:val="20"/>
                <w:szCs w:val="20"/>
                <w:color w:val="auto"/>
              </w:rPr>
            </w:pPr>
            <w:r>
              <w:rPr>
                <w:rFonts w:ascii="Arial" w:cs="Arial" w:eastAsia="Arial" w:hAnsi="Arial"/>
                <w:sz w:val="17"/>
                <w:szCs w:val="17"/>
                <w:color w:val="auto"/>
                <w:w w:val="84"/>
              </w:rPr>
              <w:t>10</w:t>
            </w:r>
          </w:p>
        </w:tc>
        <w:tc>
          <w:tcPr>
            <w:tcW w:w="2160" w:type="dxa"/>
            <w:vAlign w:val="bottom"/>
          </w:tcPr>
          <w:p>
            <w:pPr>
              <w:jc w:val="center"/>
              <w:ind w:right="118"/>
              <w:spacing w:after="0"/>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Damien McDonald</w:t>
            </w:r>
          </w:p>
        </w:tc>
        <w:tc>
          <w:tcPr>
            <w:tcW w:w="2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2160" w:type="dxa"/>
            <w:vAlign w:val="bottom"/>
            <w:shd w:val="clear" w:color="auto" w:fill="CCEEFF"/>
          </w:tcPr>
          <w:p>
            <w:pPr>
              <w:jc w:val="center"/>
              <w:ind w:right="118"/>
              <w:spacing w:after="0"/>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7"/>
                <w:szCs w:val="17"/>
                <w:color w:val="auto"/>
              </w:rPr>
              <w:t>Suzanne Crowe</w:t>
            </w:r>
          </w:p>
        </w:tc>
        <w:tc>
          <w:tcPr>
            <w:tcW w:w="214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3000" w:type="dxa"/>
            <w:vAlign w:val="bottom"/>
          </w:tcPr>
          <w:p>
            <w:pPr>
              <w:jc w:val="center"/>
              <w:spacing w:after="0"/>
              <w:rPr>
                <w:sz w:val="20"/>
                <w:szCs w:val="20"/>
                <w:color w:val="auto"/>
              </w:rPr>
            </w:pPr>
            <w:r>
              <w:rPr>
                <w:rFonts w:ascii="Arial" w:cs="Arial" w:eastAsia="Arial" w:hAnsi="Arial"/>
                <w:sz w:val="17"/>
                <w:szCs w:val="17"/>
                <w:color w:val="auto"/>
                <w:w w:val="84"/>
              </w:rPr>
              <w:t>11</w:t>
            </w:r>
          </w:p>
        </w:tc>
        <w:tc>
          <w:tcPr>
            <w:tcW w:w="2160" w:type="dxa"/>
            <w:vAlign w:val="bottom"/>
          </w:tcPr>
          <w:p>
            <w:pPr>
              <w:jc w:val="center"/>
              <w:ind w:right="98"/>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Compliance matters are dealt with under a standing agenda at regular Board meetings.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 Membership</w:t>
      </w:r>
    </w:p>
    <w:p>
      <w:pPr>
        <w:spacing w:after="0" w:line="110" w:lineRule="exact"/>
        <w:rPr>
          <w:sz w:val="20"/>
          <w:szCs w:val="20"/>
          <w:color w:val="auto"/>
        </w:rPr>
      </w:pPr>
    </w:p>
    <w:p>
      <w:pPr>
        <w:ind w:right="580"/>
        <w:spacing w:after="0" w:line="268" w:lineRule="auto"/>
        <w:rPr>
          <w:sz w:val="20"/>
          <w:szCs w:val="20"/>
          <w:color w:val="auto"/>
        </w:rPr>
      </w:pPr>
      <w:r>
        <w:rPr>
          <w:rFonts w:ascii="Arial" w:cs="Arial" w:eastAsia="Arial" w:hAnsi="Arial"/>
          <w:sz w:val="17"/>
          <w:szCs w:val="17"/>
          <w:color w:val="auto"/>
        </w:rPr>
        <w:t>As at the date of this report, the Company had an Audit Committee and a Remuneration Committee, however on an ‘as required’ basis, formally constitutes a Nominations Committee dealing with appointment of Executives and Directors.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Members acting on these committees of the Board at the date of this report are:</w:t>
      </w:r>
    </w:p>
    <w:p>
      <w:pPr>
        <w:sectPr>
          <w:pgSz w:w="11900" w:h="16838" w:orient="portrait"/>
          <w:cols w:equalWidth="0" w:num="1">
            <w:col w:w="10260"/>
          </w:cols>
          <w:pgMar w:left="820" w:top="261" w:right="81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Remuneration</w:t>
      </w:r>
    </w:p>
    <w:p>
      <w:pPr>
        <w:spacing w:after="0" w:line="108" w:lineRule="exact"/>
        <w:rPr>
          <w:sz w:val="20"/>
          <w:szCs w:val="20"/>
          <w:color w:val="auto"/>
        </w:rPr>
      </w:pPr>
    </w:p>
    <w:p>
      <w:pPr>
        <w:sectPr>
          <w:pgSz w:w="11900" w:h="16838" w:orient="portrait"/>
          <w:cols w:equalWidth="0" w:num="2">
            <w:col w:w="4620" w:space="720"/>
            <w:col w:w="4920"/>
          </w:cols>
          <w:pgMar w:left="820" w:top="261" w:right="819" w:bottom="1440" w:gutter="0" w:footer="0" w:header="0"/>
          <w:type w:val="continuous"/>
        </w:sectPr>
      </w:pPr>
    </w:p>
    <w:p>
      <w:pPr>
        <w:spacing w:after="0"/>
        <w:rPr>
          <w:sz w:val="20"/>
          <w:szCs w:val="20"/>
          <w:color w:val="auto"/>
        </w:rPr>
      </w:pPr>
      <w:r>
        <w:rPr>
          <w:rFonts w:ascii="Arial" w:cs="Arial" w:eastAsia="Arial" w:hAnsi="Arial"/>
          <w:sz w:val="15"/>
          <w:szCs w:val="15"/>
          <w:color w:val="auto"/>
        </w:rPr>
        <w:t>Louis Drapeau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Suzanne Crowe (c)</w:t>
      </w:r>
    </w:p>
    <w:p>
      <w:pPr>
        <w:spacing w:after="0" w:line="129" w:lineRule="exact"/>
        <w:rPr>
          <w:sz w:val="20"/>
          <w:szCs w:val="20"/>
          <w:color w:val="auto"/>
        </w:rPr>
      </w:pPr>
    </w:p>
    <w:p>
      <w:pPr>
        <w:sectPr>
          <w:pgSz w:w="11900" w:h="16838" w:orient="portrait"/>
          <w:cols w:equalWidth="0" w:num="2">
            <w:col w:w="4620" w:space="720"/>
            <w:col w:w="4920"/>
          </w:cols>
          <w:pgMar w:left="820" w:top="261" w:right="819" w:bottom="1440" w:gutter="0" w:footer="0" w:header="0"/>
          <w:type w:val="continuous"/>
        </w:sectPr>
      </w:pPr>
    </w:p>
    <w:p>
      <w:pPr>
        <w:spacing w:after="0"/>
        <w:rPr>
          <w:sz w:val="20"/>
          <w:szCs w:val="20"/>
          <w:color w:val="auto"/>
        </w:rPr>
      </w:pPr>
      <w:r>
        <w:rPr>
          <w:rFonts w:ascii="Arial" w:cs="Arial" w:eastAsia="Arial" w:hAnsi="Arial"/>
          <w:sz w:val="15"/>
          <w:szCs w:val="15"/>
          <w:color w:val="auto"/>
        </w:rPr>
        <w:t>Lou Panaccio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Louis Drapeau</w:t>
      </w:r>
    </w:p>
    <w:p>
      <w:pPr>
        <w:spacing w:after="0" w:line="129" w:lineRule="exact"/>
        <w:rPr>
          <w:sz w:val="20"/>
          <w:szCs w:val="20"/>
          <w:color w:val="auto"/>
        </w:rPr>
      </w:pPr>
    </w:p>
    <w:p>
      <w:pPr>
        <w:sectPr>
          <w:pgSz w:w="11900" w:h="16838" w:orient="portrait"/>
          <w:cols w:equalWidth="0" w:num="2">
            <w:col w:w="4620" w:space="720"/>
            <w:col w:w="4920"/>
          </w:cols>
          <w:pgMar w:left="820" w:top="261" w:right="819" w:bottom="1440" w:gutter="0" w:footer="0" w:header="0"/>
          <w:type w:val="continuous"/>
        </w:sectPr>
      </w:pPr>
    </w:p>
    <w:p>
      <w:pPr>
        <w:spacing w:after="0"/>
        <w:rPr>
          <w:sz w:val="20"/>
          <w:szCs w:val="20"/>
          <w:color w:val="auto"/>
        </w:rPr>
      </w:pPr>
      <w:r>
        <w:rPr>
          <w:rFonts w:ascii="Arial" w:cs="Arial" w:eastAsia="Arial" w:hAnsi="Arial"/>
          <w:sz w:val="15"/>
          <w:szCs w:val="15"/>
          <w:color w:val="auto"/>
        </w:rPr>
        <w:t>Damien McDonald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Jeremy Curnock Cook</w:t>
      </w:r>
    </w:p>
    <w:p>
      <w:pPr>
        <w:spacing w:after="0" w:line="200" w:lineRule="exact"/>
        <w:rPr>
          <w:sz w:val="20"/>
          <w:szCs w:val="20"/>
          <w:color w:val="auto"/>
        </w:rPr>
      </w:pPr>
    </w:p>
    <w:p>
      <w:pPr>
        <w:sectPr>
          <w:pgSz w:w="11900" w:h="16838" w:orient="portrait"/>
          <w:cols w:equalWidth="0" w:num="2">
            <w:col w:w="4620" w:space="720"/>
            <w:col w:w="4920"/>
          </w:cols>
          <w:pgMar w:left="820" w:top="261" w:right="81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w:t>
      </w:r>
    </w:p>
    <w:p>
      <w:pPr>
        <w:spacing w:after="0" w:line="123" w:lineRule="exact"/>
        <w:rPr>
          <w:sz w:val="20"/>
          <w:szCs w:val="20"/>
          <w:color w:val="auto"/>
        </w:rPr>
      </w:pPr>
    </w:p>
    <w:p>
      <w:pPr>
        <w:ind w:left="400" w:hanging="395"/>
        <w:spacing w:after="0"/>
        <w:tabs>
          <w:tab w:leader="none" w:pos="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Designates the Chairman of each Committee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260"/>
          </w:cols>
          <w:pgMar w:left="820" w:top="261" w:right="8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REPORT (continued)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 INDEPENDENCE AND NON-AUDIT SERVICES</w:t>
      </w:r>
    </w:p>
    <w:p>
      <w:pPr>
        <w:spacing w:after="0" w:line="110"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Directors have obtained an independence declaration from our auditors, Grant Thornton Audit Pty Ltd, as presented on the following page of this report.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NON-AUDIT SERVICES</w:t>
      </w:r>
    </w:p>
    <w:p>
      <w:pPr>
        <w:spacing w:after="0" w:line="110"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Board of Directors, in accordance with advice from the Audit Committee, is satisfied that the provision of non-audit services during the year is compatible with the general standard of independence for auditors imposed by the Corporations Act 2001. The Directors are satisfied that the services did not compromise the external auditor’s independence for the following reasons:</w:t>
      </w:r>
    </w:p>
    <w:p>
      <w:pPr>
        <w:spacing w:after="0" w:line="89" w:lineRule="exact"/>
        <w:rPr>
          <w:sz w:val="20"/>
          <w:szCs w:val="20"/>
          <w:color w:val="auto"/>
        </w:rPr>
      </w:pPr>
    </w:p>
    <w:p>
      <w:pPr>
        <w:ind w:left="920" w:right="100" w:hanging="412"/>
        <w:spacing w:after="0" w:line="268" w:lineRule="auto"/>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non-audit services are reviewed and approved by the Audit Committee prior to commencement to ensure they do not adversely affect the integrity and objectivity of the auditor; and</w:t>
      </w:r>
    </w:p>
    <w:p>
      <w:pPr>
        <w:spacing w:after="0" w:line="78" w:lineRule="exact"/>
        <w:rPr>
          <w:rFonts w:ascii="Arial" w:cs="Arial" w:eastAsia="Arial" w:hAnsi="Arial"/>
          <w:sz w:val="17"/>
          <w:szCs w:val="17"/>
          <w:color w:val="auto"/>
        </w:rPr>
      </w:pPr>
    </w:p>
    <w:p>
      <w:pPr>
        <w:ind w:left="920" w:hanging="412"/>
        <w:spacing w:after="0" w:line="300" w:lineRule="auto"/>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nature of the services provided does not compromise the general principles relating to auditor independence in accordance with APES 110: Code of Ethics for Professional Accountants set by the Accounting Professional and Ethical Standards Board.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Signed in accordance with a resolution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1125220" cy="502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25220"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Michael Perry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Dated: 9 October 2019</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Valencia, California, United States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200"/>
          </w:cols>
          <w:pgMar w:left="820" w:top="261" w:right="879" w:bottom="1440" w:gutter="0" w:footer="0" w:header="0"/>
        </w:sectPr>
      </w:pPr>
    </w:p>
    <w:bookmarkStart w:id="27" w:name="page28"/>
    <w:bookmarkEnd w:id="27"/>
    <w:p>
      <w:pPr>
        <w:ind w:left="67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Central Park, Level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1660525" cy="351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60525" cy="35115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7"/>
          <w:szCs w:val="17"/>
          <w:color w:val="auto"/>
        </w:rPr>
        <w:t>152-158 St Georges Terrace</w:t>
      </w:r>
    </w:p>
    <w:p>
      <w:pPr>
        <w:spacing w:after="0" w:line="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Perth WA 6000</w:t>
      </w:r>
    </w:p>
    <w:p>
      <w:pPr>
        <w:spacing w:after="0" w:line="119"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Correspondence to:</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PO Box 7757</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Cloisters Square</w:t>
      </w:r>
    </w:p>
    <w:p>
      <w:pPr>
        <w:spacing w:after="0" w:line="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Perth WA 6850</w:t>
      </w:r>
    </w:p>
    <w:p>
      <w:pPr>
        <w:spacing w:after="0" w:line="94"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T +61 8 9480 2000</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F +61 8 9480 2050</w:t>
      </w:r>
    </w:p>
    <w:p>
      <w:pPr>
        <w:spacing w:after="0" w:line="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E info.wa@au.gt.com</w:t>
      </w:r>
    </w:p>
    <w:p>
      <w:pPr>
        <w:spacing w:after="0" w:line="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W www.grantthornton.com.au</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Auditor’s Independence Declaration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To the Directors of Avita Medical Limited</w:t>
      </w:r>
    </w:p>
    <w:p>
      <w:pPr>
        <w:spacing w:after="0" w:line="10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accordance with the requirements of section 307C of the Corporations Act 2001, as lead auditor for the audit of Avita Medical Limited for the year ended 30 June 2019, I declare that, to the best of my knowledge and belief, there have been:</w:t>
      </w:r>
    </w:p>
    <w:p>
      <w:pPr>
        <w:spacing w:after="0" w:line="79" w:lineRule="exact"/>
        <w:rPr>
          <w:sz w:val="20"/>
          <w:szCs w:val="20"/>
          <w:color w:val="auto"/>
        </w:rPr>
      </w:pPr>
    </w:p>
    <w:p>
      <w:pPr>
        <w:ind w:right="1760" w:firstLine="5"/>
        <w:spacing w:after="0" w:line="407" w:lineRule="auto"/>
        <w:tabs>
          <w:tab w:leader="none" w:pos="402"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contraventions of the auditor independence requirements of the Corporations Act 2001 in relation to the audit; and b no contraventions of any applicable code of professional conduct in relation to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862330" cy="303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2330" cy="30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Grant Thornton Audit Pty Ltd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Chartered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74065" cy="431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065" cy="431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M R Leivesley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Partner – Audit &amp; Assurance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Sydney, 9 October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65138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13830" cy="8255"/>
                    </a:xfrm>
                    <a:prstGeom prst="rect">
                      <a:avLst/>
                    </a:prstGeom>
                    <a:noFill/>
                  </pic:spPr>
                </pic:pic>
              </a:graphicData>
            </a:graphic>
          </wp:anchor>
        </w:drawing>
      </w:r>
    </w:p>
    <w:p>
      <w:pPr>
        <w:sectPr>
          <w:pgSz w:w="11900" w:h="16838" w:orient="portrait"/>
          <w:cols w:equalWidth="0" w:num="1">
            <w:col w:w="10040"/>
          </w:cols>
          <w:pgMar w:left="820" w:top="265" w:right="103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Grant Thornton Audit Pty Ltd ACN 130 913 594</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 subsidiary or related entity of Grant Thornton Australia Ltd ABN 41 127 556 389</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www.grantthornton.com.au</w:t>
      </w:r>
    </w:p>
    <w:p>
      <w:pPr>
        <w:spacing w:after="0" w:line="347" w:lineRule="exact"/>
        <w:rPr>
          <w:sz w:val="20"/>
          <w:szCs w:val="20"/>
          <w:color w:val="auto"/>
        </w:rPr>
      </w:pPr>
    </w:p>
    <w:p>
      <w:pPr>
        <w:sectPr>
          <w:pgSz w:w="11900" w:h="16838" w:orient="portrait"/>
          <w:cols w:equalWidth="0" w:num="2">
            <w:col w:w="6880" w:space="720"/>
            <w:col w:w="2440"/>
          </w:cols>
          <w:pgMar w:left="820" w:top="265" w:right="1039" w:bottom="1440" w:gutter="0" w:footer="0" w:header="0"/>
          <w:type w:val="continuous"/>
        </w:sectPr>
      </w:pPr>
    </w:p>
    <w:p>
      <w:pPr>
        <w:ind w:right="2600"/>
        <w:spacing w:after="0" w:line="267" w:lineRule="auto"/>
        <w:rPr>
          <w:sz w:val="20"/>
          <w:szCs w:val="20"/>
          <w:color w:val="auto"/>
        </w:rPr>
      </w:pPr>
      <w:r>
        <w:rPr>
          <w:rFonts w:ascii="Arial" w:cs="Arial" w:eastAsia="Arial" w:hAnsi="Arial"/>
          <w:sz w:val="16"/>
          <w:szCs w:val="16"/>
          <w:color w:val="auto"/>
        </w:rPr>
        <w:t>‘Grant Thornton’ refers to the brand under which the Grant Thornton member firms provide assurance, tax and advisory services to their clients and/or refers to one or more member firms, as the context requires. Grant Thornton Australia Ltd is a member firm of Grant Thornton International Ltd (GTIL). GTIL and the member firms are not a worldwide partnership. GTIL and each member firm is a separate legal entity. Services are delivered by the member firms. GTIL does not provide services to clients. GTIL and its member firms are not agents of, and do not obligate one another and are not liable for one another’s acts or omissions. In the Australian context only, the use of the term ‘Grant Thornton’ may refer to Grant Thornton Australia Limited ABN 41 127 556 389 and its Australian subsidiaries and related entities. GTIL is not an Australian related entity to Grant Thornton Australia Limited.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Liability limited by a scheme approved under Professional Standards Legislation.</w:t>
      </w:r>
    </w:p>
    <w:p>
      <w:pPr>
        <w:spacing w:after="0" w:line="144"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040"/>
          </w:cols>
          <w:pgMar w:left="820" w:top="265" w:right="10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PROFIT OR LOSS AND OTHER COMPREHENSIVE INCOME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560" w:type="dxa"/>
            <w:vAlign w:val="bottom"/>
          </w:tcPr>
          <w:p>
            <w:pPr>
              <w:ind w:left="1060"/>
              <w:spacing w:after="0"/>
              <w:rPr>
                <w:sz w:val="20"/>
                <w:szCs w:val="20"/>
                <w:color w:val="auto"/>
              </w:rPr>
            </w:pPr>
            <w:r>
              <w:rPr>
                <w:rFonts w:ascii="Arial" w:cs="Arial" w:eastAsia="Arial" w:hAnsi="Arial"/>
                <w:sz w:val="13"/>
                <w:szCs w:val="13"/>
                <w:b w:val="1"/>
                <w:bCs w:val="1"/>
                <w:color w:val="auto"/>
              </w:rPr>
              <w:t>Notes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7"/>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9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r>
      <w:tr>
        <w:trPr>
          <w:trHeight w:val="201"/>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Continuing operations</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Sale of goods</w:t>
            </w:r>
          </w:p>
        </w:tc>
        <w:tc>
          <w:tcPr>
            <w:tcW w:w="1560" w:type="dxa"/>
            <w:vAlign w:val="bottom"/>
          </w:tcPr>
          <w:p>
            <w:pPr>
              <w:jc w:val="center"/>
              <w:ind w:left="878"/>
              <w:spacing w:after="0"/>
              <w:rPr>
                <w:sz w:val="20"/>
                <w:szCs w:val="20"/>
                <w:color w:val="auto"/>
              </w:rPr>
            </w:pPr>
            <w:r>
              <w:rPr>
                <w:rFonts w:ascii="Arial" w:cs="Arial" w:eastAsia="Arial" w:hAnsi="Arial"/>
                <w:sz w:val="17"/>
                <w:szCs w:val="17"/>
                <w:color w:val="auto"/>
                <w:w w:val="84"/>
              </w:rPr>
              <w:t>2a</w:t>
            </w:r>
          </w:p>
        </w:tc>
        <w:tc>
          <w:tcPr>
            <w:tcW w:w="380" w:type="dxa"/>
            <w:vAlign w:val="bottom"/>
            <w:gridSpan w:val="2"/>
          </w:tcPr>
          <w:p>
            <w:pPr>
              <w:ind w:left="160"/>
              <w:spacing w:after="0"/>
              <w:rPr>
                <w:sz w:val="20"/>
                <w:szCs w:val="20"/>
                <w:color w:val="auto"/>
              </w:rPr>
            </w:pPr>
            <w:r>
              <w:rPr>
                <w:rFonts w:ascii="Arial" w:cs="Arial" w:eastAsia="Arial" w:hAnsi="Arial"/>
                <w:sz w:val="17"/>
                <w:szCs w:val="17"/>
                <w:color w:val="auto"/>
                <w:w w:val="95"/>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7,705,398</w:t>
            </w:r>
          </w:p>
        </w:tc>
        <w:tc>
          <w:tcPr>
            <w:tcW w:w="22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A$</w:t>
            </w:r>
          </w:p>
        </w:tc>
        <w:tc>
          <w:tcPr>
            <w:tcW w:w="820" w:type="dxa"/>
            <w:vAlign w:val="bottom"/>
          </w:tcPr>
          <w:p>
            <w:pPr>
              <w:jc w:val="right"/>
              <w:spacing w:after="0"/>
              <w:rPr>
                <w:sz w:val="20"/>
                <w:szCs w:val="20"/>
                <w:color w:val="auto"/>
              </w:rPr>
            </w:pPr>
            <w:r>
              <w:rPr>
                <w:rFonts w:ascii="Arial" w:cs="Arial" w:eastAsia="Arial" w:hAnsi="Arial"/>
                <w:sz w:val="17"/>
                <w:szCs w:val="17"/>
                <w:color w:val="auto"/>
              </w:rPr>
              <w:t>1,198,861</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1560" w:type="dxa"/>
            <w:vAlign w:val="bottom"/>
            <w:shd w:val="clear" w:color="auto" w:fill="CCEEFF"/>
          </w:tcPr>
          <w:p>
            <w:pPr>
              <w:jc w:val="center"/>
              <w:ind w:left="878"/>
              <w:spacing w:after="0"/>
              <w:rPr>
                <w:sz w:val="20"/>
                <w:szCs w:val="20"/>
                <w:color w:val="auto"/>
              </w:rPr>
            </w:pPr>
            <w:r>
              <w:rPr>
                <w:rFonts w:ascii="Arial" w:cs="Arial" w:eastAsia="Arial" w:hAnsi="Arial"/>
                <w:sz w:val="17"/>
                <w:szCs w:val="17"/>
                <w:color w:val="auto"/>
                <w:w w:val="84"/>
              </w:rPr>
              <w:t>2e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w w:val="98"/>
              </w:rPr>
              <w:t>(1,697,823)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(511,646)</w:t>
            </w:r>
          </w:p>
        </w:tc>
      </w:tr>
      <w:tr>
        <w:trPr>
          <w:trHeight w:val="206"/>
        </w:trPr>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Gross profit</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6,007,575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687,215</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BARDA income</w:t>
            </w:r>
          </w:p>
        </w:tc>
        <w:tc>
          <w:tcPr>
            <w:tcW w:w="1560" w:type="dxa"/>
            <w:vAlign w:val="bottom"/>
            <w:shd w:val="clear" w:color="auto" w:fill="CCEEFF"/>
          </w:tcPr>
          <w:p>
            <w:pPr>
              <w:jc w:val="center"/>
              <w:ind w:left="858"/>
              <w:spacing w:after="0"/>
              <w:rPr>
                <w:sz w:val="20"/>
                <w:szCs w:val="20"/>
                <w:color w:val="auto"/>
              </w:rPr>
            </w:pPr>
            <w:r>
              <w:rPr>
                <w:rFonts w:ascii="Arial" w:cs="Arial" w:eastAsia="Arial" w:hAnsi="Arial"/>
                <w:sz w:val="17"/>
                <w:szCs w:val="17"/>
                <w:color w:val="auto"/>
                <w:w w:val="94"/>
              </w:rPr>
              <w:t>2b</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8,259,152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10,104,081</w:t>
            </w:r>
          </w:p>
        </w:tc>
        <w:tc>
          <w:tcPr>
            <w:tcW w:w="1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Other income</w:t>
            </w:r>
          </w:p>
        </w:tc>
        <w:tc>
          <w:tcPr>
            <w:tcW w:w="1560" w:type="dxa"/>
            <w:vAlign w:val="bottom"/>
          </w:tcPr>
          <w:p>
            <w:pPr>
              <w:jc w:val="center"/>
              <w:ind w:left="858"/>
              <w:spacing w:after="0"/>
              <w:rPr>
                <w:sz w:val="20"/>
                <w:szCs w:val="20"/>
                <w:color w:val="auto"/>
              </w:rPr>
            </w:pPr>
            <w:r>
              <w:rPr>
                <w:rFonts w:ascii="Arial" w:cs="Arial" w:eastAsia="Arial" w:hAnsi="Arial"/>
                <w:sz w:val="17"/>
                <w:szCs w:val="17"/>
                <w:color w:val="auto"/>
                <w:w w:val="94"/>
              </w:rPr>
              <w:t>2b</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456,695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68,617</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other income</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8,715,847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10,172,698</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b w:val="1"/>
                <w:bCs w:val="1"/>
                <w:color w:val="auto"/>
              </w:rPr>
              <w:t>Operating costs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expenses</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w w:val="89"/>
              </w:rPr>
              <w:t>(17,576,754)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(8,936,441)</w:t>
            </w:r>
          </w:p>
        </w:tc>
      </w:tr>
      <w:tr>
        <w:trPr>
          <w:trHeight w:val="201"/>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Corporate and administrative expenses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7"/>
                <w:szCs w:val="17"/>
                <w:color w:val="auto"/>
                <w:w w:val="89"/>
              </w:rPr>
              <w:t>(15,398,177)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w w:val="98"/>
              </w:rPr>
              <w:t>(5,360,553)</w:t>
            </w:r>
          </w:p>
        </w:tc>
      </w:tr>
      <w:tr>
        <w:trPr>
          <w:trHeight w:val="201"/>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 expenses</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w w:val="89"/>
              </w:rPr>
              <w:t>(14,361,995)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(12,606,127)</w:t>
            </w:r>
          </w:p>
        </w:tc>
      </w:tr>
      <w:tr>
        <w:trPr>
          <w:trHeight w:val="201"/>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Share based payment expenses</w:t>
            </w:r>
          </w:p>
        </w:tc>
        <w:tc>
          <w:tcPr>
            <w:tcW w:w="1560" w:type="dxa"/>
            <w:vAlign w:val="bottom"/>
          </w:tcPr>
          <w:p>
            <w:pPr>
              <w:jc w:val="center"/>
              <w:ind w:left="858"/>
              <w:spacing w:after="0"/>
              <w:rPr>
                <w:sz w:val="20"/>
                <w:szCs w:val="20"/>
                <w:color w:val="auto"/>
              </w:rPr>
            </w:pPr>
            <w:r>
              <w:rPr>
                <w:rFonts w:ascii="Arial" w:cs="Arial" w:eastAsia="Arial" w:hAnsi="Arial"/>
                <w:sz w:val="17"/>
                <w:szCs w:val="17"/>
                <w:color w:val="auto"/>
                <w:w w:val="94"/>
              </w:rPr>
              <w:t>2g</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7"/>
                <w:szCs w:val="17"/>
                <w:color w:val="auto"/>
                <w:w w:val="98"/>
              </w:rPr>
              <w:t>(2,688,817)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w w:val="98"/>
              </w:rPr>
              <w:t>(1,835,157)</w:t>
            </w:r>
          </w:p>
        </w:tc>
      </w:tr>
      <w:tr>
        <w:trPr>
          <w:trHeight w:val="201"/>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Finance costs</w:t>
            </w:r>
          </w:p>
        </w:tc>
        <w:tc>
          <w:tcPr>
            <w:tcW w:w="1560" w:type="dxa"/>
            <w:vAlign w:val="bottom"/>
            <w:shd w:val="clear" w:color="auto" w:fill="CCEEFF"/>
          </w:tcPr>
          <w:p>
            <w:pPr>
              <w:jc w:val="center"/>
              <w:ind w:left="878"/>
              <w:spacing w:after="0"/>
              <w:rPr>
                <w:sz w:val="20"/>
                <w:szCs w:val="20"/>
                <w:color w:val="auto"/>
              </w:rPr>
            </w:pPr>
            <w:r>
              <w:rPr>
                <w:rFonts w:ascii="Arial" w:cs="Arial" w:eastAsia="Arial" w:hAnsi="Arial"/>
                <w:sz w:val="17"/>
                <w:szCs w:val="17"/>
                <w:color w:val="auto"/>
                <w:w w:val="88"/>
              </w:rPr>
              <w:t>2c</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(37,769)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(26,586)</w:t>
            </w:r>
          </w:p>
        </w:tc>
      </w:tr>
      <w:tr>
        <w:trPr>
          <w:trHeight w:val="211"/>
        </w:trPr>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Total operating costs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2"/>
              </w:rPr>
              <w:t>(50,063,512)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2"/>
              </w:rPr>
              <w:t>(28,764,864)</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from continuing operations before income tax benefit</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b w:val="1"/>
                <w:bCs w:val="1"/>
                <w:color w:val="auto"/>
                <w:w w:val="89"/>
              </w:rPr>
              <w:t>(35,340,090)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(17,904,951)</w:t>
            </w:r>
          </w:p>
        </w:tc>
      </w:tr>
      <w:tr>
        <w:trPr>
          <w:trHeight w:val="206"/>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Income tax benefit</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179,863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1,385,796</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for the period</w:t>
            </w:r>
          </w:p>
        </w:tc>
        <w:tc>
          <w:tcPr>
            <w:tcW w:w="1560" w:type="dxa"/>
            <w:vAlign w:val="bottom"/>
            <w:shd w:val="clear" w:color="auto" w:fill="CCEEFF"/>
          </w:tcPr>
          <w:p>
            <w:pPr>
              <w:jc w:val="center"/>
              <w:ind w:left="878"/>
              <w:spacing w:after="0"/>
              <w:rPr>
                <w:sz w:val="20"/>
                <w:szCs w:val="20"/>
                <w:color w:val="auto"/>
              </w:rPr>
            </w:pPr>
            <w:r>
              <w:rPr>
                <w:rFonts w:ascii="Arial" w:cs="Arial" w:eastAsia="Arial" w:hAnsi="Arial"/>
                <w:sz w:val="17"/>
                <w:szCs w:val="17"/>
                <w:b w:val="1"/>
                <w:bCs w:val="1"/>
                <w:color w:val="auto"/>
                <w:w w:val="84"/>
              </w:rPr>
              <w:t>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b w:val="1"/>
                <w:bCs w:val="1"/>
                <w:color w:val="auto"/>
                <w:w w:val="89"/>
              </w:rPr>
              <w:t>(35,160,227)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(16,519,155)</w:t>
            </w:r>
          </w:p>
        </w:tc>
      </w:tr>
      <w:tr>
        <w:trPr>
          <w:trHeight w:val="201"/>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b w:val="1"/>
                <w:bCs w:val="1"/>
                <w:color w:val="auto"/>
              </w:rPr>
              <w:t>Other comprehensive income</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Items that may be reclassified subsequently to profit and loss:</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Foreign currency translation</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1,783,222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563,279</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 for the period, net of tax</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1,783,222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563,279</w:t>
            </w:r>
          </w:p>
        </w:tc>
        <w:tc>
          <w:tcPr>
            <w:tcW w:w="100" w:type="dxa"/>
            <w:vAlign w:val="bottom"/>
            <w:shd w:val="clear" w:color="auto" w:fill="CCEEFF"/>
          </w:tcPr>
          <w:p>
            <w:pPr>
              <w:spacing w:after="0"/>
              <w:rPr>
                <w:sz w:val="17"/>
                <w:szCs w:val="17"/>
                <w:color w:val="auto"/>
              </w:rPr>
            </w:pPr>
          </w:p>
        </w:tc>
      </w:tr>
      <w:tr>
        <w:trPr>
          <w:trHeight w:val="206"/>
        </w:trPr>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Total other comprehensive loss for the period</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91"/>
              </w:rPr>
              <w:t>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(33,377,005</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2"/>
              </w:rPr>
              <w:t>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(15,955,876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9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Loss for the period attributable to owners of the parent</w:t>
            </w: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1"/>
              <w:spacing w:after="0" w:line="192" w:lineRule="exact"/>
              <w:rPr>
                <w:sz w:val="20"/>
                <w:szCs w:val="20"/>
                <w:color w:val="auto"/>
              </w:rPr>
            </w:pPr>
            <w:r>
              <w:rPr>
                <w:rFonts w:ascii="Arial" w:cs="Arial" w:eastAsia="Arial" w:hAnsi="Arial"/>
                <w:sz w:val="17"/>
                <w:szCs w:val="17"/>
                <w:color w:val="auto"/>
                <w:w w:val="89"/>
              </w:rPr>
              <w:t>(35,160,227)</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w w:val="89"/>
              </w:rPr>
              <w:t>(16,519,155)</w:t>
            </w:r>
          </w:p>
        </w:tc>
      </w:tr>
      <w:tr>
        <w:trPr>
          <w:trHeight w:val="206"/>
        </w:trPr>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Total comprehensive loss attributable to owners of the parent</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91"/>
              </w:rPr>
              <w:t>A$</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(33,377,005</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2"/>
              </w:rPr>
              <w:t>A$</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(15,955,876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9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Basic loss per share attributable to ordinary equity holders of the parent</w:t>
            </w:r>
          </w:p>
        </w:tc>
        <w:tc>
          <w:tcPr>
            <w:tcW w:w="15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7"/>
                <w:szCs w:val="17"/>
                <w:color w:val="auto"/>
                <w:w w:val="95"/>
              </w:rPr>
              <w:t>A$</w:t>
            </w:r>
          </w:p>
        </w:tc>
        <w:tc>
          <w:tcPr>
            <w:tcW w:w="1040" w:type="dxa"/>
            <w:vAlign w:val="bottom"/>
            <w:gridSpan w:val="2"/>
            <w:shd w:val="clear" w:color="auto" w:fill="CCEEFF"/>
          </w:tcPr>
          <w:p>
            <w:pPr>
              <w:jc w:val="right"/>
              <w:ind w:right="141"/>
              <w:spacing w:after="0" w:line="192" w:lineRule="exact"/>
              <w:rPr>
                <w:sz w:val="20"/>
                <w:szCs w:val="20"/>
                <w:color w:val="auto"/>
              </w:rPr>
            </w:pPr>
            <w:r>
              <w:rPr>
                <w:rFonts w:ascii="Arial" w:cs="Arial" w:eastAsia="Arial" w:hAnsi="Arial"/>
                <w:sz w:val="17"/>
                <w:szCs w:val="17"/>
                <w:color w:val="auto"/>
                <w:w w:val="89"/>
              </w:rPr>
              <w:t>(2.78) cents</w:t>
            </w:r>
          </w:p>
        </w:tc>
        <w:tc>
          <w:tcPr>
            <w:tcW w:w="3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A$</w:t>
            </w:r>
          </w:p>
        </w:tc>
        <w:tc>
          <w:tcPr>
            <w:tcW w:w="920" w:type="dxa"/>
            <w:vAlign w:val="bottom"/>
            <w:gridSpan w:val="2"/>
            <w:shd w:val="clear" w:color="auto" w:fill="CCEEFF"/>
          </w:tcPr>
          <w:p>
            <w:pPr>
              <w:jc w:val="right"/>
              <w:ind w:right="21"/>
              <w:spacing w:after="0" w:line="192" w:lineRule="exact"/>
              <w:rPr>
                <w:sz w:val="20"/>
                <w:szCs w:val="20"/>
                <w:color w:val="auto"/>
              </w:rPr>
            </w:pPr>
            <w:r>
              <w:rPr>
                <w:rFonts w:ascii="Arial" w:cs="Arial" w:eastAsia="Arial" w:hAnsi="Arial"/>
                <w:sz w:val="17"/>
                <w:szCs w:val="17"/>
                <w:color w:val="auto"/>
                <w:w w:val="89"/>
              </w:rPr>
              <w:t>(1.77) cents</w:t>
            </w:r>
          </w:p>
        </w:tc>
      </w:tr>
      <w:tr>
        <w:trPr>
          <w:trHeight w:val="213"/>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Diluted loss per share attributable to ordinary equity holders of the parent</w:t>
            </w:r>
          </w:p>
        </w:tc>
        <w:tc>
          <w:tcPr>
            <w:tcW w:w="156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Arial" w:cs="Arial" w:eastAsia="Arial" w:hAnsi="Arial"/>
                <w:sz w:val="17"/>
                <w:szCs w:val="17"/>
                <w:color w:val="auto"/>
                <w:w w:val="95"/>
              </w:rPr>
              <w:t>A$</w:t>
            </w:r>
          </w:p>
        </w:tc>
        <w:tc>
          <w:tcPr>
            <w:tcW w:w="1040" w:type="dxa"/>
            <w:vAlign w:val="bottom"/>
            <w:gridSpan w:val="2"/>
          </w:tcPr>
          <w:p>
            <w:pPr>
              <w:jc w:val="right"/>
              <w:ind w:right="141"/>
              <w:spacing w:after="0"/>
              <w:rPr>
                <w:sz w:val="20"/>
                <w:szCs w:val="20"/>
                <w:color w:val="auto"/>
              </w:rPr>
            </w:pPr>
            <w:r>
              <w:rPr>
                <w:rFonts w:ascii="Arial" w:cs="Arial" w:eastAsia="Arial" w:hAnsi="Arial"/>
                <w:sz w:val="17"/>
                <w:szCs w:val="17"/>
                <w:color w:val="auto"/>
                <w:w w:val="89"/>
              </w:rPr>
              <w:t>(2.78) cents</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A$</w:t>
            </w:r>
          </w:p>
        </w:tc>
        <w:tc>
          <w:tcPr>
            <w:tcW w:w="920" w:type="dxa"/>
            <w:vAlign w:val="bottom"/>
            <w:gridSpan w:val="2"/>
          </w:tcPr>
          <w:p>
            <w:pPr>
              <w:jc w:val="right"/>
              <w:ind w:right="21"/>
              <w:spacing w:after="0"/>
              <w:rPr>
                <w:sz w:val="20"/>
                <w:szCs w:val="20"/>
                <w:color w:val="auto"/>
              </w:rPr>
            </w:pPr>
            <w:r>
              <w:rPr>
                <w:rFonts w:ascii="Arial" w:cs="Arial" w:eastAsia="Arial" w:hAnsi="Arial"/>
                <w:sz w:val="17"/>
                <w:szCs w:val="17"/>
                <w:color w:val="auto"/>
                <w:w w:val="89"/>
              </w:rPr>
              <w:t>(1.77) cents</w:t>
            </w:r>
          </w:p>
        </w:tc>
      </w:tr>
    </w:tbl>
    <w:p>
      <w:pPr>
        <w:spacing w:after="0" w:line="177" w:lineRule="exact"/>
        <w:rPr>
          <w:sz w:val="20"/>
          <w:szCs w:val="20"/>
          <w:color w:val="auto"/>
        </w:rPr>
      </w:pPr>
    </w:p>
    <w:p>
      <w:pPr>
        <w:ind w:left="5060" w:right="5040" w:hanging="5044"/>
        <w:spacing w:after="0" w:line="411" w:lineRule="auto"/>
        <w:rPr>
          <w:sz w:val="20"/>
          <w:szCs w:val="20"/>
          <w:color w:val="auto"/>
        </w:rPr>
      </w:pPr>
      <w:r>
        <w:rPr>
          <w:rFonts w:ascii="Arial" w:cs="Arial" w:eastAsia="Arial" w:hAnsi="Arial"/>
          <w:sz w:val="14"/>
          <w:szCs w:val="14"/>
          <w:color w:val="auto"/>
        </w:rPr>
        <w:t>The accompanying notes form part of the consolidated financial statements. 26</w:t>
      </w:r>
    </w:p>
    <w:p>
      <w:pPr>
        <w:sectPr>
          <w:pgSz w:w="11900" w:h="16838" w:orient="portrait"/>
          <w:cols w:equalWidth="0" w:num="1">
            <w:col w:w="10260"/>
          </w:cols>
          <w:pgMar w:left="820" w:top="261" w:right="81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FINANCIAL POSITION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AT 30 JUNE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340" w:type="dxa"/>
            <w:vAlign w:val="bottom"/>
            <w:tcBorders>
              <w:bottom w:val="single" w:sz="8" w:color="CCEEFF"/>
            </w:tcBorders>
          </w:tcPr>
          <w:p>
            <w:pPr>
              <w:spacing w:after="0"/>
              <w:rPr>
                <w:sz w:val="13"/>
                <w:szCs w:val="13"/>
                <w:color w:val="auto"/>
              </w:rPr>
            </w:pPr>
          </w:p>
        </w:tc>
        <w:tc>
          <w:tcPr>
            <w:tcW w:w="20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line="181" w:lineRule="exact"/>
              <w:rPr>
                <w:sz w:val="20"/>
                <w:szCs w:val="20"/>
                <w:color w:val="auto"/>
              </w:rPr>
            </w:pPr>
            <w:r>
              <w:rPr>
                <w:rFonts w:ascii="Arial" w:cs="Arial" w:eastAsia="Arial" w:hAnsi="Arial"/>
                <w:sz w:val="17"/>
                <w:szCs w:val="17"/>
                <w:b w:val="1"/>
                <w:bCs w:val="1"/>
                <w:color w:val="auto"/>
              </w:rPr>
              <w:t>ASSETS</w:t>
            </w:r>
          </w:p>
        </w:tc>
        <w:tc>
          <w:tcPr>
            <w:tcW w:w="2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220" w:type="dxa"/>
            <w:vAlign w:val="bottom"/>
            <w:gridSpan w:val="2"/>
            <w:shd w:val="clear" w:color="auto" w:fill="CCEEFF"/>
          </w:tcPr>
          <w:p>
            <w:pPr>
              <w:ind w:left="2000"/>
              <w:spacing w:after="0"/>
              <w:rPr>
                <w:sz w:val="20"/>
                <w:szCs w:val="20"/>
                <w:color w:val="auto"/>
              </w:rPr>
            </w:pPr>
            <w:r>
              <w:rPr>
                <w:rFonts w:ascii="Arial" w:cs="Arial" w:eastAsia="Arial" w:hAnsi="Arial"/>
                <w:sz w:val="17"/>
                <w:szCs w:val="17"/>
                <w:color w:val="auto"/>
                <w:w w:val="95"/>
              </w:rPr>
              <w:t>A$</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28,983,491</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A$</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14,825,532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Trade and other receivables</w:t>
            </w: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2,980,102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5,437,357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Prepayments and other assets</w:t>
            </w: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1,557,525</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855,716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Inventories</w:t>
            </w:r>
          </w:p>
        </w:tc>
        <w:tc>
          <w:tcPr>
            <w:tcW w:w="2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1,057,764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1,155,826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Current Assets</w:t>
            </w:r>
          </w:p>
        </w:tc>
        <w:tc>
          <w:tcPr>
            <w:tcW w:w="20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34,578,882</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22,274,431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60" w:type="dxa"/>
            <w:vAlign w:val="bottom"/>
            <w:gridSpan w:val="2"/>
          </w:tcPr>
          <w:p>
            <w:pPr>
              <w:spacing w:after="0"/>
              <w:rPr>
                <w:sz w:val="20"/>
                <w:szCs w:val="20"/>
                <w:color w:val="auto"/>
              </w:rPr>
            </w:pPr>
            <w:r>
              <w:rPr>
                <w:rFonts w:ascii="Arial" w:cs="Arial" w:eastAsia="Arial" w:hAnsi="Arial"/>
                <w:sz w:val="17"/>
                <w:szCs w:val="17"/>
                <w:b w:val="1"/>
                <w:bCs w:val="1"/>
                <w:color w:val="auto"/>
              </w:rPr>
              <w:t>Non-Current Assets</w:t>
            </w: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Plant and equipment</w:t>
            </w: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1,838,515</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742,583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Patents-in-progress</w:t>
            </w: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320,676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Non-Current Assets</w:t>
            </w:r>
          </w:p>
        </w:tc>
        <w:tc>
          <w:tcPr>
            <w:tcW w:w="200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2,159,191</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742,583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60" w:type="dxa"/>
            <w:vAlign w:val="bottom"/>
            <w:gridSpan w:val="2"/>
          </w:tcPr>
          <w:p>
            <w:pPr>
              <w:spacing w:after="0"/>
              <w:rPr>
                <w:sz w:val="20"/>
                <w:szCs w:val="20"/>
                <w:color w:val="auto"/>
              </w:rPr>
            </w:pPr>
            <w:r>
              <w:rPr>
                <w:rFonts w:ascii="Arial" w:cs="Arial" w:eastAsia="Arial" w:hAnsi="Arial"/>
                <w:sz w:val="17"/>
                <w:szCs w:val="17"/>
                <w:b w:val="1"/>
                <w:bCs w:val="1"/>
                <w:color w:val="auto"/>
              </w:rPr>
              <w:t>TOTAL ASSETS</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36,738,073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23,017,014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Trade and other payables</w:t>
            </w: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5,633,562</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3,487,582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Provisions</w:t>
            </w:r>
          </w:p>
        </w:tc>
        <w:tc>
          <w:tcPr>
            <w:tcW w:w="2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650,359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395,535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Current Liabilities</w:t>
            </w:r>
          </w:p>
        </w:tc>
        <w:tc>
          <w:tcPr>
            <w:tcW w:w="20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6,283,921</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3,883,117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60" w:type="dxa"/>
            <w:vAlign w:val="bottom"/>
            <w:gridSpan w:val="2"/>
          </w:tcPr>
          <w:p>
            <w:pPr>
              <w:spacing w:after="0"/>
              <w:rPr>
                <w:sz w:val="20"/>
                <w:szCs w:val="20"/>
                <w:color w:val="auto"/>
              </w:rPr>
            </w:pPr>
            <w:r>
              <w:rPr>
                <w:rFonts w:ascii="Arial" w:cs="Arial" w:eastAsia="Arial" w:hAnsi="Arial"/>
                <w:sz w:val="17"/>
                <w:szCs w:val="17"/>
                <w:b w:val="1"/>
                <w:bCs w:val="1"/>
                <w:color w:val="auto"/>
              </w:rPr>
              <w:t>Non-Current liabilities</w:t>
            </w: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Contract liability</w:t>
            </w: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610,674</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Finance lease</w:t>
            </w:r>
          </w:p>
        </w:tc>
        <w:tc>
          <w:tcPr>
            <w:tcW w:w="2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54,057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Non-Current liabilities</w:t>
            </w:r>
          </w:p>
        </w:tc>
        <w:tc>
          <w:tcPr>
            <w:tcW w:w="20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664,731</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134,338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6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6,948,652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4,017,455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ASSETS</w:t>
            </w:r>
          </w:p>
        </w:tc>
        <w:tc>
          <w:tcPr>
            <w:tcW w:w="2220" w:type="dxa"/>
            <w:vAlign w:val="bottom"/>
            <w:gridSpan w:val="2"/>
            <w:shd w:val="clear" w:color="auto" w:fill="CCEEFF"/>
          </w:tcPr>
          <w:p>
            <w:pPr>
              <w:ind w:left="200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29,789,421</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18,999,559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EQUITY</w:t>
            </w:r>
          </w:p>
        </w:tc>
        <w:tc>
          <w:tcPr>
            <w:tcW w:w="2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60" w:type="dxa"/>
            <w:vAlign w:val="bottom"/>
            <w:gridSpan w:val="2"/>
            <w:vMerge w:val="continue"/>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Equity attributable to equity holders of the parent:</w:t>
            </w: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Contributed equity</w:t>
            </w: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3"/>
              </w:rPr>
              <w:t>204,279,078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3"/>
              </w:rPr>
              <w:t>162,801,028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Accumulated losses</w:t>
            </w: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(183,753,106)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(148,592,879)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Reserves</w:t>
            </w:r>
          </w:p>
        </w:tc>
        <w:tc>
          <w:tcPr>
            <w:tcW w:w="2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9,263,449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4,791,410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EQUITY</w:t>
            </w:r>
          </w:p>
        </w:tc>
        <w:tc>
          <w:tcPr>
            <w:tcW w:w="2220" w:type="dxa"/>
            <w:vAlign w:val="bottom"/>
            <w:gridSpan w:val="2"/>
            <w:shd w:val="clear" w:color="auto" w:fill="CCEEFF"/>
          </w:tcPr>
          <w:p>
            <w:pPr>
              <w:ind w:left="200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29,789,421</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18,999,559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60" w:right="5040" w:hanging="5044"/>
        <w:spacing w:after="0" w:line="411" w:lineRule="auto"/>
        <w:rPr>
          <w:sz w:val="20"/>
          <w:szCs w:val="20"/>
          <w:color w:val="auto"/>
        </w:rPr>
      </w:pPr>
      <w:r>
        <w:rPr>
          <w:rFonts w:ascii="Arial" w:cs="Arial" w:eastAsia="Arial" w:hAnsi="Arial"/>
          <w:sz w:val="14"/>
          <w:szCs w:val="14"/>
          <w:color w:val="auto"/>
        </w:rPr>
        <w:t>The accompanying notes form part of the consolidated financial statements. 27</w:t>
      </w:r>
    </w:p>
    <w:p>
      <w:pPr>
        <w:sectPr>
          <w:pgSz w:w="11900" w:h="16838" w:orient="portrait"/>
          <w:cols w:equalWidth="0" w:num="1">
            <w:col w:w="10260"/>
          </w:cols>
          <w:pgMar w:left="820" w:top="261" w:right="81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560" w:type="dxa"/>
            <w:vAlign w:val="bottom"/>
            <w:tcBorders>
              <w:bottom w:val="single" w:sz="8" w:color="CCEEFF"/>
            </w:tcBorders>
          </w:tcPr>
          <w:p>
            <w:pPr>
              <w:spacing w:after="0"/>
              <w:rPr>
                <w:sz w:val="13"/>
                <w:szCs w:val="13"/>
                <w:color w:val="auto"/>
              </w:rPr>
            </w:pPr>
          </w:p>
        </w:tc>
        <w:tc>
          <w:tcPr>
            <w:tcW w:w="20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60" w:type="dxa"/>
            <w:vAlign w:val="bottom"/>
            <w:shd w:val="clear" w:color="auto" w:fill="CCEEFF"/>
          </w:tcPr>
          <w:p>
            <w:pPr>
              <w:spacing w:after="0" w:line="181" w:lineRule="exact"/>
              <w:rPr>
                <w:sz w:val="20"/>
                <w:szCs w:val="20"/>
                <w:color w:val="auto"/>
              </w:rPr>
            </w:pPr>
            <w:r>
              <w:rPr>
                <w:rFonts w:ascii="Arial" w:cs="Arial" w:eastAsia="Arial" w:hAnsi="Arial"/>
                <w:sz w:val="17"/>
                <w:szCs w:val="17"/>
                <w:b w:val="1"/>
                <w:bCs w:val="1"/>
                <w:color w:val="auto"/>
              </w:rPr>
              <w:t>Cash flows from operating activities</w:t>
            </w:r>
          </w:p>
        </w:tc>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Payments to suppliers and employees</w:t>
            </w:r>
          </w:p>
        </w:tc>
        <w:tc>
          <w:tcPr>
            <w:tcW w:w="2280" w:type="dxa"/>
            <w:vAlign w:val="bottom"/>
            <w:gridSpan w:val="2"/>
          </w:tcPr>
          <w:p>
            <w:pPr>
              <w:ind w:left="2060"/>
              <w:spacing w:after="0"/>
              <w:rPr>
                <w:sz w:val="20"/>
                <w:szCs w:val="20"/>
                <w:color w:val="auto"/>
              </w:rPr>
            </w:pPr>
            <w:r>
              <w:rPr>
                <w:rFonts w:ascii="Arial" w:cs="Arial" w:eastAsia="Arial" w:hAnsi="Arial"/>
                <w:sz w:val="17"/>
                <w:szCs w:val="17"/>
                <w:color w:val="auto"/>
                <w:w w:val="95"/>
              </w:rPr>
              <w:t>A$</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(46,420,306)</w:t>
            </w:r>
          </w:p>
        </w:tc>
        <w:tc>
          <w:tcPr>
            <w:tcW w:w="400" w:type="dxa"/>
            <w:vAlign w:val="bottom"/>
            <w:gridSpan w:val="2"/>
          </w:tcPr>
          <w:p>
            <w:pPr>
              <w:ind w:left="180"/>
              <w:spacing w:after="0"/>
              <w:rPr>
                <w:sz w:val="20"/>
                <w:szCs w:val="20"/>
                <w:color w:val="auto"/>
              </w:rPr>
            </w:pPr>
            <w:r>
              <w:rPr>
                <w:rFonts w:ascii="Arial" w:cs="Arial" w:eastAsia="Arial" w:hAnsi="Arial"/>
                <w:sz w:val="17"/>
                <w:szCs w:val="17"/>
                <w:color w:val="auto"/>
                <w:w w:val="95"/>
              </w:rPr>
              <w:t>A$</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(25,681,347)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Interest paid</w:t>
            </w: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(26,586)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BARDA receipts and other income received</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6"/>
              </w:rPr>
              <w:t>10,056,537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8,206,863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Receipts from customers</w:t>
            </w: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5,826,634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1,129,046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R&amp;D tax refund received</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2,440,803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Contract liability</w:t>
            </w: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610,672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5580" w:type="dxa"/>
            <w:vAlign w:val="bottom"/>
            <w:gridSpan w:val="2"/>
          </w:tcPr>
          <w:p>
            <w:pPr>
              <w:spacing w:after="0"/>
              <w:rPr>
                <w:sz w:val="20"/>
                <w:szCs w:val="20"/>
                <w:color w:val="auto"/>
              </w:rPr>
            </w:pPr>
            <w:r>
              <w:rPr>
                <w:rFonts w:ascii="Arial" w:cs="Arial" w:eastAsia="Arial" w:hAnsi="Arial"/>
                <w:sz w:val="17"/>
                <w:szCs w:val="17"/>
                <w:b w:val="1"/>
                <w:bCs w:val="1"/>
                <w:color w:val="auto"/>
              </w:rPr>
              <w:t>Net cash flows used in operating activities</w:t>
            </w:r>
          </w:p>
        </w:tc>
        <w:tc>
          <w:tcPr>
            <w:tcW w:w="2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(27,485,659)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5"/>
              </w:rPr>
              <w:t>(16,372,024)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Payments for plant and equipment</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(1,473,934)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(498,749)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Payments for intellectual property</w:t>
            </w: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(320,676)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5580" w:type="dxa"/>
            <w:vAlign w:val="bottom"/>
            <w:gridSpan w:val="2"/>
          </w:tcPr>
          <w:p>
            <w:pPr>
              <w:spacing w:after="0"/>
              <w:rPr>
                <w:sz w:val="20"/>
                <w:szCs w:val="20"/>
                <w:color w:val="auto"/>
              </w:rPr>
            </w:pPr>
            <w:r>
              <w:rPr>
                <w:rFonts w:ascii="Arial" w:cs="Arial" w:eastAsia="Arial" w:hAnsi="Arial"/>
                <w:sz w:val="17"/>
                <w:szCs w:val="17"/>
                <w:b w:val="1"/>
                <w:bCs w:val="1"/>
                <w:color w:val="auto"/>
              </w:rPr>
              <w:t>Net cash flows used in investing activities</w:t>
            </w:r>
          </w:p>
        </w:tc>
        <w:tc>
          <w:tcPr>
            <w:tcW w:w="2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(1,794,610)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(498,749)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Proceeds from issuance of shares and options</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6"/>
              </w:rPr>
              <w:t>45,036,886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29,760,563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exercise of share options</w:t>
            </w: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452,809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Capital raising expenses</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(4,192,519)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(1,825,643)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flows provided by financing activities</w:t>
            </w:r>
          </w:p>
        </w:tc>
        <w:tc>
          <w:tcPr>
            <w:tcW w:w="206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41,297,176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27,934,920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gridSpan w:val="2"/>
          </w:tcPr>
          <w:p>
            <w:pPr>
              <w:spacing w:after="0"/>
              <w:rPr>
                <w:sz w:val="20"/>
                <w:szCs w:val="20"/>
                <w:color w:val="auto"/>
              </w:rPr>
            </w:pPr>
            <w:r>
              <w:rPr>
                <w:rFonts w:ascii="Arial" w:cs="Arial" w:eastAsia="Arial" w:hAnsi="Arial"/>
                <w:sz w:val="17"/>
                <w:szCs w:val="17"/>
                <w:b w:val="1"/>
                <w:bCs w:val="1"/>
                <w:color w:val="auto"/>
              </w:rPr>
              <w:t>Net increase in cash and cash equivalents</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w w:val="96"/>
              </w:rPr>
              <w:t>12,016,907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w w:val="96"/>
              </w:rPr>
              <w:t>11,064,147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14,825,532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3,790,491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Impact of foreign exchange</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2,141,052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(29,106)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2280" w:type="dxa"/>
            <w:vAlign w:val="bottom"/>
            <w:gridSpan w:val="2"/>
            <w:shd w:val="clear" w:color="auto" w:fill="CCEEFF"/>
          </w:tcPr>
          <w:p>
            <w:pPr>
              <w:ind w:left="206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28,983,491</w:t>
            </w: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14,825,532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60" w:right="5040" w:hanging="5044"/>
        <w:spacing w:after="0" w:line="411" w:lineRule="auto"/>
        <w:rPr>
          <w:sz w:val="20"/>
          <w:szCs w:val="20"/>
          <w:color w:val="auto"/>
        </w:rPr>
      </w:pPr>
      <w:r>
        <w:rPr>
          <w:rFonts w:ascii="Arial" w:cs="Arial" w:eastAsia="Arial" w:hAnsi="Arial"/>
          <w:sz w:val="14"/>
          <w:szCs w:val="14"/>
          <w:color w:val="auto"/>
        </w:rPr>
        <w:t>The accompanying notes form part of the consolidated financial statements. 28</w:t>
      </w:r>
    </w:p>
    <w:p>
      <w:pPr>
        <w:sectPr>
          <w:pgSz w:w="11900" w:h="16838" w:orient="portrait"/>
          <w:cols w:equalWidth="0" w:num="1">
            <w:col w:w="10260"/>
          </w:cols>
          <w:pgMar w:left="820" w:top="261" w:right="81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CHANGES IN EQUITY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Contributed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13"/>
                <w:szCs w:val="13"/>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Share-based</w:t>
            </w:r>
          </w:p>
        </w:tc>
        <w:tc>
          <w:tcPr>
            <w:tcW w:w="1160" w:type="dxa"/>
            <w:vAlign w:val="bottom"/>
            <w:gridSpan w:val="3"/>
          </w:tcPr>
          <w:p>
            <w:pPr>
              <w:ind w:left="160"/>
              <w:spacing w:after="0"/>
              <w:rPr>
                <w:sz w:val="20"/>
                <w:szCs w:val="20"/>
                <w:color w:val="auto"/>
              </w:rPr>
            </w:pPr>
            <w:r>
              <w:rPr>
                <w:rFonts w:ascii="Arial" w:cs="Arial" w:eastAsia="Arial" w:hAnsi="Arial"/>
                <w:sz w:val="13"/>
                <w:szCs w:val="13"/>
                <w:b w:val="1"/>
                <w:bCs w:val="1"/>
                <w:color w:val="auto"/>
                <w:w w:val="92"/>
              </w:rPr>
              <w:t>Foreign currency</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98"/>
              <w:spacing w:after="0" w:line="138" w:lineRule="exact"/>
              <w:rPr>
                <w:sz w:val="20"/>
                <w:szCs w:val="20"/>
                <w:color w:val="auto"/>
              </w:rPr>
            </w:pPr>
            <w:r>
              <w:rPr>
                <w:rFonts w:ascii="Arial" w:cs="Arial" w:eastAsia="Arial" w:hAnsi="Arial"/>
                <w:sz w:val="13"/>
                <w:szCs w:val="13"/>
                <w:b w:val="1"/>
                <w:bCs w:val="1"/>
                <w:color w:val="auto"/>
              </w:rPr>
              <w:t>translation</w:t>
            </w:r>
          </w:p>
        </w:tc>
        <w:tc>
          <w:tcPr>
            <w:tcW w:w="36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equity</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losses</w:t>
            </w:r>
          </w:p>
        </w:tc>
        <w:tc>
          <w:tcPr>
            <w:tcW w:w="1340" w:type="dxa"/>
            <w:vAlign w:val="bottom"/>
            <w:gridSpan w:val="4"/>
          </w:tcPr>
          <w:p>
            <w:pPr>
              <w:ind w:left="160"/>
              <w:spacing w:after="0"/>
              <w:rPr>
                <w:sz w:val="20"/>
                <w:szCs w:val="20"/>
                <w:color w:val="auto"/>
              </w:rPr>
            </w:pPr>
            <w:r>
              <w:rPr>
                <w:rFonts w:ascii="Arial" w:cs="Arial" w:eastAsia="Arial" w:hAnsi="Arial"/>
                <w:sz w:val="13"/>
                <w:szCs w:val="13"/>
                <w:b w:val="1"/>
                <w:bCs w:val="1"/>
                <w:color w:val="auto"/>
              </w:rPr>
              <w:t>payment reserve</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ind w:right="198"/>
              <w:spacing w:after="0"/>
              <w:rPr>
                <w:sz w:val="20"/>
                <w:szCs w:val="20"/>
                <w:color w:val="auto"/>
              </w:rPr>
            </w:pPr>
            <w:r>
              <w:rPr>
                <w:rFonts w:ascii="Arial" w:cs="Arial" w:eastAsia="Arial" w:hAnsi="Arial"/>
                <w:sz w:val="13"/>
                <w:szCs w:val="13"/>
                <w:b w:val="1"/>
                <w:bCs w:val="1"/>
                <w:color w:val="auto"/>
                <w:w w:val="95"/>
              </w:rPr>
              <w:t>reserve</w:t>
            </w:r>
          </w:p>
        </w:tc>
        <w:tc>
          <w:tcPr>
            <w:tcW w:w="3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At 1 July 2018</w:t>
            </w: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b w:val="1"/>
                <w:bCs w:val="1"/>
                <w:color w:val="auto"/>
                <w:w w:val="89"/>
              </w:rPr>
              <w:t>A$ 162,801,028</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73"/>
              </w:rPr>
              <w:t>A$</w:t>
            </w: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92"/>
              </w:rPr>
              <w:t>(148,592,879)</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w:t>
            </w:r>
          </w:p>
        </w:tc>
        <w:tc>
          <w:tcPr>
            <w:tcW w:w="7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92"/>
              </w:rPr>
              <w:t>4,505,148</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286,262</w:t>
            </w:r>
          </w:p>
        </w:tc>
        <w:tc>
          <w:tcPr>
            <w:tcW w:w="3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b w:val="1"/>
                <w:bCs w:val="1"/>
                <w:color w:val="auto"/>
                <w:w w:val="91"/>
              </w:rPr>
              <w:t>A$ 18,999,559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Loss for the period</w:t>
            </w:r>
          </w:p>
        </w:tc>
        <w:tc>
          <w:tcPr>
            <w:tcW w:w="16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(35,160,227)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7"/>
                <w:szCs w:val="17"/>
                <w:color w:val="auto"/>
              </w:rPr>
              <w:t>(35,160,227)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Foreign currency translation</w:t>
            </w:r>
          </w:p>
        </w:tc>
        <w:tc>
          <w:tcPr>
            <w:tcW w:w="16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1,783,222</w:t>
            </w:r>
          </w:p>
        </w:tc>
        <w:tc>
          <w:tcPr>
            <w:tcW w:w="3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1,783,222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comprehensive loss for the year</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(35,160,227)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1,783,222</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(33,377,005)</w:t>
            </w:r>
          </w:p>
        </w:tc>
        <w:tc>
          <w:tcPr>
            <w:tcW w:w="0" w:type="dxa"/>
            <w:vAlign w:val="bottom"/>
          </w:tcPr>
          <w:p>
            <w:pPr>
              <w:spacing w:after="0"/>
              <w:rPr>
                <w:sz w:val="1"/>
                <w:szCs w:val="1"/>
                <w:color w:val="auto"/>
              </w:rPr>
            </w:pPr>
          </w:p>
        </w:tc>
      </w:tr>
      <w:tr>
        <w:trPr>
          <w:trHeight w:val="194"/>
        </w:trPr>
        <w:tc>
          <w:tcPr>
            <w:tcW w:w="322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w w:val="94"/>
              </w:rPr>
              <w:t>Transactions with owners in their capacity as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7"/>
                <w:szCs w:val="17"/>
                <w:i w:val="1"/>
                <w:iCs w:val="1"/>
                <w:color w:val="auto"/>
              </w:rPr>
              <w:t>owners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Expired options</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(32,362)</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(32,362)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Share based payments</w:t>
            </w:r>
          </w:p>
        </w:tc>
        <w:tc>
          <w:tcPr>
            <w:tcW w:w="16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2,721,179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2,721,179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New shares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45,580,570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45,580,570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Cost of share placement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(4,102,520)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7"/>
                <w:szCs w:val="17"/>
                <w:color w:val="auto"/>
              </w:rPr>
              <w:t>(4,102,520)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30 June 2019</w:t>
            </w:r>
          </w:p>
        </w:tc>
        <w:tc>
          <w:tcPr>
            <w:tcW w:w="1460" w:type="dxa"/>
            <w:vAlign w:val="bottom"/>
            <w:gridSpan w:val="3"/>
            <w:shd w:val="clear" w:color="auto" w:fill="CCEEFF"/>
          </w:tcPr>
          <w:p>
            <w:pPr>
              <w:jc w:val="center"/>
              <w:ind w:right="60"/>
              <w:spacing w:after="0"/>
              <w:rPr>
                <w:sz w:val="20"/>
                <w:szCs w:val="20"/>
                <w:color w:val="auto"/>
              </w:rPr>
            </w:pPr>
            <w:r>
              <w:rPr>
                <w:rFonts w:ascii="Arial" w:cs="Arial" w:eastAsia="Arial" w:hAnsi="Arial"/>
                <w:sz w:val="17"/>
                <w:szCs w:val="17"/>
                <w:b w:val="1"/>
                <w:bCs w:val="1"/>
                <w:u w:val="single" w:color="auto"/>
                <w:color w:val="auto"/>
                <w:w w:val="89"/>
              </w:rPr>
              <w:t>A</w:t>
            </w:r>
            <w:r>
              <w:rPr>
                <w:rFonts w:ascii="Arial" w:cs="Arial" w:eastAsia="Arial" w:hAnsi="Arial"/>
                <w:sz w:val="17"/>
                <w:szCs w:val="17"/>
                <w:b w:val="1"/>
                <w:bCs w:val="1"/>
                <w:color w:val="auto"/>
                <w:w w:val="89"/>
              </w:rPr>
              <w:t>$ 204,279,078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(183,753,106)</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7,193,965</w:t>
            </w: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2,069,484</w:t>
            </w:r>
          </w:p>
        </w:tc>
        <w:tc>
          <w:tcPr>
            <w:tcW w:w="1480" w:type="dxa"/>
            <w:vAlign w:val="bottom"/>
            <w:gridSpan w:val="3"/>
            <w:shd w:val="clear" w:color="auto" w:fill="CCEEFF"/>
          </w:tcPr>
          <w:p>
            <w:pPr>
              <w:jc w:val="center"/>
              <w:ind w:left="176"/>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$ 29,789,421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60" w:right="5040" w:hanging="5044"/>
        <w:spacing w:after="0" w:line="411" w:lineRule="auto"/>
        <w:rPr>
          <w:sz w:val="20"/>
          <w:szCs w:val="20"/>
          <w:color w:val="auto"/>
        </w:rPr>
      </w:pPr>
      <w:r>
        <w:rPr>
          <w:rFonts w:ascii="Arial" w:cs="Arial" w:eastAsia="Arial" w:hAnsi="Arial"/>
          <w:sz w:val="14"/>
          <w:szCs w:val="14"/>
          <w:color w:val="auto"/>
        </w:rPr>
        <w:t>The accompanying notes form part of the consolidated financial statements. 29</w:t>
      </w:r>
    </w:p>
    <w:p>
      <w:pPr>
        <w:sectPr>
          <w:pgSz w:w="11900" w:h="16838" w:orient="portrait"/>
          <w:cols w:equalWidth="0" w:num="1">
            <w:col w:w="10260"/>
          </w:cols>
          <w:pgMar w:left="820" w:top="261" w:right="81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CHANGES IN EQUITY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Contributed</w:t>
            </w:r>
          </w:p>
        </w:tc>
        <w:tc>
          <w:tcPr>
            <w:tcW w:w="180" w:type="dxa"/>
            <w:vAlign w:val="bottom"/>
          </w:tcPr>
          <w:p>
            <w:pPr>
              <w:spacing w:after="0"/>
              <w:rPr>
                <w:sz w:val="13"/>
                <w:szCs w:val="13"/>
                <w:color w:val="auto"/>
              </w:rPr>
            </w:pPr>
          </w:p>
        </w:tc>
        <w:tc>
          <w:tcPr>
            <w:tcW w:w="1360" w:type="dxa"/>
            <w:vAlign w:val="bottom"/>
            <w:gridSpan w:val="2"/>
          </w:tcPr>
          <w:p>
            <w:pPr>
              <w:jc w:val="center"/>
              <w:ind w:right="161"/>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3"/>
                <w:szCs w:val="13"/>
                <w:color w:val="auto"/>
              </w:rPr>
            </w:pPr>
          </w:p>
        </w:tc>
        <w:tc>
          <w:tcPr>
            <w:tcW w:w="118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Share-based</w:t>
            </w:r>
          </w:p>
        </w:tc>
        <w:tc>
          <w:tcPr>
            <w:tcW w:w="160" w:type="dxa"/>
            <w:vAlign w:val="bottom"/>
          </w:tcPr>
          <w:p>
            <w:pPr>
              <w:spacing w:after="0"/>
              <w:rPr>
                <w:sz w:val="13"/>
                <w:szCs w:val="13"/>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b w:val="1"/>
                <w:bCs w:val="1"/>
                <w:color w:val="auto"/>
              </w:rPr>
              <w:t>Foreign currency</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equity</w:t>
            </w:r>
          </w:p>
        </w:tc>
        <w:tc>
          <w:tcPr>
            <w:tcW w:w="180" w:type="dxa"/>
            <w:vAlign w:val="bottom"/>
          </w:tcPr>
          <w:p>
            <w:pPr>
              <w:spacing w:after="0"/>
              <w:rPr>
                <w:sz w:val="13"/>
                <w:szCs w:val="13"/>
                <w:color w:val="auto"/>
              </w:rPr>
            </w:pPr>
          </w:p>
        </w:tc>
        <w:tc>
          <w:tcPr>
            <w:tcW w:w="1360" w:type="dxa"/>
            <w:vAlign w:val="bottom"/>
            <w:gridSpan w:val="2"/>
          </w:tcPr>
          <w:p>
            <w:pPr>
              <w:jc w:val="center"/>
              <w:ind w:right="161"/>
              <w:spacing w:after="0"/>
              <w:rPr>
                <w:sz w:val="20"/>
                <w:szCs w:val="20"/>
                <w:color w:val="auto"/>
              </w:rPr>
            </w:pPr>
            <w:r>
              <w:rPr>
                <w:rFonts w:ascii="Arial" w:cs="Arial" w:eastAsia="Arial" w:hAnsi="Arial"/>
                <w:sz w:val="13"/>
                <w:szCs w:val="13"/>
                <w:b w:val="1"/>
                <w:bCs w:val="1"/>
                <w:color w:val="auto"/>
                <w:w w:val="78"/>
              </w:rPr>
              <w:t>losses</w:t>
            </w:r>
          </w:p>
        </w:tc>
        <w:tc>
          <w:tcPr>
            <w:tcW w:w="1340" w:type="dxa"/>
            <w:vAlign w:val="bottom"/>
            <w:gridSpan w:val="4"/>
          </w:tcPr>
          <w:p>
            <w:pPr>
              <w:ind w:left="160"/>
              <w:spacing w:after="0"/>
              <w:rPr>
                <w:sz w:val="20"/>
                <w:szCs w:val="20"/>
                <w:color w:val="auto"/>
              </w:rPr>
            </w:pPr>
            <w:r>
              <w:rPr>
                <w:rFonts w:ascii="Arial" w:cs="Arial" w:eastAsia="Arial" w:hAnsi="Arial"/>
                <w:sz w:val="13"/>
                <w:szCs w:val="13"/>
                <w:b w:val="1"/>
                <w:bCs w:val="1"/>
                <w:color w:val="auto"/>
              </w:rPr>
              <w:t>payment reserve</w:t>
            </w:r>
          </w:p>
        </w:tc>
        <w:tc>
          <w:tcPr>
            <w:tcW w:w="1460" w:type="dxa"/>
            <w:vAlign w:val="bottom"/>
            <w:gridSpan w:val="4"/>
          </w:tcPr>
          <w:p>
            <w:pPr>
              <w:ind w:left="160"/>
              <w:spacing w:after="0"/>
              <w:rPr>
                <w:sz w:val="20"/>
                <w:szCs w:val="20"/>
                <w:color w:val="auto"/>
              </w:rPr>
            </w:pPr>
            <w:r>
              <w:rPr>
                <w:rFonts w:ascii="Arial" w:cs="Arial" w:eastAsia="Arial" w:hAnsi="Arial"/>
                <w:sz w:val="13"/>
                <w:szCs w:val="13"/>
                <w:b w:val="1"/>
                <w:bCs w:val="1"/>
                <w:color w:val="auto"/>
              </w:rPr>
              <w:t>translation reserve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At 1 July 2017</w:t>
            </w:r>
          </w:p>
        </w:tc>
        <w:tc>
          <w:tcPr>
            <w:tcW w:w="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b w:val="1"/>
                <w:bCs w:val="1"/>
                <w:color w:val="auto"/>
                <w:w w:val="89"/>
              </w:rPr>
              <w:t>A$ 134,806,022</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b w:val="1"/>
                <w:bCs w:val="1"/>
                <w:color w:val="auto"/>
                <w:w w:val="86"/>
              </w:rPr>
              <w:t>A$ (132,218,352)</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w:t>
            </w:r>
          </w:p>
        </w:tc>
        <w:tc>
          <w:tcPr>
            <w:tcW w:w="7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92"/>
              </w:rPr>
              <w:t>2,811,179</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98"/>
              </w:rPr>
              <w:t>(277,017)</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w w:val="82"/>
              </w:rPr>
              <w:t>A$</w:t>
            </w: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5,121,832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Loss for the period</w:t>
            </w:r>
          </w:p>
        </w:tc>
        <w:tc>
          <w:tcPr>
            <w:tcW w:w="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40" w:type="dxa"/>
            <w:vAlign w:val="bottom"/>
            <w:gridSpan w:val="3"/>
          </w:tcPr>
          <w:p>
            <w:pPr>
              <w:jc w:val="right"/>
              <w:ind w:right="81"/>
              <w:spacing w:after="0"/>
              <w:rPr>
                <w:sz w:val="20"/>
                <w:szCs w:val="20"/>
                <w:color w:val="auto"/>
              </w:rPr>
            </w:pPr>
            <w:r>
              <w:rPr>
                <w:rFonts w:ascii="Arial" w:cs="Arial" w:eastAsia="Arial" w:hAnsi="Arial"/>
                <w:sz w:val="17"/>
                <w:szCs w:val="17"/>
                <w:color w:val="auto"/>
              </w:rPr>
              <w:t>(16,519,155)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(16,519,155)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Foreign currency translation</w:t>
            </w:r>
          </w:p>
        </w:tc>
        <w:tc>
          <w:tcPr>
            <w:tcW w:w="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563,279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comprehensive loss for the year</w:t>
            </w: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w:t>
            </w:r>
          </w:p>
        </w:tc>
        <w:tc>
          <w:tcPr>
            <w:tcW w:w="1540" w:type="dxa"/>
            <w:vAlign w:val="bottom"/>
            <w:gridSpan w:val="3"/>
            <w:shd w:val="clear" w:color="auto" w:fill="CCEEFF"/>
          </w:tcPr>
          <w:p>
            <w:pPr>
              <w:jc w:val="right"/>
              <w:ind w:right="81"/>
              <w:spacing w:after="0"/>
              <w:rPr>
                <w:sz w:val="20"/>
                <w:szCs w:val="20"/>
                <w:color w:val="auto"/>
              </w:rPr>
            </w:pPr>
            <w:r>
              <w:rPr>
                <w:rFonts w:ascii="Arial" w:cs="Arial" w:eastAsia="Arial" w:hAnsi="Arial"/>
                <w:sz w:val="17"/>
                <w:szCs w:val="17"/>
                <w:b w:val="1"/>
                <w:bCs w:val="1"/>
                <w:color w:val="auto"/>
              </w:rPr>
              <w:t>(16,519,155)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563,279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89"/>
              </w:rPr>
              <w:t>(15,955,876)</w:t>
            </w:r>
          </w:p>
        </w:tc>
        <w:tc>
          <w:tcPr>
            <w:tcW w:w="0" w:type="dxa"/>
            <w:vAlign w:val="bottom"/>
          </w:tcPr>
          <w:p>
            <w:pPr>
              <w:spacing w:after="0"/>
              <w:rPr>
                <w:sz w:val="1"/>
                <w:szCs w:val="1"/>
                <w:color w:val="auto"/>
              </w:rPr>
            </w:pPr>
          </w:p>
        </w:tc>
      </w:tr>
      <w:tr>
        <w:trPr>
          <w:trHeight w:val="194"/>
        </w:trPr>
        <w:tc>
          <w:tcPr>
            <w:tcW w:w="334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Transactions with owners in their capacity</w:t>
            </w: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7"/>
                <w:szCs w:val="17"/>
                <w:i w:val="1"/>
                <w:iCs w:val="1"/>
                <w:color w:val="auto"/>
              </w:rPr>
              <w:t>as owners:</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Expired options</w:t>
            </w: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141,188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(141,188)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Forfeiture options</w:t>
            </w:r>
          </w:p>
        </w:tc>
        <w:tc>
          <w:tcPr>
            <w:tcW w:w="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3,440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(31,832)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(28,392)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Share based payments</w:t>
            </w: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1"/>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1,866,989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1,866,989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New shares</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29,846,859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29,846,859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Cost of share placement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(1,851,853)</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1"/>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(1,851,853)</w:t>
            </w:r>
          </w:p>
        </w:tc>
        <w:tc>
          <w:tcPr>
            <w:tcW w:w="0" w:type="dxa"/>
            <w:vAlign w:val="bottom"/>
          </w:tcPr>
          <w:p>
            <w:pPr>
              <w:spacing w:after="0"/>
              <w:rPr>
                <w:sz w:val="1"/>
                <w:szCs w:val="1"/>
                <w:color w:val="auto"/>
              </w:rPr>
            </w:pPr>
          </w:p>
        </w:tc>
      </w:tr>
      <w:tr>
        <w:trPr>
          <w:trHeight w:val="206"/>
        </w:trPr>
        <w:tc>
          <w:tcPr>
            <w:tcW w:w="3340" w:type="dxa"/>
            <w:vAlign w:val="bottom"/>
            <w:gridSpan w:val="2"/>
          </w:tcPr>
          <w:p>
            <w:pPr>
              <w:spacing w:after="0"/>
              <w:rPr>
                <w:sz w:val="20"/>
                <w:szCs w:val="20"/>
                <w:color w:val="auto"/>
              </w:rPr>
            </w:pPr>
            <w:r>
              <w:rPr>
                <w:rFonts w:ascii="Arial" w:cs="Arial" w:eastAsia="Arial" w:hAnsi="Arial"/>
                <w:sz w:val="17"/>
                <w:szCs w:val="17"/>
                <w:b w:val="1"/>
                <w:bCs w:val="1"/>
                <w:color w:val="auto"/>
              </w:rPr>
              <w:t>Balance at 30 June 2018</w:t>
            </w:r>
          </w:p>
        </w:tc>
        <w:tc>
          <w:tcPr>
            <w:tcW w:w="20" w:type="dxa"/>
            <w:vAlign w:val="bottom"/>
            <w:tcBorders>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89"/>
              </w:rPr>
              <w:t>A</w:t>
            </w:r>
            <w:r>
              <w:rPr>
                <w:rFonts w:ascii="Arial" w:cs="Arial" w:eastAsia="Arial" w:hAnsi="Arial"/>
                <w:sz w:val="17"/>
                <w:szCs w:val="17"/>
                <w:b w:val="1"/>
                <w:bCs w:val="1"/>
                <w:color w:val="auto"/>
                <w:w w:val="89"/>
              </w:rPr>
              <w:t>$ 162,801,028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89"/>
              </w:rPr>
              <w:t>A</w:t>
            </w:r>
            <w:r>
              <w:rPr>
                <w:rFonts w:ascii="Arial" w:cs="Arial" w:eastAsia="Arial" w:hAnsi="Arial"/>
                <w:sz w:val="17"/>
                <w:szCs w:val="17"/>
                <w:b w:val="1"/>
                <w:bCs w:val="1"/>
                <w:color w:val="auto"/>
                <w:w w:val="89"/>
              </w:rPr>
              <w:t>$ (148,592,879</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4,505,148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A$</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286,262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18,999,559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60" w:right="5040" w:hanging="5044"/>
        <w:spacing w:after="0" w:line="411" w:lineRule="auto"/>
        <w:rPr>
          <w:sz w:val="20"/>
          <w:szCs w:val="20"/>
          <w:color w:val="auto"/>
        </w:rPr>
      </w:pPr>
      <w:r>
        <w:rPr>
          <w:rFonts w:ascii="Arial" w:cs="Arial" w:eastAsia="Arial" w:hAnsi="Arial"/>
          <w:sz w:val="14"/>
          <w:szCs w:val="14"/>
          <w:color w:val="auto"/>
        </w:rPr>
        <w:t>The accompanying notes form part of the consolidated financial statements. 30</w:t>
      </w:r>
    </w:p>
    <w:p>
      <w:pPr>
        <w:sectPr>
          <w:pgSz w:w="11900" w:h="16838" w:orient="portrait"/>
          <w:cols w:equalWidth="0" w:num="1">
            <w:col w:w="10260"/>
          </w:cols>
          <w:pgMar w:left="820" w:top="261" w:right="81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CONCISE FINANCIAL STATEMENTS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Preparation and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Preparation and Statement of Compliance</w:t>
      </w:r>
    </w:p>
    <w:p>
      <w:pPr>
        <w:spacing w:after="0" w:line="110"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This concise report covers that of Avita Medical Limited and its controlled entities (“the Company”) for the year ended 30 June 2019. This concise report has been derived from the full 2019 Financial Report as presented in the Company’s Annual Report, which complies with the Corporations Act 2001 and Accounting Standard AASB 1039 Concise Financial Reports. The financial statements and specific disclosures required by AASB 1039 have been derived from the Consolidated Company’s full financial report. The concise financial report does not, and cannot be expected to provide as full an understanding of the financial performance, financial position and financing activities of the Company as the full financial report. Further information can be obtained from the Consolidated Company’s full financial report which is available on the ASX website.</w:t>
      </w:r>
    </w:p>
    <w:p>
      <w:pPr>
        <w:spacing w:after="0" w:line="153" w:lineRule="exact"/>
        <w:rPr>
          <w:sz w:val="20"/>
          <w:szCs w:val="20"/>
          <w:color w:val="auto"/>
        </w:rPr>
      </w:pPr>
    </w:p>
    <w:p>
      <w:pPr>
        <w:jc w:val="both"/>
        <w:ind w:right="120"/>
        <w:spacing w:after="0" w:line="257" w:lineRule="auto"/>
        <w:rPr>
          <w:sz w:val="20"/>
          <w:szCs w:val="20"/>
          <w:color w:val="auto"/>
        </w:rPr>
      </w:pPr>
      <w:r>
        <w:rPr>
          <w:rFonts w:ascii="Arial" w:cs="Arial" w:eastAsia="Arial" w:hAnsi="Arial"/>
          <w:sz w:val="17"/>
          <w:szCs w:val="17"/>
          <w:color w:val="auto"/>
        </w:rPr>
        <w:t>This concise financial report is presented in Australian Dollars and has been prepared on a historical cost basis, except for financial assets which have been measured as their fair value at the balance date. A full description of the accounting policies adopted by the Company is provided in the full 2019 Financial Report.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Revenue and Expenses</w:t>
      </w:r>
    </w:p>
    <w:p>
      <w:pPr>
        <w:spacing w:after="0" w:line="228" w:lineRule="exact"/>
        <w:rPr>
          <w:sz w:val="20"/>
          <w:szCs w:val="20"/>
          <w:color w:val="auto"/>
        </w:rPr>
      </w:pPr>
    </w:p>
    <w:tbl>
      <w:tblPr>
        <w:tblLayout w:type="fixed"/>
        <w:tblInd w:w="1240" w:type="dxa"/>
        <w:tblCellMar>
          <w:top w:w="0" w:type="dxa"/>
          <w:left w:w="0" w:type="dxa"/>
          <w:bottom w:w="0" w:type="dxa"/>
          <w:right w:w="0" w:type="dxa"/>
        </w:tblCellMar>
      </w:tblPr>
      <w:tr>
        <w:trPr>
          <w:trHeight w:val="159"/>
        </w:trPr>
        <w:tc>
          <w:tcPr>
            <w:tcW w:w="3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2019</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61"/>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3"/>
                <w:szCs w:val="13"/>
                <w:color w:val="auto"/>
              </w:rPr>
            </w:pPr>
          </w:p>
        </w:tc>
      </w:tr>
      <w:tr>
        <w:trPr>
          <w:trHeight w:val="181"/>
        </w:trPr>
        <w:tc>
          <w:tcPr>
            <w:tcW w:w="3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7"/>
                <w:szCs w:val="17"/>
                <w:b w:val="1"/>
                <w:bCs w:val="1"/>
                <w:color w:val="auto"/>
              </w:rPr>
              <w:t>(a)</w:t>
            </w:r>
          </w:p>
        </w:tc>
        <w:tc>
          <w:tcPr>
            <w:tcW w:w="5080" w:type="dxa"/>
            <w:vAlign w:val="bottom"/>
            <w:tcBorders>
              <w:top w:val="single" w:sz="8" w:color="CCEEFF"/>
            </w:tcBorders>
            <w:shd w:val="clear" w:color="auto" w:fill="CCEEFF"/>
          </w:tcPr>
          <w:p>
            <w:pPr>
              <w:ind w:left="180"/>
              <w:spacing w:after="0" w:line="181" w:lineRule="exact"/>
              <w:rPr>
                <w:sz w:val="20"/>
                <w:szCs w:val="20"/>
                <w:color w:val="auto"/>
              </w:rPr>
            </w:pPr>
            <w:r>
              <w:rPr>
                <w:rFonts w:ascii="Arial" w:cs="Arial" w:eastAsia="Arial" w:hAnsi="Arial"/>
                <w:sz w:val="17"/>
                <w:szCs w:val="17"/>
                <w:b w:val="1"/>
                <w:bCs w:val="1"/>
                <w:color w:val="auto"/>
              </w:rPr>
              <w:t>Revenue</w:t>
            </w:r>
          </w:p>
        </w:tc>
        <w:tc>
          <w:tcPr>
            <w:tcW w:w="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1"/>
        </w:trPr>
        <w:tc>
          <w:tcPr>
            <w:tcW w:w="380" w:type="dxa"/>
            <w:vAlign w:val="bottom"/>
          </w:tcPr>
          <w:p>
            <w:pPr>
              <w:spacing w:after="0"/>
              <w:rPr>
                <w:sz w:val="17"/>
                <w:szCs w:val="17"/>
                <w:color w:val="auto"/>
              </w:rPr>
            </w:pPr>
          </w:p>
        </w:tc>
        <w:tc>
          <w:tcPr>
            <w:tcW w:w="5080" w:type="dxa"/>
            <w:vAlign w:val="bottom"/>
          </w:tcPr>
          <w:p>
            <w:pPr>
              <w:ind w:left="180"/>
              <w:spacing w:after="0"/>
              <w:rPr>
                <w:sz w:val="20"/>
                <w:szCs w:val="20"/>
                <w:color w:val="auto"/>
              </w:rPr>
            </w:pPr>
            <w:r>
              <w:rPr>
                <w:rFonts w:ascii="Arial" w:cs="Arial" w:eastAsia="Arial" w:hAnsi="Arial"/>
                <w:sz w:val="17"/>
                <w:szCs w:val="17"/>
                <w:color w:val="auto"/>
              </w:rPr>
              <w:t>Sale of goods</w:t>
            </w:r>
          </w:p>
        </w:tc>
        <w:tc>
          <w:tcPr>
            <w:tcW w:w="900" w:type="dxa"/>
            <w:vAlign w:val="bottom"/>
            <w:gridSpan w:val="2"/>
          </w:tcPr>
          <w:p>
            <w:pPr>
              <w:jc w:val="center"/>
              <w:spacing w:after="0"/>
              <w:rPr>
                <w:sz w:val="20"/>
                <w:szCs w:val="20"/>
                <w:color w:val="auto"/>
              </w:rPr>
            </w:pPr>
            <w:r>
              <w:rPr>
                <w:rFonts w:ascii="Arial" w:cs="Arial" w:eastAsia="Arial" w:hAnsi="Arial"/>
                <w:sz w:val="17"/>
                <w:szCs w:val="17"/>
                <w:u w:val="single" w:color="auto"/>
                <w:color w:val="auto"/>
                <w:w w:val="93"/>
              </w:rPr>
              <w:t>A$</w:t>
            </w:r>
            <w:r>
              <w:rPr>
                <w:rFonts w:ascii="Arial" w:cs="Arial" w:eastAsia="Arial" w:hAnsi="Arial"/>
                <w:sz w:val="17"/>
                <w:szCs w:val="17"/>
                <w:color w:val="auto"/>
                <w:w w:val="93"/>
              </w:rPr>
              <w:t>7,705,398</w:t>
            </w:r>
          </w:p>
        </w:tc>
        <w:tc>
          <w:tcPr>
            <w:tcW w:w="6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1,198,861</w:t>
            </w:r>
          </w:p>
        </w:tc>
        <w:tc>
          <w:tcPr>
            <w:tcW w:w="60" w:type="dxa"/>
            <w:vAlign w:val="bottom"/>
          </w:tcPr>
          <w:p>
            <w:pPr>
              <w:spacing w:after="0"/>
              <w:rPr>
                <w:sz w:val="17"/>
                <w:szCs w:val="17"/>
                <w:color w:val="auto"/>
              </w:rPr>
            </w:pPr>
          </w:p>
        </w:tc>
      </w:tr>
      <w:tr>
        <w:trPr>
          <w:trHeight w:val="25"/>
        </w:trPr>
        <w:tc>
          <w:tcPr>
            <w:tcW w:w="3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1"/>
        </w:trPr>
        <w:tc>
          <w:tcPr>
            <w:tcW w:w="380" w:type="dxa"/>
            <w:vAlign w:val="bottom"/>
            <w:shd w:val="clear" w:color="auto" w:fill="CCEEFF"/>
          </w:tcPr>
          <w:p>
            <w:pPr>
              <w:spacing w:after="0"/>
              <w:rPr>
                <w:sz w:val="17"/>
                <w:szCs w:val="17"/>
                <w:color w:val="auto"/>
              </w:rPr>
            </w:pPr>
          </w:p>
        </w:tc>
        <w:tc>
          <w:tcPr>
            <w:tcW w:w="508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Total revenue</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u w:val="single" w:color="auto"/>
                <w:color w:val="auto"/>
                <w:w w:val="92"/>
              </w:rPr>
              <w:t>A$</w:t>
            </w:r>
            <w:r>
              <w:rPr>
                <w:rFonts w:ascii="Arial" w:cs="Arial" w:eastAsia="Arial" w:hAnsi="Arial"/>
                <w:sz w:val="17"/>
                <w:szCs w:val="17"/>
                <w:b w:val="1"/>
                <w:bCs w:val="1"/>
                <w:color w:val="auto"/>
                <w:w w:val="92"/>
              </w:rPr>
              <w:t>7,705,398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1,198,861</w:t>
            </w:r>
          </w:p>
        </w:tc>
        <w:tc>
          <w:tcPr>
            <w:tcW w:w="60" w:type="dxa"/>
            <w:vAlign w:val="bottom"/>
            <w:shd w:val="clear" w:color="auto" w:fill="CCEEFF"/>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0"/>
        </w:trPr>
        <w:tc>
          <w:tcPr>
            <w:tcW w:w="3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2019</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24"/>
                <w:szCs w:val="24"/>
                <w:color w:val="auto"/>
              </w:rPr>
            </w:pPr>
          </w:p>
        </w:tc>
      </w:tr>
      <w:tr>
        <w:trPr>
          <w:trHeight w:val="181"/>
        </w:trPr>
        <w:tc>
          <w:tcPr>
            <w:tcW w:w="3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7"/>
                <w:szCs w:val="17"/>
                <w:b w:val="1"/>
                <w:bCs w:val="1"/>
                <w:color w:val="auto"/>
              </w:rPr>
              <w:t>(b)</w:t>
            </w:r>
          </w:p>
        </w:tc>
        <w:tc>
          <w:tcPr>
            <w:tcW w:w="5080" w:type="dxa"/>
            <w:vAlign w:val="bottom"/>
            <w:tcBorders>
              <w:top w:val="single" w:sz="8" w:color="CCEEFF"/>
            </w:tcBorders>
            <w:shd w:val="clear" w:color="auto" w:fill="CCEEFF"/>
          </w:tcPr>
          <w:p>
            <w:pPr>
              <w:ind w:left="180"/>
              <w:spacing w:after="0" w:line="181" w:lineRule="exact"/>
              <w:rPr>
                <w:sz w:val="20"/>
                <w:szCs w:val="20"/>
                <w:color w:val="auto"/>
              </w:rPr>
            </w:pPr>
            <w:r>
              <w:rPr>
                <w:rFonts w:ascii="Arial" w:cs="Arial" w:eastAsia="Arial" w:hAnsi="Arial"/>
                <w:sz w:val="17"/>
                <w:szCs w:val="17"/>
                <w:b w:val="1"/>
                <w:bCs w:val="1"/>
                <w:color w:val="auto"/>
              </w:rPr>
              <w:t>Other income</w:t>
            </w:r>
          </w:p>
        </w:tc>
        <w:tc>
          <w:tcPr>
            <w:tcW w:w="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1"/>
        </w:trPr>
        <w:tc>
          <w:tcPr>
            <w:tcW w:w="380" w:type="dxa"/>
            <w:vAlign w:val="bottom"/>
          </w:tcPr>
          <w:p>
            <w:pPr>
              <w:spacing w:after="0"/>
              <w:rPr>
                <w:sz w:val="17"/>
                <w:szCs w:val="17"/>
                <w:color w:val="auto"/>
              </w:rPr>
            </w:pPr>
          </w:p>
        </w:tc>
        <w:tc>
          <w:tcPr>
            <w:tcW w:w="5080" w:type="dxa"/>
            <w:vAlign w:val="bottom"/>
          </w:tcPr>
          <w:p>
            <w:pPr>
              <w:ind w:left="180"/>
              <w:spacing w:after="0"/>
              <w:rPr>
                <w:sz w:val="20"/>
                <w:szCs w:val="20"/>
                <w:color w:val="auto"/>
              </w:rPr>
            </w:pPr>
            <w:r>
              <w:rPr>
                <w:rFonts w:ascii="Arial" w:cs="Arial" w:eastAsia="Arial" w:hAnsi="Arial"/>
                <w:sz w:val="17"/>
                <w:szCs w:val="17"/>
                <w:color w:val="auto"/>
              </w:rPr>
              <w:t>BARDA income</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3"/>
              </w:rPr>
              <w:t>A$8,259,152</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A$</w:t>
            </w:r>
          </w:p>
        </w:tc>
        <w:tc>
          <w:tcPr>
            <w:tcW w:w="760" w:type="dxa"/>
            <w:vAlign w:val="bottom"/>
          </w:tcPr>
          <w:p>
            <w:pPr>
              <w:jc w:val="right"/>
              <w:spacing w:after="0"/>
              <w:rPr>
                <w:sz w:val="20"/>
                <w:szCs w:val="20"/>
                <w:color w:val="auto"/>
              </w:rPr>
            </w:pPr>
            <w:r>
              <w:rPr>
                <w:rFonts w:ascii="Arial" w:cs="Arial" w:eastAsia="Arial" w:hAnsi="Arial"/>
                <w:sz w:val="17"/>
                <w:szCs w:val="17"/>
                <w:color w:val="auto"/>
                <w:w w:val="86"/>
              </w:rPr>
              <w:t>10,104,081</w:t>
            </w:r>
          </w:p>
        </w:tc>
        <w:tc>
          <w:tcPr>
            <w:tcW w:w="60" w:type="dxa"/>
            <w:vAlign w:val="bottom"/>
          </w:tcPr>
          <w:p>
            <w:pPr>
              <w:spacing w:after="0"/>
              <w:rPr>
                <w:sz w:val="17"/>
                <w:szCs w:val="17"/>
                <w:color w:val="auto"/>
              </w:rPr>
            </w:pPr>
          </w:p>
        </w:tc>
      </w:tr>
      <w:tr>
        <w:trPr>
          <w:trHeight w:val="201"/>
        </w:trPr>
        <w:tc>
          <w:tcPr>
            <w:tcW w:w="380" w:type="dxa"/>
            <w:vAlign w:val="bottom"/>
            <w:shd w:val="clear" w:color="auto" w:fill="CCEEFF"/>
          </w:tcPr>
          <w:p>
            <w:pPr>
              <w:spacing w:after="0"/>
              <w:rPr>
                <w:sz w:val="17"/>
                <w:szCs w:val="17"/>
                <w:color w:val="auto"/>
              </w:rPr>
            </w:pPr>
          </w:p>
        </w:tc>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456,695</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68,617</w:t>
            </w:r>
          </w:p>
        </w:tc>
        <w:tc>
          <w:tcPr>
            <w:tcW w:w="60" w:type="dxa"/>
            <w:vAlign w:val="bottom"/>
            <w:shd w:val="clear" w:color="auto" w:fill="CCEEFF"/>
          </w:tcPr>
          <w:p>
            <w:pPr>
              <w:spacing w:after="0"/>
              <w:rPr>
                <w:sz w:val="17"/>
                <w:szCs w:val="17"/>
                <w:color w:val="auto"/>
              </w:rPr>
            </w:pPr>
          </w:p>
        </w:tc>
      </w:tr>
      <w:tr>
        <w:trPr>
          <w:trHeight w:val="206"/>
        </w:trPr>
        <w:tc>
          <w:tcPr>
            <w:tcW w:w="380" w:type="dxa"/>
            <w:vAlign w:val="bottom"/>
          </w:tcPr>
          <w:p>
            <w:pPr>
              <w:spacing w:after="0"/>
              <w:rPr>
                <w:sz w:val="17"/>
                <w:szCs w:val="17"/>
                <w:color w:val="auto"/>
              </w:rPr>
            </w:pPr>
          </w:p>
        </w:tc>
        <w:tc>
          <w:tcPr>
            <w:tcW w:w="5080" w:type="dxa"/>
            <w:vAlign w:val="bottom"/>
          </w:tcPr>
          <w:p>
            <w:pPr>
              <w:ind w:left="180"/>
              <w:spacing w:after="0"/>
              <w:rPr>
                <w:sz w:val="20"/>
                <w:szCs w:val="20"/>
                <w:color w:val="auto"/>
              </w:rPr>
            </w:pPr>
            <w:r>
              <w:rPr>
                <w:rFonts w:ascii="Arial" w:cs="Arial" w:eastAsia="Arial" w:hAnsi="Arial"/>
                <w:sz w:val="17"/>
                <w:szCs w:val="17"/>
                <w:b w:val="1"/>
                <w:bCs w:val="1"/>
                <w:color w:val="auto"/>
              </w:rPr>
              <w:t>Total other income</w:t>
            </w:r>
          </w:p>
        </w:tc>
        <w:tc>
          <w:tcPr>
            <w:tcW w:w="2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0"/>
              </w:rPr>
              <w:t>A$</w:t>
            </w:r>
            <w:r>
              <w:rPr>
                <w:rFonts w:ascii="Arial" w:cs="Arial" w:eastAsia="Arial" w:hAnsi="Arial"/>
                <w:sz w:val="17"/>
                <w:szCs w:val="17"/>
                <w:b w:val="1"/>
                <w:bCs w:val="1"/>
                <w:color w:val="auto"/>
                <w:w w:val="90"/>
              </w:rPr>
              <w:t>8,715,847</w:t>
            </w:r>
          </w:p>
        </w:tc>
        <w:tc>
          <w:tcPr>
            <w:tcW w:w="4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2"/>
              </w:rPr>
              <w:t>A$</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6"/>
              </w:rPr>
              <w:t>10,172,698</w:t>
            </w:r>
          </w:p>
        </w:tc>
        <w:tc>
          <w:tcPr>
            <w:tcW w:w="60" w:type="dxa"/>
            <w:vAlign w:val="bottom"/>
          </w:tcPr>
          <w:p>
            <w:pPr>
              <w:spacing w:after="0"/>
              <w:rPr>
                <w:sz w:val="17"/>
                <w:szCs w:val="17"/>
                <w:color w:val="auto"/>
              </w:rPr>
            </w:pPr>
          </w:p>
        </w:tc>
      </w:tr>
    </w:tbl>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 had been granted a BARDA contract in September 2015, wherein BARDA will fund the Company to support the ongoing U.S. clinical regulatory program towards FDA Premarket Approval, Compassionate Use program, clinical and health economics research, and in U.S. paediatric burn programs. The objectives support BARDA’s overarching goal of building burn care preparedness, by securing effective medical countermeasures for burn injuries for use in case of a mass casualty event.</w:t>
      </w:r>
    </w:p>
    <w:p>
      <w:pPr>
        <w:spacing w:after="0" w:line="195" w:lineRule="exact"/>
        <w:rPr>
          <w:sz w:val="20"/>
          <w:szCs w:val="20"/>
          <w:color w:val="auto"/>
        </w:rPr>
      </w:pPr>
    </w:p>
    <w:tbl>
      <w:tblPr>
        <w:tblLayout w:type="fixed"/>
        <w:tblInd w:w="1240" w:type="dxa"/>
        <w:tblCellMar>
          <w:top w:w="0" w:type="dxa"/>
          <w:left w:w="0" w:type="dxa"/>
          <w:bottom w:w="0" w:type="dxa"/>
          <w:right w:w="0" w:type="dxa"/>
        </w:tblCellMar>
      </w:tblPr>
      <w:tr>
        <w:trPr>
          <w:trHeight w:val="159"/>
        </w:trPr>
        <w:tc>
          <w:tcPr>
            <w:tcW w:w="380" w:type="dxa"/>
            <w:vAlign w:val="bottom"/>
            <w:tcBorders>
              <w:bottom w:val="single" w:sz="8" w:color="CCEEFF"/>
            </w:tcBorders>
          </w:tcPr>
          <w:p>
            <w:pPr>
              <w:spacing w:after="0"/>
              <w:rPr>
                <w:sz w:val="13"/>
                <w:szCs w:val="13"/>
                <w:color w:val="auto"/>
              </w:rPr>
            </w:pPr>
          </w:p>
        </w:tc>
        <w:tc>
          <w:tcPr>
            <w:tcW w:w="3160" w:type="dxa"/>
            <w:vAlign w:val="bottom"/>
            <w:tcBorders>
              <w:bottom w:val="single" w:sz="8" w:color="CCEEFF"/>
            </w:tcBorders>
          </w:tcPr>
          <w:p>
            <w:pPr>
              <w:spacing w:after="0"/>
              <w:rPr>
                <w:sz w:val="13"/>
                <w:szCs w:val="13"/>
                <w:color w:val="auto"/>
              </w:rPr>
            </w:pPr>
          </w:p>
        </w:tc>
        <w:tc>
          <w:tcPr>
            <w:tcW w:w="2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0" w:type="dxa"/>
            <w:vAlign w:val="bottom"/>
            <w:shd w:val="clear" w:color="auto" w:fill="CCEEFF"/>
          </w:tcPr>
          <w:p>
            <w:pPr>
              <w:spacing w:after="0" w:line="181" w:lineRule="exact"/>
              <w:rPr>
                <w:sz w:val="20"/>
                <w:szCs w:val="20"/>
                <w:color w:val="auto"/>
              </w:rPr>
            </w:pPr>
            <w:r>
              <w:rPr>
                <w:rFonts w:ascii="Arial" w:cs="Arial" w:eastAsia="Arial" w:hAnsi="Arial"/>
                <w:sz w:val="17"/>
                <w:szCs w:val="17"/>
                <w:b w:val="1"/>
                <w:bCs w:val="1"/>
                <w:color w:val="auto"/>
              </w:rPr>
              <w:t>(c)</w:t>
            </w:r>
          </w:p>
        </w:tc>
        <w:tc>
          <w:tcPr>
            <w:tcW w:w="3160" w:type="dxa"/>
            <w:vAlign w:val="bottom"/>
            <w:shd w:val="clear" w:color="auto" w:fill="CCEEFF"/>
          </w:tcPr>
          <w:p>
            <w:pPr>
              <w:ind w:left="180"/>
              <w:spacing w:after="0" w:line="181" w:lineRule="exact"/>
              <w:rPr>
                <w:sz w:val="20"/>
                <w:szCs w:val="20"/>
                <w:color w:val="auto"/>
              </w:rPr>
            </w:pPr>
            <w:r>
              <w:rPr>
                <w:rFonts w:ascii="Arial" w:cs="Arial" w:eastAsia="Arial" w:hAnsi="Arial"/>
                <w:sz w:val="17"/>
                <w:szCs w:val="17"/>
                <w:b w:val="1"/>
                <w:bCs w:val="1"/>
                <w:color w:val="auto"/>
              </w:rPr>
              <w:t>Finance costs</w:t>
            </w:r>
          </w:p>
        </w:tc>
        <w:tc>
          <w:tcPr>
            <w:tcW w:w="2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316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2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37,769</w:t>
            </w:r>
          </w:p>
        </w:tc>
        <w:tc>
          <w:tcPr>
            <w:tcW w:w="620" w:type="dxa"/>
            <w:vAlign w:val="bottom"/>
            <w:gridSpan w:val="2"/>
          </w:tcPr>
          <w:p>
            <w:pPr>
              <w:ind w:left="420"/>
              <w:spacing w:after="0"/>
              <w:rPr>
                <w:sz w:val="20"/>
                <w:szCs w:val="20"/>
                <w:color w:val="auto"/>
              </w:rPr>
            </w:pPr>
            <w:r>
              <w:rPr>
                <w:rFonts w:ascii="Arial" w:cs="Arial" w:eastAsia="Arial" w:hAnsi="Arial"/>
                <w:sz w:val="17"/>
                <w:szCs w:val="17"/>
                <w:u w:val="single" w:color="auto"/>
                <w:color w:val="auto"/>
                <w:w w:val="86"/>
              </w:rPr>
              <w:t>A</w:t>
            </w:r>
            <w:r>
              <w:rPr>
                <w:rFonts w:ascii="Arial" w:cs="Arial" w:eastAsia="Arial" w:hAnsi="Arial"/>
                <w:sz w:val="17"/>
                <w:szCs w:val="17"/>
                <w:color w:val="auto"/>
                <w:w w:val="86"/>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26,586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8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37,769</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26,586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8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0" w:type="dxa"/>
            <w:vAlign w:val="bottom"/>
            <w:shd w:val="clear" w:color="auto" w:fill="CCEEFF"/>
          </w:tcPr>
          <w:p>
            <w:pPr>
              <w:spacing w:after="0" w:line="181" w:lineRule="exact"/>
              <w:rPr>
                <w:sz w:val="20"/>
                <w:szCs w:val="20"/>
                <w:color w:val="auto"/>
              </w:rPr>
            </w:pPr>
            <w:r>
              <w:rPr>
                <w:rFonts w:ascii="Arial" w:cs="Arial" w:eastAsia="Arial" w:hAnsi="Arial"/>
                <w:sz w:val="17"/>
                <w:szCs w:val="17"/>
                <w:b w:val="1"/>
                <w:bCs w:val="1"/>
                <w:color w:val="auto"/>
              </w:rPr>
              <w:t>(d)</w:t>
            </w:r>
          </w:p>
        </w:tc>
        <w:tc>
          <w:tcPr>
            <w:tcW w:w="3160" w:type="dxa"/>
            <w:vAlign w:val="bottom"/>
            <w:shd w:val="clear" w:color="auto" w:fill="CCEEFF"/>
          </w:tcPr>
          <w:p>
            <w:pPr>
              <w:ind w:left="180"/>
              <w:spacing w:after="0" w:line="181" w:lineRule="exact"/>
              <w:rPr>
                <w:sz w:val="20"/>
                <w:szCs w:val="20"/>
                <w:color w:val="auto"/>
              </w:rPr>
            </w:pPr>
            <w:r>
              <w:rPr>
                <w:rFonts w:ascii="Arial" w:cs="Arial" w:eastAsia="Arial" w:hAnsi="Arial"/>
                <w:sz w:val="17"/>
                <w:szCs w:val="17"/>
                <w:b w:val="1"/>
                <w:bCs w:val="1"/>
                <w:color w:val="auto"/>
                <w:w w:val="96"/>
              </w:rPr>
              <w:t>Depreciation included in profit or loss</w:t>
            </w:r>
          </w:p>
        </w:tc>
        <w:tc>
          <w:tcPr>
            <w:tcW w:w="2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3160" w:type="dxa"/>
            <w:vAlign w:val="bottom"/>
          </w:tcPr>
          <w:p>
            <w:pPr>
              <w:ind w:left="180"/>
              <w:spacing w:after="0"/>
              <w:rPr>
                <w:sz w:val="20"/>
                <w:szCs w:val="20"/>
                <w:color w:val="auto"/>
              </w:rPr>
            </w:pPr>
            <w:r>
              <w:rPr>
                <w:rFonts w:ascii="Arial" w:cs="Arial" w:eastAsia="Arial" w:hAnsi="Arial"/>
                <w:sz w:val="17"/>
                <w:szCs w:val="17"/>
                <w:color w:val="auto"/>
              </w:rPr>
              <w:t>Depreciation</w:t>
            </w:r>
          </w:p>
        </w:tc>
        <w:tc>
          <w:tcPr>
            <w:tcW w:w="2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378,002</w:t>
            </w:r>
          </w:p>
        </w:tc>
        <w:tc>
          <w:tcPr>
            <w:tcW w:w="620" w:type="dxa"/>
            <w:vAlign w:val="bottom"/>
            <w:gridSpan w:val="2"/>
          </w:tcPr>
          <w:p>
            <w:pPr>
              <w:ind w:left="420"/>
              <w:spacing w:after="0"/>
              <w:rPr>
                <w:sz w:val="20"/>
                <w:szCs w:val="20"/>
                <w:color w:val="auto"/>
              </w:rPr>
            </w:pPr>
            <w:r>
              <w:rPr>
                <w:rFonts w:ascii="Arial" w:cs="Arial" w:eastAsia="Arial" w:hAnsi="Arial"/>
                <w:sz w:val="17"/>
                <w:szCs w:val="17"/>
                <w:u w:val="single" w:color="auto"/>
                <w:color w:val="auto"/>
                <w:w w:val="86"/>
              </w:rPr>
              <w:t>A$</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143,546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8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378,002</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u w:val="single" w:color="auto"/>
                <w:color w:val="auto"/>
                <w:w w:val="82"/>
              </w:rPr>
              <w:t>A$</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143,546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0" w:type="dxa"/>
            <w:vAlign w:val="bottom"/>
            <w:tcBorders>
              <w:bottom w:val="single" w:sz="8" w:color="CCEEFF"/>
            </w:tcBorders>
          </w:tcPr>
          <w:p>
            <w:pPr>
              <w:spacing w:after="0"/>
              <w:rPr>
                <w:sz w:val="11"/>
                <w:szCs w:val="11"/>
                <w:color w:val="auto"/>
              </w:rPr>
            </w:pPr>
          </w:p>
        </w:tc>
        <w:tc>
          <w:tcPr>
            <w:tcW w:w="3160" w:type="dxa"/>
            <w:vAlign w:val="bottom"/>
            <w:tcBorders>
              <w:bottom w:val="single" w:sz="8" w:color="CCEEFF"/>
            </w:tcBorders>
          </w:tcPr>
          <w:p>
            <w:pPr>
              <w:spacing w:after="0"/>
              <w:rPr>
                <w:sz w:val="11"/>
                <w:szCs w:val="11"/>
                <w:color w:val="auto"/>
              </w:rPr>
            </w:pPr>
          </w:p>
        </w:tc>
        <w:tc>
          <w:tcPr>
            <w:tcW w:w="2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3"/>
              <w:spacing w:after="0" w:line="129" w:lineRule="exact"/>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63"/>
              <w:spacing w:after="0" w:line="129" w:lineRule="exact"/>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(e)</w:t>
            </w:r>
          </w:p>
        </w:tc>
        <w:tc>
          <w:tcPr>
            <w:tcW w:w="316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b w:val="1"/>
                <w:bCs w:val="1"/>
                <w:color w:val="auto"/>
              </w:rPr>
              <w:t>Cost of sales</w:t>
            </w:r>
          </w:p>
        </w:tc>
        <w:tc>
          <w:tcPr>
            <w:tcW w:w="21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w w:val="86"/>
              </w:rPr>
              <w:t>A$</w:t>
            </w:r>
          </w:p>
        </w:tc>
        <w:tc>
          <w:tcPr>
            <w:tcW w:w="6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1,697,823</w:t>
            </w:r>
          </w:p>
        </w:tc>
        <w:tc>
          <w:tcPr>
            <w:tcW w:w="4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7"/>
                <w:szCs w:val="17"/>
                <w:u w:val="single" w:color="auto"/>
                <w:color w:val="auto"/>
                <w:w w:val="86"/>
              </w:rPr>
              <w:t>A</w:t>
            </w:r>
            <w:r>
              <w:rPr>
                <w:rFonts w:ascii="Arial" w:cs="Arial" w:eastAsia="Arial" w:hAnsi="Arial"/>
                <w:sz w:val="17"/>
                <w:szCs w:val="17"/>
                <w:color w:val="auto"/>
                <w:w w:val="86"/>
              </w:rPr>
              <w:t>$</w:t>
            </w:r>
          </w:p>
        </w:tc>
        <w:tc>
          <w:tcPr>
            <w:tcW w:w="5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511,646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40" w:type="dxa"/>
            <w:vAlign w:val="bottom"/>
            <w:vMerge w:val="restart"/>
          </w:tcPr>
          <w:p>
            <w:pPr>
              <w:jc w:val="right"/>
              <w:ind w:right="1616"/>
              <w:spacing w:after="0"/>
              <w:rPr>
                <w:sz w:val="20"/>
                <w:szCs w:val="20"/>
                <w:color w:val="auto"/>
              </w:rPr>
            </w:pPr>
            <w:r>
              <w:rPr>
                <w:rFonts w:ascii="Arial" w:cs="Arial" w:eastAsia="Arial" w:hAnsi="Arial"/>
                <w:sz w:val="17"/>
                <w:szCs w:val="17"/>
                <w:color w:val="auto"/>
              </w:rPr>
              <w:t>31</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261" w:right="8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CONCISE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Revenue and Expenses (continued)</w:t>
      </w:r>
    </w:p>
    <w:p>
      <w:pPr>
        <w:spacing w:after="0" w:line="140" w:lineRule="exact"/>
        <w:rPr>
          <w:sz w:val="20"/>
          <w:szCs w:val="20"/>
          <w:color w:val="auto"/>
        </w:rPr>
      </w:pPr>
    </w:p>
    <w:tbl>
      <w:tblPr>
        <w:tblLayout w:type="fixed"/>
        <w:tblInd w:w="1240" w:type="dxa"/>
        <w:tblCellMar>
          <w:top w:w="0" w:type="dxa"/>
          <w:left w:w="0" w:type="dxa"/>
          <w:bottom w:w="0" w:type="dxa"/>
          <w:right w:w="0" w:type="dxa"/>
        </w:tblCellMar>
      </w:tblPr>
      <w:tr>
        <w:trPr>
          <w:trHeight w:val="159"/>
        </w:trPr>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440" w:type="dxa"/>
            <w:vAlign w:val="bottom"/>
            <w:gridSpan w:val="2"/>
          </w:tcPr>
          <w:p>
            <w:pPr>
              <w:jc w:val="right"/>
              <w:ind w:right="376"/>
              <w:spacing w:after="0"/>
              <w:rPr>
                <w:sz w:val="20"/>
                <w:szCs w:val="20"/>
                <w:color w:val="auto"/>
              </w:rPr>
            </w:pPr>
            <w:r>
              <w:rPr>
                <w:rFonts w:ascii="Arial" w:cs="Arial" w:eastAsia="Arial" w:hAnsi="Arial"/>
                <w:sz w:val="13"/>
                <w:szCs w:val="13"/>
                <w:b w:val="1"/>
                <w:bCs w:val="1"/>
                <w:color w:val="auto"/>
              </w:rPr>
              <w:t>2019</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381"/>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3"/>
                <w:szCs w:val="13"/>
                <w:color w:val="auto"/>
              </w:rPr>
            </w:pPr>
          </w:p>
        </w:tc>
      </w:tr>
      <w:tr>
        <w:trPr>
          <w:trHeight w:val="165"/>
        </w:trPr>
        <w:tc>
          <w:tcPr>
            <w:tcW w:w="40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7"/>
                <w:szCs w:val="17"/>
                <w:b w:val="1"/>
                <w:bCs w:val="1"/>
                <w:color w:val="auto"/>
              </w:rPr>
              <w:t>(f)</w:t>
            </w:r>
          </w:p>
        </w:tc>
        <w:tc>
          <w:tcPr>
            <w:tcW w:w="4280" w:type="dxa"/>
            <w:vAlign w:val="bottom"/>
            <w:tcBorders>
              <w:top w:val="single" w:sz="8" w:color="CCEEFF"/>
            </w:tcBorders>
            <w:shd w:val="clear" w:color="auto" w:fill="CCEEFF"/>
          </w:tcPr>
          <w:p>
            <w:pPr>
              <w:ind w:left="180"/>
              <w:spacing w:after="0" w:line="165" w:lineRule="exact"/>
              <w:rPr>
                <w:sz w:val="20"/>
                <w:szCs w:val="20"/>
                <w:color w:val="auto"/>
              </w:rPr>
            </w:pPr>
            <w:r>
              <w:rPr>
                <w:rFonts w:ascii="Arial" w:cs="Arial" w:eastAsia="Arial" w:hAnsi="Arial"/>
                <w:sz w:val="17"/>
                <w:szCs w:val="17"/>
                <w:b w:val="1"/>
                <w:bCs w:val="1"/>
                <w:color w:val="auto"/>
                <w:w w:val="92"/>
              </w:rPr>
              <w:t>Lease payments and other expenses included in profit</w:t>
            </w:r>
          </w:p>
        </w:tc>
        <w:tc>
          <w:tcPr>
            <w:tcW w:w="2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18"/>
        </w:trPr>
        <w:tc>
          <w:tcPr>
            <w:tcW w:w="40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7"/>
                <w:szCs w:val="17"/>
                <w:b w:val="1"/>
                <w:bCs w:val="1"/>
                <w:color w:val="auto"/>
              </w:rPr>
              <w:t>or loss</w:t>
            </w:r>
          </w:p>
        </w:tc>
        <w:tc>
          <w:tcPr>
            <w:tcW w:w="2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A$950,399</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A$463,095</w:t>
            </w:r>
          </w:p>
        </w:tc>
        <w:tc>
          <w:tcPr>
            <w:tcW w:w="60" w:type="dxa"/>
            <w:vAlign w:val="bottom"/>
            <w:shd w:val="clear" w:color="auto" w:fill="CCEEFF"/>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0"/>
        </w:trPr>
        <w:tc>
          <w:tcPr>
            <w:tcW w:w="4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40" w:type="dxa"/>
            <w:vAlign w:val="bottom"/>
            <w:gridSpan w:val="2"/>
          </w:tcPr>
          <w:p>
            <w:pPr>
              <w:jc w:val="right"/>
              <w:ind w:right="376"/>
              <w:spacing w:after="0"/>
              <w:rPr>
                <w:sz w:val="20"/>
                <w:szCs w:val="20"/>
                <w:color w:val="auto"/>
              </w:rPr>
            </w:pPr>
            <w:r>
              <w:rPr>
                <w:rFonts w:ascii="Arial" w:cs="Arial" w:eastAsia="Arial" w:hAnsi="Arial"/>
                <w:sz w:val="13"/>
                <w:szCs w:val="13"/>
                <w:b w:val="1"/>
                <w:bCs w:val="1"/>
                <w:color w:val="auto"/>
              </w:rPr>
              <w:t>2019</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81"/>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24"/>
                <w:szCs w:val="24"/>
                <w:color w:val="auto"/>
              </w:rPr>
            </w:pPr>
          </w:p>
        </w:tc>
      </w:tr>
      <w:tr>
        <w:trPr>
          <w:trHeight w:val="181"/>
        </w:trPr>
        <w:tc>
          <w:tcPr>
            <w:tcW w:w="4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7"/>
                <w:szCs w:val="17"/>
                <w:b w:val="1"/>
                <w:bCs w:val="1"/>
                <w:color w:val="auto"/>
              </w:rPr>
              <w:t>(g)</w:t>
            </w:r>
          </w:p>
        </w:tc>
        <w:tc>
          <w:tcPr>
            <w:tcW w:w="4280" w:type="dxa"/>
            <w:vAlign w:val="bottom"/>
            <w:tcBorders>
              <w:top w:val="single" w:sz="8" w:color="CCEEFF"/>
            </w:tcBorders>
            <w:shd w:val="clear" w:color="auto" w:fill="CCEEFF"/>
          </w:tcPr>
          <w:p>
            <w:pPr>
              <w:ind w:left="180"/>
              <w:spacing w:after="0" w:line="181" w:lineRule="exact"/>
              <w:rPr>
                <w:sz w:val="20"/>
                <w:szCs w:val="20"/>
                <w:color w:val="auto"/>
              </w:rPr>
            </w:pPr>
            <w:r>
              <w:rPr>
                <w:rFonts w:ascii="Arial" w:cs="Arial" w:eastAsia="Arial" w:hAnsi="Arial"/>
                <w:sz w:val="17"/>
                <w:szCs w:val="17"/>
                <w:b w:val="1"/>
                <w:bCs w:val="1"/>
                <w:color w:val="auto"/>
              </w:rPr>
              <w:t>Employee benefits expense</w:t>
            </w:r>
          </w:p>
        </w:tc>
        <w:tc>
          <w:tcPr>
            <w:tcW w:w="2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1"/>
        </w:trPr>
        <w:tc>
          <w:tcPr>
            <w:tcW w:w="400" w:type="dxa"/>
            <w:vAlign w:val="bottom"/>
          </w:tcPr>
          <w:p>
            <w:pPr>
              <w:spacing w:after="0"/>
              <w:rPr>
                <w:sz w:val="17"/>
                <w:szCs w:val="17"/>
                <w:color w:val="auto"/>
              </w:rPr>
            </w:pPr>
          </w:p>
        </w:tc>
        <w:tc>
          <w:tcPr>
            <w:tcW w:w="4280" w:type="dxa"/>
            <w:vAlign w:val="bottom"/>
          </w:tcPr>
          <w:p>
            <w:pPr>
              <w:ind w:left="180"/>
              <w:spacing w:after="0"/>
              <w:rPr>
                <w:sz w:val="20"/>
                <w:szCs w:val="20"/>
                <w:color w:val="auto"/>
              </w:rPr>
            </w:pPr>
            <w:r>
              <w:rPr>
                <w:rFonts w:ascii="Arial" w:cs="Arial" w:eastAsia="Arial" w:hAnsi="Arial"/>
                <w:sz w:val="17"/>
                <w:szCs w:val="17"/>
                <w:color w:val="auto"/>
              </w:rPr>
              <w:t>Salaries and wages</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A$   15,472,511</w:t>
            </w:r>
          </w:p>
        </w:tc>
        <w:tc>
          <w:tcPr>
            <w:tcW w:w="660" w:type="dxa"/>
            <w:vAlign w:val="bottom"/>
            <w:gridSpan w:val="2"/>
          </w:tcPr>
          <w:p>
            <w:pPr>
              <w:ind w:left="440"/>
              <w:spacing w:after="0"/>
              <w:rPr>
                <w:sz w:val="20"/>
                <w:szCs w:val="20"/>
                <w:color w:val="auto"/>
              </w:rPr>
            </w:pPr>
            <w:r>
              <w:rPr>
                <w:rFonts w:ascii="Arial" w:cs="Arial" w:eastAsia="Arial" w:hAnsi="Arial"/>
                <w:sz w:val="17"/>
                <w:szCs w:val="17"/>
                <w:color w:val="auto"/>
                <w:w w:val="95"/>
              </w:rPr>
              <w:t>A$</w:t>
            </w:r>
          </w:p>
        </w:tc>
        <w:tc>
          <w:tcPr>
            <w:tcW w:w="960" w:type="dxa"/>
            <w:vAlign w:val="bottom"/>
          </w:tcPr>
          <w:p>
            <w:pPr>
              <w:jc w:val="right"/>
              <w:spacing w:after="0"/>
              <w:rPr>
                <w:sz w:val="20"/>
                <w:szCs w:val="20"/>
                <w:color w:val="auto"/>
              </w:rPr>
            </w:pPr>
            <w:r>
              <w:rPr>
                <w:rFonts w:ascii="Arial" w:cs="Arial" w:eastAsia="Arial" w:hAnsi="Arial"/>
                <w:sz w:val="17"/>
                <w:szCs w:val="17"/>
                <w:color w:val="auto"/>
              </w:rPr>
              <w:t>8,057,869</w:t>
            </w:r>
          </w:p>
        </w:tc>
        <w:tc>
          <w:tcPr>
            <w:tcW w:w="60" w:type="dxa"/>
            <w:vAlign w:val="bottom"/>
          </w:tcPr>
          <w:p>
            <w:pPr>
              <w:spacing w:after="0"/>
              <w:rPr>
                <w:sz w:val="17"/>
                <w:szCs w:val="17"/>
                <w:color w:val="auto"/>
              </w:rPr>
            </w:pPr>
          </w:p>
        </w:tc>
      </w:tr>
      <w:tr>
        <w:trPr>
          <w:trHeight w:val="201"/>
        </w:trPr>
        <w:tc>
          <w:tcPr>
            <w:tcW w:w="400" w:type="dxa"/>
            <w:vAlign w:val="bottom"/>
            <w:shd w:val="clear" w:color="auto" w:fill="CCEEFF"/>
          </w:tcPr>
          <w:p>
            <w:pPr>
              <w:spacing w:after="0"/>
              <w:rPr>
                <w:sz w:val="17"/>
                <w:szCs w:val="17"/>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Share-based expenses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2,688,817</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1,835,157</w:t>
            </w:r>
          </w:p>
        </w:tc>
        <w:tc>
          <w:tcPr>
            <w:tcW w:w="60" w:type="dxa"/>
            <w:vAlign w:val="bottom"/>
            <w:shd w:val="clear" w:color="auto" w:fill="CCEEFF"/>
          </w:tcPr>
          <w:p>
            <w:pPr>
              <w:spacing w:after="0"/>
              <w:rPr>
                <w:sz w:val="17"/>
                <w:szCs w:val="17"/>
                <w:color w:val="auto"/>
              </w:rPr>
            </w:pPr>
          </w:p>
        </w:tc>
      </w:tr>
      <w:tr>
        <w:trPr>
          <w:trHeight w:val="206"/>
        </w:trPr>
        <w:tc>
          <w:tcPr>
            <w:tcW w:w="400" w:type="dxa"/>
            <w:vAlign w:val="bottom"/>
          </w:tcPr>
          <w:p>
            <w:pPr>
              <w:spacing w:after="0"/>
              <w:rPr>
                <w:sz w:val="17"/>
                <w:szCs w:val="17"/>
                <w:color w:val="auto"/>
              </w:rPr>
            </w:pPr>
          </w:p>
        </w:tc>
        <w:tc>
          <w:tcPr>
            <w:tcW w:w="4280" w:type="dxa"/>
            <w:vAlign w:val="bottom"/>
          </w:tcPr>
          <w:p>
            <w:pPr>
              <w:ind w:left="180"/>
              <w:spacing w:after="0"/>
              <w:rPr>
                <w:sz w:val="20"/>
                <w:szCs w:val="20"/>
                <w:color w:val="auto"/>
              </w:rPr>
            </w:pPr>
            <w:r>
              <w:rPr>
                <w:rFonts w:ascii="Arial" w:cs="Arial" w:eastAsia="Arial" w:hAnsi="Arial"/>
                <w:sz w:val="17"/>
                <w:szCs w:val="17"/>
                <w:color w:val="auto"/>
              </w:rPr>
              <w:t>Defined contribution superannuation expense</w:t>
            </w:r>
          </w:p>
        </w:tc>
        <w:tc>
          <w:tcPr>
            <w:tcW w:w="26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831,558</w:t>
            </w:r>
          </w:p>
        </w:tc>
        <w:tc>
          <w:tcPr>
            <w:tcW w:w="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374,435</w:t>
            </w:r>
          </w:p>
        </w:tc>
        <w:tc>
          <w:tcPr>
            <w:tcW w:w="60" w:type="dxa"/>
            <w:vAlign w:val="bottom"/>
          </w:tcPr>
          <w:p>
            <w:pPr>
              <w:spacing w:after="0"/>
              <w:rPr>
                <w:sz w:val="17"/>
                <w:szCs w:val="17"/>
                <w:color w:val="auto"/>
              </w:rPr>
            </w:pPr>
          </w:p>
        </w:tc>
      </w:tr>
      <w:tr>
        <w:trPr>
          <w:trHeight w:val="201"/>
        </w:trPr>
        <w:tc>
          <w:tcPr>
            <w:tcW w:w="40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A$18,992,886</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b w:val="1"/>
                <w:bCs w:val="1"/>
                <w:color w:val="auto"/>
                <w:w w:val="89"/>
              </w:rPr>
              <w:t>A$10,267,461</w:t>
            </w:r>
          </w:p>
        </w:tc>
      </w:tr>
      <w:tr>
        <w:trPr>
          <w:trHeight w:val="20"/>
        </w:trPr>
        <w:tc>
          <w:tcPr>
            <w:tcW w:w="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Loss per Share</w:t>
      </w:r>
    </w:p>
    <w:p>
      <w:pPr>
        <w:spacing w:after="0" w:line="1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Basic loss per share amounts are calculated by dividing the net loss for the year by the weighted average number of ordinary shares outstanding during the year.</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Diluted earnings per share amounts are calculated by dividing the net loss for the year by the weighted average number of ordinary shares outstanding during the year plus the weighted average number of ordinary shares that would be issued on the conversion of all the dilutive potential ordinary shares into ordinary shares.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reflects the income and share data used in the basic and diluted loss per share computations:</w:t>
      </w:r>
    </w:p>
    <w:p>
      <w:pPr>
        <w:spacing w:after="0" w:line="224" w:lineRule="exact"/>
        <w:rPr>
          <w:sz w:val="20"/>
          <w:szCs w:val="20"/>
          <w:color w:val="auto"/>
        </w:rPr>
      </w:pPr>
    </w:p>
    <w:tbl>
      <w:tblPr>
        <w:tblLayout w:type="fixed"/>
        <w:tblInd w:w="1240" w:type="dxa"/>
        <w:tblCellMar>
          <w:top w:w="0" w:type="dxa"/>
          <w:left w:w="0" w:type="dxa"/>
          <w:bottom w:w="0" w:type="dxa"/>
          <w:right w:w="0" w:type="dxa"/>
        </w:tblCellMar>
      </w:tblPr>
      <w:tr>
        <w:trPr>
          <w:trHeight w:val="159"/>
        </w:trPr>
        <w:tc>
          <w:tcPr>
            <w:tcW w:w="4420" w:type="dxa"/>
            <w:vAlign w:val="bottom"/>
          </w:tcPr>
          <w:p>
            <w:pPr>
              <w:spacing w:after="0"/>
              <w:rPr>
                <w:sz w:val="13"/>
                <w:szCs w:val="13"/>
                <w:color w:val="auto"/>
              </w:rPr>
            </w:pPr>
          </w:p>
        </w:tc>
        <w:tc>
          <w:tcPr>
            <w:tcW w:w="1620" w:type="dxa"/>
            <w:vAlign w:val="bottom"/>
            <w:gridSpan w:val="2"/>
          </w:tcPr>
          <w:p>
            <w:pPr>
              <w:jc w:val="right"/>
              <w:ind w:right="376"/>
              <w:spacing w:after="0"/>
              <w:rPr>
                <w:sz w:val="20"/>
                <w:szCs w:val="20"/>
                <w:color w:val="auto"/>
              </w:rPr>
            </w:pPr>
            <w:r>
              <w:rPr>
                <w:rFonts w:ascii="Arial" w:cs="Arial" w:eastAsia="Arial" w:hAnsi="Arial"/>
                <w:sz w:val="13"/>
                <w:szCs w:val="13"/>
                <w:b w:val="1"/>
                <w:bCs w:val="1"/>
                <w:color w:val="auto"/>
              </w:rPr>
              <w:t>2019</w:t>
            </w:r>
          </w:p>
        </w:tc>
        <w:tc>
          <w:tcPr>
            <w:tcW w:w="1700" w:type="dxa"/>
            <w:vAlign w:val="bottom"/>
            <w:gridSpan w:val="2"/>
          </w:tcPr>
          <w:p>
            <w:pPr>
              <w:jc w:val="right"/>
              <w:ind w:right="316"/>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4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Net loss for the period</w:t>
            </w:r>
          </w:p>
        </w:tc>
        <w:tc>
          <w:tcPr>
            <w:tcW w:w="4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w w:val="96"/>
              </w:rPr>
              <w:t>A</w:t>
            </w:r>
            <w:r>
              <w:rPr>
                <w:rFonts w:ascii="Arial" w:cs="Arial" w:eastAsia="Arial" w:hAnsi="Arial"/>
                <w:sz w:val="17"/>
                <w:szCs w:val="17"/>
                <w:color w:val="auto"/>
                <w:w w:val="96"/>
              </w:rPr>
              <w:t>$   35,160,227</w:t>
            </w:r>
          </w:p>
        </w:tc>
        <w:tc>
          <w:tcPr>
            <w:tcW w:w="6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w w:val="92"/>
              </w:rPr>
              <w:t>A</w:t>
            </w:r>
            <w:r>
              <w:rPr>
                <w:rFonts w:ascii="Arial" w:cs="Arial" w:eastAsia="Arial" w:hAnsi="Arial"/>
                <w:sz w:val="17"/>
                <w:szCs w:val="17"/>
                <w:color w:val="auto"/>
                <w:w w:val="92"/>
              </w:rPr>
              <w:t>$ 16,519,155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7"/>
                <w:szCs w:val="17"/>
                <w:color w:val="auto"/>
                <w:w w:val="99"/>
              </w:rPr>
              <w:t>Weighted average number of ordinary shares for basic and</w:t>
            </w:r>
          </w:p>
        </w:tc>
        <w:tc>
          <w:tcPr>
            <w:tcW w:w="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60"/>
              <w:spacing w:after="0"/>
              <w:rPr>
                <w:sz w:val="20"/>
                <w:szCs w:val="20"/>
                <w:color w:val="auto"/>
              </w:rPr>
            </w:pPr>
            <w:r>
              <w:rPr>
                <w:rFonts w:ascii="Arial" w:cs="Arial" w:eastAsia="Arial" w:hAnsi="Arial"/>
                <w:sz w:val="17"/>
                <w:szCs w:val="17"/>
                <w:color w:val="auto"/>
              </w:rPr>
              <w:t>diluted loss per share</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1,266,654,166</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934,312,458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jc w:val="right"/>
              <w:ind w:right="356"/>
              <w:spacing w:after="0"/>
              <w:rPr>
                <w:sz w:val="20"/>
                <w:szCs w:val="20"/>
                <w:color w:val="auto"/>
              </w:rPr>
            </w:pPr>
            <w:r>
              <w:rPr>
                <w:rFonts w:ascii="Arial" w:cs="Arial" w:eastAsia="Arial" w:hAnsi="Arial"/>
                <w:sz w:val="17"/>
                <w:szCs w:val="17"/>
                <w:color w:val="auto"/>
              </w:rPr>
              <w:t>32</w:t>
            </w:r>
          </w:p>
        </w:tc>
        <w:tc>
          <w:tcPr>
            <w:tcW w:w="4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820" w:top="261" w:right="9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CONCISE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Segment Information</w:t>
      </w:r>
    </w:p>
    <w:p>
      <w:pPr>
        <w:spacing w:after="0" w:line="110"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Operating segments are identified based on internal reports about components of the Company that are regularly reviewed by the chief operating decision maker to allocate resources to the segment and to assess its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Company’s chief operating decision maker has been identified as the Chief Executive Officer.</w:t>
      </w:r>
    </w:p>
    <w:p>
      <w:pPr>
        <w:spacing w:after="0" w:line="207"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Chief Executive Officer reviews the financial and operating performance of the business primarily from a geographic perspective. On this basis, management have identified three reportable operating segments being the Asia Pacific, Europe and Americas including Canada. The Chief Executive Officer monitors the performance of all these segments separately. The Company does not operate in any other geographic segment.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Americas, Europe, and Asia Pacific operating segments derived its revenues from the sale of RECELL Devices.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Chief Executive Officer assesses the performance of the operating segments based on a measure of gross margin and net profit before tax.</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Unallocated</w:t>
      </w:r>
    </w:p>
    <w:p>
      <w:pPr>
        <w:spacing w:after="0" w:line="106"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The following items of income and expense and associated assets are not allocated to operating segments as they are not considered part of the core operations of any segment:</w:t>
      </w:r>
    </w:p>
    <w:p>
      <w:pPr>
        <w:spacing w:after="0" w:line="79" w:lineRule="exact"/>
        <w:rPr>
          <w:sz w:val="20"/>
          <w:szCs w:val="20"/>
          <w:color w:val="auto"/>
        </w:rPr>
      </w:pPr>
    </w:p>
    <w:p>
      <w:pPr>
        <w:ind w:left="920" w:hanging="412"/>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Corporate revenue</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Corporate charges</w:t>
      </w:r>
    </w:p>
    <w:p>
      <w:pPr>
        <w:spacing w:after="0" w:line="118" w:lineRule="exact"/>
        <w:rPr>
          <w:rFonts w:ascii="Arial" w:cs="Arial" w:eastAsia="Arial" w:hAnsi="Arial"/>
          <w:sz w:val="17"/>
          <w:szCs w:val="17"/>
          <w:color w:val="auto"/>
        </w:rPr>
      </w:pPr>
    </w:p>
    <w:p>
      <w:pPr>
        <w:ind w:left="920" w:hanging="412"/>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Amortisation of intellectual property</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segment information provided to the Chief Executive Officer for the reportable segments for the year ended 30 June 2019 is as follows:</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6"/>
          </w:tcPr>
          <w:p>
            <w:pPr>
              <w:jc w:val="right"/>
              <w:ind w:right="580"/>
              <w:spacing w:after="0"/>
              <w:rPr>
                <w:sz w:val="20"/>
                <w:szCs w:val="20"/>
                <w:color w:val="auto"/>
              </w:rPr>
            </w:pPr>
            <w:r>
              <w:rPr>
                <w:rFonts w:ascii="Arial" w:cs="Arial" w:eastAsia="Arial" w:hAnsi="Arial"/>
                <w:sz w:val="13"/>
                <w:szCs w:val="13"/>
                <w:b w:val="1"/>
                <w:bCs w:val="1"/>
                <w:i w:val="1"/>
                <w:iCs w:val="1"/>
                <w:color w:val="auto"/>
              </w:rPr>
              <w:t>Continuing Operations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3"/>
                <w:szCs w:val="13"/>
                <w:b w:val="1"/>
                <w:bCs w:val="1"/>
                <w:i w:val="1"/>
                <w:iCs w:val="1"/>
                <w:color w:val="auto"/>
              </w:rPr>
              <w:t>Asia Pacific</w:t>
            </w:r>
          </w:p>
        </w:tc>
        <w:tc>
          <w:tcPr>
            <w:tcW w:w="220" w:type="dxa"/>
            <w:vAlign w:val="bottom"/>
          </w:tcPr>
          <w:p>
            <w:pPr>
              <w:spacing w:after="0"/>
              <w:rPr>
                <w:sz w:val="13"/>
                <w:szCs w:val="13"/>
                <w:color w:val="auto"/>
              </w:rPr>
            </w:pPr>
          </w:p>
        </w:tc>
        <w:tc>
          <w:tcPr>
            <w:tcW w:w="108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Europe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i w:val="1"/>
                <w:iCs w:val="1"/>
                <w:color w:val="auto"/>
                <w:w w:val="92"/>
              </w:rPr>
              <w:t>Americas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3"/>
                <w:szCs w:val="13"/>
                <w:b w:val="1"/>
                <w:bCs w:val="1"/>
                <w:i w:val="1"/>
                <w:i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30 June 2019</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Sale of goods</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95"/>
              </w:rPr>
              <w:t>A$</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1,126,407</w:t>
            </w:r>
          </w:p>
        </w:tc>
        <w:tc>
          <w:tcPr>
            <w:tcW w:w="2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A$ 364,331</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6,214,660</w:t>
            </w: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7,705,398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Other income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11,970</w:t>
            </w:r>
          </w:p>
        </w:tc>
        <w:tc>
          <w:tcPr>
            <w:tcW w:w="2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543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8,703,335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8,715,848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6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w w:val="94"/>
              </w:rPr>
              <w:t>Total revenue and other income per consolidated</w:t>
            </w:r>
          </w:p>
        </w:tc>
        <w:tc>
          <w:tcPr>
            <w:tcW w:w="3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statement of profit or loss and other</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comprehensive income</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7"/>
                <w:szCs w:val="17"/>
                <w:b w:val="1"/>
                <w:bCs w:val="1"/>
                <w:u w:val="single" w:color="auto"/>
                <w:color w:val="auto"/>
                <w:w w:val="91"/>
              </w:rPr>
              <w:t>A$</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1,138,377</w:t>
            </w: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22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$ 364,874</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14,917,995</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16,421,246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7"/>
                <w:szCs w:val="17"/>
                <w:color w:val="auto"/>
              </w:rPr>
              <w:t>Segment net loss before tax benefit</w:t>
            </w: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80" w:type="dxa"/>
            <w:vAlign w:val="bottom"/>
            <w:gridSpan w:val="2"/>
            <w:vMerge w:val="continue"/>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(734,835)</w:t>
            </w:r>
          </w:p>
        </w:tc>
        <w:tc>
          <w:tcPr>
            <w:tcW w:w="1300" w:type="dxa"/>
            <w:vAlign w:val="bottom"/>
            <w:gridSpan w:val="3"/>
          </w:tcPr>
          <w:p>
            <w:pPr>
              <w:ind w:left="220"/>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(919,932)</w:t>
            </w:r>
          </w:p>
        </w:tc>
        <w:tc>
          <w:tcPr>
            <w:tcW w:w="420" w:type="dxa"/>
            <w:vAlign w:val="bottom"/>
            <w:gridSpan w:val="2"/>
          </w:tcPr>
          <w:p>
            <w:pPr>
              <w:ind w:left="220"/>
              <w:spacing w:after="0"/>
              <w:rPr>
                <w:sz w:val="20"/>
                <w:szCs w:val="20"/>
                <w:color w:val="auto"/>
              </w:rPr>
            </w:pPr>
            <w:r>
              <w:rPr>
                <w:rFonts w:ascii="Arial" w:cs="Arial" w:eastAsia="Arial" w:hAnsi="Arial"/>
                <w:sz w:val="17"/>
                <w:szCs w:val="17"/>
                <w:u w:val="single" w:color="auto"/>
                <w:color w:val="auto"/>
                <w:w w:val="86"/>
              </w:rPr>
              <w:t>A$</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(27,919,276)</w:t>
            </w:r>
          </w:p>
        </w:tc>
        <w:tc>
          <w:tcPr>
            <w:tcW w:w="460" w:type="dxa"/>
            <w:vAlign w:val="bottom"/>
            <w:gridSpan w:val="2"/>
          </w:tcPr>
          <w:p>
            <w:pPr>
              <w:ind w:left="220"/>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(29,574,043)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6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w w:val="93"/>
              </w:rPr>
              <w:t>Reconciliation of segment net result before tax to</w:t>
            </w:r>
          </w:p>
        </w:tc>
        <w:tc>
          <w:tcPr>
            <w:tcW w:w="3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loss before income tax benefit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w w:val="96"/>
              </w:rPr>
              <w:t>Corporate charges including share-based expenses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98"/>
              </w:rPr>
              <w:t>(5,766,047)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before income tax</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89"/>
              </w:rPr>
              <w:t>(35,340,090)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60"/>
        <w:spacing w:after="0" w:line="300" w:lineRule="auto"/>
        <w:rPr>
          <w:sz w:val="20"/>
          <w:szCs w:val="20"/>
          <w:color w:val="auto"/>
        </w:rPr>
      </w:pPr>
      <w:r>
        <w:rPr>
          <w:rFonts w:ascii="Arial" w:cs="Arial" w:eastAsia="Arial" w:hAnsi="Arial"/>
          <w:sz w:val="16"/>
          <w:szCs w:val="16"/>
          <w:color w:val="auto"/>
        </w:rPr>
        <w:t>The Company’s other income in its Americas including Canada operating segment includes $8,259,152 from BARDA, representing 95% of the Americas operating segment’s total other income from external customers for the year ended 30 June 2019.</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080"/>
          </w:cols>
          <w:pgMar w:left="820" w:top="261" w:right="99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CONCISE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Segment Information (Continued)</w:t>
      </w:r>
    </w:p>
    <w:p>
      <w:pPr>
        <w:spacing w:after="0" w:line="14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Revenue is attributed to geographic location based on the location of the customers. The percentages of external revenues from external customers that are attributable to foreign countries are as shown below:</w:t>
      </w:r>
    </w:p>
    <w:p>
      <w:pPr>
        <w:spacing w:after="0" w:line="184"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9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Australia</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14.6%</w:t>
            </w:r>
          </w:p>
        </w:tc>
        <w:tc>
          <w:tcPr>
            <w:tcW w:w="16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auto"/>
              </w:rPr>
              <w:t>6.8%</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Arial" w:cs="Arial" w:eastAsia="Arial" w:hAnsi="Arial"/>
                <w:sz w:val="17"/>
                <w:szCs w:val="17"/>
                <w:color w:val="auto"/>
              </w:rPr>
              <w:t>Americas and other</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56"/>
              <w:spacing w:after="0"/>
              <w:rPr>
                <w:sz w:val="20"/>
                <w:szCs w:val="20"/>
                <w:color w:val="auto"/>
              </w:rPr>
            </w:pPr>
            <w:r>
              <w:rPr>
                <w:rFonts w:ascii="Arial" w:cs="Arial" w:eastAsia="Arial" w:hAnsi="Arial"/>
                <w:sz w:val="17"/>
                <w:szCs w:val="17"/>
                <w:color w:val="auto"/>
              </w:rPr>
              <w:t>85.4%</w:t>
            </w:r>
          </w:p>
        </w:tc>
        <w:tc>
          <w:tcPr>
            <w:tcW w:w="160" w:type="dxa"/>
            <w:vAlign w:val="bottom"/>
          </w:tcPr>
          <w:p>
            <w:pPr>
              <w:spacing w:after="0"/>
              <w:rPr>
                <w:sz w:val="17"/>
                <w:szCs w:val="17"/>
                <w:color w:val="auto"/>
              </w:rPr>
            </w:pPr>
          </w:p>
        </w:tc>
        <w:tc>
          <w:tcPr>
            <w:tcW w:w="640" w:type="dxa"/>
            <w:vAlign w:val="bottom"/>
            <w:gridSpan w:val="4"/>
          </w:tcPr>
          <w:p>
            <w:pPr>
              <w:jc w:val="right"/>
              <w:spacing w:after="0"/>
              <w:rPr>
                <w:sz w:val="20"/>
                <w:szCs w:val="20"/>
                <w:color w:val="auto"/>
              </w:rPr>
            </w:pPr>
            <w:r>
              <w:rPr>
                <w:rFonts w:ascii="Arial" w:cs="Arial" w:eastAsia="Arial" w:hAnsi="Arial"/>
                <w:sz w:val="17"/>
                <w:szCs w:val="17"/>
                <w:color w:val="auto"/>
              </w:rPr>
              <w:t>93.2%</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0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100.0%</w:t>
            </w:r>
          </w:p>
        </w:tc>
        <w:tc>
          <w:tcPr>
            <w:tcW w:w="1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100.0%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b w:val="1"/>
                <w:bCs w:val="1"/>
                <w:i w:val="1"/>
                <w:iCs w:val="1"/>
                <w:color w:val="auto"/>
              </w:rPr>
              <w:t>Asia Pacific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3"/>
                <w:szCs w:val="13"/>
                <w:b w:val="1"/>
                <w:bCs w:val="1"/>
                <w:i w:val="1"/>
                <w:iCs w:val="1"/>
                <w:color w:val="auto"/>
              </w:rPr>
              <w:t>EMEA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4"/>
          </w:tcPr>
          <w:p>
            <w:pPr>
              <w:jc w:val="center"/>
              <w:ind w:right="360"/>
              <w:spacing w:after="0"/>
              <w:rPr>
                <w:sz w:val="20"/>
                <w:szCs w:val="20"/>
                <w:color w:val="auto"/>
              </w:rPr>
            </w:pPr>
            <w:r>
              <w:rPr>
                <w:rFonts w:ascii="Arial" w:cs="Arial" w:eastAsia="Arial" w:hAnsi="Arial"/>
                <w:sz w:val="13"/>
                <w:szCs w:val="13"/>
                <w:b w:val="1"/>
                <w:bCs w:val="1"/>
                <w:i w:val="1"/>
                <w:iCs w:val="1"/>
                <w:color w:val="auto"/>
                <w:w w:val="88"/>
              </w:rPr>
              <w:t>Americas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438"/>
              <w:spacing w:after="0"/>
              <w:rPr>
                <w:sz w:val="20"/>
                <w:szCs w:val="20"/>
                <w:color w:val="auto"/>
              </w:rPr>
            </w:pPr>
            <w:r>
              <w:rPr>
                <w:rFonts w:ascii="Arial" w:cs="Arial" w:eastAsia="Arial" w:hAnsi="Arial"/>
                <w:sz w:val="13"/>
                <w:szCs w:val="13"/>
                <w:b w:val="1"/>
                <w:bCs w:val="1"/>
                <w:i w:val="1"/>
                <w:i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30 June 2019</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b w:val="1"/>
                <w:bCs w:val="1"/>
                <w:color w:val="auto"/>
              </w:rPr>
              <w:t>Segment assets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operating assets</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A$</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870,041</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6"/>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284,424</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6"/>
              </w:rPr>
              <w:t>A$</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6"/>
              </w:rPr>
              <w:t>32,455,556</w:t>
            </w: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w w:val="86"/>
              </w:rPr>
              <w:t>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33,610,021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rPr>
              <w:t>Segment non-current assets</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324,456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7"/>
              </w:rPr>
              <w:t>1,828,873</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2,159,191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Unallocated assets</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A$</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6"/>
              </w:rPr>
              <w:t>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6"/>
              </w:rPr>
              <w:t>A$</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7"/>
                <w:szCs w:val="17"/>
                <w:u w:val="single" w:color="auto"/>
                <w:color w:val="auto"/>
                <w:w w:val="86"/>
              </w:rPr>
              <w:t>A</w:t>
            </w:r>
            <w:r>
              <w:rPr>
                <w:rFonts w:ascii="Arial" w:cs="Arial" w:eastAsia="Arial" w:hAnsi="Arial"/>
                <w:sz w:val="17"/>
                <w:szCs w:val="17"/>
                <w:color w:val="auto"/>
                <w:w w:val="86"/>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968,861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40" w:type="dxa"/>
            <w:vAlign w:val="bottom"/>
            <w:gridSpan w:val="3"/>
          </w:tcPr>
          <w:p>
            <w:pPr>
              <w:spacing w:after="0" w:line="190" w:lineRule="exact"/>
              <w:rPr>
                <w:sz w:val="20"/>
                <w:szCs w:val="20"/>
                <w:color w:val="auto"/>
              </w:rPr>
            </w:pPr>
            <w:r>
              <w:rPr>
                <w:rFonts w:ascii="Arial" w:cs="Arial" w:eastAsia="Arial" w:hAnsi="Arial"/>
                <w:sz w:val="17"/>
                <w:szCs w:val="17"/>
                <w:b w:val="1"/>
                <w:bCs w:val="1"/>
                <w:color w:val="auto"/>
                <w:w w:val="99"/>
              </w:rPr>
              <w:t>Total assets per the consolidated statement of</w:t>
            </w: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7"/>
                <w:szCs w:val="17"/>
                <w:b w:val="1"/>
                <w:bCs w:val="1"/>
                <w:color w:val="auto"/>
              </w:rPr>
              <w:t>financial position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ind w:left="320"/>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w w:val="93"/>
              </w:rPr>
              <w:t>36,738,073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Segment liabilities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rPr>
              <w:t>Segment operating liabilities</w:t>
            </w:r>
          </w:p>
        </w:tc>
        <w:tc>
          <w:tcPr>
            <w:tcW w:w="580" w:type="dxa"/>
            <w:vAlign w:val="bottom"/>
            <w:gridSpan w:val="2"/>
          </w:tcPr>
          <w:p>
            <w:pPr>
              <w:ind w:left="280"/>
              <w:spacing w:after="0"/>
              <w:rPr>
                <w:sz w:val="20"/>
                <w:szCs w:val="20"/>
                <w:color w:val="auto"/>
              </w:rPr>
            </w:pPr>
            <w:r>
              <w:rPr>
                <w:rFonts w:ascii="Arial" w:cs="Arial" w:eastAsia="Arial" w:hAnsi="Arial"/>
                <w:sz w:val="17"/>
                <w:szCs w:val="17"/>
                <w:color w:val="auto"/>
              </w:rPr>
              <w:t>A$</w:t>
            </w:r>
          </w:p>
        </w:tc>
        <w:tc>
          <w:tcPr>
            <w:tcW w:w="640" w:type="dxa"/>
            <w:vAlign w:val="bottom"/>
          </w:tcPr>
          <w:p>
            <w:pPr>
              <w:jc w:val="right"/>
              <w:spacing w:after="0"/>
              <w:rPr>
                <w:sz w:val="20"/>
                <w:szCs w:val="20"/>
                <w:color w:val="auto"/>
              </w:rPr>
            </w:pPr>
            <w:r>
              <w:rPr>
                <w:rFonts w:ascii="Arial" w:cs="Arial" w:eastAsia="Arial" w:hAnsi="Arial"/>
                <w:sz w:val="17"/>
                <w:szCs w:val="17"/>
                <w:color w:val="auto"/>
              </w:rPr>
              <w:t>172,815</w:t>
            </w:r>
          </w:p>
        </w:tc>
        <w:tc>
          <w:tcPr>
            <w:tcW w:w="260" w:type="dxa"/>
            <w:vAlign w:val="bottom"/>
          </w:tcPr>
          <w:p>
            <w:pPr>
              <w:spacing w:after="0"/>
              <w:rPr>
                <w:sz w:val="17"/>
                <w:szCs w:val="17"/>
                <w:color w:val="auto"/>
              </w:rPr>
            </w:pPr>
          </w:p>
        </w:tc>
        <w:tc>
          <w:tcPr>
            <w:tcW w:w="420" w:type="dxa"/>
            <w:vAlign w:val="bottom"/>
            <w:gridSpan w:val="2"/>
          </w:tcPr>
          <w:p>
            <w:pPr>
              <w:ind w:left="220"/>
              <w:spacing w:after="0"/>
              <w:rPr>
                <w:sz w:val="20"/>
                <w:szCs w:val="20"/>
                <w:color w:val="auto"/>
              </w:rPr>
            </w:pPr>
            <w:r>
              <w:rPr>
                <w:rFonts w:ascii="Arial" w:cs="Arial" w:eastAsia="Arial" w:hAnsi="Arial"/>
                <w:sz w:val="17"/>
                <w:szCs w:val="17"/>
                <w:color w:val="auto"/>
                <w:w w:val="86"/>
              </w:rPr>
              <w:t>A$</w:t>
            </w:r>
          </w:p>
        </w:tc>
        <w:tc>
          <w:tcPr>
            <w:tcW w:w="740" w:type="dxa"/>
            <w:vAlign w:val="bottom"/>
          </w:tcPr>
          <w:p>
            <w:pPr>
              <w:jc w:val="right"/>
              <w:spacing w:after="0"/>
              <w:rPr>
                <w:sz w:val="20"/>
                <w:szCs w:val="20"/>
                <w:color w:val="auto"/>
              </w:rPr>
            </w:pPr>
            <w:r>
              <w:rPr>
                <w:rFonts w:ascii="Arial" w:cs="Arial" w:eastAsia="Arial" w:hAnsi="Arial"/>
                <w:sz w:val="17"/>
                <w:szCs w:val="17"/>
                <w:color w:val="auto"/>
              </w:rPr>
              <w:t>196,908</w:t>
            </w:r>
          </w:p>
        </w:tc>
        <w:tc>
          <w:tcPr>
            <w:tcW w:w="260" w:type="dxa"/>
            <w:vAlign w:val="bottom"/>
          </w:tcPr>
          <w:p>
            <w:pPr>
              <w:spacing w:after="0"/>
              <w:rPr>
                <w:sz w:val="17"/>
                <w:szCs w:val="17"/>
                <w:color w:val="auto"/>
              </w:rPr>
            </w:pPr>
          </w:p>
        </w:tc>
        <w:tc>
          <w:tcPr>
            <w:tcW w:w="420" w:type="dxa"/>
            <w:vAlign w:val="bottom"/>
            <w:gridSpan w:val="2"/>
          </w:tcPr>
          <w:p>
            <w:pPr>
              <w:ind w:left="220"/>
              <w:spacing w:after="0"/>
              <w:rPr>
                <w:sz w:val="20"/>
                <w:szCs w:val="20"/>
                <w:color w:val="auto"/>
              </w:rPr>
            </w:pPr>
            <w:r>
              <w:rPr>
                <w:rFonts w:ascii="Arial" w:cs="Arial" w:eastAsia="Arial" w:hAnsi="Arial"/>
                <w:sz w:val="17"/>
                <w:szCs w:val="17"/>
                <w:color w:val="auto"/>
                <w:w w:val="86"/>
              </w:rPr>
              <w:t>A$</w:t>
            </w:r>
          </w:p>
        </w:tc>
        <w:tc>
          <w:tcPr>
            <w:tcW w:w="760" w:type="dxa"/>
            <w:vAlign w:val="bottom"/>
            <w:gridSpan w:val="3"/>
          </w:tcPr>
          <w:p>
            <w:pPr>
              <w:jc w:val="right"/>
              <w:spacing w:after="0"/>
              <w:rPr>
                <w:sz w:val="20"/>
                <w:szCs w:val="20"/>
                <w:color w:val="auto"/>
              </w:rPr>
            </w:pPr>
            <w:r>
              <w:rPr>
                <w:rFonts w:ascii="Arial" w:cs="Arial" w:eastAsia="Arial" w:hAnsi="Arial"/>
                <w:sz w:val="17"/>
                <w:szCs w:val="17"/>
                <w:color w:val="auto"/>
                <w:w w:val="97"/>
              </w:rPr>
              <w:t>5,777,373</w:t>
            </w:r>
          </w:p>
        </w:tc>
        <w:tc>
          <w:tcPr>
            <w:tcW w:w="160" w:type="dxa"/>
            <w:vAlign w:val="bottom"/>
          </w:tcPr>
          <w:p>
            <w:pPr>
              <w:spacing w:after="0"/>
              <w:rPr>
                <w:sz w:val="17"/>
                <w:szCs w:val="17"/>
                <w:color w:val="auto"/>
              </w:rPr>
            </w:pPr>
          </w:p>
        </w:tc>
        <w:tc>
          <w:tcPr>
            <w:tcW w:w="520" w:type="dxa"/>
            <w:vAlign w:val="bottom"/>
            <w:gridSpan w:val="3"/>
          </w:tcPr>
          <w:p>
            <w:pPr>
              <w:ind w:left="320"/>
              <w:spacing w:after="0"/>
              <w:rPr>
                <w:sz w:val="20"/>
                <w:szCs w:val="20"/>
                <w:color w:val="auto"/>
              </w:rPr>
            </w:pPr>
            <w:r>
              <w:rPr>
                <w:rFonts w:ascii="Arial" w:cs="Arial" w:eastAsia="Arial" w:hAnsi="Arial"/>
                <w:sz w:val="17"/>
                <w:szCs w:val="17"/>
                <w:color w:val="auto"/>
                <w:w w:val="86"/>
              </w:rPr>
              <w:t>A$</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6,147,096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Unallocated liabilities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801,556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40" w:type="dxa"/>
            <w:vAlign w:val="bottom"/>
            <w:gridSpan w:val="3"/>
          </w:tcPr>
          <w:p>
            <w:pPr>
              <w:spacing w:after="0" w:line="190" w:lineRule="exact"/>
              <w:rPr>
                <w:sz w:val="20"/>
                <w:szCs w:val="20"/>
                <w:color w:val="auto"/>
              </w:rPr>
            </w:pPr>
            <w:r>
              <w:rPr>
                <w:rFonts w:ascii="Arial" w:cs="Arial" w:eastAsia="Arial" w:hAnsi="Arial"/>
                <w:sz w:val="17"/>
                <w:szCs w:val="17"/>
                <w:b w:val="1"/>
                <w:bCs w:val="1"/>
                <w:color w:val="auto"/>
                <w:w w:val="94"/>
              </w:rPr>
              <w:t>Total liabilities per the consolidated statement of</w:t>
            </w: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7"/>
                <w:szCs w:val="17"/>
                <w:b w:val="1"/>
                <w:bCs w:val="1"/>
                <w:color w:val="auto"/>
              </w:rPr>
              <w:t>financial position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ind w:left="320"/>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6,948,652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b w:val="1"/>
                <w:bCs w:val="1"/>
                <w:i w:val="1"/>
                <w:iCs w:val="1"/>
                <w:color w:val="auto"/>
              </w:rPr>
              <w:t>Asia Pacific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3"/>
                <w:szCs w:val="13"/>
                <w:b w:val="1"/>
                <w:bCs w:val="1"/>
                <w:i w:val="1"/>
                <w:iCs w:val="1"/>
                <w:color w:val="auto"/>
              </w:rPr>
              <w:t>EMEA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4"/>
          </w:tcPr>
          <w:p>
            <w:pPr>
              <w:jc w:val="center"/>
              <w:ind w:right="360"/>
              <w:spacing w:after="0"/>
              <w:rPr>
                <w:sz w:val="20"/>
                <w:szCs w:val="20"/>
                <w:color w:val="auto"/>
              </w:rPr>
            </w:pPr>
            <w:r>
              <w:rPr>
                <w:rFonts w:ascii="Arial" w:cs="Arial" w:eastAsia="Arial" w:hAnsi="Arial"/>
                <w:sz w:val="13"/>
                <w:szCs w:val="13"/>
                <w:b w:val="1"/>
                <w:bCs w:val="1"/>
                <w:i w:val="1"/>
                <w:iCs w:val="1"/>
                <w:color w:val="auto"/>
                <w:w w:val="88"/>
              </w:rPr>
              <w:t>Americas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438"/>
              <w:spacing w:after="0"/>
              <w:rPr>
                <w:sz w:val="20"/>
                <w:szCs w:val="20"/>
                <w:color w:val="auto"/>
              </w:rPr>
            </w:pPr>
            <w:r>
              <w:rPr>
                <w:rFonts w:ascii="Arial" w:cs="Arial" w:eastAsia="Arial" w:hAnsi="Arial"/>
                <w:sz w:val="13"/>
                <w:szCs w:val="13"/>
                <w:b w:val="1"/>
                <w:bCs w:val="1"/>
                <w:i w:val="1"/>
                <w:i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30 June 2018</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 of goods</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A$</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709,907</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6"/>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488,954</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6"/>
              </w:rPr>
              <w:t>A$</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w w:val="86"/>
              </w:rPr>
              <w:t>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1,198,861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rPr>
              <w:t>Other income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2,961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auto"/>
                <w:w w:val="86"/>
              </w:rPr>
              <w:t>10,104,081</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w w:val="93"/>
              </w:rPr>
              <w:t>10,107,042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received</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59,552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5,666</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65,656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40" w:type="dxa"/>
            <w:vAlign w:val="bottom"/>
            <w:gridSpan w:val="3"/>
          </w:tcPr>
          <w:p>
            <w:pPr>
              <w:spacing w:after="0" w:line="190" w:lineRule="exact"/>
              <w:rPr>
                <w:sz w:val="20"/>
                <w:szCs w:val="20"/>
                <w:color w:val="auto"/>
              </w:rPr>
            </w:pPr>
            <w:r>
              <w:rPr>
                <w:rFonts w:ascii="Arial" w:cs="Arial" w:eastAsia="Arial" w:hAnsi="Arial"/>
                <w:sz w:val="17"/>
                <w:szCs w:val="17"/>
                <w:b w:val="1"/>
                <w:bCs w:val="1"/>
                <w:color w:val="auto"/>
                <w:w w:val="93"/>
              </w:rPr>
              <w:t>Total revenue and other income per consolidated</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tcPr>
          <w:p>
            <w:pPr>
              <w:ind w:left="140"/>
              <w:spacing w:after="0"/>
              <w:rPr>
                <w:sz w:val="20"/>
                <w:szCs w:val="20"/>
                <w:color w:val="auto"/>
              </w:rPr>
            </w:pPr>
            <w:r>
              <w:rPr>
                <w:rFonts w:ascii="Arial" w:cs="Arial" w:eastAsia="Arial" w:hAnsi="Arial"/>
                <w:sz w:val="17"/>
                <w:szCs w:val="17"/>
                <w:b w:val="1"/>
                <w:bCs w:val="1"/>
                <w:color w:val="auto"/>
              </w:rPr>
              <w:t>statement of profit or loss and other</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7"/>
                <w:szCs w:val="17"/>
                <w:b w:val="1"/>
                <w:bCs w:val="1"/>
                <w:color w:val="auto"/>
              </w:rPr>
              <w:t>comprehensive income</w:t>
            </w:r>
          </w:p>
        </w:tc>
        <w:tc>
          <w:tcPr>
            <w:tcW w:w="580" w:type="dxa"/>
            <w:vAlign w:val="bottom"/>
            <w:gridSpan w:val="2"/>
          </w:tcPr>
          <w:p>
            <w:pPr>
              <w:ind w:left="280"/>
              <w:spacing w:after="0"/>
              <w:rPr>
                <w:sz w:val="20"/>
                <w:szCs w:val="20"/>
                <w:color w:val="auto"/>
              </w:rPr>
            </w:pPr>
            <w:r>
              <w:rPr>
                <w:rFonts w:ascii="Arial" w:cs="Arial" w:eastAsia="Arial" w:hAnsi="Arial"/>
                <w:sz w:val="17"/>
                <w:szCs w:val="17"/>
                <w:b w:val="1"/>
                <w:bCs w:val="1"/>
                <w:u w:val="single" w:color="auto"/>
                <w:color w:val="auto"/>
              </w:rPr>
              <w:t>A</w:t>
            </w: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769,459</w:t>
            </w:r>
          </w:p>
        </w:tc>
        <w:tc>
          <w:tcPr>
            <w:tcW w:w="26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492,353</w:t>
            </w:r>
          </w:p>
        </w:tc>
        <w:tc>
          <w:tcPr>
            <w:tcW w:w="26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7"/>
                <w:szCs w:val="17"/>
                <w:b w:val="1"/>
                <w:bCs w:val="1"/>
                <w:u w:val="single" w:color="auto"/>
                <w:color w:val="auto"/>
                <w:w w:val="82"/>
              </w:rPr>
              <w:t>A$</w:t>
            </w: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auto"/>
                <w:w w:val="86"/>
              </w:rPr>
              <w:t>10,109,747</w:t>
            </w:r>
          </w:p>
        </w:tc>
        <w:tc>
          <w:tcPr>
            <w:tcW w:w="160" w:type="dxa"/>
            <w:vAlign w:val="bottom"/>
          </w:tcPr>
          <w:p>
            <w:pPr>
              <w:spacing w:after="0"/>
              <w:rPr>
                <w:sz w:val="18"/>
                <w:szCs w:val="18"/>
                <w:color w:val="auto"/>
              </w:rPr>
            </w:pPr>
          </w:p>
        </w:tc>
        <w:tc>
          <w:tcPr>
            <w:tcW w:w="520" w:type="dxa"/>
            <w:vAlign w:val="bottom"/>
            <w:gridSpan w:val="3"/>
          </w:tcPr>
          <w:p>
            <w:pPr>
              <w:ind w:left="320"/>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w w:val="93"/>
              </w:rPr>
              <w:t>11,371,559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net loss before tax benefit</w:t>
            </w:r>
          </w:p>
        </w:tc>
        <w:tc>
          <w:tcPr>
            <w:tcW w:w="1480" w:type="dxa"/>
            <w:vAlign w:val="bottom"/>
            <w:gridSpan w:val="4"/>
            <w:shd w:val="clear" w:color="auto" w:fill="CCEEFF"/>
          </w:tcPr>
          <w:p>
            <w:pPr>
              <w:ind w:left="280"/>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(1,341,200)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7"/>
                <w:szCs w:val="17"/>
                <w:u w:val="single" w:color="auto"/>
                <w:color w:val="auto"/>
                <w:w w:val="86"/>
              </w:rPr>
              <w:t>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7"/>
              </w:rPr>
              <w:t>(2,181,622)</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7"/>
                <w:szCs w:val="17"/>
                <w:u w:val="single" w:color="auto"/>
                <w:color w:val="auto"/>
                <w:w w:val="86"/>
              </w:rPr>
              <w:t>A</w:t>
            </w:r>
            <w:r>
              <w:rPr>
                <w:rFonts w:ascii="Arial" w:cs="Arial" w:eastAsia="Arial" w:hAnsi="Arial"/>
                <w:sz w:val="17"/>
                <w:szCs w:val="17"/>
                <w:color w:val="auto"/>
                <w:w w:val="86"/>
              </w:rPr>
              <w:t>$</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w w:val="91"/>
              </w:rPr>
              <w:t>(9,539,296)</w:t>
            </w: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7"/>
                <w:szCs w:val="17"/>
                <w:u w:val="single" w:color="auto"/>
                <w:color w:val="auto"/>
                <w:w w:val="86"/>
              </w:rPr>
              <w:t>A</w:t>
            </w:r>
            <w:r>
              <w:rPr>
                <w:rFonts w:ascii="Arial" w:cs="Arial" w:eastAsia="Arial" w:hAnsi="Arial"/>
                <w:sz w:val="17"/>
                <w:szCs w:val="17"/>
                <w:color w:val="auto"/>
                <w:w w:val="86"/>
              </w:rPr>
              <w:t>$</w:t>
            </w:r>
          </w:p>
        </w:tc>
        <w:tc>
          <w:tcPr>
            <w:tcW w:w="940" w:type="dxa"/>
            <w:vAlign w:val="bottom"/>
            <w:gridSpan w:val="3"/>
            <w:shd w:val="clear" w:color="auto" w:fill="CCEEFF"/>
          </w:tcPr>
          <w:p>
            <w:pPr>
              <w:jc w:val="right"/>
              <w:ind w:right="18"/>
              <w:spacing w:after="0"/>
              <w:rPr>
                <w:sz w:val="20"/>
                <w:szCs w:val="20"/>
                <w:color w:val="auto"/>
              </w:rPr>
            </w:pPr>
            <w:r>
              <w:rPr>
                <w:rFonts w:ascii="Arial" w:cs="Arial" w:eastAsia="Arial" w:hAnsi="Arial"/>
                <w:sz w:val="17"/>
                <w:szCs w:val="17"/>
                <w:color w:val="auto"/>
                <w:w w:val="89"/>
              </w:rPr>
              <w:t>(13,062,118)</w:t>
            </w:r>
          </w:p>
        </w:tc>
        <w:tc>
          <w:tcPr>
            <w:tcW w:w="0" w:type="dxa"/>
            <w:vAlign w:val="bottom"/>
          </w:tcPr>
          <w:p>
            <w:pPr>
              <w:spacing w:after="0"/>
              <w:rPr>
                <w:sz w:val="1"/>
                <w:szCs w:val="1"/>
                <w:color w:val="auto"/>
              </w:rPr>
            </w:pPr>
          </w:p>
        </w:tc>
      </w:tr>
      <w:tr>
        <w:trPr>
          <w:trHeight w:val="190"/>
        </w:trPr>
        <w:tc>
          <w:tcPr>
            <w:tcW w:w="3740" w:type="dxa"/>
            <w:vAlign w:val="bottom"/>
            <w:gridSpan w:val="3"/>
          </w:tcPr>
          <w:p>
            <w:pPr>
              <w:spacing w:after="0" w:line="190" w:lineRule="exact"/>
              <w:rPr>
                <w:sz w:val="20"/>
                <w:szCs w:val="20"/>
                <w:color w:val="auto"/>
              </w:rPr>
            </w:pPr>
            <w:r>
              <w:rPr>
                <w:rFonts w:ascii="Arial" w:cs="Arial" w:eastAsia="Arial" w:hAnsi="Arial"/>
                <w:sz w:val="17"/>
                <w:szCs w:val="17"/>
                <w:b w:val="1"/>
                <w:bCs w:val="1"/>
                <w:color w:val="auto"/>
                <w:w w:val="93"/>
              </w:rPr>
              <w:t>Reconciliation of segment net result before tax to</w:t>
            </w: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7"/>
                <w:szCs w:val="17"/>
                <w:b w:val="1"/>
                <w:bCs w:val="1"/>
                <w:color w:val="auto"/>
              </w:rPr>
              <w:t>loss before income tax benefit: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Corporate charges including share-based expenses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7"/>
                <w:szCs w:val="17"/>
                <w:b w:val="1"/>
                <w:bCs w:val="1"/>
                <w:u w:val="single" w:color="auto"/>
                <w:color w:val="auto"/>
                <w:w w:val="82"/>
              </w:rPr>
              <w:t>A</w:t>
            </w:r>
            <w:r>
              <w:rPr>
                <w:rFonts w:ascii="Arial" w:cs="Arial" w:eastAsia="Arial" w:hAnsi="Arial"/>
                <w:sz w:val="17"/>
                <w:szCs w:val="17"/>
                <w:b w:val="1"/>
                <w:bCs w:val="1"/>
                <w:color w:val="auto"/>
                <w:w w:val="82"/>
              </w:rPr>
              <w:t>$</w:t>
            </w:r>
          </w:p>
        </w:tc>
        <w:tc>
          <w:tcPr>
            <w:tcW w:w="940" w:type="dxa"/>
            <w:vAlign w:val="bottom"/>
            <w:gridSpan w:val="3"/>
            <w:shd w:val="clear" w:color="auto" w:fill="CCEEFF"/>
          </w:tcPr>
          <w:p>
            <w:pPr>
              <w:jc w:val="right"/>
              <w:ind w:right="18"/>
              <w:spacing w:after="0"/>
              <w:rPr>
                <w:sz w:val="20"/>
                <w:szCs w:val="20"/>
                <w:color w:val="auto"/>
              </w:rPr>
            </w:pPr>
            <w:r>
              <w:rPr>
                <w:rFonts w:ascii="Arial" w:cs="Arial" w:eastAsia="Arial" w:hAnsi="Arial"/>
                <w:sz w:val="17"/>
                <w:szCs w:val="17"/>
                <w:b w:val="1"/>
                <w:bCs w:val="1"/>
                <w:color w:val="auto"/>
                <w:w w:val="98"/>
              </w:rPr>
              <w:t>(4,842,833)</w:t>
            </w:r>
          </w:p>
        </w:tc>
        <w:tc>
          <w:tcPr>
            <w:tcW w:w="0" w:type="dxa"/>
            <w:vAlign w:val="bottom"/>
          </w:tcPr>
          <w:p>
            <w:pPr>
              <w:spacing w:after="0"/>
              <w:rPr>
                <w:sz w:val="1"/>
                <w:szCs w:val="1"/>
                <w:color w:val="auto"/>
              </w:rPr>
            </w:pPr>
          </w:p>
        </w:tc>
      </w:tr>
      <w:tr>
        <w:trPr>
          <w:trHeight w:val="206"/>
        </w:trPr>
        <w:tc>
          <w:tcPr>
            <w:tcW w:w="3740" w:type="dxa"/>
            <w:vAlign w:val="bottom"/>
            <w:gridSpan w:val="3"/>
          </w:tcPr>
          <w:p>
            <w:pPr>
              <w:spacing w:after="0"/>
              <w:rPr>
                <w:sz w:val="20"/>
                <w:szCs w:val="20"/>
                <w:color w:val="auto"/>
              </w:rPr>
            </w:pPr>
            <w:r>
              <w:rPr>
                <w:rFonts w:ascii="Arial" w:cs="Arial" w:eastAsia="Arial" w:hAnsi="Arial"/>
                <w:sz w:val="17"/>
                <w:szCs w:val="17"/>
                <w:b w:val="1"/>
                <w:bCs w:val="1"/>
                <w:color w:val="auto"/>
              </w:rPr>
              <w:t>Loss before income tax</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u w:val="single" w:color="auto"/>
                <w:color w:val="auto"/>
                <w:w w:val="82"/>
              </w:rPr>
              <w:t>A$</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88"/>
              </w:rPr>
              <w:t>(17,904,951</w:t>
            </w:r>
          </w:p>
        </w:tc>
        <w:tc>
          <w:tcPr>
            <w:tcW w:w="100" w:type="dxa"/>
            <w:vAlign w:val="bottom"/>
          </w:tcPr>
          <w:p>
            <w:pPr>
              <w:jc w:val="right"/>
              <w:ind w:right="18"/>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vMerge w:val="restart"/>
          </w:tcPr>
          <w:p>
            <w:pPr>
              <w:jc w:val="right"/>
              <w:ind w:right="76"/>
              <w:spacing w:after="0"/>
              <w:rPr>
                <w:sz w:val="20"/>
                <w:szCs w:val="20"/>
                <w:color w:val="auto"/>
              </w:rPr>
            </w:pPr>
            <w:r>
              <w:rPr>
                <w:rFonts w:ascii="Arial" w:cs="Arial" w:eastAsia="Arial" w:hAnsi="Arial"/>
                <w:sz w:val="17"/>
                <w:szCs w:val="17"/>
                <w:color w:val="auto"/>
              </w:rPr>
              <w:t>34</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820" w:top="261" w:right="9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CONCISE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Segment Information (Continued)</w:t>
      </w:r>
    </w:p>
    <w:p>
      <w:pPr>
        <w:spacing w:after="0" w:line="142" w:lineRule="exact"/>
        <w:rPr>
          <w:sz w:val="20"/>
          <w:szCs w:val="20"/>
          <w:color w:val="auto"/>
        </w:rPr>
      </w:pPr>
    </w:p>
    <w:tbl>
      <w:tblPr>
        <w:tblLayout w:type="fixed"/>
        <w:tblInd w:w="4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i w:val="1"/>
                <w:iCs w:val="1"/>
                <w:color w:val="auto"/>
                <w:w w:val="93"/>
              </w:rPr>
              <w:t>Asia Pacific</w:t>
            </w:r>
          </w:p>
        </w:tc>
        <w:tc>
          <w:tcPr>
            <w:tcW w:w="440" w:type="dxa"/>
            <w:vAlign w:val="bottom"/>
          </w:tcPr>
          <w:p>
            <w:pPr>
              <w:spacing w:after="0"/>
              <w:rPr>
                <w:sz w:val="13"/>
                <w:szCs w:val="13"/>
                <w:color w:val="auto"/>
              </w:rPr>
            </w:pPr>
          </w:p>
        </w:tc>
        <w:tc>
          <w:tcPr>
            <w:tcW w:w="760" w:type="dxa"/>
            <w:vAlign w:val="bottom"/>
            <w:gridSpan w:val="2"/>
          </w:tcPr>
          <w:p>
            <w:pPr>
              <w:jc w:val="right"/>
              <w:ind w:right="96"/>
              <w:spacing w:after="0"/>
              <w:rPr>
                <w:sz w:val="20"/>
                <w:szCs w:val="20"/>
                <w:color w:val="auto"/>
              </w:rPr>
            </w:pPr>
            <w:r>
              <w:rPr>
                <w:rFonts w:ascii="Arial" w:cs="Arial" w:eastAsia="Arial" w:hAnsi="Arial"/>
                <w:sz w:val="13"/>
                <w:szCs w:val="13"/>
                <w:b w:val="1"/>
                <w:bCs w:val="1"/>
                <w:i w:val="1"/>
                <w:iCs w:val="1"/>
                <w:color w:val="auto"/>
              </w:rPr>
              <w:t>EMEA</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159"/>
              <w:spacing w:after="0"/>
              <w:rPr>
                <w:sz w:val="20"/>
                <w:szCs w:val="20"/>
                <w:color w:val="auto"/>
              </w:rPr>
            </w:pPr>
            <w:r>
              <w:rPr>
                <w:rFonts w:ascii="Arial" w:cs="Arial" w:eastAsia="Arial" w:hAnsi="Arial"/>
                <w:sz w:val="13"/>
                <w:szCs w:val="13"/>
                <w:b w:val="1"/>
                <w:bCs w:val="1"/>
                <w:i w:val="1"/>
                <w:iCs w:val="1"/>
                <w:color w:val="auto"/>
                <w:w w:val="85"/>
              </w:rPr>
              <w:t>Americas</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i w:val="1"/>
                <w:iCs w:val="1"/>
                <w:color w:val="auto"/>
              </w:rPr>
              <w:t>Total</w:t>
            </w:r>
          </w:p>
        </w:tc>
      </w:tr>
      <w:tr>
        <w:trPr>
          <w:trHeight w:val="201"/>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30 June 2018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b w:val="1"/>
                <w:bCs w:val="1"/>
                <w:color w:val="auto"/>
              </w:rPr>
              <w:t>Segment assets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 assets</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A$</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532,926</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86"/>
              </w:rPr>
              <w:t>A$</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579,081</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5"/>
              </w:rPr>
              <w:t>A$</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17,079,653</w:t>
            </w:r>
          </w:p>
        </w:tc>
        <w:tc>
          <w:tcPr>
            <w:tcW w:w="4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A$</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18,191,660</w:t>
            </w:r>
          </w:p>
        </w:tc>
        <w:tc>
          <w:tcPr>
            <w:tcW w:w="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Segment non-current assets</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5,662</w:t>
            </w:r>
          </w:p>
        </w:tc>
        <w:tc>
          <w:tcPr>
            <w:tcW w:w="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18,215</w:t>
            </w:r>
          </w:p>
        </w:tc>
        <w:tc>
          <w:tcPr>
            <w:tcW w:w="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703,100</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726,977</w:t>
            </w: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Unallocated assets</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7"/>
                <w:szCs w:val="17"/>
                <w:u w:val="single" w:color="auto"/>
                <w:color w:val="auto"/>
                <w:w w:val="86"/>
              </w:rPr>
              <w:t>A</w:t>
            </w:r>
            <w:r>
              <w:rPr>
                <w:rFonts w:ascii="Arial" w:cs="Arial" w:eastAsia="Arial" w:hAnsi="Arial"/>
                <w:sz w:val="17"/>
                <w:szCs w:val="17"/>
                <w:color w:val="auto"/>
                <w:w w:val="8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5"/>
              </w:rPr>
              <w:t>A$</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7"/>
                <w:szCs w:val="17"/>
                <w:u w:val="single" w:color="auto"/>
                <w:color w:val="auto"/>
                <w:w w:val="95"/>
              </w:rPr>
              <w:t>A</w:t>
            </w:r>
            <w:r>
              <w:rPr>
                <w:rFonts w:ascii="Arial" w:cs="Arial" w:eastAsia="Arial" w:hAnsi="Arial"/>
                <w:sz w:val="17"/>
                <w:szCs w:val="17"/>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4,098,377</w:t>
            </w:r>
          </w:p>
        </w:tc>
        <w:tc>
          <w:tcPr>
            <w:tcW w:w="60" w:type="dxa"/>
            <w:vAlign w:val="bottom"/>
            <w:shd w:val="clear" w:color="auto" w:fill="CCEEFF"/>
          </w:tcPr>
          <w:p>
            <w:pPr>
              <w:spacing w:after="0"/>
              <w:rPr>
                <w:sz w:val="17"/>
                <w:szCs w:val="17"/>
                <w:color w:val="auto"/>
              </w:rPr>
            </w:pPr>
          </w:p>
        </w:tc>
      </w:tr>
      <w:tr>
        <w:trPr>
          <w:trHeight w:val="190"/>
        </w:trPr>
        <w:tc>
          <w:tcPr>
            <w:tcW w:w="4360" w:type="dxa"/>
            <w:vAlign w:val="bottom"/>
            <w:gridSpan w:val="2"/>
          </w:tcPr>
          <w:p>
            <w:pPr>
              <w:spacing w:after="0" w:line="190" w:lineRule="exact"/>
              <w:rPr>
                <w:sz w:val="20"/>
                <w:szCs w:val="20"/>
                <w:color w:val="auto"/>
              </w:rPr>
            </w:pPr>
            <w:r>
              <w:rPr>
                <w:rFonts w:ascii="Arial" w:cs="Arial" w:eastAsia="Arial" w:hAnsi="Arial"/>
                <w:sz w:val="17"/>
                <w:szCs w:val="17"/>
                <w:b w:val="1"/>
                <w:bCs w:val="1"/>
                <w:color w:val="auto"/>
                <w:w w:val="96"/>
              </w:rPr>
              <w:t>Total assets per the consolidated statement of financial</w:t>
            </w: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Arial" w:cs="Arial" w:eastAsia="Arial" w:hAnsi="Arial"/>
                <w:sz w:val="17"/>
                <w:szCs w:val="17"/>
                <w:b w:val="1"/>
                <w:bCs w:val="1"/>
                <w:color w:val="auto"/>
              </w:rPr>
              <w:t>position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b w:val="1"/>
                <w:bCs w:val="1"/>
                <w:u w:val="single" w:color="auto"/>
                <w:color w:val="auto"/>
                <w:w w:val="91"/>
              </w:rPr>
              <w:t>A$</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w w:val="86"/>
              </w:rPr>
              <w:t>23,017,014</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Segment liabilities</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Segment operating liabilities</w:t>
            </w:r>
          </w:p>
        </w:tc>
        <w:tc>
          <w:tcPr>
            <w:tcW w:w="440" w:type="dxa"/>
            <w:vAlign w:val="bottom"/>
            <w:gridSpan w:val="2"/>
          </w:tcPr>
          <w:p>
            <w:pPr>
              <w:ind w:left="220"/>
              <w:spacing w:after="0"/>
              <w:rPr>
                <w:sz w:val="20"/>
                <w:szCs w:val="20"/>
                <w:color w:val="auto"/>
              </w:rPr>
            </w:pPr>
            <w:r>
              <w:rPr>
                <w:rFonts w:ascii="Arial" w:cs="Arial" w:eastAsia="Arial" w:hAnsi="Arial"/>
                <w:sz w:val="17"/>
                <w:szCs w:val="17"/>
                <w:color w:val="auto"/>
                <w:w w:val="95"/>
              </w:rPr>
              <w:t>A$</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189,531</w:t>
            </w:r>
          </w:p>
        </w:tc>
        <w:tc>
          <w:tcPr>
            <w:tcW w:w="640" w:type="dxa"/>
            <w:vAlign w:val="bottom"/>
            <w:gridSpan w:val="2"/>
          </w:tcPr>
          <w:p>
            <w:pPr>
              <w:ind w:left="440"/>
              <w:spacing w:after="0"/>
              <w:rPr>
                <w:sz w:val="20"/>
                <w:szCs w:val="20"/>
                <w:color w:val="auto"/>
              </w:rPr>
            </w:pPr>
            <w:r>
              <w:rPr>
                <w:rFonts w:ascii="Arial" w:cs="Arial" w:eastAsia="Arial" w:hAnsi="Arial"/>
                <w:sz w:val="17"/>
                <w:szCs w:val="17"/>
                <w:color w:val="auto"/>
                <w:w w:val="86"/>
              </w:rPr>
              <w:t>A$</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176,461</w:t>
            </w:r>
          </w:p>
        </w:tc>
        <w:tc>
          <w:tcPr>
            <w:tcW w:w="660" w:type="dxa"/>
            <w:vAlign w:val="bottom"/>
            <w:gridSpan w:val="2"/>
          </w:tcPr>
          <w:p>
            <w:pPr>
              <w:ind w:left="440"/>
              <w:spacing w:after="0"/>
              <w:rPr>
                <w:sz w:val="20"/>
                <w:szCs w:val="20"/>
                <w:color w:val="auto"/>
              </w:rPr>
            </w:pPr>
            <w:r>
              <w:rPr>
                <w:rFonts w:ascii="Arial" w:cs="Arial" w:eastAsia="Arial" w:hAnsi="Arial"/>
                <w:sz w:val="17"/>
                <w:szCs w:val="17"/>
                <w:color w:val="auto"/>
                <w:w w:val="95"/>
              </w:rPr>
              <w:t>A$</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3,314,423</w:t>
            </w:r>
          </w:p>
        </w:tc>
        <w:tc>
          <w:tcPr>
            <w:tcW w:w="42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auto"/>
                <w:w w:val="95"/>
              </w:rPr>
              <w:t>A$</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3,680,415</w:t>
            </w: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Unallocated liabilities</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337,040</w:t>
            </w:r>
          </w:p>
        </w:tc>
        <w:tc>
          <w:tcPr>
            <w:tcW w:w="60" w:type="dxa"/>
            <w:vAlign w:val="bottom"/>
            <w:shd w:val="clear" w:color="auto" w:fill="CCEEFF"/>
          </w:tcPr>
          <w:p>
            <w:pPr>
              <w:spacing w:after="0"/>
              <w:rPr>
                <w:sz w:val="17"/>
                <w:szCs w:val="17"/>
                <w:color w:val="auto"/>
              </w:rPr>
            </w:pPr>
          </w:p>
        </w:tc>
      </w:tr>
      <w:tr>
        <w:trPr>
          <w:trHeight w:val="190"/>
        </w:trPr>
        <w:tc>
          <w:tcPr>
            <w:tcW w:w="4360" w:type="dxa"/>
            <w:vAlign w:val="bottom"/>
            <w:gridSpan w:val="2"/>
          </w:tcPr>
          <w:p>
            <w:pPr>
              <w:spacing w:after="0" w:line="190" w:lineRule="exact"/>
              <w:rPr>
                <w:sz w:val="20"/>
                <w:szCs w:val="20"/>
                <w:color w:val="auto"/>
              </w:rPr>
            </w:pPr>
            <w:r>
              <w:rPr>
                <w:rFonts w:ascii="Arial" w:cs="Arial" w:eastAsia="Arial" w:hAnsi="Arial"/>
                <w:sz w:val="17"/>
                <w:szCs w:val="17"/>
                <w:b w:val="1"/>
                <w:bCs w:val="1"/>
                <w:color w:val="auto"/>
                <w:w w:val="92"/>
              </w:rPr>
              <w:t>Total liabilities per the consolidated statement of financial</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Arial" w:cs="Arial" w:eastAsia="Arial" w:hAnsi="Arial"/>
                <w:sz w:val="17"/>
                <w:szCs w:val="17"/>
                <w:b w:val="1"/>
                <w:bCs w:val="1"/>
                <w:color w:val="auto"/>
              </w:rPr>
              <w:t>position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u w:val="single" w:color="auto"/>
                <w:color w:val="auto"/>
                <w:w w:val="91"/>
              </w:rPr>
              <w:t>A</w:t>
            </w:r>
            <w:r>
              <w:rPr>
                <w:rFonts w:ascii="Arial" w:cs="Arial" w:eastAsia="Arial" w:hAnsi="Arial"/>
                <w:sz w:val="17"/>
                <w:szCs w:val="17"/>
                <w:b w:val="1"/>
                <w:bCs w:val="1"/>
                <w:color w:val="auto"/>
                <w:w w:val="9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4,017,455</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Commitments and Contingencies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 as Lessee</w:t>
      </w:r>
    </w:p>
    <w:p>
      <w:pPr>
        <w:spacing w:after="0" w:line="1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furniture and IT equipment are held under lease arrangements. As of 30 June 2019, the net carrying amount of the furniture and IT equipment held under lease arrangements is A$65,369.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finance lease liabilities, which are secured by the related assets held under finance leases, are classified as follows:</w:t>
      </w:r>
    </w:p>
    <w:p>
      <w:pPr>
        <w:spacing w:after="0" w:line="236" w:lineRule="exact"/>
        <w:rPr>
          <w:sz w:val="20"/>
          <w:szCs w:val="20"/>
          <w:color w:val="auto"/>
        </w:rPr>
      </w:pPr>
    </w:p>
    <w:tbl>
      <w:tblPr>
        <w:tblLayout w:type="fixed"/>
        <w:tblInd w:w="1660" w:type="dxa"/>
        <w:tblCellMar>
          <w:top w:w="0" w:type="dxa"/>
          <w:left w:w="0" w:type="dxa"/>
          <w:bottom w:w="0" w:type="dxa"/>
          <w:right w:w="0" w:type="dxa"/>
        </w:tblCellMar>
      </w:tblPr>
      <w:tr>
        <w:trPr>
          <w:trHeight w:val="159"/>
        </w:trPr>
        <w:tc>
          <w:tcPr>
            <w:tcW w:w="3800" w:type="dxa"/>
            <w:vAlign w:val="bottom"/>
          </w:tcPr>
          <w:p>
            <w:pPr>
              <w:spacing w:after="0"/>
              <w:rPr>
                <w:sz w:val="20"/>
                <w:szCs w:val="20"/>
                <w:color w:val="auto"/>
              </w:rPr>
            </w:pPr>
            <w:r>
              <w:rPr>
                <w:rFonts w:ascii="Arial" w:cs="Arial" w:eastAsia="Arial" w:hAnsi="Arial"/>
                <w:sz w:val="13"/>
                <w:szCs w:val="13"/>
                <w:b w:val="1"/>
                <w:bCs w:val="1"/>
                <w:color w:val="auto"/>
              </w:rPr>
              <w:t>Finance Lease liabilities</w:t>
            </w:r>
          </w:p>
        </w:tc>
        <w:tc>
          <w:tcPr>
            <w:tcW w:w="312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3"/>
                <w:szCs w:val="13"/>
                <w:color w:val="auto"/>
              </w:rPr>
            </w:pPr>
          </w:p>
        </w:tc>
      </w:tr>
      <w:tr>
        <w:trPr>
          <w:trHeight w:val="201"/>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31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A$48,265</w:t>
            </w:r>
          </w:p>
        </w:tc>
      </w:tr>
      <w:tr>
        <w:trPr>
          <w:trHeight w:val="201"/>
        </w:trPr>
        <w:tc>
          <w:tcPr>
            <w:tcW w:w="3800" w:type="dxa"/>
            <w:vAlign w:val="bottom"/>
          </w:tcPr>
          <w:p>
            <w:pPr>
              <w:spacing w:after="0"/>
              <w:rPr>
                <w:sz w:val="20"/>
                <w:szCs w:val="20"/>
                <w:color w:val="auto"/>
              </w:rPr>
            </w:pPr>
            <w:r>
              <w:rPr>
                <w:rFonts w:ascii="Arial" w:cs="Arial" w:eastAsia="Arial" w:hAnsi="Arial"/>
                <w:sz w:val="17"/>
                <w:szCs w:val="17"/>
                <w:color w:val="auto"/>
              </w:rPr>
              <w:t>Non-current:</w:t>
            </w:r>
          </w:p>
        </w:tc>
        <w:tc>
          <w:tcPr>
            <w:tcW w:w="244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17,104</w:t>
            </w:r>
          </w:p>
        </w:tc>
        <w:tc>
          <w:tcPr>
            <w:tcW w:w="40" w:type="dxa"/>
            <w:vAlign w:val="bottom"/>
          </w:tcPr>
          <w:p>
            <w:pPr>
              <w:spacing w:after="0"/>
              <w:rPr>
                <w:sz w:val="17"/>
                <w:szCs w:val="17"/>
                <w:color w:val="auto"/>
              </w:rPr>
            </w:pPr>
          </w:p>
        </w:tc>
      </w:tr>
      <w:tr>
        <w:trPr>
          <w:trHeight w:val="206"/>
        </w:trPr>
        <w:tc>
          <w:tcPr>
            <w:tcW w:w="38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u w:val="single" w:color="auto"/>
                <w:color w:val="auto"/>
                <w:w w:val="87"/>
              </w:rPr>
              <w:t>A$</w:t>
            </w:r>
            <w:r>
              <w:rPr>
                <w:rFonts w:ascii="Arial" w:cs="Arial" w:eastAsia="Arial" w:hAnsi="Arial"/>
                <w:sz w:val="17"/>
                <w:szCs w:val="17"/>
                <w:color w:val="auto"/>
                <w:w w:val="87"/>
              </w:rPr>
              <w:t>65,369</w:t>
            </w:r>
          </w:p>
        </w:tc>
      </w:tr>
      <w:tr>
        <w:trPr>
          <w:trHeight w:val="20"/>
        </w:trPr>
        <w:tc>
          <w:tcPr>
            <w:tcW w:w="3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80" w:type="dxa"/>
            <w:vAlign w:val="bottom"/>
            <w:gridSpan w:val="7"/>
          </w:tcPr>
          <w:p>
            <w:pPr>
              <w:ind w:left="620"/>
              <w:spacing w:after="0"/>
              <w:rPr>
                <w:sz w:val="20"/>
                <w:szCs w:val="20"/>
                <w:color w:val="auto"/>
              </w:rPr>
            </w:pPr>
            <w:r>
              <w:rPr>
                <w:rFonts w:ascii="Arial" w:cs="Arial" w:eastAsia="Arial" w:hAnsi="Arial"/>
                <w:sz w:val="13"/>
                <w:szCs w:val="13"/>
                <w:color w:val="auto"/>
              </w:rPr>
              <w:t>Minimum Lease Payment Due</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3340" w:type="dxa"/>
            <w:vAlign w:val="bottom"/>
          </w:tcPr>
          <w:p>
            <w:pPr>
              <w:spacing w:after="0"/>
              <w:rPr>
                <w:sz w:val="13"/>
                <w:szCs w:val="13"/>
                <w:color w:val="auto"/>
              </w:rPr>
            </w:pPr>
          </w:p>
        </w:tc>
        <w:tc>
          <w:tcPr>
            <w:tcW w:w="3080" w:type="dxa"/>
            <w:vAlign w:val="bottom"/>
            <w:gridSpan w:val="3"/>
          </w:tcPr>
          <w:p>
            <w:pPr>
              <w:jc w:val="right"/>
              <w:ind w:right="260"/>
              <w:spacing w:after="0"/>
              <w:rPr>
                <w:sz w:val="20"/>
                <w:szCs w:val="20"/>
                <w:color w:val="auto"/>
              </w:rPr>
            </w:pPr>
            <w:r>
              <w:rPr>
                <w:rFonts w:ascii="Arial" w:cs="Arial" w:eastAsia="Arial" w:hAnsi="Arial"/>
                <w:sz w:val="13"/>
                <w:szCs w:val="13"/>
                <w:color w:val="auto"/>
              </w:rPr>
              <w:t>Within 1 Year</w:t>
            </w: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1-5 Years</w:t>
            </w:r>
          </w:p>
        </w:tc>
        <w:tc>
          <w:tcPr>
            <w:tcW w:w="920" w:type="dxa"/>
            <w:vAlign w:val="bottom"/>
            <w:gridSpan w:val="2"/>
          </w:tcPr>
          <w:p>
            <w:pPr>
              <w:ind w:left="200"/>
              <w:spacing w:after="0"/>
              <w:rPr>
                <w:sz w:val="20"/>
                <w:szCs w:val="20"/>
                <w:color w:val="auto"/>
              </w:rPr>
            </w:pPr>
            <w:r>
              <w:rPr>
                <w:rFonts w:ascii="Arial" w:cs="Arial" w:eastAsia="Arial" w:hAnsi="Arial"/>
                <w:sz w:val="13"/>
                <w:szCs w:val="13"/>
                <w:color w:val="auto"/>
                <w:w w:val="92"/>
              </w:rPr>
              <w:t>After 5 Years</w:t>
            </w:r>
          </w:p>
        </w:tc>
        <w:tc>
          <w:tcPr>
            <w:tcW w:w="46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Total</w:t>
            </w:r>
          </w:p>
        </w:tc>
      </w:tr>
      <w:tr>
        <w:trPr>
          <w:trHeight w:val="181"/>
        </w:trPr>
        <w:tc>
          <w:tcPr>
            <w:tcW w:w="33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7"/>
                <w:szCs w:val="17"/>
                <w:color w:val="auto"/>
              </w:rPr>
              <w:t>30 June 2019</w:t>
            </w:r>
          </w:p>
        </w:tc>
        <w:tc>
          <w:tcPr>
            <w:tcW w:w="20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1"/>
        </w:trPr>
        <w:tc>
          <w:tcPr>
            <w:tcW w:w="3340" w:type="dxa"/>
            <w:vAlign w:val="bottom"/>
          </w:tcPr>
          <w:p>
            <w:pPr>
              <w:spacing w:after="0"/>
              <w:rPr>
                <w:sz w:val="20"/>
                <w:szCs w:val="20"/>
                <w:color w:val="auto"/>
              </w:rPr>
            </w:pPr>
            <w:r>
              <w:rPr>
                <w:rFonts w:ascii="Arial" w:cs="Arial" w:eastAsia="Arial" w:hAnsi="Arial"/>
                <w:sz w:val="17"/>
                <w:szCs w:val="17"/>
                <w:color w:val="auto"/>
              </w:rPr>
              <w:t>Lease Payments</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66,643</w:t>
            </w:r>
          </w:p>
        </w:tc>
        <w:tc>
          <w:tcPr>
            <w:tcW w:w="2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17,165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83,808</w:t>
            </w:r>
          </w:p>
        </w:tc>
        <w:tc>
          <w:tcPr>
            <w:tcW w:w="100" w:type="dxa"/>
            <w:vAlign w:val="bottom"/>
          </w:tcPr>
          <w:p>
            <w:pPr>
              <w:spacing w:after="0"/>
              <w:rPr>
                <w:sz w:val="17"/>
                <w:szCs w:val="17"/>
                <w:color w:val="auto"/>
              </w:rPr>
            </w:pPr>
          </w:p>
        </w:tc>
      </w:tr>
      <w:tr>
        <w:trPr>
          <w:trHeight w:val="201"/>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Finance charges</w:t>
            </w:r>
          </w:p>
        </w:tc>
        <w:tc>
          <w:tcPr>
            <w:tcW w:w="30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(15,282)</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(3,157)</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(18,439)</w:t>
            </w:r>
          </w:p>
        </w:tc>
      </w:tr>
      <w:tr>
        <w:trPr>
          <w:trHeight w:val="201"/>
        </w:trPr>
        <w:tc>
          <w:tcPr>
            <w:tcW w:w="3340" w:type="dxa"/>
            <w:vAlign w:val="bottom"/>
          </w:tcPr>
          <w:p>
            <w:pPr>
              <w:spacing w:after="0"/>
              <w:rPr>
                <w:sz w:val="20"/>
                <w:szCs w:val="20"/>
                <w:color w:val="auto"/>
              </w:rPr>
            </w:pPr>
            <w:r>
              <w:rPr>
                <w:rFonts w:ascii="Arial" w:cs="Arial" w:eastAsia="Arial" w:hAnsi="Arial"/>
                <w:sz w:val="17"/>
                <w:szCs w:val="17"/>
                <w:color w:val="auto"/>
              </w:rPr>
              <w:t>Net Present Values</w:t>
            </w:r>
          </w:p>
        </w:tc>
        <w:tc>
          <w:tcPr>
            <w:tcW w:w="20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51,361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14,008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65,369</w:t>
            </w:r>
          </w:p>
        </w:tc>
        <w:tc>
          <w:tcPr>
            <w:tcW w:w="100" w:type="dxa"/>
            <w:vAlign w:val="bottom"/>
          </w:tcPr>
          <w:p>
            <w:pPr>
              <w:spacing w:after="0"/>
              <w:rPr>
                <w:sz w:val="17"/>
                <w:szCs w:val="17"/>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Leases as Lessee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space under operating leases. Future minimum lease payments as of 30 June 2019 are as follows:</w:t>
      </w:r>
    </w:p>
    <w:p>
      <w:pPr>
        <w:spacing w:after="0" w:line="215"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840" w:type="dxa"/>
            <w:vAlign w:val="bottom"/>
            <w:gridSpan w:val="5"/>
          </w:tcPr>
          <w:p>
            <w:pPr>
              <w:ind w:left="600"/>
              <w:spacing w:after="0"/>
              <w:rPr>
                <w:sz w:val="20"/>
                <w:szCs w:val="20"/>
                <w:color w:val="auto"/>
              </w:rPr>
            </w:pPr>
            <w:r>
              <w:rPr>
                <w:rFonts w:ascii="Arial" w:cs="Arial" w:eastAsia="Arial" w:hAnsi="Arial"/>
                <w:sz w:val="13"/>
                <w:szCs w:val="13"/>
                <w:color w:val="auto"/>
              </w:rPr>
              <w:t>Minimum Lease Payment Due</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2760" w:type="dxa"/>
            <w:vAlign w:val="bottom"/>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Arial" w:cs="Arial" w:eastAsia="Arial" w:hAnsi="Arial"/>
                <w:sz w:val="13"/>
                <w:szCs w:val="13"/>
                <w:color w:val="auto"/>
              </w:rPr>
              <w:t>Within 1 Year</w:t>
            </w:r>
          </w:p>
        </w:tc>
        <w:tc>
          <w:tcPr>
            <w:tcW w:w="40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3"/>
                <w:szCs w:val="13"/>
                <w:color w:val="auto"/>
                <w:w w:val="95"/>
              </w:rPr>
              <w:t>1-5 Years</w:t>
            </w:r>
          </w:p>
        </w:tc>
        <w:tc>
          <w:tcPr>
            <w:tcW w:w="1100" w:type="dxa"/>
            <w:vAlign w:val="bottom"/>
            <w:gridSpan w:val="2"/>
          </w:tcPr>
          <w:p>
            <w:pPr>
              <w:ind w:left="380"/>
              <w:spacing w:after="0"/>
              <w:rPr>
                <w:sz w:val="20"/>
                <w:szCs w:val="20"/>
                <w:color w:val="auto"/>
              </w:rPr>
            </w:pPr>
            <w:r>
              <w:rPr>
                <w:rFonts w:ascii="Arial" w:cs="Arial" w:eastAsia="Arial" w:hAnsi="Arial"/>
                <w:sz w:val="13"/>
                <w:szCs w:val="13"/>
                <w:color w:val="auto"/>
                <w:w w:val="92"/>
              </w:rPr>
              <w:t>After 5 Years</w:t>
            </w:r>
          </w:p>
        </w:tc>
        <w:tc>
          <w:tcPr>
            <w:tcW w:w="400" w:type="dxa"/>
            <w:vAlign w:val="bottom"/>
          </w:tcPr>
          <w:p>
            <w:pPr>
              <w:spacing w:after="0"/>
              <w:rPr>
                <w:sz w:val="13"/>
                <w:szCs w:val="13"/>
                <w:color w:val="auto"/>
              </w:rPr>
            </w:pPr>
          </w:p>
        </w:tc>
        <w:tc>
          <w:tcPr>
            <w:tcW w:w="780" w:type="dxa"/>
            <w:vAlign w:val="bottom"/>
            <w:gridSpan w:val="2"/>
          </w:tcPr>
          <w:p>
            <w:pPr>
              <w:ind w:left="220"/>
              <w:spacing w:after="0"/>
              <w:rPr>
                <w:sz w:val="20"/>
                <w:szCs w:val="20"/>
                <w:color w:val="auto"/>
              </w:rPr>
            </w:pPr>
            <w:r>
              <w:rPr>
                <w:rFonts w:ascii="Arial" w:cs="Arial" w:eastAsia="Arial" w:hAnsi="Arial"/>
                <w:sz w:val="13"/>
                <w:szCs w:val="13"/>
                <w:color w:val="auto"/>
              </w:rPr>
              <w:t>Total</w:t>
            </w:r>
          </w:p>
        </w:tc>
      </w:tr>
      <w:tr>
        <w:trPr>
          <w:trHeight w:val="194"/>
        </w:trPr>
        <w:tc>
          <w:tcPr>
            <w:tcW w:w="27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30 June 2019</w:t>
            </w:r>
          </w:p>
        </w:tc>
        <w:tc>
          <w:tcPr>
            <w:tcW w:w="26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839,673</w:t>
            </w:r>
          </w:p>
        </w:tc>
        <w:tc>
          <w:tcPr>
            <w:tcW w:w="4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40"/>
              <w:spacing w:after="0" w:line="194" w:lineRule="exact"/>
              <w:rPr>
                <w:sz w:val="20"/>
                <w:szCs w:val="20"/>
                <w:color w:val="auto"/>
              </w:rPr>
            </w:pPr>
            <w:r>
              <w:rPr>
                <w:rFonts w:ascii="Arial" w:cs="Arial" w:eastAsia="Arial" w:hAnsi="Arial"/>
                <w:sz w:val="17"/>
                <w:szCs w:val="17"/>
                <w:color w:val="auto"/>
                <w:w w:val="87"/>
              </w:rPr>
              <w:t>745,693</w:t>
            </w:r>
          </w:p>
        </w:tc>
        <w:tc>
          <w:tcPr>
            <w:tcW w:w="3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460"/>
              <w:spacing w:after="0" w:line="194" w:lineRule="exact"/>
              <w:rPr>
                <w:sz w:val="20"/>
                <w:szCs w:val="20"/>
                <w:color w:val="auto"/>
              </w:rPr>
            </w:pPr>
            <w:r>
              <w:rPr>
                <w:rFonts w:ascii="Arial" w:cs="Arial" w:eastAsia="Arial" w:hAnsi="Arial"/>
                <w:sz w:val="17"/>
                <w:szCs w:val="17"/>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2"/>
              </w:rPr>
              <w:t>1,585,366</w:t>
            </w:r>
          </w:p>
        </w:tc>
        <w:tc>
          <w:tcPr>
            <w:tcW w:w="60" w:type="dxa"/>
            <w:vAlign w:val="bottom"/>
            <w:tcBorders>
              <w:top w:val="single" w:sz="8" w:color="CCEEFF"/>
            </w:tcBorders>
            <w:shd w:val="clear" w:color="auto" w:fill="CCEEFF"/>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7"/>
                <w:szCs w:val="17"/>
                <w:color w:val="auto"/>
              </w:rPr>
              <w:t>30 June 2018</w:t>
            </w:r>
          </w:p>
        </w:tc>
        <w:tc>
          <w:tcPr>
            <w:tcW w:w="3400" w:type="dxa"/>
            <w:vAlign w:val="bottom"/>
            <w:gridSpan w:val="2"/>
          </w:tcPr>
          <w:p>
            <w:pPr>
              <w:jc w:val="right"/>
              <w:spacing w:after="0"/>
              <w:rPr>
                <w:sz w:val="20"/>
                <w:szCs w:val="20"/>
                <w:color w:val="auto"/>
              </w:rPr>
            </w:pPr>
            <w:r>
              <w:rPr>
                <w:rFonts w:ascii="Arial" w:cs="Arial" w:eastAsia="Arial" w:hAnsi="Arial"/>
                <w:sz w:val="17"/>
                <w:szCs w:val="17"/>
                <w:color w:val="auto"/>
              </w:rPr>
              <w:t>525,919</w:t>
            </w:r>
          </w:p>
        </w:tc>
        <w:tc>
          <w:tcPr>
            <w:tcW w:w="1000" w:type="dxa"/>
            <w:vAlign w:val="bottom"/>
            <w:gridSpan w:val="2"/>
          </w:tcPr>
          <w:p>
            <w:pPr>
              <w:ind w:left="440"/>
              <w:spacing w:after="0"/>
              <w:rPr>
                <w:sz w:val="20"/>
                <w:szCs w:val="20"/>
                <w:color w:val="auto"/>
              </w:rPr>
            </w:pPr>
            <w:r>
              <w:rPr>
                <w:rFonts w:ascii="Arial" w:cs="Arial" w:eastAsia="Arial" w:hAnsi="Arial"/>
                <w:sz w:val="17"/>
                <w:szCs w:val="17"/>
                <w:color w:val="auto"/>
                <w:w w:val="87"/>
              </w:rPr>
              <w:t>856,541</w:t>
            </w:r>
          </w:p>
        </w:tc>
        <w:tc>
          <w:tcPr>
            <w:tcW w:w="38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1,382,460</w:t>
            </w:r>
          </w:p>
        </w:tc>
        <w:tc>
          <w:tcPr>
            <w:tcW w:w="60" w:type="dxa"/>
            <w:vAlign w:val="bottom"/>
          </w:tcPr>
          <w:p>
            <w:pPr>
              <w:spacing w:after="0"/>
              <w:rPr>
                <w:sz w:val="17"/>
                <w:szCs w:val="17"/>
                <w:color w:val="auto"/>
              </w:rPr>
            </w:pPr>
          </w:p>
        </w:tc>
      </w:tr>
      <w:tr>
        <w:trPr>
          <w:trHeight w:val="345"/>
        </w:trPr>
        <w:tc>
          <w:tcPr>
            <w:tcW w:w="2760" w:type="dxa"/>
            <w:vAlign w:val="bottom"/>
          </w:tcPr>
          <w:p>
            <w:pPr>
              <w:spacing w:after="0"/>
              <w:rPr>
                <w:sz w:val="24"/>
                <w:szCs w:val="24"/>
                <w:color w:val="auto"/>
              </w:rPr>
            </w:pPr>
          </w:p>
        </w:tc>
        <w:tc>
          <w:tcPr>
            <w:tcW w:w="2660" w:type="dxa"/>
            <w:vAlign w:val="bottom"/>
          </w:tcPr>
          <w:p>
            <w:pPr>
              <w:jc w:val="right"/>
              <w:ind w:right="542"/>
              <w:spacing w:after="0"/>
              <w:rPr>
                <w:sz w:val="20"/>
                <w:szCs w:val="20"/>
                <w:color w:val="auto"/>
              </w:rPr>
            </w:pPr>
            <w:r>
              <w:rPr>
                <w:rFonts w:ascii="Arial" w:cs="Arial" w:eastAsia="Arial" w:hAnsi="Arial"/>
                <w:sz w:val="17"/>
                <w:szCs w:val="17"/>
                <w:color w:val="auto"/>
              </w:rPr>
              <w:t>35</w:t>
            </w:r>
          </w:p>
        </w:tc>
        <w:tc>
          <w:tcPr>
            <w:tcW w:w="7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860"/>
          </w:cols>
          <w:pgMar w:left="820" w:top="261" w:right="121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CONCISE FINANCIAL STATEMENTS (continued)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30 JUNE 2019</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Corporate Governance</w:t>
      </w:r>
    </w:p>
    <w:p>
      <w:pPr>
        <w:spacing w:after="0" w:line="110"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The Board is committed to achieving the highest standards of corporate governance. The Board reviews and improves its policies and procedures to ensure they are effective for the Company and fulfil the expectations of stakeholders.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Corporate Governance Statement has been approved by the Board and can be located on the Company’s website at: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www.avitamedical.com</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Going Concern</w:t>
      </w:r>
    </w:p>
    <w:p>
      <w:pPr>
        <w:spacing w:after="0" w:line="110"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These financial statements have been prepared on the basis of going concern, which contemplates the continuity of normal business activities and the realisation of assets and settlement of liabilities in the ordinary course of business. During the financial year ended 30 June 2019, the Company has generated a loss for the period of A$35,160,227 (2018: A$16,519,155) and the Company has used cash in operations of A$27,485,659 (2018: A$16,372,024).</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During the year ended 30 June 2019, the Company completed a series of equity transactions totalling gross proceeds of A$45,036,886 which were used to fund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 ended 30 June 2019, the Company completed a series of equity transactions. The Company issued 65 million shares at a price of</w:t>
      </w:r>
    </w:p>
    <w:p>
      <w:pPr>
        <w:spacing w:after="0" w:line="41"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A$0.050 per share and received gross proceeds of A$3,250,000 on 26 July 2018. The Company completed the first tranche of an institutional placement in which it issued 310,047,015 fully paid ordinary shares at a price of A$0.080 per share raising gross proceeds of A$24,803,761 on 4 December 2018. The institutional placement included a second tranche in which it issued 189,952,985 shares at a price of A$0.080 per share and received gross proceeds of A$15,196,239. In addition, on 11 January 2019 the Company completed a Share Purchase Plan under which it issued 22,061,250 shares of stock at a price of $0.080 per share and received gross proceeds of A$1,764,900.</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Company benefits from cash inflows from the series of BARDA contracts, the first of which was awarded to the Company in September 2015. These payments from BARDA offset costs from various activities undertaken to support the FDA regulatory approval process for RECELL in the U.S., preparation for the planned commercial launch of RECELL in the U.S., and RECELL clinical programs in the U.S. With the U.S. FDA approval of RECELL</w:t>
      </w:r>
      <w:r>
        <w:rPr>
          <w:rFonts w:ascii="Arial" w:cs="Arial" w:eastAsia="Arial" w:hAnsi="Arial"/>
          <w:sz w:val="13"/>
          <w:szCs w:val="13"/>
          <w:color w:val="auto"/>
        </w:rPr>
        <w:t>®</w:t>
      </w:r>
      <w:r>
        <w:rPr>
          <w:rFonts w:ascii="Arial" w:cs="Arial" w:eastAsia="Arial" w:hAnsi="Arial"/>
          <w:sz w:val="16"/>
          <w:szCs w:val="16"/>
          <w:color w:val="auto"/>
        </w:rPr>
        <w:t xml:space="preserve"> for the treatment of burns in September 2018, and the U.S. market launch of the product in January 2019, sales of goods are expected to be an increasing source of revenue in the future. Another anticipated source of revenue for the Company is the BARDA contract line item covering the initial purchase, delivery and storage of the RECELL System in the amount of US$7,594,620 (~A$10m).</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Company expects to be utilizing cash reserves until U.S. and international sales of its products reach the level to fund ongoing operations. The Company has historically funded its research and development activities, and more recently its substantial investment in sales and marketing activities, through raising capital by issuing securities in the Company,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81"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As a result of the above, the directors are satisfied that there is enough working capital to support the committed research and development programs and other activities over the next 12 months and the Company can realize its assets and pay its liabilities and commitments in the normal course of business. Accordingly, the directors have prepared the financial report on a going concern basis.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Subsequent Events</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September 19, 2019 AVITA filed a registration statement on Form 20-F under the Securities Exchange Act of 1934 with the Securities and Exchange Commission (“SEC”) relating to the proposed registration in the United States of its class of American Depositary Shares representing ordinary shares of the Company. The registration statement was declared effective by the SEC on September 27, 2019, and the Company anticipates that trading of its American Depositary Shares will commence on the Nasdaq Capital Market on or about October 1, 2019. This disclosure does not constitute an offer to sell, or the solicitation of an offer to buy, any securities of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240"/>
          </w:cols>
          <w:pgMar w:left="820" w:top="261" w:right="8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DECLARATION</w:t>
      </w:r>
    </w:p>
    <w:p>
      <w:pPr>
        <w:spacing w:after="0" w:line="94" w:lineRule="exact"/>
        <w:rPr>
          <w:sz w:val="20"/>
          <w:szCs w:val="20"/>
          <w:color w:val="auto"/>
        </w:rPr>
      </w:pPr>
    </w:p>
    <w:p>
      <w:pPr>
        <w:ind w:right="260"/>
        <w:spacing w:after="0" w:line="300" w:lineRule="auto"/>
        <w:rPr>
          <w:sz w:val="20"/>
          <w:szCs w:val="20"/>
          <w:color w:val="auto"/>
        </w:rPr>
      </w:pPr>
      <w:r>
        <w:rPr>
          <w:rFonts w:ascii="Arial" w:cs="Arial" w:eastAsia="Arial" w:hAnsi="Arial"/>
          <w:sz w:val="16"/>
          <w:szCs w:val="16"/>
          <w:color w:val="auto"/>
        </w:rPr>
        <w:t>The Directors of Avita Medical Limited declare that the accompanying Concise Financial Report is presented fairly in accordance with Accounting Standards 1039 Concise Financial Report and is consistent with the consolidated entity’s 30 June 2019 Financial Report.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In the opinion of the Directors:</w:t>
      </w:r>
    </w:p>
    <w:p>
      <w:pPr>
        <w:spacing w:after="0" w:line="119" w:lineRule="exact"/>
        <w:rPr>
          <w:sz w:val="20"/>
          <w:szCs w:val="20"/>
          <w:color w:val="auto"/>
        </w:rPr>
      </w:pPr>
    </w:p>
    <w:p>
      <w:pPr>
        <w:ind w:left="400" w:hanging="395"/>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financial statements and notes of the consolidated entity are in accordance with the Corporations Act 2001, including:</w:t>
      </w:r>
    </w:p>
    <w:p>
      <w:pPr>
        <w:spacing w:after="0" w:line="118" w:lineRule="exact"/>
        <w:rPr>
          <w:rFonts w:ascii="Arial" w:cs="Arial" w:eastAsia="Arial" w:hAnsi="Arial"/>
          <w:sz w:val="17"/>
          <w:szCs w:val="17"/>
          <w:color w:val="auto"/>
        </w:rPr>
      </w:pPr>
    </w:p>
    <w:p>
      <w:pPr>
        <w:ind w:left="920" w:right="100" w:hanging="513"/>
        <w:spacing w:after="0" w:line="268" w:lineRule="auto"/>
        <w:tabs>
          <w:tab w:leader="none" w:pos="9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giving a true and fair view of the consolidated entity’s financial position as at 30 June 2019 and of its performance for the year ended on that date; and</w:t>
      </w:r>
    </w:p>
    <w:p>
      <w:pPr>
        <w:spacing w:after="0" w:line="78" w:lineRule="exact"/>
        <w:rPr>
          <w:rFonts w:ascii="Arial" w:cs="Arial" w:eastAsia="Arial" w:hAnsi="Arial"/>
          <w:sz w:val="17"/>
          <w:szCs w:val="17"/>
          <w:color w:val="auto"/>
        </w:rPr>
      </w:pPr>
    </w:p>
    <w:p>
      <w:pPr>
        <w:ind w:left="920" w:hanging="513"/>
        <w:spacing w:after="0" w:line="268" w:lineRule="auto"/>
        <w:tabs>
          <w:tab w:leader="none" w:pos="9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complying with Australian Accounting Standards (including the Australian Accounting Interpretations) and the Corporations Regulations 2001;</w:t>
      </w:r>
    </w:p>
    <w:p>
      <w:pPr>
        <w:spacing w:after="0" w:line="78" w:lineRule="exact"/>
        <w:rPr>
          <w:rFonts w:ascii="Arial" w:cs="Arial" w:eastAsia="Arial" w:hAnsi="Arial"/>
          <w:sz w:val="17"/>
          <w:szCs w:val="17"/>
          <w:color w:val="auto"/>
        </w:rPr>
      </w:pPr>
    </w:p>
    <w:p>
      <w:pPr>
        <w:ind w:left="400" w:hanging="395"/>
        <w:spacing w:after="0"/>
        <w:tabs>
          <w:tab w:leader="none" w:pos="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There are reasonable grounds to believe that the Company will be able to pay its debts as and when they become due and payable.</w:t>
      </w:r>
    </w:p>
    <w:p>
      <w:pPr>
        <w:spacing w:after="0" w:line="130" w:lineRule="exact"/>
        <w:rPr>
          <w:rFonts w:ascii="Arial" w:cs="Arial" w:eastAsia="Arial" w:hAnsi="Arial"/>
          <w:sz w:val="16"/>
          <w:szCs w:val="16"/>
          <w:color w:val="auto"/>
        </w:rPr>
      </w:pPr>
    </w:p>
    <w:p>
      <w:pPr>
        <w:ind w:left="400" w:right="380" w:hanging="395"/>
        <w:spacing w:after="0" w:line="268" w:lineRule="auto"/>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declaration has been made after receiving the declarations required to be made to the Directors in accordance with section 295A of the Corporations Act 2001 for the financial year ended 30 June 2019.</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On behalf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1077595" cy="502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77595"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Michael Perry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Dated: 9 October 2019</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Valencia, California, United States</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140"/>
          </w:cols>
          <w:pgMar w:left="820" w:top="261" w:right="939" w:bottom="1440" w:gutter="0" w:footer="0" w:header="0"/>
        </w:sectPr>
      </w:pPr>
    </w:p>
    <w:bookmarkStart w:id="40" w:name="page41"/>
    <w:bookmarkEnd w:id="40"/>
    <w:p>
      <w:pPr>
        <w:ind w:left="7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7420" cy="36830"/>
                    </a:xfrm>
                    <a:prstGeom prst="rect">
                      <a:avLst/>
                    </a:prstGeom>
                    <a:noFill/>
                  </pic:spPr>
                </pic:pic>
              </a:graphicData>
            </a:graphic>
          </wp:anchor>
        </w:drawing>
        <w:drawing>
          <wp:anchor simplePos="0" relativeHeight="251657728" behindDoc="1" locked="0" layoutInCell="0" allowOverlap="1">
            <wp:simplePos x="0" y="0"/>
            <wp:positionH relativeFrom="page">
              <wp:posOffset>527685</wp:posOffset>
            </wp:positionH>
            <wp:positionV relativeFrom="page">
              <wp:posOffset>176530</wp:posOffset>
            </wp:positionV>
            <wp:extent cx="2147570" cy="415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2147570" cy="415290"/>
                    </a:xfrm>
                    <a:prstGeom prst="rect">
                      <a:avLst/>
                    </a:prstGeom>
                    <a:noFill/>
                  </pic:spPr>
                </pic:pic>
              </a:graphicData>
            </a:graphic>
          </wp:anchor>
        </w:drawing>
        <w:t>Central Park, Level 43</w:t>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152-158 St Georges Terrace</w:t>
      </w:r>
    </w:p>
    <w:p>
      <w:pPr>
        <w:spacing w:after="0" w:line="6"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Perth WA 6000</w:t>
      </w:r>
    </w:p>
    <w:p>
      <w:pPr>
        <w:spacing w:after="0" w:line="220"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Correspondence to:</w:t>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PO Box 7757</w:t>
      </w:r>
    </w:p>
    <w:p>
      <w:pPr>
        <w:spacing w:after="0" w:line="6"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Cloisters Square</w:t>
      </w:r>
    </w:p>
    <w:p>
      <w:pPr>
        <w:spacing w:after="0" w:line="6"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Perth WA 6850</w:t>
      </w:r>
    </w:p>
    <w:p>
      <w:pPr>
        <w:spacing w:after="0" w:line="216" w:lineRule="exact"/>
        <w:rPr>
          <w:sz w:val="20"/>
          <w:szCs w:val="20"/>
          <w:color w:val="auto"/>
        </w:rPr>
      </w:pPr>
    </w:p>
    <w:p>
      <w:pPr>
        <w:ind w:left="7600"/>
        <w:spacing w:after="0"/>
        <w:rPr>
          <w:sz w:val="20"/>
          <w:szCs w:val="20"/>
          <w:color w:val="auto"/>
        </w:rPr>
      </w:pPr>
      <w:r>
        <w:rPr>
          <w:rFonts w:ascii="Arial" w:cs="Arial" w:eastAsia="Arial" w:hAnsi="Arial"/>
          <w:sz w:val="17"/>
          <w:szCs w:val="17"/>
          <w:b w:val="1"/>
          <w:bCs w:val="1"/>
          <w:color w:val="auto"/>
        </w:rPr>
        <w:t xml:space="preserve">T </w:t>
      </w:r>
      <w:r>
        <w:rPr>
          <w:rFonts w:ascii="Arial" w:cs="Arial" w:eastAsia="Arial" w:hAnsi="Arial"/>
          <w:sz w:val="17"/>
          <w:szCs w:val="17"/>
          <w:color w:val="auto"/>
        </w:rPr>
        <w:t>+61 8 9480 2000</w:t>
      </w:r>
    </w:p>
    <w:p>
      <w:pPr>
        <w:spacing w:after="0" w:line="22" w:lineRule="exact"/>
        <w:rPr>
          <w:sz w:val="20"/>
          <w:szCs w:val="20"/>
          <w:color w:val="auto"/>
        </w:rPr>
      </w:pPr>
    </w:p>
    <w:p>
      <w:pPr>
        <w:ind w:left="7600"/>
        <w:spacing w:after="0"/>
        <w:rPr>
          <w:sz w:val="20"/>
          <w:szCs w:val="20"/>
          <w:color w:val="auto"/>
        </w:rPr>
      </w:pPr>
      <w:r>
        <w:rPr>
          <w:rFonts w:ascii="Arial" w:cs="Arial" w:eastAsia="Arial" w:hAnsi="Arial"/>
          <w:sz w:val="17"/>
          <w:szCs w:val="17"/>
          <w:b w:val="1"/>
          <w:bCs w:val="1"/>
          <w:color w:val="auto"/>
        </w:rPr>
        <w:t xml:space="preserve">F </w:t>
      </w:r>
      <w:r>
        <w:rPr>
          <w:rFonts w:ascii="Arial" w:cs="Arial" w:eastAsia="Arial" w:hAnsi="Arial"/>
          <w:sz w:val="17"/>
          <w:szCs w:val="17"/>
          <w:color w:val="auto"/>
        </w:rPr>
        <w:t>+61 8 9480 2050</w:t>
      </w:r>
    </w:p>
    <w:p>
      <w:pPr>
        <w:spacing w:after="0" w:line="6" w:lineRule="exact"/>
        <w:rPr>
          <w:sz w:val="20"/>
          <w:szCs w:val="20"/>
          <w:color w:val="auto"/>
        </w:rPr>
      </w:pPr>
    </w:p>
    <w:p>
      <w:pPr>
        <w:ind w:left="7600"/>
        <w:spacing w:after="0"/>
        <w:rPr>
          <w:sz w:val="20"/>
          <w:szCs w:val="20"/>
          <w:color w:val="auto"/>
        </w:rPr>
      </w:pPr>
      <w:r>
        <w:rPr>
          <w:rFonts w:ascii="Arial" w:cs="Arial" w:eastAsia="Arial" w:hAnsi="Arial"/>
          <w:sz w:val="17"/>
          <w:szCs w:val="17"/>
          <w:b w:val="1"/>
          <w:bCs w:val="1"/>
          <w:color w:val="auto"/>
        </w:rPr>
        <w:t xml:space="preserve">E </w:t>
      </w:r>
      <w:r>
        <w:rPr>
          <w:rFonts w:ascii="Arial" w:cs="Arial" w:eastAsia="Arial" w:hAnsi="Arial"/>
          <w:sz w:val="17"/>
          <w:szCs w:val="17"/>
          <w:color w:val="auto"/>
        </w:rPr>
        <w:t>info.wa@au.gt.com</w:t>
      </w:r>
    </w:p>
    <w:p>
      <w:pPr>
        <w:spacing w:after="0" w:line="6" w:lineRule="exact"/>
        <w:rPr>
          <w:sz w:val="20"/>
          <w:szCs w:val="20"/>
          <w:color w:val="auto"/>
        </w:rPr>
      </w:pPr>
    </w:p>
    <w:p>
      <w:pPr>
        <w:ind w:left="7600"/>
        <w:spacing w:after="0"/>
        <w:rPr>
          <w:sz w:val="20"/>
          <w:szCs w:val="20"/>
          <w:color w:val="auto"/>
        </w:rPr>
      </w:pPr>
      <w:r>
        <w:rPr>
          <w:rFonts w:ascii="Arial" w:cs="Arial" w:eastAsia="Arial" w:hAnsi="Arial"/>
          <w:sz w:val="17"/>
          <w:szCs w:val="17"/>
          <w:b w:val="1"/>
          <w:bCs w:val="1"/>
          <w:color w:val="auto"/>
        </w:rPr>
        <w:t xml:space="preserve">W </w:t>
      </w:r>
      <w:r>
        <w:rPr>
          <w:rFonts w:ascii="Arial" w:cs="Arial" w:eastAsia="Arial" w:hAnsi="Arial"/>
          <w:sz w:val="17"/>
          <w:szCs w:val="17"/>
          <w:color w:val="auto"/>
        </w:rPr>
        <w:t>www.grantthornton.com.au</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Independent Auditor’s Report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to the Members of Avita Medical Limited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the Independent Auditor on the Concise Financial Report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w:t>
      </w:r>
    </w:p>
    <w:p>
      <w:pPr>
        <w:spacing w:after="0" w:line="110" w:lineRule="exact"/>
        <w:rPr>
          <w:sz w:val="20"/>
          <w:szCs w:val="20"/>
          <w:color w:val="auto"/>
        </w:rPr>
      </w:pPr>
    </w:p>
    <w:p>
      <w:pPr>
        <w:jc w:val="both"/>
        <w:ind w:right="380"/>
        <w:spacing w:after="0" w:line="281" w:lineRule="auto"/>
        <w:rPr>
          <w:sz w:val="20"/>
          <w:szCs w:val="20"/>
          <w:color w:val="auto"/>
        </w:rPr>
      </w:pPr>
      <w:r>
        <w:rPr>
          <w:rFonts w:ascii="Arial" w:cs="Arial" w:eastAsia="Arial" w:hAnsi="Arial"/>
          <w:sz w:val="16"/>
          <w:szCs w:val="16"/>
          <w:color w:val="auto"/>
        </w:rPr>
        <w:t>We have audited the concise financial report of Avita Medical Limited, which comprises the statement of financial position as at 30 June 2019, the statement of profit or loss and other comprehensive income, statement of changes in equity and statement of cash flows for the year then ended and related notes, derived from the audited financial report of Avita Medical Limited for the year ended 30 June 2019.</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In our opinion, the accompanying concise financial report of Avita Medical Limited complies with Accounting Standard AASB 1039 </w:t>
      </w:r>
      <w:r>
        <w:rPr>
          <w:rFonts w:ascii="Arial" w:cs="Arial" w:eastAsia="Arial" w:hAnsi="Arial"/>
          <w:sz w:val="17"/>
          <w:szCs w:val="17"/>
          <w:i w:val="1"/>
          <w:iCs w:val="1"/>
          <w:color w:val="auto"/>
        </w:rPr>
        <w:t>Concise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10"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 xml:space="preserve">We conducted our audit in accordance with Australian Auditing Standards. Our responsibilities under those standards are further described in the </w:t>
      </w:r>
      <w:r>
        <w:rPr>
          <w:rFonts w:ascii="Arial" w:cs="Arial" w:eastAsia="Arial" w:hAnsi="Arial"/>
          <w:sz w:val="16"/>
          <w:szCs w:val="16"/>
          <w:i w:val="1"/>
          <w:iCs w:val="1"/>
          <w:color w:val="auto"/>
        </w:rPr>
        <w:t xml:space="preserve">Auditor’s Responsibilities for the Audit of the Concise Financial Report </w:t>
      </w:r>
      <w:r>
        <w:rPr>
          <w:rFonts w:ascii="Arial" w:cs="Arial" w:eastAsia="Arial" w:hAnsi="Arial"/>
          <w:sz w:val="16"/>
          <w:szCs w:val="16"/>
          <w:color w:val="auto"/>
        </w:rPr>
        <w:t>section of our report. We are independent of the Company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auditor independence requirements of the </w:t>
      </w:r>
      <w:r>
        <w:rPr>
          <w:rFonts w:ascii="Arial" w:cs="Arial" w:eastAsia="Arial" w:hAnsi="Arial"/>
          <w:sz w:val="16"/>
          <w:szCs w:val="16"/>
          <w:i w:val="1"/>
          <w:iCs w:val="1"/>
          <w:color w:val="auto"/>
        </w:rPr>
        <w:t>Corporations Act 2001</w:t>
      </w:r>
      <w:r>
        <w:rPr>
          <w:rFonts w:ascii="Arial" w:cs="Arial" w:eastAsia="Arial" w:hAnsi="Arial"/>
          <w:sz w:val="16"/>
          <w:szCs w:val="16"/>
          <w:color w:val="auto"/>
        </w:rPr>
        <w:t xml:space="preserve"> and the ethical requirements of the Accounting Professional and Ethical Standards Board’s APES 110 </w:t>
      </w:r>
      <w:r>
        <w:rPr>
          <w:rFonts w:ascii="Arial" w:cs="Arial" w:eastAsia="Arial" w:hAnsi="Arial"/>
          <w:sz w:val="16"/>
          <w:szCs w:val="16"/>
          <w:i w:val="1"/>
          <w:iCs w:val="1"/>
          <w:color w:val="auto"/>
        </w:rPr>
        <w:t>Code of Ethics for Professional Accountants</w:t>
      </w:r>
      <w:r>
        <w:rPr>
          <w:rFonts w:ascii="Arial" w:cs="Arial" w:eastAsia="Arial" w:hAnsi="Arial"/>
          <w:sz w:val="16"/>
          <w:szCs w:val="16"/>
          <w:color w:val="auto"/>
        </w:rPr>
        <w:t xml:space="preserve"> (the Code) that are relevant to our audit of the concise financial report in Australia. We have also fulfilled our other ethical responsibilities in accordance with the Code.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audit evidence we have obtained is sufficient and appropriate to provide a basis for our opinion.</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Concise Financial Report</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concise financial report does not contain all the disclosures required by the Australian Accounting Standards in the preparation of the financial report. Reading the concise financial report and the auditor’s report thereon, therefore, is not a substitute for reading the financial report and the auditor’s report thereon. The concise financial report and the financial report do not reflect the effects of events that occurred subsequent to the date of our report on the financial report.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Grant Thornton Audit Pty Ltd ACN 130 913 594</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 subsidiary or related entity of Grant Thornton Australia Ltd ABN 41 127 556 389</w:t>
      </w:r>
    </w:p>
    <w:p>
      <w:pPr>
        <w:spacing w:after="0" w:line="19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‘Grant Thornton’ refers to the brand under which the Grant Thornton member firms provide assurance, tax and advisory services to their clients and/or refers to one or more member firms, as the context requires. Grant Thornton Australia Ltd is a member firm of Grant Thornton International Ltd (GTIL). GTIL and the member firms are not a worldwide partnership. GTIL and each member firm is a separate legal entity. Services are delivered by the member firms. GTIL does not provide services to clients. GTIL and its member firms are not agents of, and do not obligate one another and are not liable for one another’s acts or omissions. In the Australian context only, the use of the term ‘Grant Thornton’ may refer to Grant Thornton Australia Limited ABN 41 127 556 389 and its Australian subsidiaries and related entities. GTIL is not an Australian related entity to Grant Thornton Australia Limited.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Liability limited by a scheme approved under Professional Standards Legislation.</w:t>
      </w:r>
    </w:p>
    <w:p>
      <w:pPr>
        <w:sectPr>
          <w:pgSz w:w="11900" w:h="16838" w:orient="portrait"/>
          <w:cols w:equalWidth="0" w:num="1">
            <w:col w:w="10260"/>
          </w:cols>
          <w:pgMar w:left="820" w:top="1145" w:right="81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7420" cy="36830"/>
                    </a:xfrm>
                    <a:prstGeom prst="rect">
                      <a:avLst/>
                    </a:prstGeom>
                    <a:noFill/>
                  </pic:spPr>
                </pic:pic>
              </a:graphicData>
            </a:graphic>
          </wp:anchor>
        </w:drawing>
        <w:drawing>
          <wp:anchor simplePos="0" relativeHeight="251657728" behindDoc="1" locked="0" layoutInCell="0" allowOverlap="1">
            <wp:simplePos x="0" y="0"/>
            <wp:positionH relativeFrom="page">
              <wp:posOffset>527685</wp:posOffset>
            </wp:positionH>
            <wp:positionV relativeFrom="page">
              <wp:posOffset>176530</wp:posOffset>
            </wp:positionV>
            <wp:extent cx="1532890" cy="391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532890" cy="391160"/>
                    </a:xfrm>
                    <a:prstGeom prst="rect">
                      <a:avLst/>
                    </a:prstGeom>
                    <a:noFill/>
                  </pic:spPr>
                </pic:pic>
              </a:graphicData>
            </a:graphic>
          </wp:anchor>
        </w:drawing>
        <w:t>The Financial Report and Our Report Thereon</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expressed an unmodified audit opinion on the financial report in our report dated 30 September 2019. That report also includes the communication of other key audit matters. Key audit matters are those matters that, in our professional judgement, were of most significance in our audit of the financial report of the current period.</w:t>
      </w:r>
    </w:p>
    <w:p>
      <w:pPr>
        <w:sectPr>
          <w:pgSz w:w="11900" w:h="16838" w:orient="portrait"/>
          <w:cols w:equalWidth="0" w:num="1">
            <w:col w:w="10260"/>
          </w:cols>
          <w:pgMar w:left="820" w:top="1179" w:right="81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Key audit matter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4"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Group generated a loss of $35,160,227 for the year ended 30 June 2019 and has used cash in operations of $27,485,659 for the year ended 30 June 2019.</w:t>
      </w:r>
    </w:p>
    <w:p>
      <w:pPr>
        <w:spacing w:after="0" w:line="9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Directors have determined that the use of the going concern basis of accounting is appropriate in preparing the financial report. Their assessment of going concern was based on cash flow projections.</w:t>
      </w:r>
    </w:p>
    <w:p>
      <w:pPr>
        <w:spacing w:after="0" w:line="70"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These projections incorporated a number of assumptions and judgements regarding the extent of future research and development activities, continued expansion of sales capability and projected working capital requirements.</w:t>
      </w:r>
    </w:p>
    <w:p>
      <w:pPr>
        <w:spacing w:after="0" w:line="52" w:lineRule="exact"/>
        <w:rPr>
          <w:sz w:val="20"/>
          <w:szCs w:val="20"/>
          <w:color w:val="auto"/>
        </w:rPr>
      </w:pPr>
    </w:p>
    <w:p>
      <w:pPr>
        <w:jc w:val="both"/>
        <w:ind w:right="20"/>
        <w:spacing w:after="0" w:line="308" w:lineRule="auto"/>
        <w:rPr>
          <w:sz w:val="20"/>
          <w:szCs w:val="20"/>
          <w:color w:val="auto"/>
        </w:rPr>
      </w:pPr>
      <w:r>
        <w:rPr>
          <w:rFonts w:ascii="Arial" w:cs="Arial" w:eastAsia="Arial" w:hAnsi="Arial"/>
          <w:sz w:val="15"/>
          <w:szCs w:val="15"/>
          <w:color w:val="auto"/>
        </w:rPr>
        <w:t>The Group’s use of the going concern basis of accounting and the associated extent of uncertainty is a key audit matter due to the high level of judgment required in evaluating the Group’s assessment of going concern.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payments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13970</wp:posOffset>
            </wp:positionV>
            <wp:extent cx="31210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2102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Our procedures included, amongst others:</w:t>
      </w:r>
    </w:p>
    <w:p>
      <w:pPr>
        <w:spacing w:after="0" w:line="117" w:lineRule="exact"/>
        <w:rPr>
          <w:sz w:val="20"/>
          <w:szCs w:val="20"/>
          <w:color w:val="auto"/>
        </w:rPr>
      </w:pPr>
    </w:p>
    <w:p>
      <w:pPr>
        <w:ind w:left="340" w:right="60" w:hanging="249"/>
        <w:spacing w:after="0" w:line="254" w:lineRule="auto"/>
        <w:tabs>
          <w:tab w:leader="none" w:pos="32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obtaining and reviewing management’s cash flow forecast to assess whether current cash levels can sustain operations for a period of at least 12 months from the proposed date of signing the financial statements;</w:t>
      </w:r>
    </w:p>
    <w:p>
      <w:pPr>
        <w:spacing w:after="0" w:line="90" w:lineRule="exact"/>
        <w:rPr>
          <w:rFonts w:ascii="Arial" w:cs="Arial" w:eastAsia="Arial" w:hAnsi="Arial"/>
          <w:sz w:val="17"/>
          <w:szCs w:val="17"/>
          <w:color w:val="auto"/>
        </w:rPr>
      </w:pPr>
    </w:p>
    <w:p>
      <w:pPr>
        <w:ind w:left="340" w:right="20" w:hanging="249"/>
        <w:spacing w:after="0" w:line="268" w:lineRule="auto"/>
        <w:tabs>
          <w:tab w:leader="none" w:pos="32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assessing whether the cash flow model reflected the budget that was approved by the Directors;</w:t>
      </w:r>
    </w:p>
    <w:p>
      <w:pPr>
        <w:spacing w:after="0" w:line="78" w:lineRule="exact"/>
        <w:rPr>
          <w:rFonts w:ascii="Arial" w:cs="Arial" w:eastAsia="Arial" w:hAnsi="Arial"/>
          <w:sz w:val="17"/>
          <w:szCs w:val="17"/>
          <w:color w:val="auto"/>
        </w:rPr>
      </w:pPr>
    </w:p>
    <w:p>
      <w:pPr>
        <w:ind w:left="340" w:hanging="249"/>
        <w:spacing w:after="0" w:line="257" w:lineRule="auto"/>
        <w:tabs>
          <w:tab w:leader="none" w:pos="32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agreeing year end cash balances to third party independent confirmations received to gain comfort around the opening balances used in the cash flow forecast;</w:t>
      </w:r>
    </w:p>
    <w:p>
      <w:pPr>
        <w:spacing w:after="0" w:line="88" w:lineRule="exact"/>
        <w:rPr>
          <w:rFonts w:ascii="Arial" w:cs="Arial" w:eastAsia="Arial" w:hAnsi="Arial"/>
          <w:sz w:val="17"/>
          <w:szCs w:val="17"/>
          <w:color w:val="auto"/>
        </w:rPr>
      </w:pPr>
    </w:p>
    <w:p>
      <w:pPr>
        <w:ind w:left="340" w:right="100" w:hanging="249"/>
        <w:spacing w:after="0" w:line="308" w:lineRule="auto"/>
        <w:tabs>
          <w:tab w:leader="none" w:pos="325" w:val="left"/>
        </w:tabs>
        <w:numPr>
          <w:ilvl w:val="0"/>
          <w:numId w:val="22"/>
        </w:numPr>
        <w:rPr>
          <w:rFonts w:ascii="Arial" w:cs="Arial" w:eastAsia="Arial" w:hAnsi="Arial"/>
          <w:sz w:val="15"/>
          <w:szCs w:val="15"/>
          <w:color w:val="auto"/>
        </w:rPr>
      </w:pPr>
      <w:r>
        <w:rPr>
          <w:rFonts w:ascii="Arial" w:cs="Arial" w:eastAsia="Arial" w:hAnsi="Arial"/>
          <w:sz w:val="15"/>
          <w:szCs w:val="15"/>
          <w:color w:val="auto"/>
        </w:rPr>
        <w:t>assessing the Group’s current level of income and expenditure against management’s forecast for consistency of relationships and trends to the historical results, and results since year end; and</w:t>
      </w:r>
    </w:p>
    <w:p>
      <w:pPr>
        <w:spacing w:after="0" w:line="52" w:lineRule="exact"/>
        <w:rPr>
          <w:rFonts w:ascii="Arial" w:cs="Arial" w:eastAsia="Arial" w:hAnsi="Arial"/>
          <w:sz w:val="15"/>
          <w:szCs w:val="15"/>
          <w:color w:val="auto"/>
        </w:rPr>
      </w:pPr>
    </w:p>
    <w:p>
      <w:pPr>
        <w:ind w:left="340" w:right="620" w:hanging="249"/>
        <w:spacing w:after="0" w:line="268" w:lineRule="auto"/>
        <w:tabs>
          <w:tab w:leader="none" w:pos="32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assessing the adequacy of the related disclosures within the financial report.</w:t>
      </w:r>
    </w:p>
    <w:p>
      <w:pPr>
        <w:spacing w:after="0" w:line="380" w:lineRule="exact"/>
        <w:rPr>
          <w:sz w:val="20"/>
          <w:szCs w:val="20"/>
          <w:color w:val="auto"/>
        </w:rPr>
      </w:pPr>
    </w:p>
    <w:p>
      <w:pPr>
        <w:sectPr>
          <w:pgSz w:w="11900" w:h="16838" w:orient="portrait"/>
          <w:cols w:equalWidth="0" w:num="2">
            <w:col w:w="5160" w:space="180"/>
            <w:col w:w="4920"/>
          </w:cols>
          <w:pgMar w:left="820" w:top="1179" w:right="819" w:bottom="1440" w:gutter="0" w:footer="0" w:header="0"/>
          <w:type w:val="continuous"/>
        </w:sectPr>
      </w:pPr>
    </w:p>
    <w:p>
      <w:pPr>
        <w:jc w:val="both"/>
        <w:ind w:right="140"/>
        <w:spacing w:after="0" w:line="257" w:lineRule="auto"/>
        <w:rPr>
          <w:sz w:val="20"/>
          <w:szCs w:val="20"/>
          <w:color w:val="auto"/>
        </w:rPr>
      </w:pPr>
      <w:r>
        <w:rPr>
          <w:rFonts w:ascii="Arial" w:cs="Arial" w:eastAsia="Arial" w:hAnsi="Arial"/>
          <w:sz w:val="17"/>
          <w:szCs w:val="17"/>
          <w:color w:val="auto"/>
        </w:rPr>
        <w:t>The Group provides benefits to employees and Key Management Personnel in the form of share options and restricted stock units (RSU’s) to employees and directors.</w:t>
      </w:r>
    </w:p>
    <w:p>
      <w:pPr>
        <w:spacing w:after="0" w:line="89"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These share-based payments are measured at fair value on the date at which they are granted and are expensed over the period in which the vesting conditions are fulfilled. The awards issued by the Group include market, performance, and service conditions which vary by grant. The Group engaged a specialist to provide a valuation of these share-based payments.</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5"/>
          <w:szCs w:val="15"/>
          <w:color w:val="auto"/>
        </w:rPr>
        <w:t>This area is a key audit matter due to the inherent subjectivity involved in management’s judgements used to value the options including historical volatility, the risk free rate of return and achievement of vesting 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Our procedures included, amongst others:</w:t>
      </w:r>
    </w:p>
    <w:p>
      <w:pPr>
        <w:spacing w:after="0" w:line="119" w:lineRule="exact"/>
        <w:rPr>
          <w:sz w:val="20"/>
          <w:szCs w:val="20"/>
          <w:color w:val="auto"/>
        </w:rPr>
      </w:pPr>
    </w:p>
    <w:p>
      <w:pPr>
        <w:ind w:left="340" w:right="60" w:hanging="249"/>
        <w:spacing w:after="0" w:line="268" w:lineRule="auto"/>
        <w:tabs>
          <w:tab w:leader="none" w:pos="32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obtaining and reviewing the documented terms and conditions for a sample of agreements;</w:t>
      </w:r>
    </w:p>
    <w:p>
      <w:pPr>
        <w:spacing w:after="0" w:line="78" w:lineRule="exact"/>
        <w:rPr>
          <w:rFonts w:ascii="Arial" w:cs="Arial" w:eastAsia="Arial" w:hAnsi="Arial"/>
          <w:sz w:val="17"/>
          <w:szCs w:val="17"/>
          <w:color w:val="auto"/>
        </w:rPr>
      </w:pPr>
    </w:p>
    <w:p>
      <w:pPr>
        <w:ind w:left="320" w:hanging="229"/>
        <w:spacing w:after="0"/>
        <w:tabs>
          <w:tab w:leader="none" w:pos="3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assessing the competency and objectivity of management’s expert;</w:t>
      </w:r>
    </w:p>
    <w:p>
      <w:pPr>
        <w:spacing w:after="0" w:line="141" w:lineRule="exact"/>
        <w:rPr>
          <w:rFonts w:ascii="Arial" w:cs="Arial" w:eastAsia="Arial" w:hAnsi="Arial"/>
          <w:sz w:val="15"/>
          <w:szCs w:val="15"/>
          <w:color w:val="auto"/>
        </w:rPr>
      </w:pPr>
    </w:p>
    <w:p>
      <w:pPr>
        <w:ind w:left="340" w:right="300" w:hanging="249"/>
        <w:spacing w:after="0" w:line="254" w:lineRule="auto"/>
        <w:tabs>
          <w:tab w:leader="none" w:pos="32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obtaining and reviewing the valuation report provided by management’s external expert in relation to the option and RSU plans and assessing for compliance with AASB 2 Share- Based Payments;</w:t>
      </w:r>
    </w:p>
    <w:p>
      <w:pPr>
        <w:spacing w:after="0" w:line="90" w:lineRule="exact"/>
        <w:rPr>
          <w:rFonts w:ascii="Arial" w:cs="Arial" w:eastAsia="Arial" w:hAnsi="Arial"/>
          <w:sz w:val="17"/>
          <w:szCs w:val="17"/>
          <w:color w:val="auto"/>
        </w:rPr>
      </w:pPr>
    </w:p>
    <w:p>
      <w:pPr>
        <w:ind w:left="340" w:right="220" w:hanging="249"/>
        <w:spacing w:after="0" w:line="257" w:lineRule="auto"/>
        <w:tabs>
          <w:tab w:leader="none" w:pos="325" w:val="left"/>
        </w:tabs>
        <w:numPr>
          <w:ilvl w:val="0"/>
          <w:numId w:val="23"/>
        </w:numPr>
        <w:rPr>
          <w:rFonts w:ascii="Arial" w:cs="Arial" w:eastAsia="Arial" w:hAnsi="Arial"/>
          <w:sz w:val="17"/>
          <w:szCs w:val="17"/>
          <w:color w:val="auto"/>
        </w:rPr>
      </w:pPr>
      <w:r>
        <w:rPr>
          <w:rFonts w:ascii="Arial" w:cs="Arial" w:eastAsia="Arial" w:hAnsi="Arial"/>
          <w:sz w:val="17"/>
          <w:szCs w:val="17"/>
          <w:color w:val="auto"/>
        </w:rPr>
        <w:t>utilising our internal valuation specialists to assess the inputs and assumptions used to determine the fair values of the awards for appropriateness and reasonableness;</w:t>
      </w:r>
    </w:p>
    <w:p>
      <w:pPr>
        <w:spacing w:after="0" w:line="88" w:lineRule="exact"/>
        <w:rPr>
          <w:rFonts w:ascii="Arial" w:cs="Arial" w:eastAsia="Arial" w:hAnsi="Arial"/>
          <w:sz w:val="17"/>
          <w:szCs w:val="17"/>
          <w:color w:val="auto"/>
        </w:rPr>
      </w:pPr>
    </w:p>
    <w:p>
      <w:pPr>
        <w:ind w:left="320" w:hanging="229"/>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recalculating the fair value of a sample of the awards;</w:t>
      </w:r>
    </w:p>
    <w:p>
      <w:pPr>
        <w:spacing w:after="0" w:line="118" w:lineRule="exact"/>
        <w:rPr>
          <w:rFonts w:ascii="Arial" w:cs="Arial" w:eastAsia="Arial" w:hAnsi="Arial"/>
          <w:sz w:val="17"/>
          <w:szCs w:val="17"/>
          <w:color w:val="auto"/>
        </w:rPr>
      </w:pPr>
    </w:p>
    <w:p>
      <w:pPr>
        <w:ind w:left="340" w:right="160" w:hanging="249"/>
        <w:spacing w:after="0" w:line="300" w:lineRule="auto"/>
        <w:tabs>
          <w:tab w:leader="none" w:pos="3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recalculating the vesting schedules to evaluate whether the related expense has been recorded in the correct periods; and</w:t>
      </w:r>
    </w:p>
    <w:p>
      <w:pPr>
        <w:spacing w:after="0" w:line="55" w:lineRule="exact"/>
        <w:rPr>
          <w:rFonts w:ascii="Arial" w:cs="Arial" w:eastAsia="Arial" w:hAnsi="Arial"/>
          <w:sz w:val="16"/>
          <w:szCs w:val="16"/>
          <w:color w:val="auto"/>
        </w:rPr>
      </w:pPr>
    </w:p>
    <w:p>
      <w:pPr>
        <w:ind w:left="320" w:hanging="229"/>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reviewing the adequacy of related disclosures.</w:t>
      </w:r>
    </w:p>
    <w:p>
      <w:pPr>
        <w:sectPr>
          <w:pgSz w:w="11900" w:h="16838" w:orient="portrait"/>
          <w:cols w:equalWidth="0" w:num="2">
            <w:col w:w="5240" w:space="100"/>
            <w:col w:w="4920"/>
          </w:cols>
          <w:pgMar w:left="820" w:top="1179" w:right="8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7420" cy="36830"/>
                    </a:xfrm>
                    <a:prstGeom prst="rect">
                      <a:avLst/>
                    </a:prstGeom>
                    <a:noFill/>
                  </pic:spPr>
                </pic:pic>
              </a:graphicData>
            </a:graphic>
          </wp:anchor>
        </w:drawing>
        <w:drawing>
          <wp:anchor simplePos="0" relativeHeight="251657728" behindDoc="1" locked="0" layoutInCell="0" allowOverlap="1">
            <wp:simplePos x="0" y="0"/>
            <wp:positionH relativeFrom="page">
              <wp:posOffset>527685</wp:posOffset>
            </wp:positionH>
            <wp:positionV relativeFrom="page">
              <wp:posOffset>176530</wp:posOffset>
            </wp:positionV>
            <wp:extent cx="1532890" cy="391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532890" cy="391160"/>
                    </a:xfrm>
                    <a:prstGeom prst="rect">
                      <a:avLst/>
                    </a:prstGeom>
                    <a:noFill/>
                  </pic:spPr>
                </pic:pic>
              </a:graphicData>
            </a:graphic>
          </wp:anchor>
        </w:drawing>
        <w:t>Responsibilities of the Directors for the Concise Financial Report</w:t>
      </w:r>
    </w:p>
    <w:p>
      <w:pPr>
        <w:spacing w:after="0" w:line="11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 xml:space="preserve">The Directors are responsible for the preparation of the concise financial report in accordance with Accounting Standard AASB 1039 </w:t>
      </w:r>
      <w:r>
        <w:rPr>
          <w:rFonts w:ascii="Arial" w:cs="Arial" w:eastAsia="Arial" w:hAnsi="Arial"/>
          <w:sz w:val="17"/>
          <w:szCs w:val="17"/>
          <w:i w:val="1"/>
          <w:iCs w:val="1"/>
          <w:color w:val="auto"/>
        </w:rPr>
        <w:t>Concise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Reports, </w:t>
      </w:r>
      <w:r>
        <w:rPr>
          <w:rFonts w:ascii="Arial" w:cs="Arial" w:eastAsia="Arial" w:hAnsi="Arial"/>
          <w:sz w:val="17"/>
          <w:szCs w:val="17"/>
          <w:color w:val="auto"/>
        </w:rPr>
        <w:t>and the Corporations Act 2001, and for such internal control as the directors determine are necessary to enable the preparation of the concise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report.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Auditor’s Responsibilities for the Audit of the Concise Financial Report</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Our responsibility is to express an opinion on whether the concise financial report, complies in all material respects, with AASB 1039 </w:t>
      </w:r>
      <w:r>
        <w:rPr>
          <w:rFonts w:ascii="Arial" w:cs="Arial" w:eastAsia="Arial" w:hAnsi="Arial"/>
          <w:sz w:val="17"/>
          <w:szCs w:val="17"/>
          <w:i w:val="1"/>
          <w:iCs w:val="1"/>
          <w:color w:val="auto"/>
        </w:rPr>
        <w:t>Concise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Reports </w:t>
      </w:r>
      <w:r>
        <w:rPr>
          <w:rFonts w:ascii="Arial" w:cs="Arial" w:eastAsia="Arial" w:hAnsi="Arial"/>
          <w:sz w:val="17"/>
          <w:szCs w:val="17"/>
          <w:color w:val="auto"/>
        </w:rPr>
        <w:t>based on our procedures, which were conducted in accordance with Auditing Standard ASA 810</w:t>
      </w:r>
      <w:r>
        <w:rPr>
          <w:rFonts w:ascii="Arial" w:cs="Arial" w:eastAsia="Arial" w:hAnsi="Arial"/>
          <w:sz w:val="17"/>
          <w:szCs w:val="17"/>
          <w:i w:val="1"/>
          <w:iCs w:val="1"/>
          <w:color w:val="auto"/>
        </w:rPr>
        <w:t xml:space="preserve"> Engagements to Report on Summary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Other than the Concise Financial Report and Auditor’s Report Thereon</w:t>
      </w:r>
    </w:p>
    <w:p>
      <w:pPr>
        <w:spacing w:after="0" w:line="110"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The Directors are responsible for the other information. The other information comprises the information included in the Group’s annual report for the year ended 30 June 2019, but does not include the financial report and our auditor’s report thereon.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Our opinion on the concise financial report does not cover the other information and we do not express any form of assurance conclusion thereon.</w:t>
      </w:r>
    </w:p>
    <w:p>
      <w:pPr>
        <w:spacing w:after="0" w:line="230"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In connection with our audit of the concise financial report, our responsibility is to read the other information and, in doing so, consider whether the other information is materially inconsistent with the financial report or our knowledge obtained in the audit or otherwise appears to be materially misstated.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If, based on the work we have performed, we conclude that there is a material misstatement of this other information, we are required to report that fact.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We have nothing to report in this regard.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 on the Remuneration Report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paragraphs are copies from our Report on the Remuneration Report of Avita Medical Limited for the year ended 30 June 2019.</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Remuneration Report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Remuneration Report included in the directors’ report for the year ended 30 June 2019.</w:t>
      </w:r>
    </w:p>
    <w:p>
      <w:pPr>
        <w:spacing w:after="0" w:line="207"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 xml:space="preserve">In our opinion, the Remuneration Report of Avita Medical Limited, for the year ended 30 June 2019, complies with section 300A of the </w:t>
      </w:r>
      <w:r>
        <w:rPr>
          <w:rFonts w:ascii="Arial" w:cs="Arial" w:eastAsia="Arial" w:hAnsi="Arial"/>
          <w:sz w:val="17"/>
          <w:szCs w:val="17"/>
          <w:i w:val="1"/>
          <w:iCs w:val="1"/>
          <w:color w:val="auto"/>
        </w:rPr>
        <w:t>Corporations</w:t>
      </w:r>
      <w:r>
        <w:rPr>
          <w:rFonts w:ascii="Arial" w:cs="Arial" w:eastAsia="Arial" w:hAnsi="Arial"/>
          <w:sz w:val="17"/>
          <w:szCs w:val="17"/>
          <w:color w:val="auto"/>
        </w:rPr>
        <w:t xml:space="preserve"> </w:t>
      </w:r>
      <w:r>
        <w:rPr>
          <w:rFonts w:ascii="Arial" w:cs="Arial" w:eastAsia="Arial" w:hAnsi="Arial"/>
          <w:sz w:val="17"/>
          <w:szCs w:val="17"/>
          <w:i w:val="1"/>
          <w:iCs w:val="1"/>
          <w:color w:val="auto"/>
        </w:rPr>
        <w:t>Act 2001.</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10"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 xml:space="preserve">The Directors of the Company are responsible for the preparation and presentation of the Remuneration Report in accordance with section 300A of the </w:t>
      </w:r>
      <w:r>
        <w:rPr>
          <w:rFonts w:ascii="Arial" w:cs="Arial" w:eastAsia="Arial" w:hAnsi="Arial"/>
          <w:sz w:val="17"/>
          <w:szCs w:val="17"/>
          <w:i w:val="1"/>
          <w:iCs w:val="1"/>
          <w:color w:val="auto"/>
        </w:rPr>
        <w:t xml:space="preserve">Corporations Act 2001. </w:t>
      </w:r>
      <w:r>
        <w:rPr>
          <w:rFonts w:ascii="Arial" w:cs="Arial" w:eastAsia="Arial" w:hAnsi="Arial"/>
          <w:sz w:val="17"/>
          <w:szCs w:val="17"/>
          <w:color w:val="auto"/>
        </w:rPr>
        <w:t>Our responsibility is to express an opinion on the Remuneration Report, based on our audit conducted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Australian Auditing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838200" cy="279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38200" cy="27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GRANT THORNTON AUDIT PTY LTD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Chartered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0565" cy="382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 R Leivesley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Partner - Audit &amp; Assurance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Sydney, 9 October 2019</w:t>
      </w:r>
    </w:p>
    <w:p>
      <w:pPr>
        <w:sectPr>
          <w:pgSz w:w="11900" w:h="16838" w:orient="portrait"/>
          <w:cols w:equalWidth="0" w:num="1">
            <w:col w:w="10260"/>
          </w:cols>
          <w:pgMar w:left="820" w:top="1179" w:right="81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ASX Shareholder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Ordinary Fully Paid Shares (Total) as of 30 September 2019</w:t>
      </w:r>
    </w:p>
    <w:p>
      <w:pPr>
        <w:spacing w:after="0" w:line="228" w:lineRule="exact"/>
        <w:rPr>
          <w:sz w:val="20"/>
          <w:szCs w:val="20"/>
          <w:color w:val="auto"/>
        </w:rPr>
      </w:pPr>
    </w:p>
    <w:tbl>
      <w:tblPr>
        <w:tblLayout w:type="fixed"/>
        <w:tblInd w:w="820" w:type="dxa"/>
        <w:tblCellMar>
          <w:top w:w="0" w:type="dxa"/>
          <w:left w:w="0" w:type="dxa"/>
          <w:bottom w:w="0" w:type="dxa"/>
          <w:right w:w="0" w:type="dxa"/>
        </w:tblCellMar>
      </w:tblPr>
      <w:tr>
        <w:trPr>
          <w:trHeight w:val="159"/>
        </w:trPr>
        <w:tc>
          <w:tcPr>
            <w:tcW w:w="4140" w:type="dxa"/>
            <w:vAlign w:val="bottom"/>
            <w:gridSpan w:val="2"/>
          </w:tcPr>
          <w:p>
            <w:pPr>
              <w:spacing w:after="0"/>
              <w:rPr>
                <w:sz w:val="20"/>
                <w:szCs w:val="20"/>
                <w:color w:val="auto"/>
              </w:rPr>
            </w:pPr>
            <w:r>
              <w:rPr>
                <w:rFonts w:ascii="Arial" w:cs="Arial" w:eastAsia="Arial" w:hAnsi="Arial"/>
                <w:sz w:val="13"/>
                <w:szCs w:val="13"/>
                <w:b w:val="1"/>
                <w:bCs w:val="1"/>
                <w:color w:val="auto"/>
              </w:rPr>
              <w:t>Range</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Total holders</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Ordinary Shares</w:t>
            </w:r>
          </w:p>
        </w:tc>
        <w:tc>
          <w:tcPr>
            <w:tcW w:w="50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3"/>
              </w:rPr>
              <w:t>% of Issued Capital</w:t>
            </w:r>
          </w:p>
        </w:tc>
      </w:tr>
      <w:tr>
        <w:trPr>
          <w:trHeight w:val="201"/>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1 - 1,000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230,420</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0.01</w:t>
            </w:r>
          </w:p>
        </w:tc>
      </w:tr>
      <w:tr>
        <w:trPr>
          <w:trHeight w:val="201"/>
        </w:trPr>
        <w:tc>
          <w:tcPr>
            <w:tcW w:w="4140" w:type="dxa"/>
            <w:vAlign w:val="bottom"/>
            <w:gridSpan w:val="2"/>
          </w:tcPr>
          <w:p>
            <w:pPr>
              <w:spacing w:after="0"/>
              <w:rPr>
                <w:sz w:val="20"/>
                <w:szCs w:val="20"/>
                <w:color w:val="auto"/>
              </w:rPr>
            </w:pPr>
            <w:r>
              <w:rPr>
                <w:rFonts w:ascii="Arial" w:cs="Arial" w:eastAsia="Arial" w:hAnsi="Arial"/>
                <w:sz w:val="17"/>
                <w:szCs w:val="17"/>
                <w:color w:val="auto"/>
              </w:rPr>
              <w:t>1,001 - 5,000</w:t>
            </w:r>
          </w:p>
        </w:tc>
        <w:tc>
          <w:tcPr>
            <w:tcW w:w="1200" w:type="dxa"/>
            <w:vAlign w:val="bottom"/>
          </w:tcPr>
          <w:p>
            <w:pPr>
              <w:jc w:val="right"/>
              <w:spacing w:after="0"/>
              <w:rPr>
                <w:sz w:val="20"/>
                <w:szCs w:val="20"/>
                <w:color w:val="auto"/>
              </w:rPr>
            </w:pPr>
            <w:r>
              <w:rPr>
                <w:rFonts w:ascii="Arial" w:cs="Arial" w:eastAsia="Arial" w:hAnsi="Arial"/>
                <w:sz w:val="17"/>
                <w:szCs w:val="17"/>
                <w:color w:val="auto"/>
              </w:rPr>
              <w:t>1,427</w:t>
            </w:r>
          </w:p>
        </w:tc>
        <w:tc>
          <w:tcPr>
            <w:tcW w:w="1580" w:type="dxa"/>
            <w:vAlign w:val="bottom"/>
          </w:tcPr>
          <w:p>
            <w:pPr>
              <w:jc w:val="right"/>
              <w:spacing w:after="0"/>
              <w:rPr>
                <w:sz w:val="20"/>
                <w:szCs w:val="20"/>
                <w:color w:val="auto"/>
              </w:rPr>
            </w:pPr>
            <w:r>
              <w:rPr>
                <w:rFonts w:ascii="Arial" w:cs="Arial" w:eastAsia="Arial" w:hAnsi="Arial"/>
                <w:sz w:val="17"/>
                <w:szCs w:val="17"/>
                <w:color w:val="auto"/>
              </w:rPr>
              <w:t>4,169,451</w:t>
            </w:r>
          </w:p>
        </w:tc>
        <w:tc>
          <w:tcPr>
            <w:tcW w:w="5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0.22</w:t>
            </w:r>
          </w:p>
        </w:tc>
      </w:tr>
      <w:tr>
        <w:trPr>
          <w:trHeight w:val="201"/>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5,001 - 10,000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8,939,380</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0.48</w:t>
            </w:r>
          </w:p>
        </w:tc>
      </w:tr>
      <w:tr>
        <w:trPr>
          <w:trHeight w:val="201"/>
        </w:trPr>
        <w:tc>
          <w:tcPr>
            <w:tcW w:w="4140" w:type="dxa"/>
            <w:vAlign w:val="bottom"/>
            <w:gridSpan w:val="2"/>
          </w:tcPr>
          <w:p>
            <w:pPr>
              <w:spacing w:after="0"/>
              <w:rPr>
                <w:sz w:val="20"/>
                <w:szCs w:val="20"/>
                <w:color w:val="auto"/>
              </w:rPr>
            </w:pPr>
            <w:r>
              <w:rPr>
                <w:rFonts w:ascii="Arial" w:cs="Arial" w:eastAsia="Arial" w:hAnsi="Arial"/>
                <w:sz w:val="17"/>
                <w:szCs w:val="17"/>
                <w:color w:val="auto"/>
              </w:rPr>
              <w:t>10,001 - 100,000</w:t>
            </w:r>
          </w:p>
        </w:tc>
        <w:tc>
          <w:tcPr>
            <w:tcW w:w="1200" w:type="dxa"/>
            <w:vAlign w:val="bottom"/>
          </w:tcPr>
          <w:p>
            <w:pPr>
              <w:jc w:val="right"/>
              <w:spacing w:after="0"/>
              <w:rPr>
                <w:sz w:val="20"/>
                <w:szCs w:val="20"/>
                <w:color w:val="auto"/>
              </w:rPr>
            </w:pPr>
            <w:r>
              <w:rPr>
                <w:rFonts w:ascii="Arial" w:cs="Arial" w:eastAsia="Arial" w:hAnsi="Arial"/>
                <w:sz w:val="17"/>
                <w:szCs w:val="17"/>
                <w:color w:val="auto"/>
              </w:rPr>
              <w:t>2,519</w:t>
            </w:r>
          </w:p>
        </w:tc>
        <w:tc>
          <w:tcPr>
            <w:tcW w:w="1580" w:type="dxa"/>
            <w:vAlign w:val="bottom"/>
          </w:tcPr>
          <w:p>
            <w:pPr>
              <w:jc w:val="right"/>
              <w:spacing w:after="0"/>
              <w:rPr>
                <w:sz w:val="20"/>
                <w:szCs w:val="20"/>
                <w:color w:val="auto"/>
              </w:rPr>
            </w:pPr>
            <w:r>
              <w:rPr>
                <w:rFonts w:ascii="Arial" w:cs="Arial" w:eastAsia="Arial" w:hAnsi="Arial"/>
                <w:sz w:val="17"/>
                <w:szCs w:val="17"/>
                <w:color w:val="auto"/>
              </w:rPr>
              <w:t>92,182,535</w:t>
            </w:r>
          </w:p>
        </w:tc>
        <w:tc>
          <w:tcPr>
            <w:tcW w:w="5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4.92</w:t>
            </w:r>
          </w:p>
        </w:tc>
      </w:tr>
      <w:tr>
        <w:trPr>
          <w:trHeight w:val="201"/>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100,001 Over</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1,767,363,050</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95.37</w:t>
            </w:r>
          </w:p>
        </w:tc>
      </w:tr>
      <w:tr>
        <w:trPr>
          <w:trHeight w:val="217"/>
        </w:trPr>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6,327</w:t>
            </w:r>
          </w:p>
        </w:tc>
        <w:tc>
          <w:tcPr>
            <w:tcW w:w="1580" w:type="dxa"/>
            <w:vAlign w:val="bottom"/>
          </w:tcPr>
          <w:p>
            <w:pPr>
              <w:jc w:val="right"/>
              <w:spacing w:after="0"/>
              <w:rPr>
                <w:sz w:val="20"/>
                <w:szCs w:val="20"/>
                <w:color w:val="auto"/>
              </w:rPr>
            </w:pPr>
            <w:r>
              <w:rPr>
                <w:rFonts w:ascii="Arial" w:cs="Arial" w:eastAsia="Arial" w:hAnsi="Arial"/>
                <w:sz w:val="17"/>
                <w:szCs w:val="17"/>
                <w:b w:val="1"/>
                <w:bCs w:val="1"/>
                <w:color w:val="auto"/>
              </w:rPr>
              <w:t>1,872,884,836</w:t>
            </w:r>
          </w:p>
        </w:tc>
        <w:tc>
          <w:tcPr>
            <w:tcW w:w="5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100.00</w:t>
            </w:r>
          </w:p>
        </w:tc>
      </w:tr>
      <w:tr>
        <w:trPr>
          <w:trHeight w:val="348"/>
        </w:trPr>
        <w:tc>
          <w:tcPr>
            <w:tcW w:w="4140" w:type="dxa"/>
            <w:vAlign w:val="bottom"/>
            <w:gridSpan w:val="2"/>
          </w:tcPr>
          <w:p>
            <w:pPr>
              <w:spacing w:after="0"/>
              <w:rPr>
                <w:sz w:val="20"/>
                <w:szCs w:val="20"/>
                <w:color w:val="auto"/>
              </w:rPr>
            </w:pPr>
            <w:r>
              <w:rPr>
                <w:rFonts w:ascii="Arial" w:cs="Arial" w:eastAsia="Arial" w:hAnsi="Arial"/>
                <w:sz w:val="13"/>
                <w:szCs w:val="13"/>
                <w:b w:val="1"/>
                <w:bCs w:val="1"/>
                <w:color w:val="auto"/>
              </w:rPr>
              <w:t>Unmarketable Parcels</w:t>
            </w:r>
          </w:p>
        </w:tc>
        <w:tc>
          <w:tcPr>
            <w:tcW w:w="2780" w:type="dxa"/>
            <w:vAlign w:val="bottom"/>
            <w:gridSpan w:val="2"/>
          </w:tcPr>
          <w:p>
            <w:pPr>
              <w:jc w:val="right"/>
              <w:ind w:right="419"/>
              <w:spacing w:after="0"/>
              <w:rPr>
                <w:sz w:val="20"/>
                <w:szCs w:val="20"/>
                <w:color w:val="auto"/>
              </w:rPr>
            </w:pPr>
            <w:r>
              <w:rPr>
                <w:rFonts w:ascii="Arial" w:cs="Arial" w:eastAsia="Arial" w:hAnsi="Arial"/>
                <w:sz w:val="13"/>
                <w:szCs w:val="13"/>
                <w:b w:val="1"/>
                <w:bCs w:val="1"/>
                <w:color w:val="auto"/>
              </w:rPr>
              <w:t>Minimum Parcel Size</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9"/>
              </w:rPr>
              <w:t>Holders</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Shares</w:t>
            </w:r>
          </w:p>
        </w:tc>
      </w:tr>
      <w:tr>
        <w:trPr>
          <w:trHeight w:val="201"/>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Minimum $500 parcel at $0.59 per share</w:t>
            </w:r>
          </w:p>
        </w:tc>
        <w:tc>
          <w:tcPr>
            <w:tcW w:w="1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19"/>
              <w:spacing w:after="0"/>
              <w:rPr>
                <w:sz w:val="20"/>
                <w:szCs w:val="20"/>
                <w:color w:val="auto"/>
              </w:rPr>
            </w:pPr>
            <w:r>
              <w:rPr>
                <w:rFonts w:ascii="Arial" w:cs="Arial" w:eastAsia="Arial" w:hAnsi="Arial"/>
                <w:sz w:val="17"/>
                <w:szCs w:val="17"/>
                <w:color w:val="auto"/>
              </w:rPr>
              <w:t>848</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105,998</w:t>
            </w:r>
          </w:p>
        </w:tc>
      </w:tr>
      <w:tr>
        <w:trPr>
          <w:trHeight w:val="365"/>
        </w:trPr>
        <w:tc>
          <w:tcPr>
            <w:tcW w:w="4140" w:type="dxa"/>
            <w:vAlign w:val="bottom"/>
            <w:gridSpan w:val="2"/>
          </w:tcPr>
          <w:p>
            <w:pPr>
              <w:ind w:left="420"/>
              <w:spacing w:after="0"/>
              <w:rPr>
                <w:sz w:val="20"/>
                <w:szCs w:val="20"/>
                <w:color w:val="auto"/>
              </w:rPr>
            </w:pPr>
            <w:r>
              <w:rPr>
                <w:rFonts w:ascii="Arial" w:cs="Arial" w:eastAsia="Arial" w:hAnsi="Arial"/>
                <w:sz w:val="13"/>
                <w:szCs w:val="13"/>
                <w:b w:val="1"/>
                <w:bCs w:val="1"/>
                <w:color w:val="auto"/>
              </w:rPr>
              <w:t>Substantial Shareholder</w:t>
            </w:r>
          </w:p>
        </w:tc>
        <w:tc>
          <w:tcPr>
            <w:tcW w:w="1200" w:type="dxa"/>
            <w:vAlign w:val="bottom"/>
          </w:tcPr>
          <w:p>
            <w:pPr>
              <w:spacing w:after="0"/>
              <w:rPr>
                <w:sz w:val="24"/>
                <w:szCs w:val="24"/>
                <w:color w:val="auto"/>
              </w:rPr>
            </w:pPr>
          </w:p>
        </w:tc>
        <w:tc>
          <w:tcPr>
            <w:tcW w:w="1580" w:type="dxa"/>
            <w:vAlign w:val="bottom"/>
          </w:tcPr>
          <w:p>
            <w:pPr>
              <w:jc w:val="right"/>
              <w:ind w:right="479"/>
              <w:spacing w:after="0"/>
              <w:rPr>
                <w:sz w:val="20"/>
                <w:szCs w:val="20"/>
                <w:color w:val="auto"/>
              </w:rPr>
            </w:pPr>
            <w:r>
              <w:rPr>
                <w:rFonts w:ascii="Arial" w:cs="Arial" w:eastAsia="Arial" w:hAnsi="Arial"/>
                <w:sz w:val="13"/>
                <w:szCs w:val="13"/>
                <w:b w:val="1"/>
                <w:bCs w:val="1"/>
                <w:color w:val="auto"/>
                <w:w w:val="98"/>
              </w:rPr>
              <w:t>Ordinary Shares</w:t>
            </w:r>
          </w:p>
        </w:tc>
        <w:tc>
          <w:tcPr>
            <w:tcW w:w="170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 of Issued Capital</w:t>
            </w:r>
          </w:p>
        </w:tc>
      </w:tr>
      <w:tr>
        <w:trPr>
          <w:trHeight w:val="201"/>
        </w:trPr>
        <w:tc>
          <w:tcPr>
            <w:tcW w:w="4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HSBC Custody Nominees (Australia) Limited</w:t>
            </w:r>
          </w:p>
        </w:tc>
        <w:tc>
          <w:tcPr>
            <w:tcW w:w="1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79"/>
              <w:spacing w:after="0"/>
              <w:rPr>
                <w:sz w:val="20"/>
                <w:szCs w:val="20"/>
                <w:color w:val="auto"/>
              </w:rPr>
            </w:pPr>
            <w:r>
              <w:rPr>
                <w:rFonts w:ascii="Arial" w:cs="Arial" w:eastAsia="Arial" w:hAnsi="Arial"/>
                <w:sz w:val="17"/>
                <w:szCs w:val="17"/>
                <w:color w:val="auto"/>
              </w:rPr>
              <w:t>651,962,695</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34.81</w:t>
            </w:r>
          </w:p>
        </w:tc>
        <w:tc>
          <w:tcPr>
            <w:tcW w:w="400" w:type="dxa"/>
            <w:vAlign w:val="bottom"/>
          </w:tcPr>
          <w:p>
            <w:pPr>
              <w:spacing w:after="0"/>
              <w:rPr>
                <w:sz w:val="17"/>
                <w:szCs w:val="17"/>
                <w:color w:val="auto"/>
              </w:rPr>
            </w:pPr>
          </w:p>
        </w:tc>
      </w:tr>
      <w:tr>
        <w:trPr>
          <w:trHeight w:val="213"/>
        </w:trPr>
        <w:tc>
          <w:tcPr>
            <w:tcW w:w="4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w w:val="93"/>
              </w:rPr>
              <w:t>HSBC Custody Nominees (Australia) Limited - A/C 2</w:t>
            </w:r>
          </w:p>
        </w:tc>
        <w:tc>
          <w:tcPr>
            <w:tcW w:w="1200" w:type="dxa"/>
            <w:vAlign w:val="bottom"/>
          </w:tcPr>
          <w:p>
            <w:pPr>
              <w:spacing w:after="0"/>
              <w:rPr>
                <w:sz w:val="18"/>
                <w:szCs w:val="18"/>
                <w:color w:val="auto"/>
              </w:rPr>
            </w:pPr>
          </w:p>
        </w:tc>
        <w:tc>
          <w:tcPr>
            <w:tcW w:w="1580" w:type="dxa"/>
            <w:vAlign w:val="bottom"/>
          </w:tcPr>
          <w:p>
            <w:pPr>
              <w:jc w:val="right"/>
              <w:ind w:right="479"/>
              <w:spacing w:after="0"/>
              <w:rPr>
                <w:sz w:val="20"/>
                <w:szCs w:val="20"/>
                <w:color w:val="auto"/>
              </w:rPr>
            </w:pPr>
            <w:r>
              <w:rPr>
                <w:rFonts w:ascii="Arial" w:cs="Arial" w:eastAsia="Arial" w:hAnsi="Arial"/>
                <w:sz w:val="17"/>
                <w:szCs w:val="17"/>
                <w:color w:val="auto"/>
              </w:rPr>
              <w:t>379,735,974</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20.28</w:t>
            </w:r>
          </w:p>
        </w:tc>
        <w:tc>
          <w:tcPr>
            <w:tcW w:w="400" w:type="dxa"/>
            <w:vAlign w:val="bottom"/>
          </w:tcPr>
          <w:p>
            <w:pPr>
              <w:spacing w:after="0"/>
              <w:rPr>
                <w:sz w:val="18"/>
                <w:szCs w:val="18"/>
                <w:color w:val="auto"/>
              </w:rPr>
            </w:pPr>
          </w:p>
        </w:tc>
      </w:tr>
      <w:tr>
        <w:trPr>
          <w:trHeight w:val="327"/>
        </w:trPr>
        <w:tc>
          <w:tcPr>
            <w:tcW w:w="4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0" w:type="dxa"/>
            <w:vAlign w:val="bottom"/>
          </w:tcPr>
          <w:p>
            <w:pPr>
              <w:jc w:val="right"/>
              <w:ind w:right="860"/>
              <w:spacing w:after="0"/>
              <w:rPr>
                <w:sz w:val="20"/>
                <w:szCs w:val="20"/>
                <w:color w:val="auto"/>
              </w:rPr>
            </w:pPr>
            <w:r>
              <w:rPr>
                <w:rFonts w:ascii="Arial" w:cs="Arial" w:eastAsia="Arial" w:hAnsi="Arial"/>
                <w:sz w:val="17"/>
                <w:szCs w:val="17"/>
                <w:color w:val="auto"/>
              </w:rPr>
              <w:t>41</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9639"/>
          </w:cols>
          <w:pgMar w:left="820" w:top="261" w:right="1440"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ASX Shareholder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Ordinary Fully Paid Shares (Total) as of 30 September 2019</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AVITA MEDICAL LIMITED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Top 20 Holders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0" w:type="dxa"/>
            <w:vAlign w:val="bottom"/>
            <w:gridSpan w:val="2"/>
          </w:tcPr>
          <w:p>
            <w:pPr>
              <w:spacing w:after="0"/>
              <w:rPr>
                <w:sz w:val="20"/>
                <w:szCs w:val="20"/>
                <w:color w:val="auto"/>
              </w:rPr>
            </w:pPr>
            <w:r>
              <w:rPr>
                <w:rFonts w:ascii="Arial" w:cs="Arial" w:eastAsia="Arial" w:hAnsi="Arial"/>
                <w:sz w:val="13"/>
                <w:szCs w:val="13"/>
                <w:b w:val="1"/>
                <w:bCs w:val="1"/>
                <w:color w:val="auto"/>
              </w:rPr>
              <w:t>Rank</w:t>
            </w:r>
          </w:p>
        </w:tc>
        <w:tc>
          <w:tcPr>
            <w:tcW w:w="6560" w:type="dxa"/>
            <w:vAlign w:val="bottom"/>
          </w:tcPr>
          <w:p>
            <w:pPr>
              <w:ind w:left="3720"/>
              <w:spacing w:after="0"/>
              <w:rPr>
                <w:sz w:val="20"/>
                <w:szCs w:val="20"/>
                <w:color w:val="auto"/>
              </w:rPr>
            </w:pPr>
            <w:r>
              <w:rPr>
                <w:rFonts w:ascii="Arial" w:cs="Arial" w:eastAsia="Arial" w:hAnsi="Arial"/>
                <w:sz w:val="13"/>
                <w:szCs w:val="13"/>
                <w:b w:val="1"/>
                <w:bCs w:val="1"/>
                <w:color w:val="auto"/>
              </w:rPr>
              <w:t>Name</w:t>
            </w:r>
          </w:p>
        </w:tc>
        <w:tc>
          <w:tcPr>
            <w:tcW w:w="2460" w:type="dxa"/>
            <w:vAlign w:val="bottom"/>
          </w:tcPr>
          <w:p>
            <w:pPr>
              <w:jc w:val="right"/>
              <w:ind w:right="357"/>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3"/>
                <w:szCs w:val="13"/>
                <w:color w:val="auto"/>
              </w:rPr>
              <w:t>% of Shares</w:t>
            </w:r>
          </w:p>
        </w:tc>
      </w:tr>
      <w:tr>
        <w:trPr>
          <w:trHeight w:val="201"/>
        </w:trPr>
        <w:tc>
          <w:tcPr>
            <w:tcW w:w="20" w:type="dxa"/>
            <w:vAlign w:val="bottom"/>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6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HSBC Custody Nominees (Australia) Limited</w:t>
            </w:r>
          </w:p>
        </w:tc>
        <w:tc>
          <w:tcPr>
            <w:tcW w:w="24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651,962,695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34.81</w:t>
            </w:r>
          </w:p>
        </w:tc>
      </w:tr>
      <w:tr>
        <w:trPr>
          <w:trHeight w:val="201"/>
        </w:trPr>
        <w:tc>
          <w:tcPr>
            <w:tcW w:w="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2</w:t>
            </w:r>
          </w:p>
        </w:tc>
        <w:tc>
          <w:tcPr>
            <w:tcW w:w="6560" w:type="dxa"/>
            <w:vAlign w:val="bottom"/>
          </w:tcPr>
          <w:p>
            <w:pPr>
              <w:ind w:left="80"/>
              <w:spacing w:after="0"/>
              <w:rPr>
                <w:sz w:val="20"/>
                <w:szCs w:val="20"/>
                <w:color w:val="auto"/>
              </w:rPr>
            </w:pPr>
            <w:r>
              <w:rPr>
                <w:rFonts w:ascii="Arial" w:cs="Arial" w:eastAsia="Arial" w:hAnsi="Arial"/>
                <w:sz w:val="17"/>
                <w:szCs w:val="17"/>
                <w:color w:val="auto"/>
              </w:rPr>
              <w:t>HSBC Custody Nominees (Australia) Limited - A/C 2</w:t>
            </w:r>
          </w:p>
        </w:tc>
        <w:tc>
          <w:tcPr>
            <w:tcW w:w="2460" w:type="dxa"/>
            <w:vAlign w:val="bottom"/>
          </w:tcPr>
          <w:p>
            <w:pPr>
              <w:jc w:val="right"/>
              <w:ind w:right="57"/>
              <w:spacing w:after="0"/>
              <w:rPr>
                <w:sz w:val="20"/>
                <w:szCs w:val="20"/>
                <w:color w:val="auto"/>
              </w:rPr>
            </w:pPr>
            <w:r>
              <w:rPr>
                <w:rFonts w:ascii="Arial" w:cs="Arial" w:eastAsia="Arial" w:hAnsi="Arial"/>
                <w:sz w:val="17"/>
                <w:szCs w:val="17"/>
                <w:color w:val="auto"/>
              </w:rPr>
              <w:t>379,735,974</w:t>
            </w:r>
          </w:p>
        </w:tc>
        <w:tc>
          <w:tcPr>
            <w:tcW w:w="820" w:type="dxa"/>
            <w:vAlign w:val="bottom"/>
          </w:tcPr>
          <w:p>
            <w:pPr>
              <w:jc w:val="right"/>
              <w:spacing w:after="0"/>
              <w:rPr>
                <w:sz w:val="20"/>
                <w:szCs w:val="20"/>
                <w:color w:val="auto"/>
              </w:rPr>
            </w:pPr>
            <w:r>
              <w:rPr>
                <w:rFonts w:ascii="Arial" w:cs="Arial" w:eastAsia="Arial" w:hAnsi="Arial"/>
                <w:sz w:val="17"/>
                <w:szCs w:val="17"/>
                <w:color w:val="auto"/>
              </w:rPr>
              <w:t>20.28</w:t>
            </w:r>
          </w:p>
        </w:tc>
      </w:tr>
      <w:tr>
        <w:trPr>
          <w:trHeight w:val="201"/>
        </w:trPr>
        <w:tc>
          <w:tcPr>
            <w:tcW w:w="20" w:type="dxa"/>
            <w:vAlign w:val="bottom"/>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6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Citicorp Nominees Pty Limited</w:t>
            </w:r>
          </w:p>
        </w:tc>
        <w:tc>
          <w:tcPr>
            <w:tcW w:w="24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112,656,576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w:t>
            </w:r>
          </w:p>
        </w:tc>
      </w:tr>
      <w:tr>
        <w:trPr>
          <w:trHeight w:val="201"/>
        </w:trPr>
        <w:tc>
          <w:tcPr>
            <w:tcW w:w="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4</w:t>
            </w:r>
          </w:p>
        </w:tc>
        <w:tc>
          <w:tcPr>
            <w:tcW w:w="6560" w:type="dxa"/>
            <w:vAlign w:val="bottom"/>
          </w:tcPr>
          <w:p>
            <w:pPr>
              <w:ind w:left="80"/>
              <w:spacing w:after="0"/>
              <w:rPr>
                <w:sz w:val="20"/>
                <w:szCs w:val="20"/>
                <w:color w:val="auto"/>
              </w:rPr>
            </w:pPr>
            <w:r>
              <w:rPr>
                <w:rFonts w:ascii="Arial" w:cs="Arial" w:eastAsia="Arial" w:hAnsi="Arial"/>
                <w:sz w:val="17"/>
                <w:szCs w:val="17"/>
                <w:color w:val="auto"/>
              </w:rPr>
              <w:t>Phillip Asset Management Limited &lt;Bioscience MTF1 A/C&gt;</w:t>
            </w:r>
          </w:p>
        </w:tc>
        <w:tc>
          <w:tcPr>
            <w:tcW w:w="2460" w:type="dxa"/>
            <w:vAlign w:val="bottom"/>
          </w:tcPr>
          <w:p>
            <w:pPr>
              <w:jc w:val="right"/>
              <w:ind w:right="57"/>
              <w:spacing w:after="0"/>
              <w:rPr>
                <w:sz w:val="20"/>
                <w:szCs w:val="20"/>
                <w:color w:val="auto"/>
              </w:rPr>
            </w:pPr>
            <w:r>
              <w:rPr>
                <w:rFonts w:ascii="Arial" w:cs="Arial" w:eastAsia="Arial" w:hAnsi="Arial"/>
                <w:sz w:val="17"/>
                <w:szCs w:val="17"/>
                <w:color w:val="auto"/>
              </w:rPr>
              <w:t>81,083,334</w:t>
            </w:r>
          </w:p>
        </w:tc>
        <w:tc>
          <w:tcPr>
            <w:tcW w:w="820" w:type="dxa"/>
            <w:vAlign w:val="bottom"/>
          </w:tcPr>
          <w:p>
            <w:pPr>
              <w:jc w:val="right"/>
              <w:spacing w:after="0"/>
              <w:rPr>
                <w:sz w:val="20"/>
                <w:szCs w:val="20"/>
                <w:color w:val="auto"/>
              </w:rPr>
            </w:pPr>
            <w:r>
              <w:rPr>
                <w:rFonts w:ascii="Arial" w:cs="Arial" w:eastAsia="Arial" w:hAnsi="Arial"/>
                <w:sz w:val="17"/>
                <w:szCs w:val="17"/>
                <w:color w:val="auto"/>
              </w:rPr>
              <w:t>4.33</w:t>
            </w:r>
          </w:p>
        </w:tc>
      </w:tr>
      <w:tr>
        <w:trPr>
          <w:trHeight w:val="201"/>
        </w:trPr>
        <w:tc>
          <w:tcPr>
            <w:tcW w:w="20" w:type="dxa"/>
            <w:vAlign w:val="bottom"/>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6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One Funds Management Limited &lt;Asia Pac Health Fund II A/C&gt;</w:t>
            </w:r>
          </w:p>
        </w:tc>
        <w:tc>
          <w:tcPr>
            <w:tcW w:w="24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69,147,669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r>
      <w:tr>
        <w:trPr>
          <w:trHeight w:val="201"/>
        </w:trPr>
        <w:tc>
          <w:tcPr>
            <w:tcW w:w="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6</w:t>
            </w:r>
          </w:p>
        </w:tc>
        <w:tc>
          <w:tcPr>
            <w:tcW w:w="6560" w:type="dxa"/>
            <w:vAlign w:val="bottom"/>
          </w:tcPr>
          <w:p>
            <w:pPr>
              <w:ind w:left="80"/>
              <w:spacing w:after="0"/>
              <w:rPr>
                <w:sz w:val="20"/>
                <w:szCs w:val="20"/>
                <w:color w:val="auto"/>
              </w:rPr>
            </w:pPr>
            <w:r>
              <w:rPr>
                <w:rFonts w:ascii="Arial" w:cs="Arial" w:eastAsia="Arial" w:hAnsi="Arial"/>
                <w:sz w:val="17"/>
                <w:szCs w:val="17"/>
                <w:color w:val="auto"/>
              </w:rPr>
              <w:t>National Nominees Limited</w:t>
            </w:r>
          </w:p>
        </w:tc>
        <w:tc>
          <w:tcPr>
            <w:tcW w:w="2460" w:type="dxa"/>
            <w:vAlign w:val="bottom"/>
          </w:tcPr>
          <w:p>
            <w:pPr>
              <w:jc w:val="right"/>
              <w:ind w:right="57"/>
              <w:spacing w:after="0"/>
              <w:rPr>
                <w:sz w:val="20"/>
                <w:szCs w:val="20"/>
                <w:color w:val="auto"/>
              </w:rPr>
            </w:pPr>
            <w:r>
              <w:rPr>
                <w:rFonts w:ascii="Arial" w:cs="Arial" w:eastAsia="Arial" w:hAnsi="Arial"/>
                <w:sz w:val="17"/>
                <w:szCs w:val="17"/>
                <w:color w:val="auto"/>
              </w:rPr>
              <w:t>68,033,243</w:t>
            </w:r>
          </w:p>
        </w:tc>
        <w:tc>
          <w:tcPr>
            <w:tcW w:w="820" w:type="dxa"/>
            <w:vAlign w:val="bottom"/>
          </w:tcPr>
          <w:p>
            <w:pPr>
              <w:jc w:val="right"/>
              <w:spacing w:after="0"/>
              <w:rPr>
                <w:sz w:val="20"/>
                <w:szCs w:val="20"/>
                <w:color w:val="auto"/>
              </w:rPr>
            </w:pPr>
            <w:r>
              <w:rPr>
                <w:rFonts w:ascii="Arial" w:cs="Arial" w:eastAsia="Arial" w:hAnsi="Arial"/>
                <w:sz w:val="17"/>
                <w:szCs w:val="17"/>
                <w:color w:val="auto"/>
              </w:rPr>
              <w:t>3.63</w:t>
            </w:r>
          </w:p>
        </w:tc>
      </w:tr>
      <w:tr>
        <w:trPr>
          <w:trHeight w:val="201"/>
        </w:trPr>
        <w:tc>
          <w:tcPr>
            <w:tcW w:w="20" w:type="dxa"/>
            <w:vAlign w:val="bottom"/>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6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J P Morgan Nominees Australia Pty Limited</w:t>
            </w:r>
          </w:p>
        </w:tc>
        <w:tc>
          <w:tcPr>
            <w:tcW w:w="24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47,362,182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01"/>
        </w:trPr>
        <w:tc>
          <w:tcPr>
            <w:tcW w:w="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8</w:t>
            </w:r>
          </w:p>
        </w:tc>
        <w:tc>
          <w:tcPr>
            <w:tcW w:w="6560" w:type="dxa"/>
            <w:vAlign w:val="bottom"/>
          </w:tcPr>
          <w:p>
            <w:pPr>
              <w:ind w:left="80"/>
              <w:spacing w:after="0"/>
              <w:rPr>
                <w:sz w:val="20"/>
                <w:szCs w:val="20"/>
                <w:color w:val="auto"/>
              </w:rPr>
            </w:pPr>
            <w:r>
              <w:rPr>
                <w:rFonts w:ascii="Arial" w:cs="Arial" w:eastAsia="Arial" w:hAnsi="Arial"/>
                <w:sz w:val="17"/>
                <w:szCs w:val="17"/>
                <w:color w:val="auto"/>
              </w:rPr>
              <w:t>BNP Paribas Nominees Pty Ltd &lt;IB AU Noms Retailclient DRP&gt;</w:t>
            </w:r>
          </w:p>
        </w:tc>
        <w:tc>
          <w:tcPr>
            <w:tcW w:w="2460" w:type="dxa"/>
            <w:vAlign w:val="bottom"/>
          </w:tcPr>
          <w:p>
            <w:pPr>
              <w:jc w:val="right"/>
              <w:ind w:right="57"/>
              <w:spacing w:after="0"/>
              <w:rPr>
                <w:sz w:val="20"/>
                <w:szCs w:val="20"/>
                <w:color w:val="auto"/>
              </w:rPr>
            </w:pPr>
            <w:r>
              <w:rPr>
                <w:rFonts w:ascii="Arial" w:cs="Arial" w:eastAsia="Arial" w:hAnsi="Arial"/>
                <w:sz w:val="17"/>
                <w:szCs w:val="17"/>
                <w:color w:val="auto"/>
              </w:rPr>
              <w:t>18,321,300</w:t>
            </w:r>
          </w:p>
        </w:tc>
        <w:tc>
          <w:tcPr>
            <w:tcW w:w="820" w:type="dxa"/>
            <w:vAlign w:val="bottom"/>
          </w:tcPr>
          <w:p>
            <w:pPr>
              <w:jc w:val="right"/>
              <w:spacing w:after="0"/>
              <w:rPr>
                <w:sz w:val="20"/>
                <w:szCs w:val="20"/>
                <w:color w:val="auto"/>
              </w:rPr>
            </w:pPr>
            <w:r>
              <w:rPr>
                <w:rFonts w:ascii="Arial" w:cs="Arial" w:eastAsia="Arial" w:hAnsi="Arial"/>
                <w:sz w:val="17"/>
                <w:szCs w:val="17"/>
                <w:color w:val="auto"/>
              </w:rPr>
              <w:t>0.98</w:t>
            </w:r>
          </w:p>
        </w:tc>
      </w:tr>
      <w:tr>
        <w:trPr>
          <w:trHeight w:val="201"/>
        </w:trPr>
        <w:tc>
          <w:tcPr>
            <w:tcW w:w="20" w:type="dxa"/>
            <w:vAlign w:val="bottom"/>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6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CS Third Nominees Pty Limited &lt;HSBC Cust Nom AU LTD 13 A/C&gt;</w:t>
            </w:r>
          </w:p>
        </w:tc>
        <w:tc>
          <w:tcPr>
            <w:tcW w:w="24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13,197,699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0.70</w:t>
            </w:r>
          </w:p>
        </w:tc>
      </w:tr>
      <w:tr>
        <w:trPr>
          <w:trHeight w:val="201"/>
        </w:trPr>
        <w:tc>
          <w:tcPr>
            <w:tcW w:w="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10</w:t>
            </w:r>
          </w:p>
        </w:tc>
        <w:tc>
          <w:tcPr>
            <w:tcW w:w="6560" w:type="dxa"/>
            <w:vAlign w:val="bottom"/>
          </w:tcPr>
          <w:p>
            <w:pPr>
              <w:ind w:left="80"/>
              <w:spacing w:after="0"/>
              <w:rPr>
                <w:sz w:val="20"/>
                <w:szCs w:val="20"/>
                <w:color w:val="auto"/>
              </w:rPr>
            </w:pPr>
            <w:r>
              <w:rPr>
                <w:rFonts w:ascii="Arial" w:cs="Arial" w:eastAsia="Arial" w:hAnsi="Arial"/>
                <w:sz w:val="17"/>
                <w:szCs w:val="17"/>
                <w:color w:val="auto"/>
              </w:rPr>
              <w:t>ATEQ Investments Pty Ltd</w:t>
            </w:r>
          </w:p>
        </w:tc>
        <w:tc>
          <w:tcPr>
            <w:tcW w:w="2460" w:type="dxa"/>
            <w:vAlign w:val="bottom"/>
          </w:tcPr>
          <w:p>
            <w:pPr>
              <w:jc w:val="right"/>
              <w:ind w:right="57"/>
              <w:spacing w:after="0"/>
              <w:rPr>
                <w:sz w:val="20"/>
                <w:szCs w:val="20"/>
                <w:color w:val="auto"/>
              </w:rPr>
            </w:pPr>
            <w:r>
              <w:rPr>
                <w:rFonts w:ascii="Arial" w:cs="Arial" w:eastAsia="Arial" w:hAnsi="Arial"/>
                <w:sz w:val="17"/>
                <w:szCs w:val="17"/>
                <w:color w:val="auto"/>
              </w:rPr>
              <w:t>11,800,000</w:t>
            </w:r>
          </w:p>
        </w:tc>
        <w:tc>
          <w:tcPr>
            <w:tcW w:w="820" w:type="dxa"/>
            <w:vAlign w:val="bottom"/>
          </w:tcPr>
          <w:p>
            <w:pPr>
              <w:jc w:val="right"/>
              <w:spacing w:after="0"/>
              <w:rPr>
                <w:sz w:val="20"/>
                <w:szCs w:val="20"/>
                <w:color w:val="auto"/>
              </w:rPr>
            </w:pPr>
            <w:r>
              <w:rPr>
                <w:rFonts w:ascii="Arial" w:cs="Arial" w:eastAsia="Arial" w:hAnsi="Arial"/>
                <w:sz w:val="17"/>
                <w:szCs w:val="17"/>
                <w:color w:val="auto"/>
              </w:rPr>
              <w:t>0.63</w:t>
            </w:r>
          </w:p>
        </w:tc>
      </w:tr>
      <w:tr>
        <w:trPr>
          <w:trHeight w:val="201"/>
        </w:trPr>
        <w:tc>
          <w:tcPr>
            <w:tcW w:w="20" w:type="dxa"/>
            <w:vAlign w:val="bottom"/>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6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Merrill Lynch (Australia) Nominees Pty Limited</w:t>
            </w:r>
          </w:p>
        </w:tc>
        <w:tc>
          <w:tcPr>
            <w:tcW w:w="24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8,541,620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w:t>
            </w:r>
          </w:p>
        </w:tc>
      </w:tr>
      <w:tr>
        <w:trPr>
          <w:trHeight w:val="201"/>
        </w:trPr>
        <w:tc>
          <w:tcPr>
            <w:tcW w:w="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12</w:t>
            </w:r>
          </w:p>
        </w:tc>
        <w:tc>
          <w:tcPr>
            <w:tcW w:w="6560" w:type="dxa"/>
            <w:vAlign w:val="bottom"/>
          </w:tcPr>
          <w:p>
            <w:pPr>
              <w:ind w:left="80"/>
              <w:spacing w:after="0"/>
              <w:rPr>
                <w:sz w:val="20"/>
                <w:szCs w:val="20"/>
                <w:color w:val="auto"/>
              </w:rPr>
            </w:pPr>
            <w:r>
              <w:rPr>
                <w:rFonts w:ascii="Arial" w:cs="Arial" w:eastAsia="Arial" w:hAnsi="Arial"/>
                <w:sz w:val="17"/>
                <w:szCs w:val="17"/>
                <w:color w:val="auto"/>
              </w:rPr>
              <w:t>Dibbens Developments PTY Limited &lt;Dibbens Super Ben Fund A/C&gt;</w:t>
            </w:r>
          </w:p>
        </w:tc>
        <w:tc>
          <w:tcPr>
            <w:tcW w:w="2460" w:type="dxa"/>
            <w:vAlign w:val="bottom"/>
          </w:tcPr>
          <w:p>
            <w:pPr>
              <w:jc w:val="right"/>
              <w:ind w:right="57"/>
              <w:spacing w:after="0"/>
              <w:rPr>
                <w:sz w:val="20"/>
                <w:szCs w:val="20"/>
                <w:color w:val="auto"/>
              </w:rPr>
            </w:pPr>
            <w:r>
              <w:rPr>
                <w:rFonts w:ascii="Arial" w:cs="Arial" w:eastAsia="Arial" w:hAnsi="Arial"/>
                <w:sz w:val="17"/>
                <w:szCs w:val="17"/>
                <w:color w:val="auto"/>
              </w:rPr>
              <w:t>6,000,000</w:t>
            </w:r>
          </w:p>
        </w:tc>
        <w:tc>
          <w:tcPr>
            <w:tcW w:w="820" w:type="dxa"/>
            <w:vAlign w:val="bottom"/>
          </w:tcPr>
          <w:p>
            <w:pPr>
              <w:jc w:val="right"/>
              <w:spacing w:after="0"/>
              <w:rPr>
                <w:sz w:val="20"/>
                <w:szCs w:val="20"/>
                <w:color w:val="auto"/>
              </w:rPr>
            </w:pPr>
            <w:r>
              <w:rPr>
                <w:rFonts w:ascii="Arial" w:cs="Arial" w:eastAsia="Arial" w:hAnsi="Arial"/>
                <w:sz w:val="17"/>
                <w:szCs w:val="17"/>
                <w:color w:val="auto"/>
              </w:rPr>
              <w:t>0.32</w:t>
            </w:r>
          </w:p>
        </w:tc>
      </w:tr>
      <w:tr>
        <w:trPr>
          <w:trHeight w:val="201"/>
        </w:trPr>
        <w:tc>
          <w:tcPr>
            <w:tcW w:w="20" w:type="dxa"/>
            <w:vAlign w:val="bottom"/>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6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FATS Pty Ltd</w:t>
            </w:r>
          </w:p>
        </w:tc>
        <w:tc>
          <w:tcPr>
            <w:tcW w:w="24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5,873,107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0.31</w:t>
            </w:r>
          </w:p>
        </w:tc>
      </w:tr>
      <w:tr>
        <w:trPr>
          <w:trHeight w:val="201"/>
        </w:trPr>
        <w:tc>
          <w:tcPr>
            <w:tcW w:w="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14</w:t>
            </w:r>
          </w:p>
        </w:tc>
        <w:tc>
          <w:tcPr>
            <w:tcW w:w="6560" w:type="dxa"/>
            <w:vAlign w:val="bottom"/>
          </w:tcPr>
          <w:p>
            <w:pPr>
              <w:ind w:left="80"/>
              <w:spacing w:after="0"/>
              <w:rPr>
                <w:sz w:val="20"/>
                <w:szCs w:val="20"/>
                <w:color w:val="auto"/>
              </w:rPr>
            </w:pPr>
            <w:r>
              <w:rPr>
                <w:rFonts w:ascii="Arial" w:cs="Arial" w:eastAsia="Arial" w:hAnsi="Arial"/>
                <w:sz w:val="17"/>
                <w:szCs w:val="17"/>
                <w:color w:val="auto"/>
              </w:rPr>
              <w:t>Mr Adrian Simun Puljich</w:t>
            </w:r>
          </w:p>
        </w:tc>
        <w:tc>
          <w:tcPr>
            <w:tcW w:w="2460" w:type="dxa"/>
            <w:vAlign w:val="bottom"/>
          </w:tcPr>
          <w:p>
            <w:pPr>
              <w:jc w:val="right"/>
              <w:ind w:right="57"/>
              <w:spacing w:after="0"/>
              <w:rPr>
                <w:sz w:val="20"/>
                <w:szCs w:val="20"/>
                <w:color w:val="auto"/>
              </w:rPr>
            </w:pPr>
            <w:r>
              <w:rPr>
                <w:rFonts w:ascii="Arial" w:cs="Arial" w:eastAsia="Arial" w:hAnsi="Arial"/>
                <w:sz w:val="17"/>
                <w:szCs w:val="17"/>
                <w:color w:val="auto"/>
              </w:rPr>
              <w:t>4,800,000</w:t>
            </w:r>
          </w:p>
        </w:tc>
        <w:tc>
          <w:tcPr>
            <w:tcW w:w="820" w:type="dxa"/>
            <w:vAlign w:val="bottom"/>
          </w:tcPr>
          <w:p>
            <w:pPr>
              <w:jc w:val="right"/>
              <w:spacing w:after="0"/>
              <w:rPr>
                <w:sz w:val="20"/>
                <w:szCs w:val="20"/>
                <w:color w:val="auto"/>
              </w:rPr>
            </w:pPr>
            <w:r>
              <w:rPr>
                <w:rFonts w:ascii="Arial" w:cs="Arial" w:eastAsia="Arial" w:hAnsi="Arial"/>
                <w:sz w:val="17"/>
                <w:szCs w:val="17"/>
                <w:color w:val="auto"/>
              </w:rPr>
              <w:t>0.26</w:t>
            </w:r>
          </w:p>
        </w:tc>
      </w:tr>
      <w:tr>
        <w:trPr>
          <w:trHeight w:val="201"/>
        </w:trPr>
        <w:tc>
          <w:tcPr>
            <w:tcW w:w="20" w:type="dxa"/>
            <w:vAlign w:val="bottom"/>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15</w:t>
            </w:r>
          </w:p>
        </w:tc>
        <w:tc>
          <w:tcPr>
            <w:tcW w:w="6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Mr Anthony Mark Saia + Mrs Carmen Saia &lt;Saia Family Super Fund A/C&gt;</w:t>
            </w:r>
          </w:p>
        </w:tc>
        <w:tc>
          <w:tcPr>
            <w:tcW w:w="24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4,550,000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r>
      <w:tr>
        <w:trPr>
          <w:trHeight w:val="201"/>
        </w:trPr>
        <w:tc>
          <w:tcPr>
            <w:tcW w:w="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16</w:t>
            </w:r>
          </w:p>
        </w:tc>
        <w:tc>
          <w:tcPr>
            <w:tcW w:w="6560" w:type="dxa"/>
            <w:vAlign w:val="bottom"/>
          </w:tcPr>
          <w:p>
            <w:pPr>
              <w:ind w:left="80"/>
              <w:spacing w:after="0"/>
              <w:rPr>
                <w:sz w:val="20"/>
                <w:szCs w:val="20"/>
                <w:color w:val="auto"/>
              </w:rPr>
            </w:pPr>
            <w:r>
              <w:rPr>
                <w:rFonts w:ascii="Arial" w:cs="Arial" w:eastAsia="Arial" w:hAnsi="Arial"/>
                <w:sz w:val="17"/>
                <w:szCs w:val="17"/>
                <w:color w:val="auto"/>
              </w:rPr>
              <w:t>GMC Investments (AUST) Pty Ltd &lt;GMC Investment A/C&gt;</w:t>
            </w:r>
          </w:p>
        </w:tc>
        <w:tc>
          <w:tcPr>
            <w:tcW w:w="2460" w:type="dxa"/>
            <w:vAlign w:val="bottom"/>
          </w:tcPr>
          <w:p>
            <w:pPr>
              <w:jc w:val="right"/>
              <w:ind w:right="57"/>
              <w:spacing w:after="0"/>
              <w:rPr>
                <w:sz w:val="20"/>
                <w:szCs w:val="20"/>
                <w:color w:val="auto"/>
              </w:rPr>
            </w:pPr>
            <w:r>
              <w:rPr>
                <w:rFonts w:ascii="Arial" w:cs="Arial" w:eastAsia="Arial" w:hAnsi="Arial"/>
                <w:sz w:val="17"/>
                <w:szCs w:val="17"/>
                <w:color w:val="auto"/>
              </w:rPr>
              <w:t>4,000,000</w:t>
            </w:r>
          </w:p>
        </w:tc>
        <w:tc>
          <w:tcPr>
            <w:tcW w:w="820" w:type="dxa"/>
            <w:vAlign w:val="bottom"/>
          </w:tcPr>
          <w:p>
            <w:pPr>
              <w:jc w:val="right"/>
              <w:spacing w:after="0"/>
              <w:rPr>
                <w:sz w:val="20"/>
                <w:szCs w:val="20"/>
                <w:color w:val="auto"/>
              </w:rPr>
            </w:pPr>
            <w:r>
              <w:rPr>
                <w:rFonts w:ascii="Arial" w:cs="Arial" w:eastAsia="Arial" w:hAnsi="Arial"/>
                <w:sz w:val="17"/>
                <w:szCs w:val="17"/>
                <w:color w:val="auto"/>
              </w:rPr>
              <w:t>0.21</w:t>
            </w:r>
          </w:p>
        </w:tc>
      </w:tr>
      <w:tr>
        <w:trPr>
          <w:trHeight w:val="201"/>
        </w:trPr>
        <w:tc>
          <w:tcPr>
            <w:tcW w:w="20" w:type="dxa"/>
            <w:vAlign w:val="bottom"/>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17</w:t>
            </w:r>
          </w:p>
        </w:tc>
        <w:tc>
          <w:tcPr>
            <w:tcW w:w="6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Rossbel PTY Limited &lt;The Rossbel A/C&gt;</w:t>
            </w:r>
          </w:p>
        </w:tc>
        <w:tc>
          <w:tcPr>
            <w:tcW w:w="24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3,500,000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0.19</w:t>
            </w:r>
          </w:p>
        </w:tc>
      </w:tr>
      <w:tr>
        <w:trPr>
          <w:trHeight w:val="201"/>
        </w:trPr>
        <w:tc>
          <w:tcPr>
            <w:tcW w:w="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18</w:t>
            </w:r>
          </w:p>
        </w:tc>
        <w:tc>
          <w:tcPr>
            <w:tcW w:w="6560" w:type="dxa"/>
            <w:vAlign w:val="bottom"/>
          </w:tcPr>
          <w:p>
            <w:pPr>
              <w:ind w:left="80"/>
              <w:spacing w:after="0"/>
              <w:rPr>
                <w:sz w:val="20"/>
                <w:szCs w:val="20"/>
                <w:color w:val="auto"/>
              </w:rPr>
            </w:pPr>
            <w:r>
              <w:rPr>
                <w:rFonts w:ascii="Arial" w:cs="Arial" w:eastAsia="Arial" w:hAnsi="Arial"/>
                <w:sz w:val="17"/>
                <w:szCs w:val="17"/>
                <w:color w:val="auto"/>
              </w:rPr>
              <w:t>BNP Paribas Noms Pty Ltd &lt;DRP&gt;</w:t>
            </w:r>
          </w:p>
        </w:tc>
        <w:tc>
          <w:tcPr>
            <w:tcW w:w="2460" w:type="dxa"/>
            <w:vAlign w:val="bottom"/>
          </w:tcPr>
          <w:p>
            <w:pPr>
              <w:jc w:val="right"/>
              <w:ind w:right="57"/>
              <w:spacing w:after="0"/>
              <w:rPr>
                <w:sz w:val="20"/>
                <w:szCs w:val="20"/>
                <w:color w:val="auto"/>
              </w:rPr>
            </w:pPr>
            <w:r>
              <w:rPr>
                <w:rFonts w:ascii="Arial" w:cs="Arial" w:eastAsia="Arial" w:hAnsi="Arial"/>
                <w:sz w:val="17"/>
                <w:szCs w:val="17"/>
                <w:color w:val="auto"/>
              </w:rPr>
              <w:t>3,456,419</w:t>
            </w:r>
          </w:p>
        </w:tc>
        <w:tc>
          <w:tcPr>
            <w:tcW w:w="820" w:type="dxa"/>
            <w:vAlign w:val="bottom"/>
          </w:tcPr>
          <w:p>
            <w:pPr>
              <w:jc w:val="right"/>
              <w:spacing w:after="0"/>
              <w:rPr>
                <w:sz w:val="20"/>
                <w:szCs w:val="20"/>
                <w:color w:val="auto"/>
              </w:rPr>
            </w:pPr>
            <w:r>
              <w:rPr>
                <w:rFonts w:ascii="Arial" w:cs="Arial" w:eastAsia="Arial" w:hAnsi="Arial"/>
                <w:sz w:val="17"/>
                <w:szCs w:val="17"/>
                <w:color w:val="auto"/>
              </w:rPr>
              <w:t>0.18</w:t>
            </w:r>
          </w:p>
        </w:tc>
      </w:tr>
      <w:tr>
        <w:trPr>
          <w:trHeight w:val="201"/>
        </w:trPr>
        <w:tc>
          <w:tcPr>
            <w:tcW w:w="20" w:type="dxa"/>
            <w:vAlign w:val="bottom"/>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19</w:t>
            </w:r>
          </w:p>
        </w:tc>
        <w:tc>
          <w:tcPr>
            <w:tcW w:w="6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Dental Union of Australia Ltd &lt;Ian Weatherlake S/F A/C&gt;</w:t>
            </w:r>
          </w:p>
        </w:tc>
        <w:tc>
          <w:tcPr>
            <w:tcW w:w="24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3,325,000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r>
      <w:tr>
        <w:trPr>
          <w:trHeight w:val="201"/>
        </w:trPr>
        <w:tc>
          <w:tcPr>
            <w:tcW w:w="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20</w:t>
            </w:r>
          </w:p>
        </w:tc>
        <w:tc>
          <w:tcPr>
            <w:tcW w:w="6560" w:type="dxa"/>
            <w:vAlign w:val="bottom"/>
          </w:tcPr>
          <w:p>
            <w:pPr>
              <w:ind w:left="80"/>
              <w:spacing w:after="0"/>
              <w:rPr>
                <w:sz w:val="20"/>
                <w:szCs w:val="20"/>
                <w:color w:val="auto"/>
              </w:rPr>
            </w:pPr>
            <w:r>
              <w:rPr>
                <w:rFonts w:ascii="Arial" w:cs="Arial" w:eastAsia="Arial" w:hAnsi="Arial"/>
                <w:sz w:val="17"/>
                <w:szCs w:val="17"/>
                <w:color w:val="auto"/>
              </w:rPr>
              <w:t>Mr Adam Craig Tremain White</w:t>
            </w:r>
          </w:p>
        </w:tc>
        <w:tc>
          <w:tcPr>
            <w:tcW w:w="2460" w:type="dxa"/>
            <w:vAlign w:val="bottom"/>
          </w:tcPr>
          <w:p>
            <w:pPr>
              <w:jc w:val="right"/>
              <w:ind w:right="57"/>
              <w:spacing w:after="0"/>
              <w:rPr>
                <w:sz w:val="20"/>
                <w:szCs w:val="20"/>
                <w:color w:val="auto"/>
              </w:rPr>
            </w:pPr>
            <w:r>
              <w:rPr>
                <w:rFonts w:ascii="Arial" w:cs="Arial" w:eastAsia="Arial" w:hAnsi="Arial"/>
                <w:sz w:val="17"/>
                <w:szCs w:val="17"/>
                <w:color w:val="auto"/>
              </w:rPr>
              <w:t>3,300,000</w:t>
            </w:r>
          </w:p>
        </w:tc>
        <w:tc>
          <w:tcPr>
            <w:tcW w:w="820" w:type="dxa"/>
            <w:vAlign w:val="bottom"/>
          </w:tcPr>
          <w:p>
            <w:pPr>
              <w:jc w:val="right"/>
              <w:spacing w:after="0"/>
              <w:rPr>
                <w:sz w:val="20"/>
                <w:szCs w:val="20"/>
                <w:color w:val="auto"/>
              </w:rPr>
            </w:pPr>
            <w:r>
              <w:rPr>
                <w:rFonts w:ascii="Arial" w:cs="Arial" w:eastAsia="Arial" w:hAnsi="Arial"/>
                <w:sz w:val="17"/>
                <w:szCs w:val="17"/>
                <w:color w:val="auto"/>
              </w:rPr>
              <w:t>0.18</w:t>
            </w:r>
          </w:p>
        </w:tc>
      </w:tr>
      <w:tr>
        <w:trPr>
          <w:trHeight w:val="201"/>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Top 20 holders of Ordinary Fully Paid Shares (Total)</w:t>
            </w:r>
          </w:p>
        </w:tc>
        <w:tc>
          <w:tcPr>
            <w:tcW w:w="2460" w:type="dxa"/>
            <w:vAlign w:val="bottom"/>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1,500,646,818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80.13</w:t>
            </w:r>
          </w:p>
        </w:tc>
      </w:tr>
      <w:tr>
        <w:trPr>
          <w:trHeight w:val="217"/>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7"/>
                <w:szCs w:val="17"/>
                <w:b w:val="1"/>
                <w:bCs w:val="1"/>
                <w:color w:val="auto"/>
              </w:rPr>
              <w:t>Total Remaining Holders Balance</w:t>
            </w:r>
          </w:p>
        </w:tc>
        <w:tc>
          <w:tcPr>
            <w:tcW w:w="2460" w:type="dxa"/>
            <w:vAlign w:val="bottom"/>
          </w:tcPr>
          <w:p>
            <w:pPr>
              <w:jc w:val="right"/>
              <w:ind w:right="57"/>
              <w:spacing w:after="0"/>
              <w:rPr>
                <w:sz w:val="20"/>
                <w:szCs w:val="20"/>
                <w:color w:val="auto"/>
              </w:rPr>
            </w:pPr>
            <w:r>
              <w:rPr>
                <w:rFonts w:ascii="Arial" w:cs="Arial" w:eastAsia="Arial" w:hAnsi="Arial"/>
                <w:sz w:val="17"/>
                <w:szCs w:val="17"/>
                <w:b w:val="1"/>
                <w:bCs w:val="1"/>
                <w:color w:val="auto"/>
              </w:rPr>
              <w:t>372,238,018</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19.87</w:t>
            </w:r>
          </w:p>
        </w:tc>
      </w:tr>
      <w:tr>
        <w:trPr>
          <w:trHeight w:val="32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60" w:type="dxa"/>
            <w:vAlign w:val="bottom"/>
          </w:tcPr>
          <w:p>
            <w:pPr>
              <w:ind w:left="4640"/>
              <w:spacing w:after="0"/>
              <w:rPr>
                <w:sz w:val="20"/>
                <w:szCs w:val="20"/>
                <w:color w:val="auto"/>
              </w:rPr>
            </w:pPr>
            <w:r>
              <w:rPr>
                <w:rFonts w:ascii="Arial" w:cs="Arial" w:eastAsia="Arial" w:hAnsi="Arial"/>
                <w:sz w:val="17"/>
                <w:szCs w:val="17"/>
                <w:color w:val="auto"/>
              </w:rPr>
              <w:t>42</w:t>
            </w:r>
          </w:p>
        </w:tc>
        <w:tc>
          <w:tcPr>
            <w:tcW w:w="24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60"/>
          </w:cols>
          <w:pgMar w:left="820" w:top="261" w:right="819" w:bottom="1440" w:gutter="0" w:footer="0" w:header="0"/>
        </w:sectPr>
      </w:pPr>
    </w:p>
    <w:bookmarkStart w:id="45" w:name="page46"/>
    <w:bookmarkEnd w:id="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7272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7420" cy="72720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lvl w:ilvl="1">
      <w:lvlJc w:val="left"/>
      <w:lvlText w:val="•"/>
      <w:numFmt w:val="bullet"/>
      <w:start w:val="1"/>
    </w:lvl>
  </w:abstractNum>
  <w:abstractNum w:abstractNumId="4">
    <w:nsid w:val="DED7263"/>
    <w:multiLevelType w:val="hybridMultilevel"/>
    <w:lvl w:ilvl="0">
      <w:lvlJc w:val="left"/>
      <w:lvlText w:val="*"/>
      <w:numFmt w:val="bullet"/>
      <w:start w:val="1"/>
    </w:lvl>
    <w:lvl w:ilvl="1">
      <w:lvlJc w:val="left"/>
      <w:lvlText w:val="•"/>
      <w:numFmt w:val="bullet"/>
      <w:start w:val="1"/>
    </w:lvl>
  </w:abstractNum>
  <w:abstractNum w:abstractNumId="5">
    <w:nsid w:val="7FDCC233"/>
    <w:multiLevelType w:val="hybridMultilevel"/>
    <w:lvl w:ilvl="0">
      <w:lvlJc w:val="left"/>
      <w:lvlText w:val="*"/>
      <w:numFmt w:val="bullet"/>
      <w:start w:val="1"/>
    </w:lvl>
    <w:lvl w:ilvl="1">
      <w:lvlJc w:val="left"/>
      <w:lvlText w:val="•"/>
      <w:numFmt w:val="bullet"/>
      <w:start w:val="1"/>
    </w:lvl>
  </w:abstractNum>
  <w:abstractNum w:abstractNumId="6">
    <w:nsid w:val="1BEFD79F"/>
    <w:multiLevelType w:val="hybridMultilevel"/>
    <w:lvl w:ilvl="0">
      <w:lvlJc w:val="left"/>
      <w:lvlText w:val="1"/>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lvl w:ilvl="1">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lvl w:ilvl="1">
      <w:lvlJc w:val="left"/>
      <w:lvlText w:val="%2."/>
      <w:numFmt w:val="low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3"/>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a"/>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lowerLetter"/>
      <w:start w:val="1"/>
    </w:lvl>
    <w:lvl w:ilvl="1">
      <w:lvlJc w:val="left"/>
      <w:lvlText w:val="(%2)"/>
      <w:numFmt w:val="lowerRoman"/>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2020-01-09T02:50:33Z</dcterms:created>
  <dcterms:modified xsi:type="dcterms:W3CDTF">2020-01-09T02:50:33Z</dcterms:modified>
</cp:coreProperties>
</file>