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318135</wp:posOffset>
            </wp:positionH>
            <wp:positionV relativeFrom="page">
              <wp:posOffset>156845</wp:posOffset>
            </wp:positionV>
            <wp:extent cx="7085965" cy="1823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5965" cy="1823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6"/>
        <w:spacing w:after="0"/>
        <w:rPr>
          <w:sz w:val="20"/>
          <w:szCs w:val="20"/>
          <w:color w:val="auto"/>
        </w:rPr>
      </w:pPr>
      <w:r>
        <w:rPr>
          <w:rFonts w:ascii="Arial" w:cs="Arial" w:eastAsia="Arial" w:hAnsi="Arial"/>
          <w:sz w:val="18"/>
          <w:szCs w:val="18"/>
          <w:color w:val="auto"/>
        </w:rPr>
        <w:t>October 15, 2020</w:t>
      </w:r>
    </w:p>
    <w:p>
      <w:pPr>
        <w:spacing w:after="0" w:line="220" w:lineRule="exact"/>
        <w:rPr>
          <w:sz w:val="24"/>
          <w:szCs w:val="24"/>
          <w:color w:val="auto"/>
        </w:rPr>
      </w:pPr>
    </w:p>
    <w:p>
      <w:pPr>
        <w:ind w:left="86"/>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0" w:lineRule="exact"/>
        <w:rPr>
          <w:sz w:val="24"/>
          <w:szCs w:val="24"/>
          <w:color w:val="auto"/>
        </w:rPr>
      </w:pPr>
    </w:p>
    <w:p>
      <w:pPr>
        <w:ind w:left="6"/>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4"/>
          <w:szCs w:val="24"/>
          <w:color w:val="auto"/>
        </w:rPr>
      </w:pPr>
    </w:p>
    <w:p>
      <w:pPr>
        <w:ind w:left="6"/>
        <w:spacing w:after="0"/>
        <w:rPr>
          <w:sz w:val="20"/>
          <w:szCs w:val="20"/>
          <w:color w:val="auto"/>
        </w:rPr>
      </w:pPr>
      <w:r>
        <w:rPr>
          <w:rFonts w:ascii="Arial" w:cs="Arial" w:eastAsia="Arial" w:hAnsi="Arial"/>
          <w:sz w:val="18"/>
          <w:szCs w:val="18"/>
          <w:color w:val="auto"/>
        </w:rPr>
        <w:t>Division of Corporate Finance</w:t>
      </w:r>
    </w:p>
    <w:p>
      <w:pPr>
        <w:spacing w:after="0" w:line="7" w:lineRule="exact"/>
        <w:rPr>
          <w:sz w:val="24"/>
          <w:szCs w:val="24"/>
          <w:color w:val="auto"/>
        </w:rPr>
      </w:pPr>
    </w:p>
    <w:p>
      <w:pPr>
        <w:ind w:left="6"/>
        <w:spacing w:after="0"/>
        <w:rPr>
          <w:sz w:val="20"/>
          <w:szCs w:val="20"/>
          <w:color w:val="auto"/>
        </w:rPr>
      </w:pPr>
      <w:r>
        <w:rPr>
          <w:rFonts w:ascii="Arial" w:cs="Arial" w:eastAsia="Arial" w:hAnsi="Arial"/>
          <w:sz w:val="18"/>
          <w:szCs w:val="18"/>
          <w:color w:val="auto"/>
        </w:rPr>
        <w:t>100 F Street, N.E.</w:t>
      </w:r>
    </w:p>
    <w:p>
      <w:pPr>
        <w:spacing w:after="0" w:line="7" w:lineRule="exact"/>
        <w:rPr>
          <w:sz w:val="24"/>
          <w:szCs w:val="24"/>
          <w:color w:val="auto"/>
        </w:rPr>
      </w:pPr>
    </w:p>
    <w:p>
      <w:pPr>
        <w:ind w:left="6"/>
        <w:spacing w:after="0"/>
        <w:rPr>
          <w:sz w:val="20"/>
          <w:szCs w:val="20"/>
          <w:color w:val="auto"/>
        </w:rPr>
      </w:pPr>
      <w:r>
        <w:rPr>
          <w:rFonts w:ascii="Arial" w:cs="Arial" w:eastAsia="Arial" w:hAnsi="Arial"/>
          <w:sz w:val="18"/>
          <w:szCs w:val="18"/>
          <w:color w:val="auto"/>
        </w:rPr>
        <w:t>Washington, DC 20549-4628</w:t>
      </w:r>
    </w:p>
    <w:p>
      <w:pPr>
        <w:spacing w:after="0" w:line="110" w:lineRule="exact"/>
        <w:rPr>
          <w:sz w:val="24"/>
          <w:szCs w:val="24"/>
          <w:color w:val="auto"/>
        </w:rPr>
      </w:pPr>
    </w:p>
    <w:p>
      <w:pPr>
        <w:ind w:left="426"/>
        <w:spacing w:after="0"/>
        <w:tabs>
          <w:tab w:leader="none" w:pos="946"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Avita Therapeutics, Inc. (the “Company</w:t>
      </w:r>
      <w:r>
        <w:rPr>
          <w:rFonts w:ascii="Arial" w:cs="Arial" w:eastAsia="Arial" w:hAnsi="Arial"/>
          <w:sz w:val="18"/>
          <w:szCs w:val="18"/>
          <w:color w:val="auto"/>
        </w:rPr>
        <w:t>”)</w:t>
      </w:r>
    </w:p>
    <w:p>
      <w:pPr>
        <w:spacing w:after="0" w:line="24" w:lineRule="exact"/>
        <w:rPr>
          <w:sz w:val="24"/>
          <w:szCs w:val="24"/>
          <w:color w:val="auto"/>
        </w:rPr>
      </w:pPr>
    </w:p>
    <w:p>
      <w:pPr>
        <w:ind w:left="966"/>
        <w:spacing w:after="0"/>
        <w:rPr>
          <w:sz w:val="20"/>
          <w:szCs w:val="20"/>
          <w:color w:val="auto"/>
        </w:rPr>
      </w:pPr>
      <w:r>
        <w:rPr>
          <w:rFonts w:ascii="Arial" w:cs="Arial" w:eastAsia="Arial" w:hAnsi="Arial"/>
          <w:sz w:val="18"/>
          <w:szCs w:val="18"/>
          <w:b w:val="1"/>
          <w:bCs w:val="1"/>
          <w:color w:val="auto"/>
        </w:rPr>
        <w:t>Registration Statement on Form S-3</w:t>
      </w:r>
    </w:p>
    <w:p>
      <w:pPr>
        <w:spacing w:after="0" w:line="7" w:lineRule="exact"/>
        <w:rPr>
          <w:sz w:val="24"/>
          <w:szCs w:val="24"/>
          <w:color w:val="auto"/>
        </w:rPr>
      </w:pPr>
    </w:p>
    <w:p>
      <w:pPr>
        <w:ind w:left="966"/>
        <w:spacing w:after="0"/>
        <w:rPr>
          <w:sz w:val="20"/>
          <w:szCs w:val="20"/>
          <w:color w:val="auto"/>
        </w:rPr>
      </w:pPr>
      <w:r>
        <w:rPr>
          <w:rFonts w:ascii="Arial" w:cs="Arial" w:eastAsia="Arial" w:hAnsi="Arial"/>
          <w:sz w:val="18"/>
          <w:szCs w:val="18"/>
          <w:b w:val="1"/>
          <w:bCs w:val="1"/>
          <w:color w:val="auto"/>
        </w:rPr>
        <w:t>Filed October 9, 2020</w:t>
      </w:r>
    </w:p>
    <w:p>
      <w:pPr>
        <w:spacing w:after="0" w:line="7" w:lineRule="exact"/>
        <w:rPr>
          <w:sz w:val="24"/>
          <w:szCs w:val="24"/>
          <w:color w:val="auto"/>
        </w:rPr>
      </w:pPr>
    </w:p>
    <w:p>
      <w:pPr>
        <w:ind w:left="966"/>
        <w:spacing w:after="0"/>
        <w:rPr>
          <w:sz w:val="20"/>
          <w:szCs w:val="20"/>
          <w:color w:val="auto"/>
        </w:rPr>
      </w:pPr>
      <w:r>
        <w:rPr>
          <w:rFonts w:ascii="Arial" w:cs="Arial" w:eastAsia="Arial" w:hAnsi="Arial"/>
          <w:sz w:val="18"/>
          <w:szCs w:val="18"/>
          <w:b w:val="1"/>
          <w:bCs w:val="1"/>
          <w:color w:val="auto"/>
        </w:rPr>
        <w:t>File No. 333-249419</w:t>
      </w:r>
    </w:p>
    <w:p>
      <w:pPr>
        <w:spacing w:after="0" w:line="208" w:lineRule="exact"/>
        <w:rPr>
          <w:sz w:val="24"/>
          <w:szCs w:val="24"/>
          <w:color w:val="auto"/>
        </w:rPr>
      </w:pPr>
    </w:p>
    <w:p>
      <w:pPr>
        <w:ind w:left="6"/>
        <w:spacing w:after="0"/>
        <w:rPr>
          <w:sz w:val="20"/>
          <w:szCs w:val="20"/>
          <w:color w:val="auto"/>
        </w:rPr>
      </w:pPr>
      <w:r>
        <w:rPr>
          <w:rFonts w:ascii="Arial" w:cs="Arial" w:eastAsia="Arial" w:hAnsi="Arial"/>
          <w:sz w:val="18"/>
          <w:szCs w:val="18"/>
          <w:color w:val="auto"/>
        </w:rPr>
        <w:t>Ladies and Gentlemen:</w:t>
      </w:r>
    </w:p>
    <w:p>
      <w:pPr>
        <w:spacing w:after="0" w:line="220" w:lineRule="exact"/>
        <w:rPr>
          <w:sz w:val="24"/>
          <w:szCs w:val="24"/>
          <w:color w:val="auto"/>
        </w:rPr>
      </w:pPr>
    </w:p>
    <w:p>
      <w:pPr>
        <w:ind w:left="6" w:right="260"/>
        <w:spacing w:after="0" w:line="334" w:lineRule="auto"/>
        <w:rPr>
          <w:sz w:val="20"/>
          <w:szCs w:val="20"/>
          <w:color w:val="auto"/>
        </w:rPr>
      </w:pPr>
      <w:r>
        <w:rPr>
          <w:rFonts w:ascii="Arial" w:cs="Arial" w:eastAsia="Arial" w:hAnsi="Arial"/>
          <w:sz w:val="16"/>
          <w:szCs w:val="16"/>
          <w:color w:val="auto"/>
        </w:rPr>
        <w:t>Pursuant to Rule 461 under the Securities Act of 1933, Avita Therapeutics, Inc. (the “Company”) hereby requests that the effectiveness of the above-captioned Registration Statement be accelerated to October 16, 2020, at 4:00 p.m., Washington, D.C. time, or as soon thereafter as practicable.</w:t>
      </w:r>
    </w:p>
    <w:p>
      <w:pPr>
        <w:spacing w:after="0" w:line="129" w:lineRule="exact"/>
        <w:rPr>
          <w:sz w:val="24"/>
          <w:szCs w:val="24"/>
          <w:color w:val="auto"/>
        </w:rPr>
      </w:pPr>
    </w:p>
    <w:p>
      <w:pPr>
        <w:ind w:left="6"/>
        <w:spacing w:after="0"/>
        <w:rPr>
          <w:sz w:val="20"/>
          <w:szCs w:val="20"/>
          <w:color w:val="auto"/>
        </w:rPr>
      </w:pPr>
      <w:r>
        <w:rPr>
          <w:rFonts w:ascii="Arial" w:cs="Arial" w:eastAsia="Arial" w:hAnsi="Arial"/>
          <w:sz w:val="18"/>
          <w:szCs w:val="18"/>
          <w:color w:val="auto"/>
        </w:rPr>
        <w:t>The Company hereby acknowledges that:</w:t>
      </w:r>
    </w:p>
    <w:p>
      <w:pPr>
        <w:spacing w:after="0" w:line="114" w:lineRule="exact"/>
        <w:rPr>
          <w:sz w:val="24"/>
          <w:szCs w:val="24"/>
          <w:color w:val="auto"/>
        </w:rPr>
      </w:pPr>
    </w:p>
    <w:p>
      <w:pPr>
        <w:ind w:left="426" w:right="140" w:firstLine="10"/>
        <w:spacing w:after="0" w:line="270" w:lineRule="auto"/>
        <w:tabs>
          <w:tab w:leader="none" w:pos="738"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68" w:lineRule="exact"/>
        <w:rPr>
          <w:rFonts w:ascii="Arial" w:cs="Arial" w:eastAsia="Arial" w:hAnsi="Arial"/>
          <w:sz w:val="18"/>
          <w:szCs w:val="18"/>
          <w:color w:val="auto"/>
        </w:rPr>
      </w:pPr>
    </w:p>
    <w:p>
      <w:pPr>
        <w:ind w:left="426" w:right="620" w:firstLine="10"/>
        <w:spacing w:after="0" w:line="270" w:lineRule="auto"/>
        <w:tabs>
          <w:tab w:leader="none" w:pos="7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68" w:lineRule="exact"/>
        <w:rPr>
          <w:rFonts w:ascii="Arial" w:cs="Arial" w:eastAsia="Arial" w:hAnsi="Arial"/>
          <w:sz w:val="18"/>
          <w:szCs w:val="18"/>
          <w:color w:val="auto"/>
        </w:rPr>
      </w:pPr>
    </w:p>
    <w:p>
      <w:pPr>
        <w:ind w:left="426" w:firstLine="10"/>
        <w:spacing w:after="0" w:line="270" w:lineRule="auto"/>
        <w:tabs>
          <w:tab w:leader="none" w:pos="7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this action as a defense in any proceeding initiated by the Commission or any person under the federal securities laws of the United States.</w:t>
      </w:r>
    </w:p>
    <w:p>
      <w:pPr>
        <w:spacing w:after="0" w:line="175" w:lineRule="exact"/>
        <w:rPr>
          <w:sz w:val="24"/>
          <w:szCs w:val="24"/>
          <w:color w:val="auto"/>
        </w:rPr>
      </w:pPr>
    </w:p>
    <w:p>
      <w:pPr>
        <w:ind w:left="6" w:right="440"/>
        <w:spacing w:after="0" w:line="270" w:lineRule="auto"/>
        <w:rPr>
          <w:sz w:val="20"/>
          <w:szCs w:val="20"/>
          <w:color w:val="auto"/>
        </w:rPr>
      </w:pPr>
      <w:r>
        <w:rPr>
          <w:rFonts w:ascii="Arial" w:cs="Arial" w:eastAsia="Arial" w:hAnsi="Arial"/>
          <w:sz w:val="18"/>
          <w:szCs w:val="18"/>
          <w:color w:val="auto"/>
        </w:rPr>
        <w:t>If you have any questions, or require any additional information, please do not hesitate to call Christopher H. Cunningham at K&amp;L Gates LLP, the Company’s primary outside counsel, at (206) 370-7639.</w:t>
      </w:r>
    </w:p>
    <w:p>
      <w:pPr>
        <w:spacing w:after="0" w:line="82" w:lineRule="exact"/>
        <w:rPr>
          <w:sz w:val="24"/>
          <w:szCs w:val="24"/>
          <w:color w:val="auto"/>
        </w:rPr>
      </w:pPr>
    </w:p>
    <w:p>
      <w:pPr>
        <w:ind w:left="6546"/>
        <w:spacing w:after="0"/>
        <w:rPr>
          <w:sz w:val="20"/>
          <w:szCs w:val="20"/>
          <w:color w:val="auto"/>
        </w:rPr>
      </w:pPr>
      <w:r>
        <w:rPr>
          <w:rFonts w:ascii="Arial" w:cs="Arial" w:eastAsia="Arial" w:hAnsi="Arial"/>
          <w:sz w:val="18"/>
          <w:szCs w:val="18"/>
          <w:color w:val="auto"/>
        </w:rPr>
        <w:t>Very truly yours,</w:t>
      </w:r>
    </w:p>
    <w:p>
      <w:pPr>
        <w:spacing w:after="0" w:line="220" w:lineRule="exact"/>
        <w:rPr>
          <w:sz w:val="24"/>
          <w:szCs w:val="24"/>
          <w:color w:val="auto"/>
        </w:rPr>
      </w:pPr>
    </w:p>
    <w:p>
      <w:pPr>
        <w:ind w:left="6546"/>
        <w:spacing w:after="0"/>
        <w:rPr>
          <w:sz w:val="20"/>
          <w:szCs w:val="20"/>
          <w:color w:val="auto"/>
        </w:rPr>
      </w:pPr>
      <w:r>
        <w:rPr>
          <w:rFonts w:ascii="Arial" w:cs="Arial" w:eastAsia="Arial" w:hAnsi="Arial"/>
          <w:sz w:val="18"/>
          <w:szCs w:val="18"/>
          <w:color w:val="auto"/>
        </w:rPr>
        <w:t>Avita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4160520</wp:posOffset>
            </wp:positionH>
            <wp:positionV relativeFrom="paragraph">
              <wp:posOffset>81280</wp:posOffset>
            </wp:positionV>
            <wp:extent cx="1085850" cy="203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5850" cy="20383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6546"/>
        <w:spacing w:after="0"/>
        <w:rPr>
          <w:sz w:val="20"/>
          <w:szCs w:val="20"/>
          <w:color w:val="auto"/>
        </w:rPr>
      </w:pPr>
      <w:r>
        <w:rPr>
          <w:rFonts w:ascii="Arial" w:cs="Arial" w:eastAsia="Arial" w:hAnsi="Arial"/>
          <w:sz w:val="18"/>
          <w:szCs w:val="18"/>
          <w:color w:val="auto"/>
        </w:rPr>
        <w:t>Donna Shiroma</w:t>
      </w:r>
    </w:p>
    <w:p>
      <w:pPr>
        <w:spacing w:after="0" w:line="20" w:lineRule="exact"/>
        <w:rPr>
          <w:sz w:val="24"/>
          <w:szCs w:val="24"/>
          <w:color w:val="auto"/>
        </w:rPr>
      </w:pPr>
    </w:p>
    <w:p>
      <w:pPr>
        <w:ind w:left="6546"/>
        <w:spacing w:after="0"/>
        <w:rPr>
          <w:sz w:val="20"/>
          <w:szCs w:val="20"/>
          <w:color w:val="auto"/>
        </w:rPr>
      </w:pPr>
      <w:r>
        <w:rPr>
          <w:rFonts w:ascii="Arial" w:cs="Arial" w:eastAsia="Arial" w:hAnsi="Arial"/>
          <w:sz w:val="18"/>
          <w:szCs w:val="18"/>
          <w:color w:val="auto"/>
        </w:rPr>
        <w:t>General Counsel</w:t>
      </w:r>
    </w:p>
    <w:p>
      <w:pPr>
        <w:spacing w:after="0" w:line="208" w:lineRule="exact"/>
        <w:rPr>
          <w:sz w:val="24"/>
          <w:szCs w:val="24"/>
          <w:color w:val="auto"/>
        </w:rPr>
      </w:pPr>
    </w:p>
    <w:p>
      <w:pPr>
        <w:ind w:left="566" w:hanging="566"/>
        <w:spacing w:after="0"/>
        <w:tabs>
          <w:tab w:leader="none" w:pos="566"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Christopher H. Cunningham, K&amp;L Gates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1997710</wp:posOffset>
            </wp:positionH>
            <wp:positionV relativeFrom="paragraph">
              <wp:posOffset>166370</wp:posOffset>
            </wp:positionV>
            <wp:extent cx="2926715" cy="500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6715" cy="500380"/>
                    </a:xfrm>
                    <a:prstGeom prst="rect">
                      <a:avLst/>
                    </a:prstGeom>
                    <a:noFill/>
                  </pic:spPr>
                </pic:pic>
              </a:graphicData>
            </a:graphic>
          </wp:anchor>
        </w:drawing>
      </w:r>
    </w:p>
    <w:sectPr>
      <w:pgSz w:w="11900" w:h="16838" w:orient="portrait"/>
      <w:cols w:equalWidth="0" w:num="1">
        <w:col w:w="10866"/>
      </w:cols>
      <w:pgMar w:left="494"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2020-11-16T23:06:21Z</dcterms:created>
  <dcterms:modified xsi:type="dcterms:W3CDTF">2020-11-16T23:06:21Z</dcterms:modified>
</cp:coreProperties>
</file>