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PERRY MICHAEL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AVITA MEDICAL,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28159 AVENUE STANFORD,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AVITA Medical,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RCEL</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VALENCIA</w:t>
            </w:r>
          </w:p>
        </w:tc>
        <w:tc>
          <w:tcPr>
            <w:tcW w:w="1000" w:type="dxa"/>
            <w:vAlign w:val="bottom"/>
          </w:tcPr>
          <w:p>
            <w:pPr>
              <w:ind w:left="18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91355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06/02/2021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23,000</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17.33</w:t>
            </w:r>
            <w:r>
              <w:rPr>
                <w:rFonts w:ascii="Arial" w:cs="Arial" w:eastAsia="Arial" w:hAnsi="Arial"/>
                <w:sz w:val="22"/>
                <w:szCs w:val="22"/>
                <w:color w:val="008000"/>
                <w:w w:val="94"/>
                <w:vertAlign w:val="superscript"/>
              </w:rPr>
              <w:t>(2)</w:t>
            </w:r>
          </w:p>
        </w:tc>
        <w:tc>
          <w:tcPr>
            <w:tcW w:w="1240" w:type="dxa"/>
            <w:vAlign w:val="bottom"/>
            <w:tcBorders>
              <w:bottom w:val="single" w:sz="8" w:color="2C2C2C"/>
            </w:tcBorders>
            <w:gridSpan w:val="2"/>
          </w:tcPr>
          <w:p>
            <w:pPr>
              <w:ind w:left="120"/>
              <w:spacing w:after="0" w:line="320" w:lineRule="exact"/>
              <w:rPr>
                <w:sz w:val="20"/>
                <w:szCs w:val="20"/>
                <w:color w:val="auto"/>
              </w:rPr>
            </w:pPr>
            <w:r>
              <w:rPr>
                <w:rFonts w:ascii="Arial" w:cs="Arial" w:eastAsia="Arial" w:hAnsi="Arial"/>
                <w:sz w:val="34"/>
                <w:szCs w:val="34"/>
                <w:color w:val="0000FF"/>
                <w:w w:val="89"/>
                <w:vertAlign w:val="subscript"/>
              </w:rPr>
              <w:t>225,104</w:t>
            </w:r>
            <w:r>
              <w:rPr>
                <w:rFonts w:ascii="Arial" w:cs="Arial" w:eastAsia="Arial" w:hAnsi="Arial"/>
                <w:sz w:val="11"/>
                <w:szCs w:val="11"/>
                <w:color w:val="008000"/>
                <w:w w:val="89"/>
              </w:rPr>
              <w:t>(3)(4)(5)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order to pay withholding taxes due in connection with the vesting of Restricted Stock Units ("RSUs").</w:t>
      </w:r>
    </w:p>
    <w:p>
      <w:pPr>
        <w:spacing w:after="0" w:line="50"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$17.11 to $17.73. The Reporting Person undertakes to provide to the Issuer, any security holder of the Issuer, or the staff of the Securities and Exchange Commission, upon request, full information regarding the number of the shares of Common Stock sold at each separate price within the ranges set forth in this footnote to this Form 4.</w:t>
      </w:r>
    </w:p>
    <w:p>
      <w:pPr>
        <w:spacing w:after="0" w:line="25" w:lineRule="exact"/>
        <w:rPr>
          <w:rFonts w:ascii="Arial" w:cs="Arial" w:eastAsia="Arial" w:hAnsi="Arial"/>
          <w:sz w:val="13"/>
          <w:szCs w:val="13"/>
          <w:color w:val="008000"/>
        </w:rPr>
      </w:pPr>
    </w:p>
    <w:p>
      <w:pPr>
        <w:ind w:left="40" w:right="4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634,602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634,602 CDIs, which translate into 126,920 of the shares of Common Stock set forth above.</w:t>
      </w:r>
    </w:p>
    <w:p>
      <w:pPr>
        <w:spacing w:after="0" w:line="8" w:lineRule="exact"/>
        <w:rPr>
          <w:rFonts w:ascii="Arial" w:cs="Arial" w:eastAsia="Arial" w:hAnsi="Arial"/>
          <w:sz w:val="12"/>
          <w:szCs w:val="12"/>
          <w:color w:val="008000"/>
        </w:rPr>
      </w:pPr>
    </w:p>
    <w:p>
      <w:pPr>
        <w:ind w:left="40" w:right="20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47,507 unvested RSUs, each representing a contingent right to be issued one share of Common Stock, that are subject to time-based vesting criteria. These RSUs were originally rights to receive ordinary shares of AVITA Medical, Ltd., an Australian public company and predecessor to the Issuer ("Predecessor"). Pursuant to a scheme of arrangement, completed on June 30, 2020, the RSUs became rights to be issued shares of Common Stock of the Issuer in the ratio of one share of Common Stock for every 100 ordinary shares of Predecessor to which the holder would otherwise have been entitled. The RSUs vest on June 1, 2022.</w:t>
      </w:r>
    </w:p>
    <w:p>
      <w:pPr>
        <w:spacing w:after="0" w:line="29" w:lineRule="exact"/>
        <w:rPr>
          <w:rFonts w:ascii="Arial" w:cs="Arial" w:eastAsia="Arial" w:hAnsi="Arial"/>
          <w:sz w:val="13"/>
          <w:szCs w:val="13"/>
          <w:color w:val="008000"/>
        </w:rPr>
      </w:pPr>
    </w:p>
    <w:p>
      <w:pPr>
        <w:ind w:left="40" w:right="28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631,525 CDIs, which translate into 126,305 shares of Common Stock, and 50,677 shares of Common Stock were previously transferred to the Reporting Person's former spouse pursuant to a property settlement agreement entered into in connection with a divorce proceeding. The Reporting Person no longer reports as beneficially owned any securities owned by his former spouse.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Donna Shiroma, by power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06/04/2021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0379"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2021-06-04T15:11:09Z</dcterms:created>
  <dcterms:modified xsi:type="dcterms:W3CDTF">2021-06-04T15:11:09Z</dcterms:modified>
</cp:coreProperties>
</file>