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Vance Cary Guy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AVITA MEDICAL 28159 AVENUE STANFORD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VALENCIA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91355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AVITA Medical, Inc.</w:t>
              </w:r>
            </w:hyperlink>
            <w:r>
              <w:rPr/>
              <w:t xml:space="preserve"> [ </w:t>
            </w:r>
            <w:r>
              <w:rPr>
                <w:rFonts w:ascii="Times;serif" w:hAnsi="Times;serif"/>
                <w:color w:val="0000FF"/>
                <w:sz w:val="24"/>
                <w:shd w:fill="FFFFFF" w:val="clear"/>
              </w:rPr>
              <w:t>RCEL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81"/>
        <w:gridCol w:w="448"/>
        <w:gridCol w:w="882"/>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w:t>
            </w:r>
            <w:r>
              <w:rPr>
                <w:rFonts w:ascii="Times;serif" w:hAnsi="Times;serif"/>
                <w:color w:val="008000"/>
                <w:position w:val="7"/>
                <w:sz w:val="16"/>
                <w:sz w:val="20"/>
                <w:shd w:fill="FFFFFF" w:val="clear"/>
              </w:rPr>
              <w:t>(1)</w:t>
            </w:r>
            <w:r>
              <w:rPr/>
              <w:t xml:space="preserve"> </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3.0515</w:t>
            </w:r>
            <w:r>
              <w:rPr>
                <w:rFonts w:ascii="Times;serif" w:hAnsi="Times;serif"/>
                <w:color w:val="008000"/>
                <w:position w:val="7"/>
                <w:sz w:val="16"/>
                <w:sz w:val="20"/>
                <w:shd w:fill="FFFFFF" w:val="clear"/>
              </w:rPr>
              <w:t>(1)</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40,771</w:t>
            </w:r>
            <w:r>
              <w:rPr>
                <w:rFonts w:ascii="Times;serif" w:hAnsi="Times;serif"/>
                <w:color w:val="008000"/>
                <w:position w:val="7"/>
                <w:sz w:val="16"/>
                <w:sz w:val="20"/>
                <w:shd w:fill="FFFFFF" w:val="clear"/>
              </w:rPr>
              <w:t>(2)</w:t>
            </w:r>
            <w:r>
              <w:rPr/>
              <w:t xml:space="preserve"> </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acquired under the AVITA Medical, Inc. Employee Share Purchase Plan ("ESPP") for the ESPP purchase period beginning on December 1, 2025 and ended on May 31, 2026 in transactions that were exempt under both Rule 16b-3(d) and Rule 16b-3(c). In accordance with the terms of the ESPP, these shares were purchased at a price equal to 85% of the closing price of the Issuer's common stock on December 1, 2025 (the purchase date of the offering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unvested RSUs.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Nicole Kelsey,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8992" TargetMode="External"/><Relationship Id="rId5" Type="http://schemas.openxmlformats.org/officeDocument/2006/relationships/hyperlink" Target="http://www.sec.gov/cgi-bin/browse-edgar?action=getcompany&amp;CIK=00017623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3486</Characters>
  <CharactersWithSpaces>4078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